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D314"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615FF7"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67154</w:t>
      </w:r>
    </w:p>
    <w:p w14:paraId="5DAB4076"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DD4DA21" w14:textId="77777777" w:rsidR="00653ADE" w:rsidRDefault="00653ADE">
      <w:pPr>
        <w:spacing w:line="360" w:lineRule="auto"/>
        <w:jc w:val="both"/>
        <w:rPr>
          <w:rFonts w:ascii="Book Antiqua" w:hAnsi="Book Antiqua"/>
        </w:rPr>
      </w:pPr>
    </w:p>
    <w:p w14:paraId="39C0EB52"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Transient involuntary movement disorder after spinal anesthesia: A case report</w:t>
      </w:r>
    </w:p>
    <w:p w14:paraId="39107FA2" w14:textId="77777777" w:rsidR="00653ADE" w:rsidRDefault="00653ADE">
      <w:pPr>
        <w:spacing w:line="360" w:lineRule="auto"/>
        <w:jc w:val="both"/>
        <w:rPr>
          <w:rFonts w:ascii="Book Antiqua" w:hAnsi="Book Antiqua"/>
        </w:rPr>
      </w:pPr>
    </w:p>
    <w:p w14:paraId="48FD3155"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Yun G </w:t>
      </w:r>
      <w:r>
        <w:rPr>
          <w:rFonts w:ascii="Book Antiqua" w:eastAsia="Book Antiqua" w:hAnsi="Book Antiqua" w:cs="Book Antiqua"/>
          <w:i/>
          <w:iCs/>
          <w:color w:val="000000"/>
        </w:rPr>
        <w:t xml:space="preserve">et al. </w:t>
      </w:r>
      <w:r>
        <w:rPr>
          <w:rFonts w:ascii="Book Antiqua" w:eastAsia="Book Antiqua" w:hAnsi="Book Antiqua" w:cs="Book Antiqua"/>
          <w:color w:val="000000"/>
        </w:rPr>
        <w:t>Spinal myoclonus following neuraxial blockade</w:t>
      </w:r>
    </w:p>
    <w:p w14:paraId="345A6EA9" w14:textId="77777777" w:rsidR="00653ADE" w:rsidRDefault="00653ADE">
      <w:pPr>
        <w:spacing w:line="360" w:lineRule="auto"/>
        <w:jc w:val="both"/>
        <w:rPr>
          <w:rFonts w:ascii="Book Antiqua" w:hAnsi="Book Antiqua"/>
        </w:rPr>
      </w:pPr>
    </w:p>
    <w:p w14:paraId="0C5408A3"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Giyoung </w:t>
      </w:r>
      <w:r>
        <w:rPr>
          <w:rFonts w:ascii="Book Antiqua" w:eastAsia="Book Antiqua" w:hAnsi="Book Antiqua" w:cs="Book Antiqua"/>
          <w:color w:val="000000"/>
        </w:rPr>
        <w:t>Yun, Eunsoo Kim, Wangseok Do, Young-Hoon Jung, Hyun-Ju Lee, Yesul Kim</w:t>
      </w:r>
    </w:p>
    <w:p w14:paraId="0EDC1462" w14:textId="77777777" w:rsidR="00653ADE" w:rsidRDefault="00653ADE">
      <w:pPr>
        <w:spacing w:line="360" w:lineRule="auto"/>
        <w:jc w:val="both"/>
        <w:rPr>
          <w:rFonts w:ascii="Book Antiqua" w:hAnsi="Book Antiqua"/>
        </w:rPr>
      </w:pPr>
    </w:p>
    <w:p w14:paraId="2C06ABCD"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Giyoung Yun, Eunsoo Kim, Wangseok Do, Young-Hoon Jung, Hyun-Ju Lee, Yesul Kim, </w:t>
      </w:r>
      <w:r>
        <w:rPr>
          <w:rFonts w:ascii="Book Antiqua" w:eastAsia="Book Antiqua" w:hAnsi="Book Antiqua" w:cs="Book Antiqua"/>
          <w:color w:val="000000"/>
        </w:rPr>
        <w:t>Department of Anesthesia and Pain Medicine, Biomedical Research Institute, Pusan National University Hospi</w:t>
      </w:r>
      <w:r>
        <w:rPr>
          <w:rFonts w:ascii="Book Antiqua" w:eastAsia="Book Antiqua" w:hAnsi="Book Antiqua" w:cs="Book Antiqua"/>
          <w:color w:val="000000"/>
        </w:rPr>
        <w:t>tal, Busan 49241, South Korea</w:t>
      </w:r>
    </w:p>
    <w:p w14:paraId="16F993CB" w14:textId="77777777" w:rsidR="00653ADE" w:rsidRDefault="00653ADE">
      <w:pPr>
        <w:spacing w:line="360" w:lineRule="auto"/>
        <w:jc w:val="both"/>
        <w:rPr>
          <w:rFonts w:ascii="Book Antiqua" w:hAnsi="Book Antiqua"/>
        </w:rPr>
      </w:pPr>
    </w:p>
    <w:p w14:paraId="7FA78EAF"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Giyoung Yun, Eunsoo Kim, </w:t>
      </w:r>
      <w:r>
        <w:rPr>
          <w:rFonts w:ascii="Book Antiqua" w:eastAsia="Book Antiqua" w:hAnsi="Book Antiqua" w:cs="Book Antiqua"/>
          <w:color w:val="000000"/>
        </w:rPr>
        <w:t>Department of Anesthesia and Pain Medicine, Pusan National University, School of Medicine, Yangsan 50612, South Korea</w:t>
      </w:r>
    </w:p>
    <w:p w14:paraId="5A19DBC4" w14:textId="77777777" w:rsidR="00653ADE" w:rsidRDefault="00653ADE">
      <w:pPr>
        <w:spacing w:line="360" w:lineRule="auto"/>
        <w:jc w:val="both"/>
        <w:rPr>
          <w:rFonts w:ascii="Book Antiqua" w:hAnsi="Book Antiqua"/>
        </w:rPr>
      </w:pPr>
    </w:p>
    <w:p w14:paraId="2D10C259"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Yun G reviewed the literature and contributed to manuscript</w:t>
      </w:r>
      <w:r>
        <w:rPr>
          <w:rFonts w:ascii="Book Antiqua" w:eastAsia="Book Antiqua" w:hAnsi="Book Antiqua" w:cs="Book Antiqua"/>
          <w:color w:val="000000"/>
        </w:rPr>
        <w:t xml:space="preserve"> drafting; Kim E reviewed the literature and contributed to manuscript drafting; Do W and Jung Y cared for the patient; Kim Y and Lee H reviewed the manuscript; all authors have read and approved the final version to be submitted.</w:t>
      </w:r>
    </w:p>
    <w:p w14:paraId="76FCA97E" w14:textId="77777777" w:rsidR="00653ADE" w:rsidRDefault="00653ADE">
      <w:pPr>
        <w:spacing w:line="360" w:lineRule="auto"/>
        <w:jc w:val="both"/>
        <w:rPr>
          <w:rFonts w:ascii="Book Antiqua" w:hAnsi="Book Antiqua"/>
        </w:rPr>
      </w:pPr>
    </w:p>
    <w:p w14:paraId="55FF4CD2"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Corresponding author: Eu</w:t>
      </w:r>
      <w:r>
        <w:rPr>
          <w:rFonts w:ascii="Book Antiqua" w:eastAsia="Book Antiqua" w:hAnsi="Book Antiqua" w:cs="Book Antiqua"/>
          <w:b/>
          <w:bCs/>
          <w:color w:val="000000"/>
        </w:rPr>
        <w:t xml:space="preserve">nsoo Kim, MD, PhD, Associate Professor, Doctor, </w:t>
      </w:r>
      <w:r>
        <w:rPr>
          <w:rFonts w:ascii="Book Antiqua" w:eastAsia="Book Antiqua" w:hAnsi="Book Antiqua" w:cs="Book Antiqua"/>
          <w:color w:val="000000"/>
        </w:rPr>
        <w:t>Department of Anesthesia and Pain Medicine, Biomedical Research Institute, Pusan National University Hospital, 179 Gudeok-Ro, Seo-Gu, Busan 49241, South Korea. eunsookim@pusan.ac.kr</w:t>
      </w:r>
    </w:p>
    <w:p w14:paraId="3E32EC7B" w14:textId="77777777" w:rsidR="00653ADE" w:rsidRDefault="00653ADE">
      <w:pPr>
        <w:spacing w:line="360" w:lineRule="auto"/>
        <w:jc w:val="both"/>
        <w:rPr>
          <w:rFonts w:ascii="Book Antiqua" w:hAnsi="Book Antiqua"/>
        </w:rPr>
      </w:pPr>
    </w:p>
    <w:p w14:paraId="42A6FC81"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16, 2021</w:t>
      </w:r>
    </w:p>
    <w:p w14:paraId="1B31C831"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28, 2021</w:t>
      </w:r>
    </w:p>
    <w:p w14:paraId="5FD9C5C8"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26, 2021</w:t>
      </w:r>
      <w:bookmarkEnd w:id="0"/>
      <w:bookmarkEnd w:id="1"/>
      <w:bookmarkEnd w:id="2"/>
    </w:p>
    <w:p w14:paraId="40857C86"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September 16</w:t>
      </w:r>
      <w:r>
        <w:rPr>
          <w:rFonts w:ascii="Book Antiqua" w:eastAsia="宋体" w:hAnsi="Book Antiqua" w:cs="Book Antiqua" w:hint="eastAsia"/>
          <w:color w:val="000000"/>
          <w:lang w:eastAsia="zh-CN"/>
        </w:rPr>
        <w:t>, 2021</w:t>
      </w:r>
    </w:p>
    <w:p w14:paraId="5C06E59D" w14:textId="77777777" w:rsidR="00653ADE" w:rsidRDefault="00653ADE">
      <w:pPr>
        <w:spacing w:line="360" w:lineRule="auto"/>
        <w:jc w:val="both"/>
        <w:rPr>
          <w:rFonts w:ascii="Book Antiqua" w:hAnsi="Book Antiqua"/>
        </w:rPr>
        <w:sectPr w:rsidR="00653ADE">
          <w:footerReference w:type="default" r:id="rId8"/>
          <w:pgSz w:w="12240" w:h="15840"/>
          <w:pgMar w:top="1440" w:right="1440" w:bottom="1440" w:left="1440" w:header="720" w:footer="720" w:gutter="0"/>
          <w:cols w:space="720"/>
          <w:docGrid w:linePitch="360"/>
        </w:sectPr>
      </w:pPr>
    </w:p>
    <w:p w14:paraId="0FA39613"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1C108CF"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BACKGROUND</w:t>
      </w:r>
    </w:p>
    <w:p w14:paraId="357B9FA0"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Spinal anesthesia is commonly used for </w:t>
      </w:r>
      <w:r>
        <w:rPr>
          <w:rFonts w:ascii="Book Antiqua" w:eastAsia="Book Antiqua" w:hAnsi="Book Antiqua" w:cs="Book Antiqua"/>
          <w:color w:val="000000"/>
        </w:rPr>
        <w:t>various surgeries. While many complications occur after induction of spinal anesthesia, involuntary movement is an extremely rare complication.</w:t>
      </w:r>
    </w:p>
    <w:p w14:paraId="62A7A054" w14:textId="77777777" w:rsidR="00653ADE" w:rsidRDefault="00653ADE">
      <w:pPr>
        <w:spacing w:line="360" w:lineRule="auto"/>
        <w:jc w:val="both"/>
        <w:rPr>
          <w:rFonts w:ascii="Book Antiqua" w:hAnsi="Book Antiqua"/>
        </w:rPr>
      </w:pPr>
    </w:p>
    <w:p w14:paraId="53BEA33C"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CASE SUMMARY</w:t>
      </w:r>
    </w:p>
    <w:p w14:paraId="53892424"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Herein, we report the case of a 54-year-old healthy male patient who experienced involuntary movem</w:t>
      </w:r>
      <w:r>
        <w:rPr>
          <w:rFonts w:ascii="Book Antiqua" w:eastAsia="Book Antiqua" w:hAnsi="Book Antiqua" w:cs="Book Antiqua"/>
          <w:color w:val="000000"/>
        </w:rPr>
        <w:t>ents after intrathecal injection of local anesthetics. This patient had undergone metal implant removal surgery in both the lower extremities; 7 h after intrathecal hyperbaric bupivacaine administration, involuntary raising of the left leg began to occur e</w:t>
      </w:r>
      <w:r>
        <w:rPr>
          <w:rFonts w:ascii="Book Antiqua" w:eastAsia="Book Antiqua" w:hAnsi="Book Antiqua" w:cs="Book Antiqua"/>
          <w:color w:val="000000"/>
        </w:rPr>
        <w:t>very 2 min. When the movement disorder appeared, the patient was conscious and cooperative. No other specific symptoms were noted in the physical examination conducted immediately after the involuntary leg raising started; moreover, the patient's motor and</w:t>
      </w:r>
      <w:r>
        <w:rPr>
          <w:rFonts w:ascii="Book Antiqua" w:eastAsia="Book Antiqua" w:hAnsi="Book Antiqua" w:cs="Book Antiqua"/>
          <w:color w:val="000000"/>
        </w:rPr>
        <w:t xml:space="preserve"> sensory assessments were normal. The symptom gradually subsided. Twelve hours after the symptom first occurred, its frequency decreased to approximately once every three hours. Two days postoperatively, the symptoms had completely disappeared without inte</w:t>
      </w:r>
      <w:r>
        <w:rPr>
          <w:rFonts w:ascii="Book Antiqua" w:eastAsia="Book Antiqua" w:hAnsi="Book Antiqua" w:cs="Book Antiqua"/>
          <w:color w:val="000000"/>
        </w:rPr>
        <w:t>rvention.</w:t>
      </w:r>
    </w:p>
    <w:p w14:paraId="4F3C4FC5" w14:textId="77777777" w:rsidR="00653ADE" w:rsidRDefault="00653ADE">
      <w:pPr>
        <w:spacing w:line="360" w:lineRule="auto"/>
        <w:jc w:val="both"/>
        <w:rPr>
          <w:rFonts w:ascii="Book Antiqua" w:hAnsi="Book Antiqua"/>
        </w:rPr>
      </w:pPr>
    </w:p>
    <w:p w14:paraId="57CD1879"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CONCLUSION</w:t>
      </w:r>
    </w:p>
    <w:p w14:paraId="7230C6FA"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Anesthesiologists should be aware that movement disorders can occur after spinal anesthesia and be able to identify the cause, such as electrolyte imbalance or epilepsy, since immediate action may be required for treatment. Furthermor</w:t>
      </w:r>
      <w:r>
        <w:rPr>
          <w:rFonts w:ascii="Book Antiqua" w:eastAsia="Book Antiqua" w:hAnsi="Book Antiqua" w:cs="Book Antiqua"/>
          <w:color w:val="000000"/>
        </w:rPr>
        <w:t>e, it is crucial to know that involuntary movement that develop following spinal anesthesia is mostly self-limiting and may not require additional costly examinations.</w:t>
      </w:r>
    </w:p>
    <w:p w14:paraId="544E49AC" w14:textId="77777777" w:rsidR="00653ADE" w:rsidRDefault="00653ADE">
      <w:pPr>
        <w:spacing w:line="360" w:lineRule="auto"/>
        <w:jc w:val="both"/>
        <w:rPr>
          <w:rFonts w:ascii="Book Antiqua" w:hAnsi="Book Antiqua"/>
        </w:rPr>
      </w:pPr>
    </w:p>
    <w:p w14:paraId="5A6D3834"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Movement disorder; Spinal anesthesia; Bupivacaine; Dexmedetomidine; Case rep</w:t>
      </w:r>
      <w:r>
        <w:rPr>
          <w:rFonts w:ascii="Book Antiqua" w:eastAsia="Book Antiqua" w:hAnsi="Book Antiqua" w:cs="Book Antiqua"/>
          <w:color w:val="000000"/>
        </w:rPr>
        <w:t>ort</w:t>
      </w:r>
    </w:p>
    <w:p w14:paraId="54F72AAD" w14:textId="77777777" w:rsidR="002679F2" w:rsidRDefault="002679F2" w:rsidP="002679F2">
      <w:pPr>
        <w:spacing w:line="360" w:lineRule="auto"/>
        <w:jc w:val="both"/>
        <w:rPr>
          <w:lang w:eastAsia="zh-CN"/>
        </w:rPr>
      </w:pPr>
    </w:p>
    <w:p w14:paraId="292D1294" w14:textId="77777777" w:rsidR="002679F2" w:rsidRPr="00026CB8" w:rsidRDefault="002679F2" w:rsidP="002679F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12E888A" w14:textId="77777777" w:rsidR="002679F2" w:rsidRPr="009C101B" w:rsidRDefault="002679F2" w:rsidP="002679F2">
      <w:pPr>
        <w:spacing w:line="360" w:lineRule="auto"/>
        <w:jc w:val="both"/>
        <w:rPr>
          <w:lang w:eastAsia="zh-CN"/>
        </w:rPr>
      </w:pPr>
    </w:p>
    <w:p w14:paraId="5B3C1CD5" w14:textId="033F7C1B" w:rsidR="00D30553" w:rsidRDefault="002679F2" w:rsidP="002679F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C2E14">
        <w:rPr>
          <w:rFonts w:ascii="Book Antiqua" w:eastAsia="Book Antiqua" w:hAnsi="Book Antiqua" w:cs="Book Antiqua"/>
          <w:color w:val="000000"/>
        </w:rPr>
        <w:t xml:space="preserve">Yun G, Kim E, Do W, Jung YH, Lee HJ, Kim Y. Transient involuntary movement disorder after spinal anesthesia: A case report. </w:t>
      </w:r>
      <w:r w:rsidR="005C2E14">
        <w:rPr>
          <w:rFonts w:ascii="Book Antiqua" w:eastAsia="Book Antiqua" w:hAnsi="Book Antiqua" w:cs="Book Antiqua"/>
          <w:i/>
          <w:iCs/>
          <w:color w:val="000000"/>
        </w:rPr>
        <w:t>World J Clin Cases</w:t>
      </w:r>
      <w:r w:rsidR="005C2E14">
        <w:rPr>
          <w:rFonts w:ascii="Book Antiqua" w:eastAsia="Book Antiqua" w:hAnsi="Book Antiqua" w:cs="Book Antiqua"/>
          <w:color w:val="000000"/>
        </w:rPr>
        <w:t xml:space="preserve"> 2021; </w:t>
      </w:r>
      <w:r w:rsidR="005C2E14">
        <w:rPr>
          <w:rFonts w:ascii="Book Antiqua" w:eastAsia="Book Antiqua" w:hAnsi="Book Antiqua" w:cs="Book Antiqua" w:hint="eastAsia"/>
          <w:color w:val="000000"/>
        </w:rPr>
        <w:t>9(2</w:t>
      </w:r>
      <w:r w:rsidR="005C2E14">
        <w:rPr>
          <w:rFonts w:ascii="Book Antiqua" w:eastAsia="宋体" w:hAnsi="Book Antiqua" w:cs="Book Antiqua" w:hint="eastAsia"/>
          <w:color w:val="000000"/>
          <w:lang w:eastAsia="zh-CN"/>
        </w:rPr>
        <w:t>6</w:t>
      </w:r>
      <w:r w:rsidR="005C2E14">
        <w:rPr>
          <w:rFonts w:ascii="Book Antiqua" w:eastAsia="Book Antiqua" w:hAnsi="Book Antiqua" w:cs="Book Antiqua" w:hint="eastAsia"/>
          <w:color w:val="000000"/>
        </w:rPr>
        <w:t xml:space="preserve">): </w:t>
      </w:r>
      <w:r w:rsidR="00D30553" w:rsidRPr="00D30553">
        <w:rPr>
          <w:rFonts w:ascii="Book Antiqua" w:eastAsia="Book Antiqua" w:hAnsi="Book Antiqua" w:cs="Book Antiqua"/>
          <w:color w:val="000000"/>
        </w:rPr>
        <w:t>7917-7922</w:t>
      </w:r>
      <w:r w:rsidR="005C2E14">
        <w:rPr>
          <w:rFonts w:ascii="Book Antiqua" w:eastAsia="Book Antiqua" w:hAnsi="Book Antiqua" w:cs="Book Antiqua" w:hint="eastAsia"/>
          <w:color w:val="000000"/>
        </w:rPr>
        <w:t xml:space="preserve"> </w:t>
      </w:r>
    </w:p>
    <w:p w14:paraId="4A51A1EB" w14:textId="20151BE2" w:rsidR="00D30553" w:rsidRDefault="005C2E14" w:rsidP="002679F2">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URL: </w:t>
      </w:r>
      <w:r>
        <w:rPr>
          <w:rFonts w:ascii="Book Antiqua" w:eastAsia="Book Antiqua" w:hAnsi="Book Antiqua" w:cs="Book Antiqua" w:hint="eastAsia"/>
          <w:color w:val="000000"/>
        </w:rPr>
        <w:t>https://www.wjgnet.com/2307-8960/full/v9/i2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D30553" w:rsidRPr="00D30553">
        <w:rPr>
          <w:rFonts w:ascii="Book Antiqua" w:eastAsia="Book Antiqua" w:hAnsi="Book Antiqua" w:cs="Book Antiqua"/>
          <w:color w:val="000000"/>
        </w:rPr>
        <w:t>7917</w:t>
      </w:r>
      <w:r>
        <w:rPr>
          <w:rFonts w:ascii="Book Antiqua" w:eastAsia="Book Antiqua" w:hAnsi="Book Antiqua" w:cs="Book Antiqua" w:hint="eastAsia"/>
          <w:color w:val="000000"/>
        </w:rPr>
        <w:t xml:space="preserve">.htm  </w:t>
      </w:r>
    </w:p>
    <w:p w14:paraId="6F525E7D" w14:textId="0C227A83" w:rsidR="00653ADE" w:rsidRDefault="005C2E14" w:rsidP="002679F2">
      <w:pPr>
        <w:spacing w:line="360" w:lineRule="auto"/>
        <w:jc w:val="both"/>
        <w:rPr>
          <w:rFonts w:ascii="Book Antiqua" w:hAnsi="Book Antiqua"/>
        </w:rPr>
      </w:pPr>
      <w:r>
        <w:rPr>
          <w:rFonts w:ascii="Book Antiqua" w:eastAsia="Book Antiqua" w:hAnsi="Book Antiqua" w:cs="Book Antiqua" w:hint="eastAsia"/>
          <w:color w:val="000000"/>
        </w:rPr>
        <w:t>DOI: https://dx.doi.org/10.12998/wjcc.v9.i2</w:t>
      </w:r>
      <w:r>
        <w:rPr>
          <w:rFonts w:ascii="Book Antiqua" w:eastAsia="宋体" w:hAnsi="Book Antiqua" w:cs="Book Antiqua" w:hint="eastAsia"/>
          <w:color w:val="000000"/>
          <w:lang w:eastAsia="zh-CN"/>
        </w:rPr>
        <w:t>6</w:t>
      </w:r>
      <w:r>
        <w:rPr>
          <w:rFonts w:ascii="Book Antiqua" w:eastAsia="Book Antiqua" w:hAnsi="Book Antiqua" w:cs="Book Antiqua" w:hint="eastAsia"/>
          <w:color w:val="000000"/>
        </w:rPr>
        <w:t>.</w:t>
      </w:r>
      <w:r w:rsidR="00D30553" w:rsidRPr="00D30553">
        <w:rPr>
          <w:rFonts w:ascii="Book Antiqua" w:eastAsia="Book Antiqua" w:hAnsi="Book Antiqua" w:cs="Book Antiqua"/>
          <w:color w:val="000000"/>
        </w:rPr>
        <w:t>7917</w:t>
      </w:r>
    </w:p>
    <w:p w14:paraId="45FFC151" w14:textId="77777777" w:rsidR="00653ADE" w:rsidRDefault="00653ADE">
      <w:pPr>
        <w:spacing w:line="360" w:lineRule="auto"/>
        <w:jc w:val="both"/>
        <w:rPr>
          <w:rFonts w:ascii="Book Antiqua" w:hAnsi="Book Antiqua"/>
        </w:rPr>
      </w:pPr>
    </w:p>
    <w:p w14:paraId="7FA82D71"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Various movement disorders can occur after induction of neuraxial anesthesia, and anesthesiologists should be aware of these symptoms. Upon </w:t>
      </w:r>
      <w:r>
        <w:rPr>
          <w:rFonts w:ascii="Book Antiqua" w:eastAsia="Book Antiqua" w:hAnsi="Book Antiqua" w:cs="Book Antiqua"/>
          <w:color w:val="000000"/>
        </w:rPr>
        <w:t>their appearance, diseases requiring emergent treatment should be identified first. Once these are excluded, the spinal myoclonus that develops following neuraxial blockade is usually self-limiting; therefore, additional costly tests may not be necessary.</w:t>
      </w:r>
    </w:p>
    <w:p w14:paraId="71E45344" w14:textId="77777777" w:rsidR="00653ADE" w:rsidRDefault="00653ADE">
      <w:pPr>
        <w:spacing w:line="360" w:lineRule="auto"/>
        <w:jc w:val="both"/>
        <w:rPr>
          <w:rFonts w:ascii="Book Antiqua" w:hAnsi="Book Antiqua"/>
        </w:rPr>
        <w:sectPr w:rsidR="00653ADE">
          <w:pgSz w:w="12240" w:h="15840"/>
          <w:pgMar w:top="1440" w:right="1440" w:bottom="1440" w:left="1440" w:header="720" w:footer="720" w:gutter="0"/>
          <w:cols w:space="720"/>
          <w:docGrid w:linePitch="360"/>
        </w:sectPr>
      </w:pPr>
    </w:p>
    <w:p w14:paraId="5F5B446C"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B5CD2A7"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Intrathecally administration of spinal anesthesia is a common anesthetic technique used in lower extremity surgeries</w:t>
      </w:r>
      <w:r>
        <w:rPr>
          <w:rFonts w:ascii="Book Antiqua" w:eastAsia="Book Antiqua" w:hAnsi="Book Antiqua" w:cs="Book Antiqua"/>
          <w:color w:val="000000"/>
          <w:vertAlign w:val="superscript"/>
        </w:rPr>
        <w:t>[1]</w:t>
      </w:r>
      <w:r>
        <w:rPr>
          <w:rFonts w:ascii="Book Antiqua" w:eastAsia="Book Antiqua" w:hAnsi="Book Antiqua" w:cs="Book Antiqua"/>
          <w:color w:val="000000"/>
        </w:rPr>
        <w:t>. Neurological complications, such as hematoma, infections, and temporary or permanent spinal cord injuries, can occ</w:t>
      </w:r>
      <w:r>
        <w:rPr>
          <w:rFonts w:ascii="Book Antiqua" w:eastAsia="Book Antiqua" w:hAnsi="Book Antiqua" w:cs="Book Antiqua"/>
          <w:color w:val="000000"/>
        </w:rPr>
        <w:t>ur after spinal anesthesia</w:t>
      </w:r>
      <w:r>
        <w:rPr>
          <w:rFonts w:ascii="Book Antiqua" w:eastAsia="Book Antiqua" w:hAnsi="Book Antiqua" w:cs="Book Antiqua"/>
          <w:color w:val="000000"/>
          <w:vertAlign w:val="superscript"/>
        </w:rPr>
        <w:t>[2]</w:t>
      </w:r>
      <w:r>
        <w:rPr>
          <w:rFonts w:ascii="Book Antiqua" w:eastAsia="Book Antiqua" w:hAnsi="Book Antiqua" w:cs="Book Antiqua"/>
          <w:color w:val="000000"/>
        </w:rPr>
        <w:t>. However, involuntary myoclonic movement following neuraxial anesthesia is an extremely rare complication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Sudden shock-like involuntary muscle contractions that affect a single muscle or multiple muscle groups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can o</w:t>
      </w:r>
      <w:r>
        <w:rPr>
          <w:rFonts w:ascii="Book Antiqua" w:eastAsia="Book Antiqua" w:hAnsi="Book Antiqua" w:cs="Book Antiqua"/>
          <w:color w:val="000000"/>
        </w:rPr>
        <w:t>ccur following spinal anesthesia; alternatively, these movements can mimic a pedaling movement</w:t>
      </w:r>
      <w:r>
        <w:rPr>
          <w:rFonts w:ascii="Book Antiqua" w:eastAsia="Book Antiqua" w:hAnsi="Book Antiqua" w:cs="Book Antiqua"/>
          <w:color w:val="000000"/>
          <w:vertAlign w:val="superscript"/>
        </w:rPr>
        <w:t>[8]</w:t>
      </w:r>
      <w:r>
        <w:rPr>
          <w:rFonts w:ascii="Book Antiqua" w:eastAsia="Book Antiqua" w:hAnsi="Book Antiqua" w:cs="Book Antiqua"/>
          <w:color w:val="000000"/>
        </w:rPr>
        <w:t>. These symptoms rarely appear in the upper extremities</w:t>
      </w:r>
      <w:r>
        <w:rPr>
          <w:rFonts w:ascii="Book Antiqua" w:eastAsia="Book Antiqua" w:hAnsi="Book Antiqua" w:cs="Book Antiqua"/>
          <w:color w:val="000000"/>
          <w:vertAlign w:val="superscript"/>
        </w:rPr>
        <w:t>[9,10]</w:t>
      </w:r>
      <w:r>
        <w:rPr>
          <w:rFonts w:ascii="Book Antiqua" w:eastAsia="Book Antiqua" w:hAnsi="Book Antiqua" w:cs="Book Antiqua"/>
          <w:color w:val="000000"/>
        </w:rPr>
        <w:t>. Although there is no official name for this involuntary myoclonic movement, when it follows neur</w:t>
      </w:r>
      <w:r>
        <w:rPr>
          <w:rFonts w:ascii="Book Antiqua" w:eastAsia="Book Antiqua" w:hAnsi="Book Antiqua" w:cs="Book Antiqua"/>
          <w:color w:val="000000"/>
        </w:rPr>
        <w:t>axial anesthesia, it is called spinal myoclonus following neuraxial anesthesia (SM-NA)</w:t>
      </w:r>
      <w:r>
        <w:rPr>
          <w:rFonts w:ascii="Book Antiqua" w:eastAsia="Book Antiqua" w:hAnsi="Book Antiqua" w:cs="Book Antiqua"/>
          <w:color w:val="000000"/>
          <w:vertAlign w:val="superscript"/>
        </w:rPr>
        <w:t>[4]</w:t>
      </w:r>
      <w:r>
        <w:rPr>
          <w:rFonts w:ascii="Book Antiqua" w:eastAsia="Book Antiqua" w:hAnsi="Book Antiqua" w:cs="Book Antiqua"/>
          <w:color w:val="000000"/>
        </w:rPr>
        <w:t>. The characteristics of SM-NA are different from those of typical myoclonus, and the etiology is unclear</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additional case reports on these presentations</w:t>
      </w:r>
      <w:r>
        <w:rPr>
          <w:rFonts w:ascii="Book Antiqua" w:eastAsia="Book Antiqua" w:hAnsi="Book Antiqua" w:cs="Book Antiqua"/>
          <w:color w:val="000000"/>
        </w:rPr>
        <w:t xml:space="preserve"> need to be published to increase awareness and determine the cause of these symptoms. Furthermore, these symptoms are especially rare in men aged &lt; 60 years, as reported in this case</w:t>
      </w:r>
      <w:r>
        <w:rPr>
          <w:rFonts w:ascii="Book Antiqua" w:eastAsia="Book Antiqua" w:hAnsi="Book Antiqua" w:cs="Book Antiqua"/>
          <w:color w:val="000000"/>
          <w:vertAlign w:val="superscript"/>
        </w:rPr>
        <w:t>[4]</w:t>
      </w:r>
      <w:r>
        <w:rPr>
          <w:rFonts w:ascii="Book Antiqua" w:eastAsia="Book Antiqua" w:hAnsi="Book Antiqua" w:cs="Book Antiqua"/>
          <w:color w:val="000000"/>
        </w:rPr>
        <w:t>; recently reported cases of SM-NA have mainly involved young women af</w:t>
      </w:r>
      <w:r>
        <w:rPr>
          <w:rFonts w:ascii="Book Antiqua" w:eastAsia="Book Antiqua" w:hAnsi="Book Antiqua" w:cs="Book Antiqua"/>
          <w:color w:val="000000"/>
        </w:rPr>
        <w:t>ter cesarean sections</w:t>
      </w:r>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Therefore, we believe this case to be quite valuable. Herein, we report a case, accompanied by a video, of periodic involuntary leg movements that developed in a healthy 54-year-old man after spinal anesthesia. </w:t>
      </w:r>
    </w:p>
    <w:p w14:paraId="430A2E54" w14:textId="77777777" w:rsidR="00653ADE" w:rsidRDefault="00653ADE">
      <w:pPr>
        <w:spacing w:line="360" w:lineRule="auto"/>
        <w:jc w:val="both"/>
        <w:rPr>
          <w:rFonts w:ascii="Book Antiqua" w:hAnsi="Book Antiqua"/>
        </w:rPr>
      </w:pPr>
    </w:p>
    <w:p w14:paraId="78A0284D"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 xml:space="preserve">CASE </w:t>
      </w:r>
      <w:r>
        <w:rPr>
          <w:rFonts w:ascii="Book Antiqua" w:eastAsia="Book Antiqua" w:hAnsi="Book Antiqua" w:cs="Book Antiqua"/>
          <w:b/>
          <w:caps/>
          <w:color w:val="000000"/>
          <w:u w:val="single"/>
        </w:rPr>
        <w:t>PRESENTATION</w:t>
      </w:r>
    </w:p>
    <w:p w14:paraId="3336FF5E"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Chief complaints</w:t>
      </w:r>
    </w:p>
    <w:p w14:paraId="5FEF9A7B"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A healthy 54-year-old man (height, 175 cm; weight, 73 kg) was referred to the anesthesiology department for a movement disorder similar to myoclonus following spinal anesthesia.</w:t>
      </w:r>
    </w:p>
    <w:p w14:paraId="060638A7" w14:textId="77777777" w:rsidR="00653ADE" w:rsidRDefault="00653ADE">
      <w:pPr>
        <w:spacing w:line="360" w:lineRule="auto"/>
        <w:jc w:val="both"/>
        <w:rPr>
          <w:rFonts w:ascii="Book Antiqua" w:hAnsi="Book Antiqua"/>
        </w:rPr>
      </w:pPr>
    </w:p>
    <w:p w14:paraId="37B81B96"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D0716D2"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The patient underwen</w:t>
      </w:r>
      <w:r>
        <w:rPr>
          <w:rFonts w:ascii="Book Antiqua" w:eastAsia="Book Antiqua" w:hAnsi="Book Antiqua" w:cs="Book Antiqua"/>
          <w:color w:val="000000"/>
        </w:rPr>
        <w:t xml:space="preserve">t a metal implant removal surgery after surgical correction for bilateral cavovarus feet. The operation was limited to the area below the knee. The </w:t>
      </w:r>
      <w:r>
        <w:rPr>
          <w:rFonts w:ascii="Book Antiqua" w:eastAsia="Book Antiqua" w:hAnsi="Book Antiqua" w:cs="Book Antiqua"/>
          <w:color w:val="000000"/>
        </w:rPr>
        <w:lastRenderedPageBreak/>
        <w:t>patient had received spinal anesthesia without premedication. A lumbar puncture was performed at the L3-4 le</w:t>
      </w:r>
      <w:r>
        <w:rPr>
          <w:rFonts w:ascii="Book Antiqua" w:eastAsia="Book Antiqua" w:hAnsi="Book Antiqua" w:cs="Book Antiqua"/>
          <w:color w:val="000000"/>
        </w:rPr>
        <w:t>vel using a 25-gauge Quincke needle with the patient in the right lateral position, and 3 mL of 0.5% hyperbaric bupivacaine was administered. Loss of sensation to cold occurred below the T8 sensory dermatome. A complete inability to raise the legs straight</w:t>
      </w:r>
      <w:r>
        <w:rPr>
          <w:rFonts w:ascii="Book Antiqua" w:eastAsia="Book Antiqua" w:hAnsi="Book Antiqua" w:cs="Book Antiqua"/>
          <w:color w:val="000000"/>
        </w:rPr>
        <w:t xml:space="preserve"> (Bromage grade 3) was confirmed. Dexmedetomidine was administered for sedation—75 μg of dexmedetomidine was injected intravenously at the antecubital fossa for 10 min, followed by continuous infusion at a constant rate (1.0 μg/kg/h) using an infusion pump</w:t>
      </w:r>
      <w:r>
        <w:rPr>
          <w:rFonts w:ascii="Book Antiqua" w:eastAsia="Book Antiqua" w:hAnsi="Book Antiqua" w:cs="Book Antiqua"/>
          <w:color w:val="000000"/>
        </w:rPr>
        <w:t>. The infusion was stopped 30 min before the end of the surgery. The operation proceeded uneventfully and lasted 225 min. The patient was then transferred to the general ward after observation in the postoperative care unit for 30 min. Approximately 7 h la</w:t>
      </w:r>
      <w:r>
        <w:rPr>
          <w:rFonts w:ascii="Book Antiqua" w:eastAsia="Book Antiqua" w:hAnsi="Book Antiqua" w:cs="Book Antiqua"/>
          <w:color w:val="000000"/>
        </w:rPr>
        <w:t>ter, after hyperbaric bupivacaine administration, the patient involuntarily lifted the left lower leg (Figure 1). Every two minutes, the patient’s left lower extremity involuntarily raised with hip flexion (Video). This symptom occurred without prior stimu</w:t>
      </w:r>
      <w:r>
        <w:rPr>
          <w:rFonts w:ascii="Book Antiqua" w:eastAsia="Book Antiqua" w:hAnsi="Book Antiqua" w:cs="Book Antiqua"/>
          <w:color w:val="000000"/>
        </w:rPr>
        <w:t xml:space="preserve">lation. </w:t>
      </w:r>
    </w:p>
    <w:p w14:paraId="04033B27" w14:textId="77777777" w:rsidR="00653ADE" w:rsidRDefault="00653ADE">
      <w:pPr>
        <w:spacing w:line="360" w:lineRule="auto"/>
        <w:jc w:val="both"/>
        <w:rPr>
          <w:rFonts w:ascii="Book Antiqua" w:hAnsi="Book Antiqua"/>
        </w:rPr>
      </w:pPr>
    </w:p>
    <w:p w14:paraId="0B00F7E0"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History of past illness</w:t>
      </w:r>
    </w:p>
    <w:p w14:paraId="3F320266"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The patient had no significant medical history, including neurologic disorders, seizures, or spinal or brain tumors. There was no glucose intolerance in the preoperative evaluation, as verified by an HbA1c of 5.66%.</w:t>
      </w:r>
    </w:p>
    <w:p w14:paraId="7C92DB77" w14:textId="77777777" w:rsidR="00653ADE" w:rsidRDefault="00653ADE">
      <w:pPr>
        <w:spacing w:line="360" w:lineRule="auto"/>
        <w:jc w:val="both"/>
        <w:rPr>
          <w:rFonts w:ascii="Book Antiqua" w:hAnsi="Book Antiqua"/>
        </w:rPr>
      </w:pPr>
    </w:p>
    <w:p w14:paraId="28FA7152"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Perso</w:t>
      </w:r>
      <w:r>
        <w:rPr>
          <w:rFonts w:ascii="Book Antiqua" w:eastAsia="Book Antiqua" w:hAnsi="Book Antiqua" w:cs="Book Antiqua"/>
          <w:b/>
          <w:i/>
          <w:color w:val="000000"/>
        </w:rPr>
        <w:t>nal and family history</w:t>
      </w:r>
    </w:p>
    <w:p w14:paraId="2ADA31D4"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The patient had no remarkable personal and family history.</w:t>
      </w:r>
    </w:p>
    <w:p w14:paraId="0FB66018" w14:textId="77777777" w:rsidR="00653ADE" w:rsidRDefault="00653ADE">
      <w:pPr>
        <w:spacing w:line="360" w:lineRule="auto"/>
        <w:jc w:val="both"/>
        <w:rPr>
          <w:rFonts w:ascii="Book Antiqua" w:hAnsi="Book Antiqua"/>
        </w:rPr>
      </w:pPr>
    </w:p>
    <w:p w14:paraId="62913688"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Physical examination</w:t>
      </w:r>
    </w:p>
    <w:p w14:paraId="77E5F9FC"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The patient was fully conscious and oriented, and his vital signs were normal. Sensations were same in both the extremities upon touching with </w:t>
      </w:r>
      <w:r>
        <w:rPr>
          <w:rFonts w:ascii="Book Antiqua" w:eastAsia="Book Antiqua" w:hAnsi="Book Antiqua" w:cs="Book Antiqua"/>
          <w:color w:val="000000"/>
        </w:rPr>
        <w:t xml:space="preserve">alcohol-soaked cotton balls. When asked to lift his legs against gravity, he could lift both the legs voluntary without any problems. The dorsalis pedis and posterior tibial arterial pulses were good </w:t>
      </w:r>
      <w:r>
        <w:rPr>
          <w:rFonts w:ascii="Book Antiqua" w:eastAsia="Book Antiqua" w:hAnsi="Book Antiqua" w:cs="Book Antiqua"/>
          <w:color w:val="000000"/>
        </w:rPr>
        <w:lastRenderedPageBreak/>
        <w:t>in both feet. The anal sphincter had normal strength, an</w:t>
      </w:r>
      <w:r>
        <w:rPr>
          <w:rFonts w:ascii="Book Antiqua" w:eastAsia="Book Antiqua" w:hAnsi="Book Antiqua" w:cs="Book Antiqua"/>
          <w:color w:val="000000"/>
        </w:rPr>
        <w:t>d the patient did not complain of headache or dizziness.</w:t>
      </w:r>
    </w:p>
    <w:p w14:paraId="4CB43F0B" w14:textId="77777777" w:rsidR="00653ADE" w:rsidRDefault="00653ADE">
      <w:pPr>
        <w:spacing w:line="360" w:lineRule="auto"/>
        <w:jc w:val="both"/>
        <w:rPr>
          <w:rFonts w:ascii="Book Antiqua" w:hAnsi="Book Antiqua"/>
        </w:rPr>
      </w:pPr>
    </w:p>
    <w:p w14:paraId="39E364A2"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3987A4F"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Postoperative serum electrolyte panel, complete blood count, and renal and hepatic function tests performed on the day of the surgery revealed normal results (Table 1). </w:t>
      </w:r>
    </w:p>
    <w:p w14:paraId="6B991245" w14:textId="77777777" w:rsidR="00653ADE" w:rsidRDefault="00653ADE">
      <w:pPr>
        <w:spacing w:line="360" w:lineRule="auto"/>
        <w:jc w:val="both"/>
        <w:rPr>
          <w:rFonts w:ascii="Book Antiqua" w:hAnsi="Book Antiqua"/>
        </w:rPr>
      </w:pPr>
    </w:p>
    <w:p w14:paraId="6A5EDEA5" w14:textId="77777777" w:rsidR="00653ADE" w:rsidRDefault="005C2E14">
      <w:pPr>
        <w:spacing w:line="360" w:lineRule="auto"/>
        <w:jc w:val="both"/>
        <w:rPr>
          <w:rFonts w:ascii="Book Antiqua" w:hAnsi="Book Antiqua"/>
        </w:rPr>
      </w:pPr>
      <w:r>
        <w:rPr>
          <w:rFonts w:ascii="Book Antiqua" w:eastAsia="Book Antiqua" w:hAnsi="Book Antiqua" w:cs="Book Antiqua"/>
          <w:b/>
          <w:i/>
          <w:color w:val="000000"/>
        </w:rPr>
        <w:t>Ima</w:t>
      </w:r>
      <w:r>
        <w:rPr>
          <w:rFonts w:ascii="Book Antiqua" w:eastAsia="Book Antiqua" w:hAnsi="Book Antiqua" w:cs="Book Antiqua"/>
          <w:b/>
          <w:i/>
          <w:color w:val="000000"/>
        </w:rPr>
        <w:t>ging examinations</w:t>
      </w:r>
    </w:p>
    <w:p w14:paraId="54904A44"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Plain radiographs of both feet were acquired before and after surgery, and no abnormalities were identified (Figure 2).</w:t>
      </w:r>
    </w:p>
    <w:p w14:paraId="3E7DE2E0" w14:textId="77777777" w:rsidR="00653ADE" w:rsidRDefault="00653ADE">
      <w:pPr>
        <w:spacing w:line="360" w:lineRule="auto"/>
        <w:jc w:val="both"/>
        <w:rPr>
          <w:rFonts w:ascii="Book Antiqua" w:hAnsi="Book Antiqua"/>
        </w:rPr>
      </w:pPr>
    </w:p>
    <w:p w14:paraId="7E7592D9"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F8F891D"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The patient was diagnosed with myoclonus following spinal anesthesia.</w:t>
      </w:r>
    </w:p>
    <w:p w14:paraId="408C0829" w14:textId="77777777" w:rsidR="00653ADE" w:rsidRDefault="00653ADE">
      <w:pPr>
        <w:spacing w:line="360" w:lineRule="auto"/>
        <w:jc w:val="both"/>
        <w:rPr>
          <w:rFonts w:ascii="Book Antiqua" w:hAnsi="Book Antiqua"/>
        </w:rPr>
      </w:pPr>
    </w:p>
    <w:p w14:paraId="5721D2A7"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479B2EA1"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After consultation w</w:t>
      </w:r>
      <w:r>
        <w:rPr>
          <w:rFonts w:ascii="Book Antiqua" w:eastAsia="Book Antiqua" w:hAnsi="Book Antiqua" w:cs="Book Antiqua"/>
          <w:color w:val="000000"/>
        </w:rPr>
        <w:t>ith a neurologist, it was confirmed that there were no abnormalities on neurologic examination. Moreover, since the frequency of the abnormal movements gradually decreased, we decided to only observe the symptoms, although brain computed tomography and mag</w:t>
      </w:r>
      <w:r>
        <w:rPr>
          <w:rFonts w:ascii="Book Antiqua" w:eastAsia="Book Antiqua" w:hAnsi="Book Antiqua" w:cs="Book Antiqua"/>
          <w:color w:val="000000"/>
        </w:rPr>
        <w:t>netic resonance imaging were advised in the event that the patient’s symptoms worsened. Clonazepam injection was planned in case of symptom recurrence, but it was not needed due to the improvement of symptoms.</w:t>
      </w:r>
    </w:p>
    <w:p w14:paraId="2758A7CA" w14:textId="77777777" w:rsidR="00653ADE" w:rsidRDefault="00653ADE">
      <w:pPr>
        <w:spacing w:line="360" w:lineRule="auto"/>
        <w:jc w:val="both"/>
        <w:rPr>
          <w:rFonts w:ascii="Book Antiqua" w:hAnsi="Book Antiqua"/>
        </w:rPr>
      </w:pPr>
    </w:p>
    <w:p w14:paraId="0F29A6EF"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BF5DB4A"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When the symptom </w:t>
      </w:r>
      <w:r>
        <w:rPr>
          <w:rFonts w:ascii="Book Antiqua" w:eastAsia="Book Antiqua" w:hAnsi="Book Antiqua" w:cs="Book Antiqua"/>
          <w:color w:val="000000"/>
        </w:rPr>
        <w:t>first appeared, the patient raised the left leg involuntarily every 2 min. Twelve hours after symptom onset, the number of leg lifts decreased to about once every three hours. The involuntary movements subsided substantially. Eventually, on postoperative d</w:t>
      </w:r>
      <w:r>
        <w:rPr>
          <w:rFonts w:ascii="Book Antiqua" w:eastAsia="Book Antiqua" w:hAnsi="Book Antiqua" w:cs="Book Antiqua"/>
          <w:color w:val="000000"/>
        </w:rPr>
        <w:t>ay 2, the symptom resolved completely.</w:t>
      </w:r>
    </w:p>
    <w:p w14:paraId="31EA9620" w14:textId="77777777" w:rsidR="00653ADE" w:rsidRDefault="00653ADE">
      <w:pPr>
        <w:spacing w:line="360" w:lineRule="auto"/>
        <w:jc w:val="both"/>
        <w:rPr>
          <w:rFonts w:ascii="Book Antiqua" w:hAnsi="Book Antiqua"/>
        </w:rPr>
      </w:pPr>
    </w:p>
    <w:p w14:paraId="0F8E2737"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B83176F"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lastRenderedPageBreak/>
        <w:t>In this report, involuntary movement of the left leg following spinal anesthesia with bupivacaine occurred in a patient undergoing metal implant removal surgery. The patient was a 54-year-old man with no o</w:t>
      </w:r>
      <w:r>
        <w:rPr>
          <w:rFonts w:ascii="Book Antiqua" w:eastAsia="Book Antiqua" w:hAnsi="Book Antiqua" w:cs="Book Antiqua"/>
          <w:color w:val="000000"/>
        </w:rPr>
        <w:t xml:space="preserve">ther medical history, including seizures. The involuntary movement subsided spontaneously and disappeared on postoperative day 2. </w:t>
      </w:r>
    </w:p>
    <w:p w14:paraId="4F26EED7"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In this case, the post-neuraxial blockade movement disorder was different from traditional myoclonus, which is described as a</w:t>
      </w:r>
      <w:r>
        <w:rPr>
          <w:rFonts w:ascii="Book Antiqua" w:eastAsia="Book Antiqua" w:hAnsi="Book Antiqua" w:cs="Book Antiqua"/>
          <w:color w:val="000000"/>
        </w:rPr>
        <w:t xml:space="preserve"> sudden muscle spasm, since it resembled a kicking motion. Furthermore, it only occurred in the left leg. There is no official name for anesthesia-related involuntary myoclonic behavior</w:t>
      </w:r>
      <w:r>
        <w:rPr>
          <w:rFonts w:ascii="Book Antiqua" w:eastAsia="Book Antiqua" w:hAnsi="Book Antiqua" w:cs="Book Antiqua"/>
          <w:color w:val="000000"/>
          <w:vertAlign w:val="superscript"/>
        </w:rPr>
        <w:t>[4]</w:t>
      </w:r>
      <w:r>
        <w:rPr>
          <w:rFonts w:ascii="Book Antiqua" w:eastAsia="Book Antiqua" w:hAnsi="Book Antiqua" w:cs="Book Antiqua"/>
          <w:color w:val="000000"/>
        </w:rPr>
        <w:t>. The symptoms that have been reported in previous studies are varie</w:t>
      </w:r>
      <w:r>
        <w:rPr>
          <w:rFonts w:ascii="Book Antiqua" w:eastAsia="Book Antiqua" w:hAnsi="Book Antiqua" w:cs="Book Antiqua"/>
          <w:color w:val="000000"/>
        </w:rPr>
        <w:t>d and atypical. Thus, to increase awareness of this atypical movement disorder caused by spinal anesthesia, we believe that it is essential to share our case features with the medical community. In this case, SM-NA occurred in a young man, unlike in previo</w:t>
      </w:r>
      <w:r>
        <w:rPr>
          <w:rFonts w:ascii="Book Antiqua" w:eastAsia="Book Antiqua" w:hAnsi="Book Antiqua" w:cs="Book Antiqua"/>
          <w:color w:val="000000"/>
        </w:rPr>
        <w:t>usly reported cases in which the patients were young women undergoing cesarean sections</w:t>
      </w:r>
      <w:r>
        <w:rPr>
          <w:rFonts w:ascii="Book Antiqua" w:eastAsia="Book Antiqua" w:hAnsi="Book Antiqua" w:cs="Book Antiqua"/>
          <w:color w:val="000000"/>
          <w:vertAlign w:val="superscript"/>
        </w:rPr>
        <w:t>[4,8,11]</w:t>
      </w:r>
      <w:r>
        <w:rPr>
          <w:rFonts w:ascii="Book Antiqua" w:eastAsia="Book Antiqua" w:hAnsi="Book Antiqua" w:cs="Book Antiqua"/>
          <w:color w:val="000000"/>
        </w:rPr>
        <w:t xml:space="preserve">. </w:t>
      </w:r>
    </w:p>
    <w:p w14:paraId="23A58F11"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The cause of SM-NA remains unclear, but it may occur after intrathecal administration of local anesthetics, analgesics, or contrast agents</w:t>
      </w:r>
      <w:r>
        <w:rPr>
          <w:rFonts w:ascii="Book Antiqua" w:eastAsia="Book Antiqua" w:hAnsi="Book Antiqua" w:cs="Book Antiqua"/>
          <w:color w:val="000000"/>
          <w:vertAlign w:val="superscript"/>
        </w:rPr>
        <w:t>[3]</w:t>
      </w:r>
      <w:r>
        <w:rPr>
          <w:rFonts w:ascii="Book Antiqua" w:eastAsia="Book Antiqua" w:hAnsi="Book Antiqua" w:cs="Book Antiqua"/>
          <w:color w:val="000000"/>
        </w:rPr>
        <w:t>. Intrathecally a</w:t>
      </w:r>
      <w:r>
        <w:rPr>
          <w:rFonts w:ascii="Book Antiqua" w:eastAsia="Book Antiqua" w:hAnsi="Book Antiqua" w:cs="Book Antiqua"/>
          <w:color w:val="000000"/>
        </w:rPr>
        <w:t>dministered drugs stimulate the spinal cord, which may increase the irritability of the alpha-motor neurons. In addition, epidural anesthesia has been shown to cause spinal myoclonus</w:t>
      </w:r>
      <w:r>
        <w:rPr>
          <w:rFonts w:ascii="Book Antiqua" w:eastAsia="Book Antiqua" w:hAnsi="Book Antiqua" w:cs="Book Antiqua"/>
          <w:color w:val="000000"/>
          <w:vertAlign w:val="superscript"/>
        </w:rPr>
        <w:t>[5,12,13]</w:t>
      </w:r>
      <w:r>
        <w:rPr>
          <w:rFonts w:ascii="Book Antiqua" w:eastAsia="Book Antiqua" w:hAnsi="Book Antiqua" w:cs="Book Antiqua"/>
          <w:color w:val="000000"/>
        </w:rPr>
        <w:t>. In previous articles, there was a presumption that myoclonus oc</w:t>
      </w:r>
      <w:r>
        <w:rPr>
          <w:rFonts w:ascii="Book Antiqua" w:eastAsia="Book Antiqua" w:hAnsi="Book Antiqua" w:cs="Book Antiqua"/>
          <w:color w:val="000000"/>
        </w:rPr>
        <w:t>curs due to the effects of the local anesthetics on the inhibitory neurons involved in the suprasegmental descending pathways</w:t>
      </w:r>
      <w:r>
        <w:rPr>
          <w:rFonts w:ascii="Book Antiqua" w:eastAsia="Book Antiqua" w:hAnsi="Book Antiqua" w:cs="Book Antiqua"/>
          <w:color w:val="000000"/>
          <w:vertAlign w:val="superscript"/>
        </w:rPr>
        <w:t>[11]</w:t>
      </w:r>
      <w:r>
        <w:rPr>
          <w:rFonts w:ascii="Book Antiqua" w:eastAsia="Book Antiqua" w:hAnsi="Book Antiqua" w:cs="Book Antiqua"/>
          <w:color w:val="000000"/>
        </w:rPr>
        <w:t>. Loss of inhibitory function of the spinal cord and hyperactivity of the anterior dorsal horn may be the cause of SM-NA</w:t>
      </w:r>
      <w:r>
        <w:rPr>
          <w:rFonts w:ascii="Book Antiqua" w:eastAsia="Book Antiqua" w:hAnsi="Book Antiqua" w:cs="Book Antiqua"/>
          <w:color w:val="000000"/>
          <w:vertAlign w:val="superscript"/>
        </w:rPr>
        <w:t>[13]</w:t>
      </w:r>
      <w:r>
        <w:rPr>
          <w:rFonts w:ascii="Book Antiqua" w:eastAsia="Book Antiqua" w:hAnsi="Book Antiqua" w:cs="Book Antiqua"/>
          <w:color w:val="000000"/>
        </w:rPr>
        <w:t>. I</w:t>
      </w:r>
      <w:r>
        <w:rPr>
          <w:rFonts w:ascii="Book Antiqua" w:eastAsia="Book Antiqua" w:hAnsi="Book Antiqua" w:cs="Book Antiqua"/>
          <w:color w:val="000000"/>
        </w:rPr>
        <w:t>n our case, the symptoms only occurred in the left leg. This suggests an uneven distribution of local anesthetics in the spinal cord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relationship between the patient’s posture and the effect of gravity on hyperbaric bupivacaine has not been fully </w:t>
      </w:r>
      <w:r>
        <w:rPr>
          <w:rFonts w:ascii="Book Antiqua" w:eastAsia="Book Antiqua" w:hAnsi="Book Antiqua" w:cs="Book Antiqua"/>
          <w:color w:val="000000"/>
        </w:rPr>
        <w:t>elucidated, and further research is needed.</w:t>
      </w:r>
    </w:p>
    <w:p w14:paraId="216E344D"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Diagnosing SM-NA is difficult because it is a very rare complication. It is essential to distinguish SM-NA from other, more serious problems that require immediate evaluation and treatment, such as epilepsy, elec</w:t>
      </w:r>
      <w:r>
        <w:rPr>
          <w:rFonts w:ascii="Book Antiqua" w:eastAsia="Book Antiqua" w:hAnsi="Book Antiqua" w:cs="Book Antiqua"/>
          <w:color w:val="000000"/>
        </w:rPr>
        <w:t xml:space="preserve">trolyte imbalance, tumor, or infection. </w:t>
      </w:r>
      <w:r>
        <w:rPr>
          <w:rFonts w:ascii="Book Antiqua" w:eastAsia="Book Antiqua" w:hAnsi="Book Antiqua" w:cs="Book Antiqua"/>
          <w:color w:val="000000"/>
        </w:rPr>
        <w:lastRenderedPageBreak/>
        <w:t>This patient’s medication history was also reviewed for the differential diagnosis of neuroleptic-induced extrapyramidal syndromes, although the pedaling movements are unusual in extrapyramidal syndromes</w:t>
      </w:r>
      <w:r>
        <w:rPr>
          <w:rFonts w:ascii="Book Antiqua" w:eastAsia="Book Antiqua" w:hAnsi="Book Antiqua" w:cs="Book Antiqua"/>
          <w:color w:val="000000"/>
          <w:vertAlign w:val="superscript"/>
        </w:rPr>
        <w:t>[8]</w:t>
      </w:r>
      <w:r>
        <w:rPr>
          <w:rFonts w:ascii="Book Antiqua" w:eastAsia="Book Antiqua" w:hAnsi="Book Antiqua" w:cs="Book Antiqua"/>
          <w:color w:val="000000"/>
        </w:rPr>
        <w:t>. Furtherm</w:t>
      </w:r>
      <w:r>
        <w:rPr>
          <w:rFonts w:ascii="Book Antiqua" w:eastAsia="Book Antiqua" w:hAnsi="Book Antiqua" w:cs="Book Antiqua"/>
          <w:color w:val="000000"/>
        </w:rPr>
        <w:t xml:space="preserve">ore, the patient had no history of use of antipsychotics, such as haloperidol and chlorpromazine. Additionally, we assessed whether the patient was receiving any secondary benefits (such as attention or encouragement), and it was confirmed that these were </w:t>
      </w:r>
      <w:r>
        <w:rPr>
          <w:rFonts w:ascii="Book Antiqua" w:eastAsia="Book Antiqua" w:hAnsi="Book Antiqua" w:cs="Book Antiqua"/>
          <w:color w:val="000000"/>
        </w:rPr>
        <w:t>not present.</w:t>
      </w:r>
    </w:p>
    <w:p w14:paraId="1BD93F7F"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SM-NA is self-limiting in most cases</w:t>
      </w:r>
      <w:r>
        <w:rPr>
          <w:rFonts w:ascii="Book Antiqua" w:eastAsia="Book Antiqua" w:hAnsi="Book Antiqua" w:cs="Book Antiqua"/>
          <w:color w:val="000000"/>
          <w:vertAlign w:val="superscript"/>
        </w:rPr>
        <w:t>[4]</w:t>
      </w:r>
      <w:r>
        <w:rPr>
          <w:rFonts w:ascii="Book Antiqua" w:eastAsia="Book Antiqua" w:hAnsi="Book Antiqua" w:cs="Book Antiqua"/>
          <w:color w:val="000000"/>
        </w:rPr>
        <w:t>. It is possible that the disappearance of myoclonus was consistent with the loss of the local anesthetic effect</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diseases requiring emergent treatments should be identified first. Exclusion</w:t>
      </w:r>
      <w:r>
        <w:rPr>
          <w:rFonts w:ascii="Book Antiqua" w:eastAsia="Book Antiqua" w:hAnsi="Book Antiqua" w:cs="Book Antiqua"/>
          <w:color w:val="000000"/>
        </w:rPr>
        <w:t xml:space="preserve"> of such diseases may avoid the need for expensive or invasive evaluations. There may be no useful examinations to detect SM-NA because the results of the electrophysiological examination, radiologic imaging tests, electroencephalogram as well as other tes</w:t>
      </w:r>
      <w:r>
        <w:rPr>
          <w:rFonts w:ascii="Book Antiqua" w:eastAsia="Book Antiqua" w:hAnsi="Book Antiqua" w:cs="Book Antiqua"/>
          <w:color w:val="000000"/>
        </w:rPr>
        <w:t>ts revealed no abnormal findings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865B696"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There is no specific treatment for SM-NA. Some reports suggest that benzodiazepine is effective for the rapid suppression of SM-NA</w:t>
      </w:r>
      <w:r>
        <w:rPr>
          <w:rFonts w:ascii="Book Antiqua" w:eastAsia="Book Antiqua" w:hAnsi="Book Antiqua" w:cs="Book Antiqua"/>
          <w:color w:val="000000"/>
          <w:vertAlign w:val="superscript"/>
        </w:rPr>
        <w:t>[7]</w:t>
      </w:r>
      <w:r>
        <w:rPr>
          <w:rFonts w:ascii="Book Antiqua" w:eastAsia="Book Antiqua" w:hAnsi="Book Antiqua" w:cs="Book Antiqua"/>
          <w:color w:val="000000"/>
        </w:rPr>
        <w:t>. For cases in which the patient’s symptoms are very severe, benzodiazepine therapy co</w:t>
      </w:r>
      <w:r>
        <w:rPr>
          <w:rFonts w:ascii="Book Antiqua" w:eastAsia="Book Antiqua" w:hAnsi="Book Antiqua" w:cs="Book Antiqua"/>
          <w:color w:val="000000"/>
        </w:rPr>
        <w:t xml:space="preserve">uld be considered. </w:t>
      </w:r>
    </w:p>
    <w:p w14:paraId="711A9552" w14:textId="77777777" w:rsidR="00653ADE" w:rsidRDefault="005C2E14">
      <w:pPr>
        <w:spacing w:line="360" w:lineRule="auto"/>
        <w:ind w:firstLineChars="100" w:firstLine="240"/>
        <w:jc w:val="both"/>
        <w:rPr>
          <w:rFonts w:ascii="Book Antiqua" w:hAnsi="Book Antiqua"/>
        </w:rPr>
      </w:pPr>
      <w:r>
        <w:rPr>
          <w:rFonts w:ascii="Book Antiqua" w:eastAsia="Book Antiqua" w:hAnsi="Book Antiqua" w:cs="Book Antiqua"/>
          <w:color w:val="000000"/>
        </w:rPr>
        <w:t>In this case, unlike in other reported cases, the onset of symptoms was slow</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it was difficult to determine whether this symptom was related to spinal anesthesia. It was speculated that one of the causes of the delayed man</w:t>
      </w:r>
      <w:r>
        <w:rPr>
          <w:rFonts w:ascii="Book Antiqua" w:eastAsia="Book Antiqua" w:hAnsi="Book Antiqua" w:cs="Book Antiqua"/>
          <w:color w:val="000000"/>
        </w:rPr>
        <w:t>ifestation was dexmedetomidine. Dexmedetomidine infusion was started after the injection of bupivacaine and immediately after the sensory block check, and it was stopped 30 min before the end of surgery. Dexmedetomidine has been shown to prevent etomidate-</w:t>
      </w:r>
      <w:r>
        <w:rPr>
          <w:rFonts w:ascii="Book Antiqua" w:eastAsia="Book Antiqua" w:hAnsi="Book Antiqua" w:cs="Book Antiqua"/>
          <w:color w:val="000000"/>
        </w:rPr>
        <w:t>induced myoclonus in previous studies</w:t>
      </w:r>
      <w:r>
        <w:rPr>
          <w:rFonts w:ascii="Book Antiqua" w:eastAsia="Book Antiqua" w:hAnsi="Book Antiqua" w:cs="Book Antiqua"/>
          <w:color w:val="000000"/>
          <w:vertAlign w:val="superscript"/>
        </w:rPr>
        <w:t>[14]</w:t>
      </w:r>
      <w:r>
        <w:rPr>
          <w:rFonts w:ascii="Book Antiqua" w:eastAsia="Book Antiqua" w:hAnsi="Book Antiqua" w:cs="Book Antiqua"/>
          <w:color w:val="000000"/>
        </w:rPr>
        <w:t>. Considering this observation, it is possible that dexmedetomidine delayed the onset of the symptoms.</w:t>
      </w:r>
    </w:p>
    <w:p w14:paraId="23DF5C4F" w14:textId="77777777" w:rsidR="00653ADE" w:rsidRDefault="00653ADE">
      <w:pPr>
        <w:spacing w:line="360" w:lineRule="auto"/>
        <w:ind w:firstLine="240"/>
        <w:jc w:val="both"/>
        <w:rPr>
          <w:rFonts w:ascii="Book Antiqua" w:hAnsi="Book Antiqua"/>
        </w:rPr>
      </w:pPr>
    </w:p>
    <w:p w14:paraId="4AE4FD5E" w14:textId="77777777" w:rsidR="00653ADE" w:rsidRDefault="005C2E1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DD8E19B"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 xml:space="preserve">In summary, development of myoclonus following spinal anesthesia is an extremely rare complication; </w:t>
      </w:r>
      <w:r>
        <w:rPr>
          <w:rFonts w:ascii="Book Antiqua" w:eastAsia="Book Antiqua" w:hAnsi="Book Antiqua" w:cs="Book Antiqua"/>
          <w:color w:val="000000"/>
        </w:rPr>
        <w:t xml:space="preserve">however, if it occurs, other diseases should be excluded before establishing a diagnosis of SM-NA. The involuntary movements of SM-NA have been </w:t>
      </w:r>
      <w:r>
        <w:rPr>
          <w:rFonts w:ascii="Book Antiqua" w:eastAsia="Book Antiqua" w:hAnsi="Book Antiqua" w:cs="Book Antiqua"/>
          <w:color w:val="000000"/>
        </w:rPr>
        <w:lastRenderedPageBreak/>
        <w:t>shown to spontaneously disappear in many cases. Therefore, if SM-NA is suspected, it may be better to monitor th</w:t>
      </w:r>
      <w:r>
        <w:rPr>
          <w:rFonts w:ascii="Book Antiqua" w:eastAsia="Book Antiqua" w:hAnsi="Book Antiqua" w:cs="Book Antiqua"/>
          <w:color w:val="000000"/>
        </w:rPr>
        <w:t>e progress before conducting additional examinations, such as electrophysiological tests and electroencephalograms.</w:t>
      </w:r>
    </w:p>
    <w:p w14:paraId="1453C4B6" w14:textId="77777777" w:rsidR="00653ADE" w:rsidRDefault="00653ADE">
      <w:pPr>
        <w:spacing w:line="360" w:lineRule="auto"/>
        <w:jc w:val="both"/>
        <w:rPr>
          <w:rFonts w:ascii="Book Antiqua" w:hAnsi="Book Antiqua"/>
        </w:rPr>
      </w:pPr>
    </w:p>
    <w:p w14:paraId="6CAE45F1"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REFERENCES</w:t>
      </w:r>
    </w:p>
    <w:p w14:paraId="74BE27DB" w14:textId="77777777" w:rsidR="00653ADE" w:rsidRDefault="005C2E14">
      <w:pPr>
        <w:spacing w:line="360" w:lineRule="auto"/>
        <w:jc w:val="both"/>
        <w:rPr>
          <w:rFonts w:ascii="Book Antiqua" w:hAnsi="Book Antiqua"/>
        </w:rPr>
      </w:pPr>
      <w:bookmarkStart w:id="3" w:name="OLE_LINK1"/>
      <w:r>
        <w:rPr>
          <w:rFonts w:ascii="Book Antiqua" w:hAnsi="Book Antiqua"/>
        </w:rPr>
        <w:t xml:space="preserve">1 </w:t>
      </w:r>
      <w:r>
        <w:rPr>
          <w:rFonts w:ascii="Book Antiqua" w:hAnsi="Book Antiqua"/>
          <w:b/>
          <w:bCs/>
        </w:rPr>
        <w:t>Lee JH,</w:t>
      </w:r>
      <w:r>
        <w:rPr>
          <w:rFonts w:ascii="Book Antiqua" w:hAnsi="Book Antiqua"/>
        </w:rPr>
        <w:t xml:space="preserve"> Yoon DH, Heo BH. Incidence of newly developed postoperative low back pain with median vs paramedian approach for spinal anesthesia. </w:t>
      </w:r>
      <w:r>
        <w:rPr>
          <w:rFonts w:ascii="Book Antiqua" w:hAnsi="Book Antiqua"/>
          <w:i/>
          <w:iCs/>
        </w:rPr>
        <w:t xml:space="preserve">Korean J Anesthesiol </w:t>
      </w:r>
      <w:r>
        <w:rPr>
          <w:rFonts w:ascii="Book Antiqua" w:hAnsi="Book Antiqua"/>
        </w:rPr>
        <w:t xml:space="preserve">2020; </w:t>
      </w:r>
      <w:r>
        <w:rPr>
          <w:rFonts w:ascii="Book Antiqua" w:hAnsi="Book Antiqua"/>
          <w:b/>
          <w:bCs/>
        </w:rPr>
        <w:t>73</w:t>
      </w:r>
      <w:r>
        <w:rPr>
          <w:rFonts w:ascii="Book Antiqua" w:hAnsi="Book Antiqua"/>
        </w:rPr>
        <w:t>: 518-524 [PMID: 31906607 DOI: 10.4097/kja.19409]</w:t>
      </w:r>
    </w:p>
    <w:p w14:paraId="3E0BFFC2" w14:textId="77777777" w:rsidR="00653ADE" w:rsidRDefault="005C2E14">
      <w:pPr>
        <w:spacing w:line="360" w:lineRule="auto"/>
        <w:jc w:val="both"/>
        <w:rPr>
          <w:rFonts w:ascii="Book Antiqua" w:hAnsi="Book Antiqua"/>
        </w:rPr>
      </w:pPr>
      <w:r>
        <w:rPr>
          <w:rFonts w:ascii="Book Antiqua" w:hAnsi="Book Antiqua"/>
        </w:rPr>
        <w:t xml:space="preserve">2 </w:t>
      </w:r>
      <w:r>
        <w:rPr>
          <w:rFonts w:ascii="Book Antiqua" w:hAnsi="Book Antiqua"/>
          <w:b/>
          <w:bCs/>
        </w:rPr>
        <w:t>De Tommaso O</w:t>
      </w:r>
      <w:r>
        <w:rPr>
          <w:rFonts w:ascii="Book Antiqua" w:hAnsi="Book Antiqua"/>
        </w:rPr>
        <w:t xml:space="preserve">, Caporuscio A, Tagariello V. </w:t>
      </w:r>
      <w:r>
        <w:rPr>
          <w:rFonts w:ascii="Book Antiqua" w:hAnsi="Book Antiqua"/>
        </w:rPr>
        <w:t xml:space="preserve">Neurological complications following central neuraxial blocks: are there predictive factors? </w:t>
      </w:r>
      <w:r>
        <w:rPr>
          <w:rFonts w:ascii="Book Antiqua" w:hAnsi="Book Antiqua"/>
          <w:i/>
          <w:iCs/>
        </w:rPr>
        <w:t>Eur J Anaesthesiol</w:t>
      </w:r>
      <w:r>
        <w:rPr>
          <w:rFonts w:ascii="Book Antiqua" w:hAnsi="Book Antiqua"/>
        </w:rPr>
        <w:t xml:space="preserve"> 2002; </w:t>
      </w:r>
      <w:r>
        <w:rPr>
          <w:rFonts w:ascii="Book Antiqua" w:hAnsi="Book Antiqua"/>
          <w:b/>
          <w:bCs/>
        </w:rPr>
        <w:t>19</w:t>
      </w:r>
      <w:r>
        <w:rPr>
          <w:rFonts w:ascii="Book Antiqua" w:hAnsi="Book Antiqua"/>
        </w:rPr>
        <w:t>: 705-716 [PMID: 12463382 DOI: 10.1017/s0265021502001163]</w:t>
      </w:r>
    </w:p>
    <w:p w14:paraId="6D5F9169" w14:textId="77777777" w:rsidR="00653ADE" w:rsidRDefault="005C2E14">
      <w:pPr>
        <w:spacing w:line="360" w:lineRule="auto"/>
        <w:jc w:val="both"/>
        <w:rPr>
          <w:rFonts w:ascii="Book Antiqua" w:hAnsi="Book Antiqua"/>
        </w:rPr>
      </w:pPr>
      <w:r>
        <w:rPr>
          <w:rFonts w:ascii="Book Antiqua" w:hAnsi="Book Antiqua"/>
        </w:rPr>
        <w:t xml:space="preserve">3 </w:t>
      </w:r>
      <w:r>
        <w:rPr>
          <w:rFonts w:ascii="Book Antiqua" w:hAnsi="Book Antiqua"/>
          <w:b/>
          <w:bCs/>
        </w:rPr>
        <w:t>Alfa JA</w:t>
      </w:r>
      <w:r>
        <w:rPr>
          <w:rFonts w:ascii="Book Antiqua" w:hAnsi="Book Antiqua"/>
        </w:rPr>
        <w:t xml:space="preserve">, Bamgbade OA. Acute myoclonus following spinal anaesthesia. </w:t>
      </w:r>
      <w:r>
        <w:rPr>
          <w:rFonts w:ascii="Book Antiqua" w:hAnsi="Book Antiqua"/>
          <w:i/>
          <w:iCs/>
        </w:rPr>
        <w:t>Eur J An</w:t>
      </w:r>
      <w:r>
        <w:rPr>
          <w:rFonts w:ascii="Book Antiqua" w:hAnsi="Book Antiqua"/>
          <w:i/>
          <w:iCs/>
        </w:rPr>
        <w:t>aesthesiol</w:t>
      </w:r>
      <w:r>
        <w:rPr>
          <w:rFonts w:ascii="Book Antiqua" w:hAnsi="Book Antiqua"/>
        </w:rPr>
        <w:t xml:space="preserve"> 2008; </w:t>
      </w:r>
      <w:r>
        <w:rPr>
          <w:rFonts w:ascii="Book Antiqua" w:hAnsi="Book Antiqua"/>
          <w:b/>
          <w:bCs/>
        </w:rPr>
        <w:t>25</w:t>
      </w:r>
      <w:r>
        <w:rPr>
          <w:rFonts w:ascii="Book Antiqua" w:hAnsi="Book Antiqua"/>
        </w:rPr>
        <w:t>: 256-257 [PMID: 18226283 DOI: 10.1017/S0265021507002578]</w:t>
      </w:r>
    </w:p>
    <w:p w14:paraId="065A647B" w14:textId="77777777" w:rsidR="00653ADE" w:rsidRDefault="005C2E14">
      <w:pPr>
        <w:spacing w:line="360" w:lineRule="auto"/>
        <w:jc w:val="both"/>
        <w:rPr>
          <w:rFonts w:ascii="Book Antiqua" w:hAnsi="Book Antiqua"/>
        </w:rPr>
      </w:pPr>
      <w:r>
        <w:rPr>
          <w:rFonts w:ascii="Book Antiqua" w:hAnsi="Book Antiqua"/>
        </w:rPr>
        <w:t xml:space="preserve">4 </w:t>
      </w:r>
      <w:r>
        <w:rPr>
          <w:rFonts w:ascii="Book Antiqua" w:hAnsi="Book Antiqua"/>
          <w:b/>
          <w:bCs/>
        </w:rPr>
        <w:t>Shiratori T</w:t>
      </w:r>
      <w:r>
        <w:rPr>
          <w:rFonts w:ascii="Book Antiqua" w:hAnsi="Book Antiqua"/>
        </w:rPr>
        <w:t xml:space="preserve">, Hotta K, Satoh M. Spinal myoclonus following neuraxial anesthesia: a literature review. </w:t>
      </w:r>
      <w:r>
        <w:rPr>
          <w:rFonts w:ascii="Book Antiqua" w:hAnsi="Book Antiqua"/>
          <w:i/>
          <w:iCs/>
        </w:rPr>
        <w:t>J Anesth</w:t>
      </w:r>
      <w:r>
        <w:rPr>
          <w:rFonts w:ascii="Book Antiqua" w:hAnsi="Book Antiqua"/>
        </w:rPr>
        <w:t xml:space="preserve"> 2019; </w:t>
      </w:r>
      <w:r>
        <w:rPr>
          <w:rFonts w:ascii="Book Antiqua" w:hAnsi="Book Antiqua"/>
          <w:b/>
          <w:bCs/>
        </w:rPr>
        <w:t>33</w:t>
      </w:r>
      <w:r>
        <w:rPr>
          <w:rFonts w:ascii="Book Antiqua" w:hAnsi="Book Antiqua"/>
        </w:rPr>
        <w:t>: 140-147 [PMID: 30613902 DOI: 10.1007/s00540-018-02607-z]</w:t>
      </w:r>
    </w:p>
    <w:p w14:paraId="54CD758F" w14:textId="77777777" w:rsidR="00653ADE" w:rsidRDefault="005C2E14">
      <w:pPr>
        <w:spacing w:line="360" w:lineRule="auto"/>
        <w:jc w:val="both"/>
        <w:rPr>
          <w:rFonts w:ascii="Book Antiqua" w:hAnsi="Book Antiqua"/>
        </w:rPr>
      </w:pPr>
      <w:r>
        <w:rPr>
          <w:rFonts w:ascii="Book Antiqua" w:hAnsi="Book Antiqua"/>
        </w:rPr>
        <w:t xml:space="preserve">5 </w:t>
      </w:r>
      <w:r>
        <w:rPr>
          <w:rFonts w:ascii="Book Antiqua" w:hAnsi="Book Antiqua"/>
          <w:b/>
          <w:bCs/>
        </w:rPr>
        <w:t>Kang HY</w:t>
      </w:r>
      <w:r>
        <w:rPr>
          <w:rFonts w:ascii="Book Antiqua" w:hAnsi="Book Antiqua"/>
        </w:rPr>
        <w:t xml:space="preserve">, Lee SW, Hong EP, Sim YH, Lee SM, Park SW, Kang JM. Myoclonus-like involuntary movements following cesarean delivery epidural anesthesia. </w:t>
      </w:r>
      <w:r>
        <w:rPr>
          <w:rFonts w:ascii="Book Antiqua" w:hAnsi="Book Antiqua"/>
          <w:i/>
          <w:iCs/>
        </w:rPr>
        <w:t>J Clin Anesth</w:t>
      </w:r>
      <w:r>
        <w:rPr>
          <w:rFonts w:ascii="Book Antiqua" w:hAnsi="Book Antiqua"/>
        </w:rPr>
        <w:t xml:space="preserve"> 2016; </w:t>
      </w:r>
      <w:r>
        <w:rPr>
          <w:rFonts w:ascii="Book Antiqua" w:hAnsi="Book Antiqua"/>
          <w:b/>
          <w:bCs/>
        </w:rPr>
        <w:t>34</w:t>
      </w:r>
      <w:r>
        <w:rPr>
          <w:rFonts w:ascii="Book Antiqua" w:hAnsi="Book Antiqua"/>
        </w:rPr>
        <w:t>: 392-394 [PMID: 27687419 DOI: 10.1016/j.jclinane.2016.05.014]</w:t>
      </w:r>
    </w:p>
    <w:p w14:paraId="6923D599" w14:textId="77777777" w:rsidR="00653ADE" w:rsidRDefault="005C2E14">
      <w:pPr>
        <w:spacing w:line="360" w:lineRule="auto"/>
        <w:jc w:val="both"/>
        <w:rPr>
          <w:rFonts w:ascii="Book Antiqua" w:hAnsi="Book Antiqua"/>
        </w:rPr>
      </w:pPr>
      <w:r>
        <w:rPr>
          <w:rFonts w:ascii="Book Antiqua" w:hAnsi="Book Antiqua"/>
        </w:rPr>
        <w:t xml:space="preserve">6 </w:t>
      </w:r>
      <w:r>
        <w:rPr>
          <w:rFonts w:ascii="Book Antiqua" w:hAnsi="Book Antiqua"/>
          <w:b/>
          <w:bCs/>
        </w:rPr>
        <w:t>Bamgbade OA</w:t>
      </w:r>
      <w:r>
        <w:rPr>
          <w:rFonts w:ascii="Book Antiqua" w:hAnsi="Book Antiqua"/>
        </w:rPr>
        <w:t>, Alfa JA,</w:t>
      </w:r>
      <w:r>
        <w:rPr>
          <w:rFonts w:ascii="Book Antiqua" w:hAnsi="Book Antiqua"/>
        </w:rPr>
        <w:t xml:space="preserve"> Khalaf WM, Zuokumor AP. Central neuraxial anaesthesia presenting with spinal myoclonus in the perioperative period: a case series. </w:t>
      </w:r>
      <w:r>
        <w:rPr>
          <w:rFonts w:ascii="Book Antiqua" w:hAnsi="Book Antiqua"/>
          <w:i/>
          <w:iCs/>
        </w:rPr>
        <w:t>J Med Case Rep</w:t>
      </w:r>
      <w:r>
        <w:rPr>
          <w:rFonts w:ascii="Book Antiqua" w:hAnsi="Book Antiqua"/>
        </w:rPr>
        <w:t xml:space="preserve"> 2009; </w:t>
      </w:r>
      <w:r>
        <w:rPr>
          <w:rFonts w:ascii="Book Antiqua" w:hAnsi="Book Antiqua"/>
          <w:b/>
          <w:bCs/>
        </w:rPr>
        <w:t>3</w:t>
      </w:r>
      <w:r>
        <w:rPr>
          <w:rFonts w:ascii="Book Antiqua" w:hAnsi="Book Antiqua"/>
        </w:rPr>
        <w:t>: 7293 [PMID: 19830168 DOI: 10.4076/1752-1947-3-7293]</w:t>
      </w:r>
    </w:p>
    <w:p w14:paraId="1EC648F1" w14:textId="77777777" w:rsidR="00653ADE" w:rsidRDefault="005C2E14">
      <w:pPr>
        <w:spacing w:line="360" w:lineRule="auto"/>
        <w:jc w:val="both"/>
        <w:rPr>
          <w:rFonts w:ascii="Book Antiqua" w:hAnsi="Book Antiqua"/>
        </w:rPr>
      </w:pPr>
      <w:r>
        <w:rPr>
          <w:rFonts w:ascii="Book Antiqua" w:hAnsi="Book Antiqua"/>
        </w:rPr>
        <w:t xml:space="preserve">7 </w:t>
      </w:r>
      <w:r>
        <w:rPr>
          <w:rFonts w:ascii="Book Antiqua" w:hAnsi="Book Antiqua"/>
          <w:b/>
          <w:bCs/>
        </w:rPr>
        <w:t>Nakamoto T</w:t>
      </w:r>
      <w:r>
        <w:rPr>
          <w:rFonts w:ascii="Book Antiqua" w:hAnsi="Book Antiqua"/>
        </w:rPr>
        <w:t>, Hirota K, Iwai T, Shingu K. Comple</w:t>
      </w:r>
      <w:r>
        <w:rPr>
          <w:rFonts w:ascii="Book Antiqua" w:hAnsi="Book Antiqua"/>
        </w:rPr>
        <w:t xml:space="preserve">te resolution of myoclonus-like involuntary movements under subarachnoid block after midazolam administration in a patient undergoing cesarean section: a case report. </w:t>
      </w:r>
      <w:r>
        <w:rPr>
          <w:rFonts w:ascii="Book Antiqua" w:hAnsi="Book Antiqua"/>
          <w:i/>
          <w:iCs/>
        </w:rPr>
        <w:t>Korean J Anesthesiol</w:t>
      </w:r>
      <w:r>
        <w:rPr>
          <w:rFonts w:ascii="Book Antiqua" w:hAnsi="Book Antiqua"/>
        </w:rPr>
        <w:t xml:space="preserve"> 2015; </w:t>
      </w:r>
      <w:r>
        <w:rPr>
          <w:rFonts w:ascii="Book Antiqua" w:hAnsi="Book Antiqua"/>
          <w:b/>
          <w:bCs/>
        </w:rPr>
        <w:t>68</w:t>
      </w:r>
      <w:r>
        <w:rPr>
          <w:rFonts w:ascii="Book Antiqua" w:hAnsi="Book Antiqua"/>
        </w:rPr>
        <w:t>: 193-195 [PMID: 25844141 DOI: 10.4097/kjae.2015.68.2.193]</w:t>
      </w:r>
    </w:p>
    <w:p w14:paraId="37E910C8" w14:textId="77777777" w:rsidR="00653ADE" w:rsidRDefault="005C2E14">
      <w:pPr>
        <w:spacing w:line="360" w:lineRule="auto"/>
        <w:jc w:val="both"/>
        <w:rPr>
          <w:rFonts w:ascii="Book Antiqua" w:hAnsi="Book Antiqua"/>
        </w:rPr>
      </w:pPr>
      <w:r>
        <w:rPr>
          <w:rFonts w:ascii="Book Antiqua" w:hAnsi="Book Antiqua"/>
        </w:rPr>
        <w:t>8</w:t>
      </w:r>
      <w:r>
        <w:rPr>
          <w:rFonts w:ascii="Book Antiqua" w:hAnsi="Book Antiqua"/>
        </w:rPr>
        <w:t xml:space="preserve"> </w:t>
      </w:r>
      <w:r>
        <w:rPr>
          <w:rFonts w:ascii="Book Antiqua" w:hAnsi="Book Antiqua"/>
          <w:b/>
          <w:bCs/>
        </w:rPr>
        <w:t>Shiratori T</w:t>
      </w:r>
      <w:r>
        <w:rPr>
          <w:rFonts w:ascii="Book Antiqua" w:hAnsi="Book Antiqua"/>
        </w:rPr>
        <w:t xml:space="preserve">, Hotta K, Satoh M, Kondo N, Ikeda J, Sasao S. A case of spinal myoclonus in a patient with elective cesarean section. </w:t>
      </w:r>
      <w:r>
        <w:rPr>
          <w:rFonts w:ascii="Book Antiqua" w:hAnsi="Book Antiqua"/>
          <w:i/>
          <w:iCs/>
        </w:rPr>
        <w:t>JA Clin Rep</w:t>
      </w:r>
      <w:r>
        <w:rPr>
          <w:rFonts w:ascii="Book Antiqua" w:hAnsi="Book Antiqua"/>
        </w:rPr>
        <w:t xml:space="preserve"> 2018; </w:t>
      </w:r>
      <w:r>
        <w:rPr>
          <w:rFonts w:ascii="Book Antiqua" w:hAnsi="Book Antiqua"/>
          <w:b/>
          <w:bCs/>
        </w:rPr>
        <w:t>4</w:t>
      </w:r>
      <w:r>
        <w:rPr>
          <w:rFonts w:ascii="Book Antiqua" w:hAnsi="Book Antiqua"/>
        </w:rPr>
        <w:t>: 47 [PMID: 32025874 DOI: 10.1186/s40981-018-0182-1]</w:t>
      </w:r>
    </w:p>
    <w:p w14:paraId="03358A39" w14:textId="77777777" w:rsidR="00653ADE" w:rsidRDefault="005C2E14">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Lev A</w:t>
      </w:r>
      <w:r>
        <w:rPr>
          <w:rFonts w:ascii="Book Antiqua" w:hAnsi="Book Antiqua"/>
        </w:rPr>
        <w:t xml:space="preserve">, Korn-Lubezki I, Steiner-Birmanns B, Samueloff A, Gozal Y, Ioscovich A. Prolonged propriospinal myoclonus following spinal anesthesia for cesarean section: case report and literature review. </w:t>
      </w:r>
      <w:r>
        <w:rPr>
          <w:rFonts w:ascii="Book Antiqua" w:hAnsi="Book Antiqua"/>
          <w:i/>
          <w:iCs/>
        </w:rPr>
        <w:t>Arch Gynecol Obstet</w:t>
      </w:r>
      <w:r>
        <w:rPr>
          <w:rFonts w:ascii="Book Antiqua" w:hAnsi="Book Antiqua"/>
        </w:rPr>
        <w:t xml:space="preserve"> 2012; </w:t>
      </w:r>
      <w:r>
        <w:rPr>
          <w:rFonts w:ascii="Book Antiqua" w:hAnsi="Book Antiqua"/>
          <w:b/>
          <w:bCs/>
        </w:rPr>
        <w:t>286</w:t>
      </w:r>
      <w:r>
        <w:rPr>
          <w:rFonts w:ascii="Book Antiqua" w:hAnsi="Book Antiqua"/>
        </w:rPr>
        <w:t>: 271-272 [PMID: 22302138 DOI: 10.1</w:t>
      </w:r>
      <w:r>
        <w:rPr>
          <w:rFonts w:ascii="Book Antiqua" w:hAnsi="Book Antiqua"/>
        </w:rPr>
        <w:t>007/s00404-012-2246-1]</w:t>
      </w:r>
    </w:p>
    <w:p w14:paraId="38045DB6" w14:textId="77777777" w:rsidR="00653ADE" w:rsidRDefault="005C2E14">
      <w:pPr>
        <w:spacing w:line="360" w:lineRule="auto"/>
        <w:jc w:val="both"/>
        <w:rPr>
          <w:rFonts w:ascii="Book Antiqua" w:hAnsi="Book Antiqua"/>
        </w:rPr>
      </w:pPr>
      <w:r>
        <w:rPr>
          <w:rFonts w:ascii="Book Antiqua" w:hAnsi="Book Antiqua"/>
        </w:rPr>
        <w:t xml:space="preserve">10 </w:t>
      </w:r>
      <w:r>
        <w:rPr>
          <w:rFonts w:ascii="Book Antiqua" w:hAnsi="Book Antiqua"/>
          <w:b/>
          <w:bCs/>
        </w:rPr>
        <w:t>Budi V</w:t>
      </w:r>
      <w:r>
        <w:rPr>
          <w:rFonts w:ascii="Book Antiqua" w:hAnsi="Book Antiqua"/>
        </w:rPr>
        <w:t xml:space="preserve">, Manohar N, Fultambkar G, Srinivasaiah B. Propriospinal myoclonus following spinal anesthesia: A rare complication. </w:t>
      </w:r>
      <w:r>
        <w:rPr>
          <w:rFonts w:ascii="Book Antiqua" w:hAnsi="Book Antiqua"/>
          <w:i/>
          <w:iCs/>
        </w:rPr>
        <w:t>J Anaesthesiol Clin Pharmacol</w:t>
      </w:r>
      <w:r>
        <w:rPr>
          <w:rFonts w:ascii="Book Antiqua" w:hAnsi="Book Antiqua"/>
        </w:rPr>
        <w:t xml:space="preserve"> 2019; </w:t>
      </w:r>
      <w:r>
        <w:rPr>
          <w:rFonts w:ascii="Book Antiqua" w:hAnsi="Book Antiqua"/>
          <w:b/>
          <w:bCs/>
        </w:rPr>
        <w:t>35</w:t>
      </w:r>
      <w:r>
        <w:rPr>
          <w:rFonts w:ascii="Book Antiqua" w:hAnsi="Book Antiqua"/>
        </w:rPr>
        <w:t>: 273-274 [PMID: 31303724 DOI: 10.4103/joacp.JOACP_35_17]</w:t>
      </w:r>
    </w:p>
    <w:p w14:paraId="1A8BE105" w14:textId="77777777" w:rsidR="00653ADE" w:rsidRDefault="005C2E14">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Menezes </w:t>
      </w:r>
      <w:r>
        <w:rPr>
          <w:rFonts w:ascii="Book Antiqua" w:hAnsi="Book Antiqua"/>
          <w:b/>
          <w:bCs/>
        </w:rPr>
        <w:t>FV</w:t>
      </w:r>
      <w:r>
        <w:rPr>
          <w:rFonts w:ascii="Book Antiqua" w:hAnsi="Book Antiqua"/>
        </w:rPr>
        <w:t xml:space="preserve">, Venkat N. Spinal myoclonus following combined spinal-epidural anaesthesia for Caesarean section. </w:t>
      </w:r>
      <w:r>
        <w:rPr>
          <w:rFonts w:ascii="Book Antiqua" w:hAnsi="Book Antiqua"/>
          <w:i/>
          <w:iCs/>
        </w:rPr>
        <w:t>Anaesthesia</w:t>
      </w:r>
      <w:r>
        <w:rPr>
          <w:rFonts w:ascii="Book Antiqua" w:hAnsi="Book Antiqua"/>
        </w:rPr>
        <w:t xml:space="preserve"> 2006; </w:t>
      </w:r>
      <w:r>
        <w:rPr>
          <w:rFonts w:ascii="Book Antiqua" w:hAnsi="Book Antiqua"/>
          <w:b/>
          <w:bCs/>
        </w:rPr>
        <w:t>61</w:t>
      </w:r>
      <w:r>
        <w:rPr>
          <w:rFonts w:ascii="Book Antiqua" w:hAnsi="Book Antiqua"/>
        </w:rPr>
        <w:t>: 597-600 [PMID: 16704599 DOI: 10.1111/j.1365-2044.2006.04655.x]</w:t>
      </w:r>
    </w:p>
    <w:p w14:paraId="03443564" w14:textId="77777777" w:rsidR="00653ADE" w:rsidRDefault="005C2E14">
      <w:pPr>
        <w:spacing w:line="360" w:lineRule="auto"/>
        <w:jc w:val="both"/>
        <w:rPr>
          <w:rFonts w:ascii="Book Antiqua" w:hAnsi="Book Antiqua"/>
        </w:rPr>
      </w:pPr>
      <w:r>
        <w:rPr>
          <w:rFonts w:ascii="Book Antiqua" w:hAnsi="Book Antiqua"/>
        </w:rPr>
        <w:t xml:space="preserve">12 </w:t>
      </w:r>
      <w:r>
        <w:rPr>
          <w:rFonts w:ascii="Book Antiqua" w:hAnsi="Book Antiqua"/>
          <w:b/>
          <w:bCs/>
        </w:rPr>
        <w:t>Lee JJ</w:t>
      </w:r>
      <w:r>
        <w:rPr>
          <w:rFonts w:ascii="Book Antiqua" w:hAnsi="Book Antiqua"/>
        </w:rPr>
        <w:t xml:space="preserve">, Hwang SM, Lee JS, Jang JS, Lim SY, Hong SJ. Recurrent spinal myoclonus after two episodes of spinal anesthesia at a 1-year interval -A case report-. </w:t>
      </w:r>
      <w:r>
        <w:rPr>
          <w:rFonts w:ascii="Book Antiqua" w:hAnsi="Book Antiqua"/>
          <w:i/>
          <w:iCs/>
        </w:rPr>
        <w:t>Korean J Anesthesiol</w:t>
      </w:r>
      <w:r>
        <w:rPr>
          <w:rFonts w:ascii="Book Antiqua" w:hAnsi="Book Antiqua"/>
        </w:rPr>
        <w:t xml:space="preserve"> 2010; </w:t>
      </w:r>
      <w:r>
        <w:rPr>
          <w:rFonts w:ascii="Book Antiqua" w:hAnsi="Book Antiqua"/>
          <w:b/>
          <w:bCs/>
        </w:rPr>
        <w:t>59 Suppl</w:t>
      </w:r>
      <w:r>
        <w:rPr>
          <w:rFonts w:ascii="Book Antiqua" w:hAnsi="Book Antiqua"/>
        </w:rPr>
        <w:t>: S62-S64 [PMID: 21286463 DOI: 10.4097/kjae.2010.59.S.S62]</w:t>
      </w:r>
    </w:p>
    <w:p w14:paraId="6AC0F61F" w14:textId="77777777" w:rsidR="00653ADE" w:rsidRDefault="005C2E14">
      <w:pPr>
        <w:spacing w:line="360" w:lineRule="auto"/>
        <w:jc w:val="both"/>
        <w:rPr>
          <w:rFonts w:ascii="Book Antiqua" w:hAnsi="Book Antiqua"/>
        </w:rPr>
      </w:pPr>
      <w:r>
        <w:rPr>
          <w:rFonts w:ascii="Book Antiqua" w:hAnsi="Book Antiqua"/>
        </w:rPr>
        <w:t xml:space="preserve">13 </w:t>
      </w:r>
      <w:r>
        <w:rPr>
          <w:rFonts w:ascii="Book Antiqua" w:hAnsi="Book Antiqua"/>
          <w:b/>
          <w:bCs/>
        </w:rPr>
        <w:t>Martinez</w:t>
      </w:r>
      <w:r>
        <w:rPr>
          <w:rFonts w:ascii="Book Antiqua" w:hAnsi="Book Antiqua"/>
          <w:b/>
          <w:bCs/>
        </w:rPr>
        <w:t xml:space="preserve"> LP</w:t>
      </w:r>
      <w:r>
        <w:rPr>
          <w:rFonts w:ascii="Book Antiqua" w:hAnsi="Book Antiqua"/>
        </w:rPr>
        <w:t xml:space="preserve">, Koza M. Anesthesia-related periodic involuntary movement in an obstetrical patient for cesarean section under epidural anesthesia: a case report. </w:t>
      </w:r>
      <w:r>
        <w:rPr>
          <w:rFonts w:ascii="Book Antiqua" w:hAnsi="Book Antiqua"/>
          <w:i/>
          <w:iCs/>
        </w:rPr>
        <w:t>AANA J</w:t>
      </w:r>
      <w:r>
        <w:rPr>
          <w:rFonts w:ascii="Book Antiqua" w:hAnsi="Book Antiqua"/>
        </w:rPr>
        <w:t xml:space="preserve"> 1997; </w:t>
      </w:r>
      <w:r>
        <w:rPr>
          <w:rFonts w:ascii="Book Antiqua" w:hAnsi="Book Antiqua"/>
          <w:b/>
          <w:bCs/>
        </w:rPr>
        <w:t>65</w:t>
      </w:r>
      <w:r>
        <w:rPr>
          <w:rFonts w:ascii="Book Antiqua" w:hAnsi="Book Antiqua"/>
        </w:rPr>
        <w:t>: 150-153 [PMID: 9233109]</w:t>
      </w:r>
    </w:p>
    <w:p w14:paraId="07AEF755" w14:textId="77777777" w:rsidR="00653ADE" w:rsidRDefault="005C2E14">
      <w:pPr>
        <w:spacing w:line="360" w:lineRule="auto"/>
        <w:jc w:val="both"/>
        <w:rPr>
          <w:rFonts w:ascii="Book Antiqua" w:hAnsi="Book Antiqua"/>
        </w:rPr>
      </w:pPr>
      <w:r>
        <w:rPr>
          <w:rFonts w:ascii="Book Antiqua" w:hAnsi="Book Antiqua"/>
        </w:rPr>
        <w:t xml:space="preserve">14 </w:t>
      </w:r>
      <w:r>
        <w:rPr>
          <w:rFonts w:ascii="Book Antiqua" w:hAnsi="Book Antiqua"/>
          <w:b/>
          <w:bCs/>
        </w:rPr>
        <w:t>Du X</w:t>
      </w:r>
      <w:r>
        <w:rPr>
          <w:rFonts w:ascii="Book Antiqua" w:hAnsi="Book Antiqua"/>
        </w:rPr>
        <w:t>, Zhou C, Pan L, Li C. Effect of dexmedetomidine in preve</w:t>
      </w:r>
      <w:r>
        <w:rPr>
          <w:rFonts w:ascii="Book Antiqua" w:hAnsi="Book Antiqua"/>
        </w:rPr>
        <w:t xml:space="preserve">nting etomidate-induced myoclonus: a meta-analysis. </w:t>
      </w:r>
      <w:r>
        <w:rPr>
          <w:rFonts w:ascii="Book Antiqua" w:hAnsi="Book Antiqua"/>
          <w:i/>
          <w:iCs/>
        </w:rPr>
        <w:t>Drug Des Devel Ther</w:t>
      </w:r>
      <w:r>
        <w:rPr>
          <w:rFonts w:ascii="Book Antiqua" w:hAnsi="Book Antiqua"/>
        </w:rPr>
        <w:t xml:space="preserve"> 2017; </w:t>
      </w:r>
      <w:r>
        <w:rPr>
          <w:rFonts w:ascii="Book Antiqua" w:hAnsi="Book Antiqua"/>
          <w:b/>
          <w:bCs/>
        </w:rPr>
        <w:t>11</w:t>
      </w:r>
      <w:r>
        <w:rPr>
          <w:rFonts w:ascii="Book Antiqua" w:hAnsi="Book Antiqua"/>
        </w:rPr>
        <w:t>: 365-370 [PMID: 28223779 DOI: 10.2147/DDDT.S121979]</w:t>
      </w:r>
    </w:p>
    <w:bookmarkEnd w:id="3"/>
    <w:p w14:paraId="5E5329DB" w14:textId="77777777" w:rsidR="00653ADE" w:rsidRDefault="00653ADE">
      <w:pPr>
        <w:spacing w:line="360" w:lineRule="auto"/>
        <w:jc w:val="both"/>
        <w:rPr>
          <w:rFonts w:ascii="Book Antiqua" w:hAnsi="Book Antiqua"/>
        </w:rPr>
        <w:sectPr w:rsidR="00653ADE">
          <w:pgSz w:w="12240" w:h="15840"/>
          <w:pgMar w:top="1440" w:right="1440" w:bottom="1440" w:left="1440" w:header="720" w:footer="720" w:gutter="0"/>
          <w:cols w:space="720"/>
          <w:docGrid w:linePitch="360"/>
        </w:sectPr>
      </w:pPr>
    </w:p>
    <w:p w14:paraId="37799651"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888082"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w:t>
      </w:r>
      <w:r>
        <w:rPr>
          <w:rFonts w:ascii="Book Antiqua" w:eastAsia="Book Antiqua" w:hAnsi="Book Antiqua" w:cs="Book Antiqua"/>
          <w:color w:val="000000"/>
        </w:rPr>
        <w:t xml:space="preserve"> this report and any accompanying images.</w:t>
      </w:r>
    </w:p>
    <w:p w14:paraId="65B6E852" w14:textId="77777777" w:rsidR="00653ADE" w:rsidRDefault="00653ADE">
      <w:pPr>
        <w:spacing w:line="360" w:lineRule="auto"/>
        <w:jc w:val="both"/>
        <w:rPr>
          <w:rFonts w:ascii="Book Antiqua" w:hAnsi="Book Antiqua"/>
        </w:rPr>
      </w:pPr>
    </w:p>
    <w:p w14:paraId="34FB7D9D"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conflicts of interest.</w:t>
      </w:r>
    </w:p>
    <w:p w14:paraId="2F0EB220" w14:textId="77777777" w:rsidR="00653ADE" w:rsidRDefault="00653ADE">
      <w:pPr>
        <w:spacing w:line="360" w:lineRule="auto"/>
        <w:jc w:val="both"/>
        <w:rPr>
          <w:rFonts w:ascii="Book Antiqua" w:hAnsi="Book Antiqua"/>
        </w:rPr>
      </w:pPr>
    </w:p>
    <w:p w14:paraId="61D4310B"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w:t>
      </w:r>
      <w:r>
        <w:rPr>
          <w:rFonts w:ascii="Book Antiqua" w:eastAsia="Book Antiqua" w:hAnsi="Book Antiqua" w:cs="Book Antiqua"/>
          <w:color w:val="000000"/>
        </w:rPr>
        <w:t>evised according to the CARE Checklist (2016).</w:t>
      </w:r>
    </w:p>
    <w:p w14:paraId="246A4E69" w14:textId="77777777" w:rsidR="00653ADE" w:rsidRDefault="00653ADE">
      <w:pPr>
        <w:spacing w:line="360" w:lineRule="auto"/>
        <w:jc w:val="both"/>
        <w:rPr>
          <w:rFonts w:ascii="Book Antiqua" w:hAnsi="Book Antiqua"/>
        </w:rPr>
      </w:pPr>
    </w:p>
    <w:p w14:paraId="1D4EDCB3"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w:t>
      </w:r>
      <w:r>
        <w:rPr>
          <w:rFonts w:ascii="Book Antiqua" w:eastAsia="Book Antiqua" w:hAnsi="Book Antiqua" w:cs="Book Antiqua"/>
          <w:color w:val="000000"/>
        </w:rPr>
        <w:t xml:space="preserve"> NonCommercial (CC BY-NC 4.0) license, which permits others to distribute, remix, adapt, build upon this work non-commercially, and license their derivative works on different terms, provided the original work is properly cited and the use is non-commercia</w:t>
      </w:r>
      <w:r>
        <w:rPr>
          <w:rFonts w:ascii="Book Antiqua" w:eastAsia="Book Antiqua" w:hAnsi="Book Antiqua" w:cs="Book Antiqua"/>
          <w:color w:val="000000"/>
        </w:rPr>
        <w:t>l. See: http://creativecommons.org/Licenses/by-nc/4.0/</w:t>
      </w:r>
    </w:p>
    <w:p w14:paraId="75758E99" w14:textId="77777777" w:rsidR="00653ADE" w:rsidRDefault="00653ADE">
      <w:pPr>
        <w:spacing w:line="360" w:lineRule="auto"/>
        <w:jc w:val="both"/>
        <w:rPr>
          <w:rFonts w:ascii="Book Antiqua" w:hAnsi="Book Antiqua"/>
        </w:rPr>
      </w:pPr>
    </w:p>
    <w:p w14:paraId="39EC800A"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0F8CE3C" w14:textId="77777777" w:rsidR="00653ADE" w:rsidRDefault="00653ADE">
      <w:pPr>
        <w:spacing w:line="360" w:lineRule="auto"/>
        <w:jc w:val="both"/>
        <w:rPr>
          <w:rFonts w:ascii="Book Antiqua" w:hAnsi="Book Antiqua"/>
        </w:rPr>
      </w:pPr>
    </w:p>
    <w:p w14:paraId="240C9C08"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16, 2021</w:t>
      </w:r>
    </w:p>
    <w:p w14:paraId="12CA9648"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10, 2021</w:t>
      </w:r>
    </w:p>
    <w:p w14:paraId="00F4048D"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26, 2021</w:t>
      </w:r>
    </w:p>
    <w:p w14:paraId="2C5F5823" w14:textId="77777777" w:rsidR="00653ADE" w:rsidRDefault="00653ADE">
      <w:pPr>
        <w:spacing w:line="360" w:lineRule="auto"/>
        <w:jc w:val="both"/>
        <w:rPr>
          <w:rFonts w:ascii="Book Antiqua" w:hAnsi="Book Antiqua"/>
        </w:rPr>
      </w:pPr>
    </w:p>
    <w:p w14:paraId="60C4F20F"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741"/>
      <w:bookmarkStart w:id="5" w:name="OLE_LINK2005"/>
      <w:bookmarkStart w:id="6" w:name="OLE_LINK1988"/>
      <w:bookmarkStart w:id="7" w:name="OLE_LINK1739"/>
      <w:bookmarkStart w:id="8" w:name="OLE_LINK1890"/>
      <w:bookmarkStart w:id="9" w:name="OLE_LINK293"/>
      <w:bookmarkStart w:id="10" w:name="OLE_LINK1740"/>
      <w:bookmarkStart w:id="11" w:name="OLE_LINK1762"/>
      <w:bookmarkStart w:id="12" w:name="OLE_LINK1973"/>
      <w:r>
        <w:rPr>
          <w:rFonts w:ascii="Book Antiqua" w:eastAsia="微软雅黑" w:hAnsi="Book Antiqua" w:cs="宋体"/>
        </w:rPr>
        <w:t xml:space="preserve">Medicine, research and </w:t>
      </w:r>
      <w:r>
        <w:rPr>
          <w:rFonts w:ascii="Book Antiqua" w:eastAsia="微软雅黑" w:hAnsi="Book Antiqua" w:cs="宋体"/>
        </w:rPr>
        <w:t>experimental</w:t>
      </w:r>
      <w:bookmarkEnd w:id="4"/>
      <w:bookmarkEnd w:id="5"/>
      <w:bookmarkEnd w:id="6"/>
      <w:bookmarkEnd w:id="7"/>
      <w:bookmarkEnd w:id="8"/>
      <w:bookmarkEnd w:id="9"/>
      <w:bookmarkEnd w:id="10"/>
      <w:bookmarkEnd w:id="11"/>
      <w:bookmarkEnd w:id="12"/>
    </w:p>
    <w:p w14:paraId="7E870964"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1D80450E" w14:textId="77777777" w:rsidR="00653ADE" w:rsidRDefault="005C2E1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CE5EA26"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Grade A (Excellent): 0</w:t>
      </w:r>
    </w:p>
    <w:p w14:paraId="7B549941"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Grade B (Very good): B</w:t>
      </w:r>
    </w:p>
    <w:p w14:paraId="77885091"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lastRenderedPageBreak/>
        <w:t>Grade C (Good): 0</w:t>
      </w:r>
    </w:p>
    <w:p w14:paraId="4387B18D"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Grade D (Fair): 0</w:t>
      </w:r>
    </w:p>
    <w:p w14:paraId="47B35732" w14:textId="77777777" w:rsidR="00653ADE" w:rsidRDefault="005C2E14">
      <w:pPr>
        <w:spacing w:line="360" w:lineRule="auto"/>
        <w:jc w:val="both"/>
        <w:rPr>
          <w:rFonts w:ascii="Book Antiqua" w:hAnsi="Book Antiqua"/>
        </w:rPr>
      </w:pPr>
      <w:r>
        <w:rPr>
          <w:rFonts w:ascii="Book Antiqua" w:eastAsia="Book Antiqua" w:hAnsi="Book Antiqua" w:cs="Book Antiqua"/>
          <w:color w:val="000000"/>
        </w:rPr>
        <w:t>Grade E (Poor): 0</w:t>
      </w:r>
    </w:p>
    <w:p w14:paraId="4625055C" w14:textId="77777777" w:rsidR="00653ADE" w:rsidRDefault="00653ADE">
      <w:pPr>
        <w:spacing w:line="360" w:lineRule="auto"/>
        <w:jc w:val="both"/>
        <w:rPr>
          <w:rFonts w:ascii="Book Antiqua" w:eastAsia="Book Antiqua" w:hAnsi="Book Antiqua" w:cs="Book Antiqua"/>
          <w:b/>
          <w:color w:val="000000"/>
        </w:rPr>
      </w:pPr>
    </w:p>
    <w:p w14:paraId="154B7F5A" w14:textId="77777777" w:rsidR="00653ADE" w:rsidRDefault="005C2E14">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Hunie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0C616CE0" w14:textId="77777777" w:rsidR="00653ADE" w:rsidRDefault="00653ADE">
      <w:pPr>
        <w:spacing w:line="360" w:lineRule="auto"/>
        <w:jc w:val="both"/>
        <w:rPr>
          <w:rFonts w:ascii="Book Antiqua" w:eastAsia="宋体" w:hAnsi="Book Antiqua" w:cs="Book Antiqua"/>
          <w:bCs/>
          <w:color w:val="000000"/>
          <w:lang w:eastAsia="zh-CN"/>
        </w:rPr>
      </w:pPr>
    </w:p>
    <w:p w14:paraId="109A844D" w14:textId="77777777" w:rsidR="00653ADE" w:rsidRDefault="00653ADE">
      <w:pPr>
        <w:spacing w:line="360" w:lineRule="auto"/>
        <w:jc w:val="both"/>
        <w:rPr>
          <w:rFonts w:ascii="Book Antiqua" w:eastAsia="宋体" w:hAnsi="Book Antiqua" w:cs="Book Antiqua"/>
          <w:bCs/>
          <w:color w:val="000000"/>
          <w:lang w:eastAsia="zh-CN"/>
        </w:rPr>
        <w:sectPr w:rsidR="00653ADE">
          <w:pgSz w:w="12240" w:h="15840"/>
          <w:pgMar w:top="1440" w:right="1440" w:bottom="1440" w:left="1440" w:header="720" w:footer="720" w:gutter="0"/>
          <w:cols w:space="720"/>
          <w:docGrid w:linePitch="360"/>
        </w:sectPr>
      </w:pPr>
    </w:p>
    <w:p w14:paraId="12D236EC" w14:textId="77777777" w:rsidR="00653ADE" w:rsidRDefault="005C2E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591B103" w14:textId="77777777" w:rsidR="00653ADE" w:rsidRDefault="005C2E14">
      <w:pPr>
        <w:spacing w:line="360" w:lineRule="auto"/>
        <w:jc w:val="both"/>
        <w:rPr>
          <w:rFonts w:ascii="Book Antiqua" w:hAnsi="Book Antiqua"/>
        </w:rPr>
      </w:pPr>
      <w:r>
        <w:rPr>
          <w:rFonts w:ascii="Book Antiqua" w:hAnsi="Book Antiqua"/>
          <w:noProof/>
        </w:rPr>
        <w:drawing>
          <wp:inline distT="0" distB="0" distL="0" distR="0" wp14:anchorId="6ED5A622" wp14:editId="155349B6">
            <wp:extent cx="4035425" cy="219646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cstate="print">
                      <a:extLst>
                        <a:ext uri="{28A0092B-C50C-407E-A947-70E740481C1C}">
                          <a14:useLocalDpi xmlns:a14="http://schemas.microsoft.com/office/drawing/2010/main" val="0"/>
                        </a:ext>
                      </a:extLst>
                    </a:blip>
                    <a:srcRect b="12819"/>
                    <a:stretch>
                      <a:fillRect/>
                    </a:stretch>
                  </pic:blipFill>
                  <pic:spPr>
                    <a:xfrm>
                      <a:off x="0" y="0"/>
                      <a:ext cx="4036196" cy="2196941"/>
                    </a:xfrm>
                    <a:prstGeom prst="rect">
                      <a:avLst/>
                    </a:prstGeom>
                    <a:ln>
                      <a:noFill/>
                    </a:ln>
                  </pic:spPr>
                </pic:pic>
              </a:graphicData>
            </a:graphic>
          </wp:inline>
        </w:drawing>
      </w:r>
    </w:p>
    <w:p w14:paraId="6140792F" w14:textId="77777777" w:rsidR="00653ADE" w:rsidRDefault="005C2E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Image of the patient. </w:t>
      </w:r>
      <w:r>
        <w:rPr>
          <w:rFonts w:ascii="Book Antiqua" w:eastAsia="Book Antiqua" w:hAnsi="Book Antiqua" w:cs="Book Antiqua"/>
          <w:color w:val="000000"/>
        </w:rPr>
        <w:t>The patient showing abnormal movement in the left leg after surgery.</w:t>
      </w:r>
    </w:p>
    <w:p w14:paraId="0175E9A7" w14:textId="77777777" w:rsidR="00653ADE" w:rsidRDefault="00653ADE">
      <w:pPr>
        <w:spacing w:line="360" w:lineRule="auto"/>
        <w:jc w:val="both"/>
        <w:rPr>
          <w:rFonts w:ascii="Book Antiqua" w:eastAsia="Book Antiqua" w:hAnsi="Book Antiqua" w:cs="Book Antiqua"/>
          <w:color w:val="000000"/>
        </w:rPr>
        <w:sectPr w:rsidR="00653ADE">
          <w:pgSz w:w="12240" w:h="15840"/>
          <w:pgMar w:top="1440" w:right="1440" w:bottom="1440" w:left="1440" w:header="720" w:footer="720" w:gutter="0"/>
          <w:cols w:space="720"/>
          <w:docGrid w:linePitch="360"/>
        </w:sectPr>
      </w:pPr>
    </w:p>
    <w:p w14:paraId="23915C86" w14:textId="77777777" w:rsidR="00653ADE" w:rsidRDefault="005C2E14">
      <w:pPr>
        <w:spacing w:line="360" w:lineRule="auto"/>
        <w:jc w:val="both"/>
        <w:rPr>
          <w:rFonts w:ascii="Book Antiqua" w:hAnsi="Book Antiqua"/>
        </w:rPr>
      </w:pPr>
      <w:r>
        <w:rPr>
          <w:rFonts w:ascii="Book Antiqua" w:hAnsi="Book Antiqua"/>
          <w:noProof/>
        </w:rPr>
        <w:lastRenderedPageBreak/>
        <w:drawing>
          <wp:inline distT="0" distB="0" distL="0" distR="0" wp14:anchorId="373F7933" wp14:editId="19196834">
            <wp:extent cx="3596005" cy="2879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96387" cy="2880000"/>
                    </a:xfrm>
                    <a:prstGeom prst="rect">
                      <a:avLst/>
                    </a:prstGeom>
                    <a:noFill/>
                  </pic:spPr>
                </pic:pic>
              </a:graphicData>
            </a:graphic>
          </wp:inline>
        </w:drawing>
      </w:r>
    </w:p>
    <w:p w14:paraId="1A9744A5" w14:textId="77777777" w:rsidR="00653ADE" w:rsidRDefault="005C2E14">
      <w:pPr>
        <w:spacing w:line="360" w:lineRule="auto"/>
        <w:jc w:val="both"/>
        <w:rPr>
          <w:rFonts w:ascii="Book Antiqua" w:hAnsi="Book Antiqua"/>
        </w:rPr>
      </w:pPr>
      <w:r>
        <w:rPr>
          <w:rFonts w:ascii="Book Antiqua" w:eastAsia="Book Antiqua" w:hAnsi="Book Antiqua" w:cs="Book Antiqua"/>
          <w:b/>
          <w:bCs/>
          <w:color w:val="000000"/>
        </w:rPr>
        <w:t xml:space="preserve">Figure 2 Plain radiography of the left foot. </w:t>
      </w:r>
      <w:r>
        <w:rPr>
          <w:rFonts w:ascii="Book Antiqua" w:eastAsia="Book Antiqua" w:hAnsi="Book Antiqua" w:cs="Book Antiqua"/>
          <w:color w:val="000000"/>
        </w:rPr>
        <w:t xml:space="preserve">A: Radiograph of the left foot </w:t>
      </w:r>
      <w:r>
        <w:rPr>
          <w:rFonts w:ascii="Book Antiqua" w:eastAsia="Book Antiqua" w:hAnsi="Book Antiqua" w:cs="Book Antiqua"/>
          <w:color w:val="000000"/>
        </w:rPr>
        <w:t>acquired before removing the metal implant; B: Radiograph of the left foot acquired after removing the metal implant.</w:t>
      </w:r>
    </w:p>
    <w:p w14:paraId="38312341" w14:textId="77777777" w:rsidR="00653ADE" w:rsidRDefault="00653ADE">
      <w:pPr>
        <w:spacing w:line="360" w:lineRule="auto"/>
        <w:jc w:val="both"/>
        <w:rPr>
          <w:rFonts w:ascii="Book Antiqua" w:hAnsi="Book Antiqua"/>
        </w:rPr>
        <w:sectPr w:rsidR="00653ADE">
          <w:pgSz w:w="12240" w:h="15840"/>
          <w:pgMar w:top="1440" w:right="1440" w:bottom="1440" w:left="1440" w:header="720" w:footer="720" w:gutter="0"/>
          <w:cols w:space="720"/>
          <w:docGrid w:linePitch="360"/>
        </w:sectPr>
      </w:pPr>
    </w:p>
    <w:p w14:paraId="50224460" w14:textId="77777777" w:rsidR="00653ADE" w:rsidRDefault="005C2E14">
      <w:pPr>
        <w:spacing w:line="360" w:lineRule="auto"/>
        <w:jc w:val="both"/>
        <w:rPr>
          <w:rFonts w:ascii="Book Antiqua" w:hAnsi="Book Antiqua"/>
          <w:b/>
          <w:bCs/>
        </w:rPr>
      </w:pPr>
      <w:r>
        <w:rPr>
          <w:rFonts w:ascii="Book Antiqua" w:hAnsi="Book Antiqua"/>
          <w:b/>
          <w:bCs/>
        </w:rPr>
        <w:lastRenderedPageBreak/>
        <w:t>Table 1 Laboratory examinations of the patient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2147"/>
        <w:gridCol w:w="1196"/>
      </w:tblGrid>
      <w:tr w:rsidR="00653ADE" w14:paraId="7F2A0B29" w14:textId="77777777">
        <w:tc>
          <w:tcPr>
            <w:tcW w:w="3936" w:type="dxa"/>
            <w:tcBorders>
              <w:top w:val="single" w:sz="4" w:space="0" w:color="auto"/>
              <w:bottom w:val="single" w:sz="4" w:space="0" w:color="auto"/>
            </w:tcBorders>
          </w:tcPr>
          <w:p w14:paraId="4DA5EB3E" w14:textId="77777777" w:rsidR="00653ADE" w:rsidRDefault="005C2E14">
            <w:pPr>
              <w:spacing w:line="360" w:lineRule="auto"/>
              <w:rPr>
                <w:rFonts w:ascii="Book Antiqua" w:hAnsi="Book Antiqua"/>
                <w:b/>
                <w:bCs/>
                <w:lang w:eastAsia="ko-KR"/>
              </w:rPr>
            </w:pPr>
            <w:r>
              <w:rPr>
                <w:rFonts w:ascii="Book Antiqua" w:hAnsi="Book Antiqua"/>
                <w:b/>
                <w:bCs/>
                <w:lang w:eastAsia="ko-KR"/>
              </w:rPr>
              <w:t>Variable</w:t>
            </w:r>
          </w:p>
        </w:tc>
        <w:tc>
          <w:tcPr>
            <w:tcW w:w="1417" w:type="dxa"/>
            <w:tcBorders>
              <w:top w:val="single" w:sz="4" w:space="0" w:color="auto"/>
              <w:bottom w:val="single" w:sz="4" w:space="0" w:color="auto"/>
            </w:tcBorders>
          </w:tcPr>
          <w:p w14:paraId="713E9797" w14:textId="77777777" w:rsidR="00653ADE" w:rsidRDefault="005C2E14">
            <w:pPr>
              <w:spacing w:line="360" w:lineRule="auto"/>
              <w:rPr>
                <w:rFonts w:ascii="Book Antiqua" w:hAnsi="Book Antiqua"/>
                <w:b/>
                <w:bCs/>
                <w:lang w:eastAsia="ko-KR"/>
              </w:rPr>
            </w:pPr>
            <w:r>
              <w:rPr>
                <w:rFonts w:ascii="Book Antiqua" w:hAnsi="Book Antiqua"/>
                <w:b/>
                <w:bCs/>
                <w:lang w:eastAsia="ko-KR"/>
              </w:rPr>
              <w:t>Result</w:t>
            </w:r>
          </w:p>
        </w:tc>
        <w:tc>
          <w:tcPr>
            <w:tcW w:w="2147" w:type="dxa"/>
            <w:tcBorders>
              <w:top w:val="single" w:sz="4" w:space="0" w:color="auto"/>
              <w:bottom w:val="single" w:sz="4" w:space="0" w:color="auto"/>
            </w:tcBorders>
          </w:tcPr>
          <w:p w14:paraId="094A758B" w14:textId="77777777" w:rsidR="00653ADE" w:rsidRDefault="005C2E14">
            <w:pPr>
              <w:spacing w:line="360" w:lineRule="auto"/>
              <w:rPr>
                <w:rFonts w:ascii="Book Antiqua" w:hAnsi="Book Antiqua"/>
                <w:b/>
                <w:bCs/>
                <w:lang w:eastAsia="ko-KR"/>
              </w:rPr>
            </w:pPr>
            <w:r>
              <w:rPr>
                <w:rFonts w:ascii="Book Antiqua" w:hAnsi="Book Antiqua"/>
                <w:b/>
                <w:bCs/>
                <w:lang w:eastAsia="ko-KR"/>
              </w:rPr>
              <w:t>Reference</w:t>
            </w:r>
          </w:p>
        </w:tc>
        <w:tc>
          <w:tcPr>
            <w:tcW w:w="1196" w:type="dxa"/>
            <w:tcBorders>
              <w:top w:val="single" w:sz="4" w:space="0" w:color="auto"/>
              <w:bottom w:val="single" w:sz="4" w:space="0" w:color="auto"/>
            </w:tcBorders>
          </w:tcPr>
          <w:p w14:paraId="088C0860" w14:textId="77777777" w:rsidR="00653ADE" w:rsidRDefault="005C2E14">
            <w:pPr>
              <w:spacing w:line="360" w:lineRule="auto"/>
              <w:rPr>
                <w:rFonts w:ascii="Book Antiqua" w:hAnsi="Book Antiqua"/>
                <w:b/>
                <w:bCs/>
                <w:lang w:eastAsia="ko-KR"/>
              </w:rPr>
            </w:pPr>
            <w:r>
              <w:rPr>
                <w:rFonts w:ascii="Book Antiqua" w:hAnsi="Book Antiqua"/>
                <w:b/>
                <w:bCs/>
                <w:lang w:eastAsia="ko-KR"/>
              </w:rPr>
              <w:t>Unit</w:t>
            </w:r>
          </w:p>
        </w:tc>
      </w:tr>
      <w:tr w:rsidR="00653ADE" w14:paraId="08CD8788" w14:textId="77777777">
        <w:tc>
          <w:tcPr>
            <w:tcW w:w="3936" w:type="dxa"/>
            <w:tcBorders>
              <w:top w:val="single" w:sz="4" w:space="0" w:color="auto"/>
            </w:tcBorders>
          </w:tcPr>
          <w:p w14:paraId="0AFB1E42" w14:textId="77777777" w:rsidR="00653ADE" w:rsidRDefault="005C2E14">
            <w:pPr>
              <w:spacing w:line="360" w:lineRule="auto"/>
              <w:rPr>
                <w:rFonts w:ascii="Book Antiqua" w:hAnsi="Book Antiqua"/>
                <w:lang w:eastAsia="ko-KR"/>
              </w:rPr>
            </w:pPr>
            <w:r>
              <w:rPr>
                <w:rFonts w:ascii="Book Antiqua" w:hAnsi="Book Antiqua"/>
                <w:lang w:eastAsia="ko-KR"/>
              </w:rPr>
              <w:t>Hemoglobin</w:t>
            </w:r>
          </w:p>
        </w:tc>
        <w:tc>
          <w:tcPr>
            <w:tcW w:w="1417" w:type="dxa"/>
            <w:tcBorders>
              <w:top w:val="single" w:sz="4" w:space="0" w:color="auto"/>
            </w:tcBorders>
          </w:tcPr>
          <w:p w14:paraId="5EC46EEA" w14:textId="77777777" w:rsidR="00653ADE" w:rsidRDefault="005C2E14">
            <w:pPr>
              <w:spacing w:line="360" w:lineRule="auto"/>
              <w:rPr>
                <w:rFonts w:ascii="Book Antiqua" w:hAnsi="Book Antiqua"/>
                <w:lang w:eastAsia="ko-KR"/>
              </w:rPr>
            </w:pPr>
            <w:r>
              <w:rPr>
                <w:rFonts w:ascii="Book Antiqua" w:hAnsi="Book Antiqua"/>
                <w:lang w:eastAsia="ko-KR"/>
              </w:rPr>
              <w:t>14.6</w:t>
            </w:r>
          </w:p>
        </w:tc>
        <w:tc>
          <w:tcPr>
            <w:tcW w:w="2147" w:type="dxa"/>
            <w:tcBorders>
              <w:top w:val="single" w:sz="4" w:space="0" w:color="auto"/>
            </w:tcBorders>
          </w:tcPr>
          <w:p w14:paraId="30DFF5E7" w14:textId="77777777" w:rsidR="00653ADE" w:rsidRDefault="005C2E14">
            <w:pPr>
              <w:spacing w:line="360" w:lineRule="auto"/>
              <w:rPr>
                <w:rFonts w:ascii="Book Antiqua" w:hAnsi="Book Antiqua"/>
                <w:lang w:eastAsia="ko-KR"/>
              </w:rPr>
            </w:pPr>
            <w:r>
              <w:rPr>
                <w:rFonts w:ascii="Book Antiqua" w:hAnsi="Book Antiqua"/>
                <w:lang w:eastAsia="ko-KR"/>
              </w:rPr>
              <w:t>13.5-17.5</w:t>
            </w:r>
          </w:p>
        </w:tc>
        <w:tc>
          <w:tcPr>
            <w:tcW w:w="1196" w:type="dxa"/>
            <w:tcBorders>
              <w:top w:val="single" w:sz="4" w:space="0" w:color="auto"/>
            </w:tcBorders>
          </w:tcPr>
          <w:p w14:paraId="1AE9722A" w14:textId="77777777" w:rsidR="00653ADE" w:rsidRDefault="005C2E14">
            <w:pPr>
              <w:spacing w:line="360" w:lineRule="auto"/>
              <w:rPr>
                <w:rFonts w:ascii="Book Antiqua" w:hAnsi="Book Antiqua"/>
                <w:lang w:eastAsia="ko-KR"/>
              </w:rPr>
            </w:pPr>
            <w:r>
              <w:rPr>
                <w:rFonts w:ascii="Book Antiqua" w:hAnsi="Book Antiqua"/>
                <w:lang w:eastAsia="ko-KR"/>
              </w:rPr>
              <w:t>g/dL</w:t>
            </w:r>
          </w:p>
        </w:tc>
      </w:tr>
      <w:tr w:rsidR="00653ADE" w14:paraId="0465659A" w14:textId="77777777">
        <w:tc>
          <w:tcPr>
            <w:tcW w:w="3936" w:type="dxa"/>
          </w:tcPr>
          <w:p w14:paraId="4FD530D1" w14:textId="77777777" w:rsidR="00653ADE" w:rsidRDefault="005C2E14">
            <w:pPr>
              <w:spacing w:line="360" w:lineRule="auto"/>
              <w:rPr>
                <w:rFonts w:ascii="Book Antiqua" w:hAnsi="Book Antiqua"/>
                <w:lang w:eastAsia="ko-KR"/>
              </w:rPr>
            </w:pPr>
            <w:r>
              <w:rPr>
                <w:rFonts w:ascii="Book Antiqua" w:hAnsi="Book Antiqua"/>
                <w:lang w:eastAsia="ko-KR"/>
              </w:rPr>
              <w:t>Hematocrit</w:t>
            </w:r>
          </w:p>
        </w:tc>
        <w:tc>
          <w:tcPr>
            <w:tcW w:w="1417" w:type="dxa"/>
          </w:tcPr>
          <w:p w14:paraId="40BE958C" w14:textId="77777777" w:rsidR="00653ADE" w:rsidRDefault="005C2E14">
            <w:pPr>
              <w:spacing w:line="360" w:lineRule="auto"/>
              <w:rPr>
                <w:rFonts w:ascii="Book Antiqua" w:hAnsi="Book Antiqua"/>
                <w:lang w:eastAsia="ko-KR"/>
              </w:rPr>
            </w:pPr>
            <w:r>
              <w:rPr>
                <w:rFonts w:ascii="Book Antiqua" w:hAnsi="Book Antiqua"/>
                <w:lang w:eastAsia="ko-KR"/>
              </w:rPr>
              <w:t>43.5</w:t>
            </w:r>
          </w:p>
        </w:tc>
        <w:tc>
          <w:tcPr>
            <w:tcW w:w="2147" w:type="dxa"/>
          </w:tcPr>
          <w:p w14:paraId="6A7BEA9B" w14:textId="77777777" w:rsidR="00653ADE" w:rsidRDefault="005C2E14">
            <w:pPr>
              <w:spacing w:line="360" w:lineRule="auto"/>
              <w:rPr>
                <w:rFonts w:ascii="Book Antiqua" w:hAnsi="Book Antiqua"/>
                <w:lang w:eastAsia="ko-KR"/>
              </w:rPr>
            </w:pPr>
            <w:r>
              <w:rPr>
                <w:rFonts w:ascii="Book Antiqua" w:hAnsi="Book Antiqua"/>
                <w:lang w:eastAsia="ko-KR"/>
              </w:rPr>
              <w:t>39.0-53.0</w:t>
            </w:r>
          </w:p>
        </w:tc>
        <w:tc>
          <w:tcPr>
            <w:tcW w:w="1196" w:type="dxa"/>
          </w:tcPr>
          <w:p w14:paraId="2EE438D7" w14:textId="77777777" w:rsidR="00653ADE" w:rsidRDefault="005C2E14">
            <w:pPr>
              <w:spacing w:line="360" w:lineRule="auto"/>
              <w:rPr>
                <w:rFonts w:ascii="Book Antiqua" w:hAnsi="Book Antiqua"/>
                <w:lang w:eastAsia="ko-KR"/>
              </w:rPr>
            </w:pPr>
            <w:r>
              <w:rPr>
                <w:rFonts w:ascii="Book Antiqua" w:hAnsi="Book Antiqua"/>
                <w:lang w:eastAsia="ko-KR"/>
              </w:rPr>
              <w:t>%</w:t>
            </w:r>
          </w:p>
        </w:tc>
      </w:tr>
      <w:tr w:rsidR="00653ADE" w14:paraId="76635935" w14:textId="77777777">
        <w:tc>
          <w:tcPr>
            <w:tcW w:w="3936" w:type="dxa"/>
          </w:tcPr>
          <w:p w14:paraId="40F78216" w14:textId="77777777" w:rsidR="00653ADE" w:rsidRDefault="005C2E14">
            <w:pPr>
              <w:spacing w:line="360" w:lineRule="auto"/>
              <w:rPr>
                <w:rFonts w:ascii="Book Antiqua" w:hAnsi="Book Antiqua"/>
                <w:lang w:eastAsia="ko-KR"/>
              </w:rPr>
            </w:pPr>
            <w:r>
              <w:rPr>
                <w:rFonts w:ascii="Book Antiqua" w:hAnsi="Book Antiqua"/>
                <w:lang w:eastAsia="ko-KR"/>
              </w:rPr>
              <w:t>White blood cells</w:t>
            </w:r>
          </w:p>
        </w:tc>
        <w:tc>
          <w:tcPr>
            <w:tcW w:w="1417" w:type="dxa"/>
          </w:tcPr>
          <w:p w14:paraId="72466838" w14:textId="77777777" w:rsidR="00653ADE" w:rsidRDefault="005C2E14">
            <w:pPr>
              <w:spacing w:line="360" w:lineRule="auto"/>
              <w:rPr>
                <w:rFonts w:ascii="Book Antiqua" w:hAnsi="Book Antiqua"/>
                <w:lang w:eastAsia="ko-KR"/>
              </w:rPr>
            </w:pPr>
            <w:r>
              <w:rPr>
                <w:rFonts w:ascii="Book Antiqua" w:hAnsi="Book Antiqua"/>
                <w:lang w:eastAsia="ko-KR"/>
              </w:rPr>
              <w:t>6.48</w:t>
            </w:r>
          </w:p>
        </w:tc>
        <w:tc>
          <w:tcPr>
            <w:tcW w:w="2147" w:type="dxa"/>
          </w:tcPr>
          <w:p w14:paraId="12193192" w14:textId="77777777" w:rsidR="00653ADE" w:rsidRDefault="005C2E14">
            <w:pPr>
              <w:spacing w:line="360" w:lineRule="auto"/>
              <w:rPr>
                <w:rFonts w:ascii="Book Antiqua" w:hAnsi="Book Antiqua"/>
                <w:lang w:eastAsia="ko-KR"/>
              </w:rPr>
            </w:pPr>
            <w:r>
              <w:rPr>
                <w:rFonts w:ascii="Book Antiqua" w:hAnsi="Book Antiqua"/>
                <w:lang w:eastAsia="ko-KR"/>
              </w:rPr>
              <w:t>3.8-11.0</w:t>
            </w:r>
          </w:p>
        </w:tc>
        <w:tc>
          <w:tcPr>
            <w:tcW w:w="1196" w:type="dxa"/>
          </w:tcPr>
          <w:p w14:paraId="6B8F6004" w14:textId="77777777" w:rsidR="00653ADE" w:rsidRDefault="005C2E14">
            <w:pPr>
              <w:spacing w:line="360" w:lineRule="auto"/>
              <w:rPr>
                <w:rFonts w:ascii="Book Antiqua" w:hAnsi="Book Antiqua"/>
                <w:lang w:eastAsia="ko-KR"/>
              </w:rPr>
            </w:pPr>
            <w:r>
              <w:rPr>
                <w:rFonts w:ascii="Book Antiqua" w:hAnsi="Book Antiqua"/>
                <w:lang w:eastAsia="ko-KR"/>
              </w:rPr>
              <w:t>10</w:t>
            </w:r>
            <w:r>
              <w:rPr>
                <w:rFonts w:ascii="Book Antiqua" w:hAnsi="Book Antiqua"/>
                <w:vertAlign w:val="superscript"/>
                <w:lang w:eastAsia="ko-KR"/>
              </w:rPr>
              <w:t>3</w:t>
            </w:r>
            <w:r>
              <w:rPr>
                <w:rFonts w:ascii="Book Antiqua" w:hAnsi="Book Antiqua"/>
                <w:lang w:eastAsia="ko-KR"/>
              </w:rPr>
              <w:t>/uL</w:t>
            </w:r>
          </w:p>
        </w:tc>
      </w:tr>
      <w:tr w:rsidR="00653ADE" w14:paraId="7891C9FC" w14:textId="77777777">
        <w:tc>
          <w:tcPr>
            <w:tcW w:w="3936" w:type="dxa"/>
          </w:tcPr>
          <w:p w14:paraId="5C624BDA" w14:textId="77777777" w:rsidR="00653ADE" w:rsidRDefault="005C2E14">
            <w:pPr>
              <w:spacing w:line="360" w:lineRule="auto"/>
              <w:rPr>
                <w:rFonts w:ascii="Book Antiqua" w:hAnsi="Book Antiqua"/>
                <w:lang w:eastAsia="ko-KR"/>
              </w:rPr>
            </w:pPr>
            <w:r>
              <w:rPr>
                <w:rFonts w:ascii="Book Antiqua" w:hAnsi="Book Antiqua"/>
                <w:lang w:eastAsia="ko-KR"/>
              </w:rPr>
              <w:t>Alkaline phosphatase</w:t>
            </w:r>
          </w:p>
        </w:tc>
        <w:tc>
          <w:tcPr>
            <w:tcW w:w="1417" w:type="dxa"/>
          </w:tcPr>
          <w:p w14:paraId="4204BEF0" w14:textId="77777777" w:rsidR="00653ADE" w:rsidRDefault="005C2E14">
            <w:pPr>
              <w:spacing w:line="360" w:lineRule="auto"/>
              <w:rPr>
                <w:rFonts w:ascii="Book Antiqua" w:hAnsi="Book Antiqua"/>
                <w:lang w:eastAsia="ko-KR"/>
              </w:rPr>
            </w:pPr>
            <w:r>
              <w:rPr>
                <w:rFonts w:ascii="Book Antiqua" w:hAnsi="Book Antiqua"/>
                <w:lang w:eastAsia="ko-KR"/>
              </w:rPr>
              <w:t>106</w:t>
            </w:r>
          </w:p>
        </w:tc>
        <w:tc>
          <w:tcPr>
            <w:tcW w:w="2147" w:type="dxa"/>
          </w:tcPr>
          <w:p w14:paraId="4B1DE7BC" w14:textId="77777777" w:rsidR="00653ADE" w:rsidRDefault="005C2E14">
            <w:pPr>
              <w:spacing w:line="360" w:lineRule="auto"/>
              <w:rPr>
                <w:rFonts w:ascii="Book Antiqua" w:hAnsi="Book Antiqua"/>
                <w:lang w:eastAsia="ko-KR"/>
              </w:rPr>
            </w:pPr>
            <w:r>
              <w:rPr>
                <w:rFonts w:ascii="Book Antiqua" w:hAnsi="Book Antiqua"/>
                <w:lang w:eastAsia="ko-KR"/>
              </w:rPr>
              <w:t>40-129</w:t>
            </w:r>
          </w:p>
        </w:tc>
        <w:tc>
          <w:tcPr>
            <w:tcW w:w="1196" w:type="dxa"/>
          </w:tcPr>
          <w:p w14:paraId="554FFC60" w14:textId="77777777" w:rsidR="00653ADE" w:rsidRDefault="005C2E14">
            <w:pPr>
              <w:spacing w:line="360" w:lineRule="auto"/>
              <w:rPr>
                <w:rFonts w:ascii="Book Antiqua" w:hAnsi="Book Antiqua"/>
                <w:lang w:eastAsia="ko-KR"/>
              </w:rPr>
            </w:pPr>
            <w:r>
              <w:rPr>
                <w:rFonts w:ascii="Book Antiqua" w:hAnsi="Book Antiqua"/>
                <w:lang w:eastAsia="ko-KR"/>
              </w:rPr>
              <w:t>U/L</w:t>
            </w:r>
          </w:p>
        </w:tc>
      </w:tr>
      <w:tr w:rsidR="00653ADE" w14:paraId="4131EC09" w14:textId="77777777">
        <w:tc>
          <w:tcPr>
            <w:tcW w:w="3936" w:type="dxa"/>
          </w:tcPr>
          <w:p w14:paraId="0BFEC3F5" w14:textId="77777777" w:rsidR="00653ADE" w:rsidRDefault="005C2E14">
            <w:pPr>
              <w:spacing w:line="360" w:lineRule="auto"/>
              <w:rPr>
                <w:rFonts w:ascii="Book Antiqua" w:hAnsi="Book Antiqua"/>
                <w:lang w:eastAsia="ko-KR"/>
              </w:rPr>
            </w:pPr>
            <w:r>
              <w:rPr>
                <w:rFonts w:ascii="Book Antiqua" w:hAnsi="Book Antiqua"/>
                <w:lang w:eastAsia="ko-KR"/>
              </w:rPr>
              <w:t>Alanine aminotransferase</w:t>
            </w:r>
          </w:p>
        </w:tc>
        <w:tc>
          <w:tcPr>
            <w:tcW w:w="1417" w:type="dxa"/>
          </w:tcPr>
          <w:p w14:paraId="47B047C6" w14:textId="77777777" w:rsidR="00653ADE" w:rsidRDefault="005C2E14">
            <w:pPr>
              <w:spacing w:line="360" w:lineRule="auto"/>
              <w:rPr>
                <w:rFonts w:ascii="Book Antiqua" w:hAnsi="Book Antiqua"/>
                <w:lang w:eastAsia="ko-KR"/>
              </w:rPr>
            </w:pPr>
            <w:r>
              <w:rPr>
                <w:rFonts w:ascii="Book Antiqua" w:hAnsi="Book Antiqua"/>
                <w:lang w:eastAsia="ko-KR"/>
              </w:rPr>
              <w:t>33</w:t>
            </w:r>
          </w:p>
        </w:tc>
        <w:tc>
          <w:tcPr>
            <w:tcW w:w="2147" w:type="dxa"/>
          </w:tcPr>
          <w:p w14:paraId="50BE527E" w14:textId="77777777" w:rsidR="00653ADE" w:rsidRDefault="005C2E14">
            <w:pPr>
              <w:spacing w:line="360" w:lineRule="auto"/>
              <w:rPr>
                <w:rFonts w:ascii="Book Antiqua" w:hAnsi="Book Antiqua"/>
                <w:lang w:eastAsia="ko-KR"/>
              </w:rPr>
            </w:pPr>
            <w:r>
              <w:rPr>
                <w:rFonts w:ascii="Book Antiqua" w:hAnsi="Book Antiqua"/>
                <w:lang w:eastAsia="ko-KR"/>
              </w:rPr>
              <w:t>0-40</w:t>
            </w:r>
          </w:p>
        </w:tc>
        <w:tc>
          <w:tcPr>
            <w:tcW w:w="1196" w:type="dxa"/>
          </w:tcPr>
          <w:p w14:paraId="306F8444" w14:textId="77777777" w:rsidR="00653ADE" w:rsidRDefault="005C2E14">
            <w:pPr>
              <w:spacing w:line="360" w:lineRule="auto"/>
              <w:rPr>
                <w:rFonts w:ascii="Book Antiqua" w:hAnsi="Book Antiqua"/>
                <w:lang w:eastAsia="ko-KR"/>
              </w:rPr>
            </w:pPr>
            <w:r>
              <w:rPr>
                <w:rFonts w:ascii="Book Antiqua" w:hAnsi="Book Antiqua"/>
                <w:lang w:eastAsia="ko-KR"/>
              </w:rPr>
              <w:t>U/L</w:t>
            </w:r>
          </w:p>
        </w:tc>
      </w:tr>
      <w:tr w:rsidR="00653ADE" w14:paraId="626221CC" w14:textId="77777777">
        <w:tc>
          <w:tcPr>
            <w:tcW w:w="3936" w:type="dxa"/>
          </w:tcPr>
          <w:p w14:paraId="3338EC1D" w14:textId="77777777" w:rsidR="00653ADE" w:rsidRDefault="005C2E14">
            <w:pPr>
              <w:spacing w:line="360" w:lineRule="auto"/>
              <w:rPr>
                <w:rFonts w:ascii="Book Antiqua" w:hAnsi="Book Antiqua"/>
                <w:lang w:eastAsia="ko-KR"/>
              </w:rPr>
            </w:pPr>
            <w:r>
              <w:rPr>
                <w:rFonts w:ascii="Book Antiqua" w:hAnsi="Book Antiqua"/>
                <w:lang w:eastAsia="ko-KR"/>
              </w:rPr>
              <w:t>Aspartate aminotransferase</w:t>
            </w:r>
          </w:p>
        </w:tc>
        <w:tc>
          <w:tcPr>
            <w:tcW w:w="1417" w:type="dxa"/>
          </w:tcPr>
          <w:p w14:paraId="29C6DC05" w14:textId="77777777" w:rsidR="00653ADE" w:rsidRDefault="005C2E14">
            <w:pPr>
              <w:spacing w:line="360" w:lineRule="auto"/>
              <w:rPr>
                <w:rFonts w:ascii="Book Antiqua" w:hAnsi="Book Antiqua"/>
                <w:lang w:eastAsia="ko-KR"/>
              </w:rPr>
            </w:pPr>
            <w:r>
              <w:rPr>
                <w:rFonts w:ascii="Book Antiqua" w:hAnsi="Book Antiqua"/>
                <w:lang w:eastAsia="ko-KR"/>
              </w:rPr>
              <w:t>23</w:t>
            </w:r>
          </w:p>
        </w:tc>
        <w:tc>
          <w:tcPr>
            <w:tcW w:w="2147" w:type="dxa"/>
          </w:tcPr>
          <w:p w14:paraId="4CF36A3B" w14:textId="77777777" w:rsidR="00653ADE" w:rsidRDefault="005C2E14">
            <w:pPr>
              <w:spacing w:line="360" w:lineRule="auto"/>
              <w:rPr>
                <w:rFonts w:ascii="Book Antiqua" w:hAnsi="Book Antiqua"/>
                <w:lang w:eastAsia="ko-KR"/>
              </w:rPr>
            </w:pPr>
            <w:r>
              <w:rPr>
                <w:rFonts w:ascii="Book Antiqua" w:hAnsi="Book Antiqua"/>
                <w:lang w:eastAsia="ko-KR"/>
              </w:rPr>
              <w:t>0-40</w:t>
            </w:r>
          </w:p>
        </w:tc>
        <w:tc>
          <w:tcPr>
            <w:tcW w:w="1196" w:type="dxa"/>
          </w:tcPr>
          <w:p w14:paraId="313F3F0A" w14:textId="77777777" w:rsidR="00653ADE" w:rsidRDefault="005C2E14">
            <w:pPr>
              <w:spacing w:line="360" w:lineRule="auto"/>
              <w:rPr>
                <w:rFonts w:ascii="Book Antiqua" w:hAnsi="Book Antiqua"/>
                <w:lang w:eastAsia="ko-KR"/>
              </w:rPr>
            </w:pPr>
            <w:r>
              <w:rPr>
                <w:rFonts w:ascii="Book Antiqua" w:hAnsi="Book Antiqua"/>
                <w:lang w:eastAsia="ko-KR"/>
              </w:rPr>
              <w:t>U/L</w:t>
            </w:r>
          </w:p>
        </w:tc>
      </w:tr>
      <w:tr w:rsidR="00653ADE" w14:paraId="3BBFC268" w14:textId="77777777">
        <w:tc>
          <w:tcPr>
            <w:tcW w:w="3936" w:type="dxa"/>
          </w:tcPr>
          <w:p w14:paraId="69B76DAB" w14:textId="77777777" w:rsidR="00653ADE" w:rsidRDefault="005C2E14">
            <w:pPr>
              <w:spacing w:line="360" w:lineRule="auto"/>
              <w:rPr>
                <w:rFonts w:ascii="Book Antiqua" w:hAnsi="Book Antiqua"/>
                <w:lang w:eastAsia="ko-KR"/>
              </w:rPr>
            </w:pPr>
            <w:r>
              <w:rPr>
                <w:rFonts w:ascii="Book Antiqua" w:hAnsi="Book Antiqua"/>
                <w:lang w:eastAsia="ko-KR"/>
              </w:rPr>
              <w:t>Creatinine</w:t>
            </w:r>
          </w:p>
        </w:tc>
        <w:tc>
          <w:tcPr>
            <w:tcW w:w="1417" w:type="dxa"/>
          </w:tcPr>
          <w:p w14:paraId="3CF71BCD" w14:textId="77777777" w:rsidR="00653ADE" w:rsidRDefault="005C2E14">
            <w:pPr>
              <w:spacing w:line="360" w:lineRule="auto"/>
              <w:rPr>
                <w:rFonts w:ascii="Book Antiqua" w:hAnsi="Book Antiqua"/>
                <w:lang w:eastAsia="ko-KR"/>
              </w:rPr>
            </w:pPr>
            <w:r>
              <w:rPr>
                <w:rFonts w:ascii="Book Antiqua" w:hAnsi="Book Antiqua"/>
                <w:lang w:eastAsia="ko-KR"/>
              </w:rPr>
              <w:t>0.68</w:t>
            </w:r>
          </w:p>
        </w:tc>
        <w:tc>
          <w:tcPr>
            <w:tcW w:w="2147" w:type="dxa"/>
          </w:tcPr>
          <w:p w14:paraId="6EF269C7" w14:textId="77777777" w:rsidR="00653ADE" w:rsidRDefault="005C2E14">
            <w:pPr>
              <w:spacing w:line="360" w:lineRule="auto"/>
              <w:rPr>
                <w:rFonts w:ascii="Book Antiqua" w:hAnsi="Book Antiqua"/>
                <w:lang w:eastAsia="ko-KR"/>
              </w:rPr>
            </w:pPr>
            <w:r>
              <w:rPr>
                <w:rFonts w:ascii="Book Antiqua" w:hAnsi="Book Antiqua"/>
                <w:lang w:eastAsia="ko-KR"/>
              </w:rPr>
              <w:t>0.4-1.2</w:t>
            </w:r>
          </w:p>
        </w:tc>
        <w:tc>
          <w:tcPr>
            <w:tcW w:w="1196" w:type="dxa"/>
          </w:tcPr>
          <w:p w14:paraId="64D0DD1E" w14:textId="77777777" w:rsidR="00653ADE" w:rsidRDefault="005C2E14">
            <w:pPr>
              <w:spacing w:line="360" w:lineRule="auto"/>
              <w:rPr>
                <w:rFonts w:ascii="Book Antiqua" w:hAnsi="Book Antiqua"/>
                <w:lang w:eastAsia="ko-KR"/>
              </w:rPr>
            </w:pPr>
            <w:r>
              <w:rPr>
                <w:rFonts w:ascii="Book Antiqua" w:hAnsi="Book Antiqua"/>
                <w:lang w:eastAsia="ko-KR"/>
              </w:rPr>
              <w:t>mg/dL</w:t>
            </w:r>
          </w:p>
        </w:tc>
      </w:tr>
      <w:tr w:rsidR="00653ADE" w14:paraId="222B7030" w14:textId="77777777">
        <w:tc>
          <w:tcPr>
            <w:tcW w:w="3936" w:type="dxa"/>
          </w:tcPr>
          <w:p w14:paraId="4691E8F2" w14:textId="77777777" w:rsidR="00653ADE" w:rsidRDefault="005C2E14">
            <w:pPr>
              <w:spacing w:line="360" w:lineRule="auto"/>
              <w:rPr>
                <w:rFonts w:ascii="Book Antiqua" w:hAnsi="Book Antiqua"/>
                <w:lang w:eastAsia="ko-KR"/>
              </w:rPr>
            </w:pPr>
            <w:r>
              <w:rPr>
                <w:rFonts w:ascii="Book Antiqua" w:hAnsi="Book Antiqua"/>
                <w:lang w:eastAsia="ko-KR"/>
              </w:rPr>
              <w:t>Albumin</w:t>
            </w:r>
          </w:p>
        </w:tc>
        <w:tc>
          <w:tcPr>
            <w:tcW w:w="1417" w:type="dxa"/>
          </w:tcPr>
          <w:p w14:paraId="66A26B98" w14:textId="77777777" w:rsidR="00653ADE" w:rsidRDefault="005C2E14">
            <w:pPr>
              <w:spacing w:line="360" w:lineRule="auto"/>
              <w:rPr>
                <w:rFonts w:ascii="Book Antiqua" w:hAnsi="Book Antiqua"/>
                <w:lang w:eastAsia="ko-KR"/>
              </w:rPr>
            </w:pPr>
            <w:r>
              <w:rPr>
                <w:rFonts w:ascii="Book Antiqua" w:hAnsi="Book Antiqua"/>
                <w:lang w:eastAsia="ko-KR"/>
              </w:rPr>
              <w:t>4.04</w:t>
            </w:r>
          </w:p>
        </w:tc>
        <w:tc>
          <w:tcPr>
            <w:tcW w:w="2147" w:type="dxa"/>
          </w:tcPr>
          <w:p w14:paraId="0006A4B4" w14:textId="77777777" w:rsidR="00653ADE" w:rsidRDefault="005C2E14">
            <w:pPr>
              <w:spacing w:line="360" w:lineRule="auto"/>
              <w:rPr>
                <w:rFonts w:ascii="Book Antiqua" w:hAnsi="Book Antiqua"/>
                <w:lang w:eastAsia="ko-KR"/>
              </w:rPr>
            </w:pPr>
            <w:r>
              <w:rPr>
                <w:rFonts w:ascii="Book Antiqua" w:hAnsi="Book Antiqua"/>
                <w:lang w:eastAsia="ko-KR"/>
              </w:rPr>
              <w:t>3.3-5.2</w:t>
            </w:r>
          </w:p>
        </w:tc>
        <w:tc>
          <w:tcPr>
            <w:tcW w:w="1196" w:type="dxa"/>
          </w:tcPr>
          <w:p w14:paraId="19E931E2" w14:textId="77777777" w:rsidR="00653ADE" w:rsidRDefault="005C2E14">
            <w:pPr>
              <w:spacing w:line="360" w:lineRule="auto"/>
              <w:rPr>
                <w:rFonts w:ascii="Book Antiqua" w:hAnsi="Book Antiqua"/>
                <w:lang w:eastAsia="ko-KR"/>
              </w:rPr>
            </w:pPr>
            <w:r>
              <w:rPr>
                <w:rFonts w:ascii="Book Antiqua" w:hAnsi="Book Antiqua"/>
                <w:lang w:eastAsia="ko-KR"/>
              </w:rPr>
              <w:t>g/dL</w:t>
            </w:r>
          </w:p>
        </w:tc>
      </w:tr>
      <w:tr w:rsidR="00653ADE" w14:paraId="70E347DF" w14:textId="77777777">
        <w:tc>
          <w:tcPr>
            <w:tcW w:w="3936" w:type="dxa"/>
          </w:tcPr>
          <w:p w14:paraId="777BB4B3" w14:textId="77777777" w:rsidR="00653ADE" w:rsidRDefault="005C2E14">
            <w:pPr>
              <w:spacing w:line="360" w:lineRule="auto"/>
              <w:rPr>
                <w:rFonts w:ascii="Book Antiqua" w:hAnsi="Book Antiqua"/>
                <w:lang w:eastAsia="ko-KR"/>
              </w:rPr>
            </w:pPr>
            <w:r>
              <w:rPr>
                <w:rFonts w:ascii="Book Antiqua" w:hAnsi="Book Antiqua"/>
                <w:lang w:eastAsia="ko-KR"/>
              </w:rPr>
              <w:t xml:space="preserve">Total </w:t>
            </w:r>
            <w:r>
              <w:rPr>
                <w:rFonts w:ascii="Book Antiqua" w:hAnsi="Book Antiqua"/>
                <w:lang w:eastAsia="ko-KR"/>
              </w:rPr>
              <w:t>bilirubin</w:t>
            </w:r>
          </w:p>
        </w:tc>
        <w:tc>
          <w:tcPr>
            <w:tcW w:w="1417" w:type="dxa"/>
          </w:tcPr>
          <w:p w14:paraId="5FD027CB" w14:textId="77777777" w:rsidR="00653ADE" w:rsidRDefault="005C2E14">
            <w:pPr>
              <w:spacing w:line="360" w:lineRule="auto"/>
              <w:rPr>
                <w:rFonts w:ascii="Book Antiqua" w:hAnsi="Book Antiqua"/>
                <w:lang w:eastAsia="ko-KR"/>
              </w:rPr>
            </w:pPr>
            <w:r>
              <w:rPr>
                <w:rFonts w:ascii="Book Antiqua" w:hAnsi="Book Antiqua"/>
                <w:lang w:eastAsia="ko-KR"/>
              </w:rPr>
              <w:t>0.60</w:t>
            </w:r>
          </w:p>
        </w:tc>
        <w:tc>
          <w:tcPr>
            <w:tcW w:w="2147" w:type="dxa"/>
          </w:tcPr>
          <w:p w14:paraId="4F937ED2" w14:textId="77777777" w:rsidR="00653ADE" w:rsidRDefault="005C2E14">
            <w:pPr>
              <w:spacing w:line="360" w:lineRule="auto"/>
              <w:rPr>
                <w:rFonts w:ascii="Book Antiqua" w:hAnsi="Book Antiqua"/>
                <w:lang w:eastAsia="ko-KR"/>
              </w:rPr>
            </w:pPr>
            <w:r>
              <w:rPr>
                <w:rFonts w:ascii="Book Antiqua" w:hAnsi="Book Antiqua"/>
                <w:lang w:eastAsia="ko-KR"/>
              </w:rPr>
              <w:t>0.1-1.2</w:t>
            </w:r>
          </w:p>
        </w:tc>
        <w:tc>
          <w:tcPr>
            <w:tcW w:w="1196" w:type="dxa"/>
          </w:tcPr>
          <w:p w14:paraId="68752397" w14:textId="77777777" w:rsidR="00653ADE" w:rsidRDefault="005C2E14">
            <w:pPr>
              <w:spacing w:line="360" w:lineRule="auto"/>
              <w:rPr>
                <w:rFonts w:ascii="Book Antiqua" w:hAnsi="Book Antiqua"/>
                <w:lang w:eastAsia="ko-KR"/>
              </w:rPr>
            </w:pPr>
            <w:r>
              <w:rPr>
                <w:rFonts w:ascii="Book Antiqua" w:hAnsi="Book Antiqua"/>
                <w:lang w:eastAsia="ko-KR"/>
              </w:rPr>
              <w:t>mg/dL</w:t>
            </w:r>
          </w:p>
        </w:tc>
      </w:tr>
      <w:tr w:rsidR="00653ADE" w14:paraId="6E01AB81" w14:textId="77777777">
        <w:tc>
          <w:tcPr>
            <w:tcW w:w="3936" w:type="dxa"/>
            <w:tcBorders>
              <w:bottom w:val="single" w:sz="12" w:space="0" w:color="auto"/>
            </w:tcBorders>
          </w:tcPr>
          <w:p w14:paraId="5A49250E" w14:textId="77777777" w:rsidR="00653ADE" w:rsidRDefault="005C2E14">
            <w:pPr>
              <w:spacing w:line="360" w:lineRule="auto"/>
              <w:rPr>
                <w:rFonts w:ascii="Book Antiqua" w:hAnsi="Book Antiqua"/>
                <w:lang w:eastAsia="ko-KR"/>
              </w:rPr>
            </w:pPr>
            <w:r>
              <w:rPr>
                <w:rFonts w:ascii="Book Antiqua" w:hAnsi="Book Antiqua"/>
                <w:lang w:eastAsia="ko-KR"/>
              </w:rPr>
              <w:t>Uric acid</w:t>
            </w:r>
          </w:p>
        </w:tc>
        <w:tc>
          <w:tcPr>
            <w:tcW w:w="1417" w:type="dxa"/>
            <w:tcBorders>
              <w:bottom w:val="single" w:sz="12" w:space="0" w:color="auto"/>
            </w:tcBorders>
          </w:tcPr>
          <w:p w14:paraId="431F6B6B" w14:textId="77777777" w:rsidR="00653ADE" w:rsidRDefault="005C2E14">
            <w:pPr>
              <w:spacing w:line="360" w:lineRule="auto"/>
              <w:rPr>
                <w:rFonts w:ascii="Book Antiqua" w:hAnsi="Book Antiqua"/>
                <w:lang w:eastAsia="ko-KR"/>
              </w:rPr>
            </w:pPr>
            <w:r>
              <w:rPr>
                <w:rFonts w:ascii="Book Antiqua" w:hAnsi="Book Antiqua"/>
                <w:lang w:eastAsia="ko-KR"/>
              </w:rPr>
              <w:t>5.48</w:t>
            </w:r>
          </w:p>
        </w:tc>
        <w:tc>
          <w:tcPr>
            <w:tcW w:w="2147" w:type="dxa"/>
            <w:tcBorders>
              <w:bottom w:val="single" w:sz="12" w:space="0" w:color="auto"/>
            </w:tcBorders>
          </w:tcPr>
          <w:p w14:paraId="2768BFD7" w14:textId="77777777" w:rsidR="00653ADE" w:rsidRDefault="005C2E14">
            <w:pPr>
              <w:spacing w:line="360" w:lineRule="auto"/>
              <w:rPr>
                <w:rFonts w:ascii="Book Antiqua" w:hAnsi="Book Antiqua"/>
                <w:lang w:eastAsia="ko-KR"/>
              </w:rPr>
            </w:pPr>
            <w:r>
              <w:rPr>
                <w:rFonts w:ascii="Book Antiqua" w:hAnsi="Book Antiqua"/>
                <w:lang w:eastAsia="ko-KR"/>
              </w:rPr>
              <w:t>2.5-8.0</w:t>
            </w:r>
          </w:p>
        </w:tc>
        <w:tc>
          <w:tcPr>
            <w:tcW w:w="1196" w:type="dxa"/>
            <w:tcBorders>
              <w:bottom w:val="single" w:sz="12" w:space="0" w:color="auto"/>
            </w:tcBorders>
          </w:tcPr>
          <w:p w14:paraId="78945805" w14:textId="77777777" w:rsidR="00653ADE" w:rsidRDefault="005C2E14">
            <w:pPr>
              <w:spacing w:line="360" w:lineRule="auto"/>
              <w:rPr>
                <w:rFonts w:ascii="Book Antiqua" w:hAnsi="Book Antiqua"/>
                <w:lang w:eastAsia="ko-KR"/>
              </w:rPr>
            </w:pPr>
            <w:r>
              <w:rPr>
                <w:rFonts w:ascii="Book Antiqua" w:hAnsi="Book Antiqua"/>
                <w:lang w:eastAsia="ko-KR"/>
              </w:rPr>
              <w:t>mg/dL</w:t>
            </w:r>
          </w:p>
        </w:tc>
      </w:tr>
    </w:tbl>
    <w:p w14:paraId="511D5F16" w14:textId="0172AE46" w:rsidR="00DC7C65" w:rsidRDefault="00DC7C65">
      <w:pPr>
        <w:spacing w:line="360" w:lineRule="auto"/>
        <w:jc w:val="both"/>
        <w:rPr>
          <w:rFonts w:ascii="Book Antiqua" w:hAnsi="Book Antiqua"/>
        </w:rPr>
      </w:pPr>
    </w:p>
    <w:p w14:paraId="27946CFA" w14:textId="77777777" w:rsidR="00DC7C65" w:rsidRDefault="00DC7C65" w:rsidP="00DC7C65">
      <w:pPr>
        <w:jc w:val="center"/>
        <w:rPr>
          <w:rFonts w:ascii="Book Antiqua" w:hAnsi="Book Antiqua"/>
          <w:lang w:eastAsia="zh-CN"/>
        </w:rPr>
      </w:pPr>
      <w:r>
        <w:rPr>
          <w:rFonts w:ascii="Book Antiqua" w:hAnsi="Book Antiqua"/>
        </w:rPr>
        <w:br w:type="page"/>
      </w:r>
    </w:p>
    <w:p w14:paraId="0425797C" w14:textId="77777777" w:rsidR="00DC7C65" w:rsidRDefault="00DC7C65" w:rsidP="00DC7C65">
      <w:pPr>
        <w:jc w:val="center"/>
        <w:rPr>
          <w:rFonts w:ascii="Book Antiqua" w:hAnsi="Book Antiqua"/>
          <w:lang w:eastAsia="zh-CN"/>
        </w:rPr>
      </w:pPr>
    </w:p>
    <w:p w14:paraId="2CB22DAD" w14:textId="77777777" w:rsidR="00DC7C65" w:rsidRDefault="00DC7C65" w:rsidP="00DC7C65">
      <w:pPr>
        <w:jc w:val="center"/>
        <w:rPr>
          <w:rFonts w:ascii="Book Antiqua" w:hAnsi="Book Antiqua"/>
          <w:lang w:eastAsia="zh-CN"/>
        </w:rPr>
      </w:pPr>
    </w:p>
    <w:p w14:paraId="4A8F1AB4" w14:textId="77777777" w:rsidR="00DC7C65" w:rsidRDefault="00DC7C65" w:rsidP="00DC7C65">
      <w:pPr>
        <w:jc w:val="center"/>
        <w:rPr>
          <w:rFonts w:ascii="Book Antiqua" w:hAnsi="Book Antiqua"/>
          <w:lang w:eastAsia="zh-CN"/>
        </w:rPr>
      </w:pPr>
    </w:p>
    <w:p w14:paraId="6F004D35" w14:textId="77777777" w:rsidR="00DC7C65" w:rsidRDefault="00DC7C65" w:rsidP="00DC7C65">
      <w:pPr>
        <w:jc w:val="center"/>
        <w:rPr>
          <w:rFonts w:ascii="Book Antiqua" w:hAnsi="Book Antiqua"/>
          <w:lang w:eastAsia="zh-CN"/>
        </w:rPr>
      </w:pPr>
    </w:p>
    <w:p w14:paraId="799EDC4B" w14:textId="77777777" w:rsidR="00DC7C65" w:rsidRDefault="00DC7C65" w:rsidP="00DC7C65">
      <w:pPr>
        <w:jc w:val="center"/>
        <w:rPr>
          <w:rFonts w:ascii="Book Antiqua" w:hAnsi="Book Antiqua"/>
          <w:lang w:eastAsia="zh-CN"/>
        </w:rPr>
      </w:pPr>
      <w:r>
        <w:rPr>
          <w:rFonts w:ascii="Book Antiqua" w:hAnsi="Book Antiqua"/>
          <w:noProof/>
          <w:lang w:eastAsia="zh-CN"/>
        </w:rPr>
        <w:drawing>
          <wp:inline distT="0" distB="0" distL="0" distR="0" wp14:anchorId="7CB9B5A2" wp14:editId="7B79F0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7614C4" w14:textId="77777777" w:rsidR="00DC7C65" w:rsidRDefault="00DC7C65" w:rsidP="00DC7C65">
      <w:pPr>
        <w:jc w:val="center"/>
        <w:rPr>
          <w:rFonts w:ascii="Book Antiqua" w:hAnsi="Book Antiqua"/>
          <w:lang w:eastAsia="zh-CN"/>
        </w:rPr>
      </w:pPr>
    </w:p>
    <w:p w14:paraId="73079637" w14:textId="77777777" w:rsidR="00DC7C65" w:rsidRPr="00763D22" w:rsidRDefault="00DC7C65" w:rsidP="00DC7C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51AB538" w14:textId="77777777" w:rsidR="00DC7C65" w:rsidRPr="00763D22" w:rsidRDefault="00DC7C65" w:rsidP="00DC7C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A6D4EC" w14:textId="77777777" w:rsidR="00DC7C65" w:rsidRPr="00763D22" w:rsidRDefault="00DC7C65" w:rsidP="00DC7C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4348AF" w14:textId="77777777" w:rsidR="00DC7C65" w:rsidRPr="00763D22" w:rsidRDefault="00DC7C65" w:rsidP="00DC7C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485197" w14:textId="77777777" w:rsidR="00DC7C65" w:rsidRPr="00763D22" w:rsidRDefault="00DC7C65" w:rsidP="00DC7C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6EFCE7" w14:textId="77777777" w:rsidR="00DC7C65" w:rsidRPr="00763D22" w:rsidRDefault="00DC7C65" w:rsidP="00DC7C6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CE8E4BD" w14:textId="77777777" w:rsidR="00DC7C65" w:rsidRDefault="00DC7C65" w:rsidP="00DC7C65">
      <w:pPr>
        <w:jc w:val="center"/>
        <w:rPr>
          <w:rFonts w:ascii="Book Antiqua" w:hAnsi="Book Antiqua"/>
          <w:lang w:eastAsia="zh-CN"/>
        </w:rPr>
      </w:pPr>
    </w:p>
    <w:p w14:paraId="7D9BF0B0" w14:textId="77777777" w:rsidR="00DC7C65" w:rsidRDefault="00DC7C65" w:rsidP="00DC7C65">
      <w:pPr>
        <w:jc w:val="center"/>
        <w:rPr>
          <w:rFonts w:ascii="Book Antiqua" w:hAnsi="Book Antiqua"/>
          <w:lang w:eastAsia="zh-CN"/>
        </w:rPr>
      </w:pPr>
    </w:p>
    <w:p w14:paraId="626D7B75" w14:textId="77777777" w:rsidR="00DC7C65" w:rsidRDefault="00DC7C65" w:rsidP="00DC7C65">
      <w:pPr>
        <w:jc w:val="center"/>
        <w:rPr>
          <w:rFonts w:ascii="Book Antiqua" w:hAnsi="Book Antiqua"/>
          <w:lang w:eastAsia="zh-CN"/>
        </w:rPr>
      </w:pPr>
    </w:p>
    <w:p w14:paraId="1D262A85" w14:textId="77777777" w:rsidR="00DC7C65" w:rsidRDefault="00DC7C65" w:rsidP="00DC7C65">
      <w:pPr>
        <w:jc w:val="center"/>
        <w:rPr>
          <w:rFonts w:ascii="Book Antiqua" w:hAnsi="Book Antiqua"/>
          <w:lang w:eastAsia="zh-CN"/>
        </w:rPr>
      </w:pPr>
      <w:r>
        <w:rPr>
          <w:rFonts w:ascii="Book Antiqua" w:hAnsi="Book Antiqua"/>
          <w:noProof/>
          <w:lang w:eastAsia="zh-CN"/>
        </w:rPr>
        <w:drawing>
          <wp:inline distT="0" distB="0" distL="0" distR="0" wp14:anchorId="101B9ADF" wp14:editId="0E1125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3A0330" w14:textId="77777777" w:rsidR="00DC7C65" w:rsidRDefault="00DC7C65" w:rsidP="00DC7C65">
      <w:pPr>
        <w:jc w:val="center"/>
        <w:rPr>
          <w:rFonts w:ascii="Book Antiqua" w:hAnsi="Book Antiqua"/>
          <w:lang w:eastAsia="zh-CN"/>
        </w:rPr>
      </w:pPr>
    </w:p>
    <w:p w14:paraId="38991E3B" w14:textId="77777777" w:rsidR="00DC7C65" w:rsidRDefault="00DC7C65" w:rsidP="00DC7C65">
      <w:pPr>
        <w:jc w:val="center"/>
        <w:rPr>
          <w:rFonts w:ascii="Book Antiqua" w:hAnsi="Book Antiqua"/>
          <w:lang w:eastAsia="zh-CN"/>
        </w:rPr>
      </w:pPr>
    </w:p>
    <w:p w14:paraId="65299672" w14:textId="77777777" w:rsidR="00DC7C65" w:rsidRDefault="00DC7C65" w:rsidP="00DC7C65">
      <w:pPr>
        <w:jc w:val="center"/>
        <w:rPr>
          <w:rFonts w:ascii="Book Antiqua" w:hAnsi="Book Antiqua"/>
          <w:lang w:eastAsia="zh-CN"/>
        </w:rPr>
      </w:pPr>
    </w:p>
    <w:p w14:paraId="077D8B87" w14:textId="77777777" w:rsidR="00DC7C65" w:rsidRDefault="00DC7C65" w:rsidP="00DC7C65">
      <w:pPr>
        <w:jc w:val="center"/>
        <w:rPr>
          <w:rFonts w:ascii="Book Antiqua" w:hAnsi="Book Antiqua"/>
          <w:lang w:eastAsia="zh-CN"/>
        </w:rPr>
      </w:pPr>
    </w:p>
    <w:p w14:paraId="765E7409" w14:textId="77777777" w:rsidR="00DC7C65" w:rsidRDefault="00DC7C65" w:rsidP="00DC7C65">
      <w:pPr>
        <w:jc w:val="center"/>
        <w:rPr>
          <w:rFonts w:ascii="Book Antiqua" w:hAnsi="Book Antiqua"/>
          <w:lang w:eastAsia="zh-CN"/>
        </w:rPr>
      </w:pPr>
    </w:p>
    <w:p w14:paraId="20966DBD" w14:textId="77777777" w:rsidR="00DC7C65" w:rsidRDefault="00DC7C65" w:rsidP="00DC7C65">
      <w:pPr>
        <w:jc w:val="center"/>
        <w:rPr>
          <w:rFonts w:ascii="Book Antiqua" w:hAnsi="Book Antiqua"/>
          <w:lang w:eastAsia="zh-CN"/>
        </w:rPr>
      </w:pPr>
    </w:p>
    <w:p w14:paraId="45FCB7DD" w14:textId="77777777" w:rsidR="00DC7C65" w:rsidRDefault="00DC7C65" w:rsidP="00DC7C65">
      <w:pPr>
        <w:jc w:val="center"/>
        <w:rPr>
          <w:rFonts w:ascii="Book Antiqua" w:hAnsi="Book Antiqua"/>
          <w:lang w:eastAsia="zh-CN"/>
        </w:rPr>
      </w:pPr>
    </w:p>
    <w:p w14:paraId="0B2668B6" w14:textId="77777777" w:rsidR="00DC7C65" w:rsidRDefault="00DC7C65" w:rsidP="00DC7C65">
      <w:pPr>
        <w:jc w:val="center"/>
        <w:rPr>
          <w:rFonts w:ascii="Book Antiqua" w:hAnsi="Book Antiqua"/>
          <w:lang w:eastAsia="zh-CN"/>
        </w:rPr>
      </w:pPr>
    </w:p>
    <w:p w14:paraId="5B8BD646" w14:textId="77777777" w:rsidR="00DC7C65" w:rsidRDefault="00DC7C65" w:rsidP="00DC7C65">
      <w:pPr>
        <w:jc w:val="center"/>
        <w:rPr>
          <w:rFonts w:ascii="Book Antiqua" w:hAnsi="Book Antiqua"/>
          <w:lang w:eastAsia="zh-CN"/>
        </w:rPr>
      </w:pPr>
    </w:p>
    <w:p w14:paraId="1EA81233" w14:textId="77777777" w:rsidR="00DC7C65" w:rsidRPr="00763D22" w:rsidRDefault="00DC7C65" w:rsidP="00DC7C65">
      <w:pPr>
        <w:jc w:val="right"/>
        <w:rPr>
          <w:rFonts w:ascii="Book Antiqua" w:hAnsi="Book Antiqua"/>
          <w:color w:val="000000" w:themeColor="text1"/>
          <w:lang w:eastAsia="zh-CN"/>
        </w:rPr>
      </w:pPr>
    </w:p>
    <w:p w14:paraId="30CEEF0B" w14:textId="77777777" w:rsidR="00DC7C65" w:rsidRPr="00763D22" w:rsidRDefault="00DC7C65" w:rsidP="00DC7C6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A614A4" w14:textId="0DB53B89" w:rsidR="00653ADE" w:rsidRDefault="00653ADE">
      <w:pPr>
        <w:spacing w:line="360" w:lineRule="auto"/>
        <w:jc w:val="both"/>
        <w:rPr>
          <w:rFonts w:ascii="Book Antiqua" w:hAnsi="Book Antiqua"/>
        </w:rPr>
      </w:pPr>
    </w:p>
    <w:sectPr w:rsidR="00653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0168" w14:textId="77777777" w:rsidR="005C2E14" w:rsidRDefault="005C2E14">
      <w:r>
        <w:separator/>
      </w:r>
    </w:p>
  </w:endnote>
  <w:endnote w:type="continuationSeparator" w:id="0">
    <w:p w14:paraId="411A3BF3" w14:textId="77777777" w:rsidR="005C2E14" w:rsidRDefault="005C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DBE" w14:textId="77777777" w:rsidR="00653ADE" w:rsidRDefault="005C2E1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34F580C6" w14:textId="77777777" w:rsidR="00653ADE" w:rsidRDefault="00653ADE">
    <w:pPr>
      <w:pStyle w:val="a3"/>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4D5B" w14:textId="77777777" w:rsidR="005C2E14" w:rsidRDefault="005C2E14">
      <w:r>
        <w:separator/>
      </w:r>
    </w:p>
  </w:footnote>
  <w:footnote w:type="continuationSeparator" w:id="0">
    <w:p w14:paraId="7FF90666" w14:textId="77777777" w:rsidR="005C2E14" w:rsidRDefault="005C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3D77"/>
    <w:rsid w:val="001421D5"/>
    <w:rsid w:val="00145022"/>
    <w:rsid w:val="0017055F"/>
    <w:rsid w:val="00240F47"/>
    <w:rsid w:val="002679F2"/>
    <w:rsid w:val="003116C2"/>
    <w:rsid w:val="00387BA5"/>
    <w:rsid w:val="004B71E8"/>
    <w:rsid w:val="005C2E14"/>
    <w:rsid w:val="00653ADE"/>
    <w:rsid w:val="006625CA"/>
    <w:rsid w:val="00704D02"/>
    <w:rsid w:val="009300EF"/>
    <w:rsid w:val="00A77B3E"/>
    <w:rsid w:val="00BC6F53"/>
    <w:rsid w:val="00C807B2"/>
    <w:rsid w:val="00CA2A55"/>
    <w:rsid w:val="00CB36C9"/>
    <w:rsid w:val="00D30553"/>
    <w:rsid w:val="00DC7C65"/>
    <w:rsid w:val="00DF3201"/>
    <w:rsid w:val="00E72E6A"/>
    <w:rsid w:val="00F10966"/>
    <w:rsid w:val="00F3797B"/>
    <w:rsid w:val="00FB167B"/>
    <w:rsid w:val="00FF7D60"/>
    <w:rsid w:val="0E5B17BD"/>
    <w:rsid w:val="75B079E9"/>
    <w:rsid w:val="7C66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4E682"/>
  <w15:docId w15:val="{2C266FB0-1A91-411F-8995-887132F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C901427C-97D9-4745-A0EC-9ACA41EBD1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2857</Words>
  <Characters>16289</Characters>
  <Application>Microsoft Office Word</Application>
  <DocSecurity>0</DocSecurity>
  <Lines>135</Lines>
  <Paragraphs>38</Paragraphs>
  <ScaleCrop>false</ScaleCrop>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Li Jia-Hui</cp:lastModifiedBy>
  <cp:revision>19</cp:revision>
  <dcterms:created xsi:type="dcterms:W3CDTF">2021-07-21T07:11:00Z</dcterms:created>
  <dcterms:modified xsi:type="dcterms:W3CDTF">2021-09-07T03:03:00Z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2302B515FBD84FBAA17C1F7B16D6FF0C</vt:lpwstr>
  </property>
</Properties>
</file>