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7A396"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B5B6E69"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67159</w:t>
      </w:r>
    </w:p>
    <w:p w14:paraId="0DA77F79"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DD209D0" w14:textId="77777777" w:rsidR="0012719E" w:rsidRDefault="0012719E">
      <w:pPr>
        <w:spacing w:line="360" w:lineRule="auto"/>
        <w:jc w:val="both"/>
        <w:rPr>
          <w:rFonts w:ascii="Book Antiqua" w:hAnsi="Book Antiqua"/>
        </w:rPr>
      </w:pPr>
    </w:p>
    <w:p w14:paraId="2DCF6DFE"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t>Diagnosis and treatment of an inborn error of bile acid synthesis type 4: A case report</w:t>
      </w:r>
    </w:p>
    <w:p w14:paraId="09BB85D0" w14:textId="77777777" w:rsidR="0012719E" w:rsidRDefault="0012719E">
      <w:pPr>
        <w:spacing w:line="360" w:lineRule="auto"/>
        <w:jc w:val="both"/>
        <w:rPr>
          <w:rFonts w:ascii="Book Antiqua" w:hAnsi="Book Antiqua"/>
        </w:rPr>
      </w:pPr>
    </w:p>
    <w:p w14:paraId="7A093C8C"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SH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A case report of IEBAS4</w:t>
      </w:r>
    </w:p>
    <w:p w14:paraId="4F64CBB5" w14:textId="77777777" w:rsidR="0012719E" w:rsidRDefault="0012719E">
      <w:pPr>
        <w:spacing w:line="360" w:lineRule="auto"/>
        <w:jc w:val="both"/>
        <w:rPr>
          <w:rFonts w:ascii="Book Antiqua" w:hAnsi="Book Antiqua"/>
        </w:rPr>
      </w:pPr>
    </w:p>
    <w:p w14:paraId="68E7BA8A"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 xml:space="preserve">Shou-Hao Wang, </w:t>
      </w:r>
      <w:r>
        <w:rPr>
          <w:rFonts w:ascii="Book Antiqua" w:eastAsia="Book Antiqua" w:hAnsi="Book Antiqua" w:cs="Book Antiqua"/>
          <w:color w:val="000000"/>
        </w:rPr>
        <w:t>Tian-Chen Hui, Zhe-Wen Zhou, Cheng-An Xu, Wen-Hao Wu, Qing-Qing Wu, Wei Zheng, Qiao-Qiao Yin, Hong-Ying Pan</w:t>
      </w:r>
    </w:p>
    <w:p w14:paraId="1CEC2D88" w14:textId="77777777" w:rsidR="0012719E" w:rsidRDefault="0012719E">
      <w:pPr>
        <w:spacing w:line="360" w:lineRule="auto"/>
        <w:jc w:val="both"/>
        <w:rPr>
          <w:rFonts w:ascii="Book Antiqua" w:hAnsi="Book Antiqua"/>
        </w:rPr>
      </w:pPr>
    </w:p>
    <w:p w14:paraId="2B9B7560"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Shou-Hao Wang, Wen-Hao Wu, Hong-Ying Pan, </w:t>
      </w:r>
      <w:r>
        <w:rPr>
          <w:rFonts w:ascii="Book Antiqua" w:eastAsia="Book Antiqua" w:hAnsi="Book Antiqua" w:cs="Book Antiqua"/>
          <w:color w:val="000000"/>
        </w:rPr>
        <w:t>Qingdao Medical College, Qingdao University, Qingdao 266073, Shandong Province, China</w:t>
      </w:r>
    </w:p>
    <w:p w14:paraId="05F2BBD8" w14:textId="77777777" w:rsidR="0012719E" w:rsidRDefault="0012719E">
      <w:pPr>
        <w:spacing w:line="360" w:lineRule="auto"/>
        <w:jc w:val="both"/>
        <w:rPr>
          <w:rFonts w:ascii="Book Antiqua" w:hAnsi="Book Antiqua"/>
        </w:rPr>
      </w:pPr>
    </w:p>
    <w:p w14:paraId="4C1D0A63"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Tian-Chen Hui, Zhe</w:t>
      </w:r>
      <w:r>
        <w:rPr>
          <w:rFonts w:ascii="Book Antiqua" w:eastAsia="Book Antiqua" w:hAnsi="Book Antiqua" w:cs="Book Antiqua"/>
          <w:b/>
          <w:bCs/>
          <w:color w:val="000000"/>
        </w:rPr>
        <w:t xml:space="preserve">-Wen Zhou, </w:t>
      </w:r>
      <w:r>
        <w:rPr>
          <w:rFonts w:ascii="Book Antiqua" w:eastAsia="Book Antiqua" w:hAnsi="Book Antiqua" w:cs="Book Antiqua"/>
          <w:color w:val="000000"/>
        </w:rPr>
        <w:t>Graduate School, Bengbu Medical College, Bengbu 233030, Anhui Province, China</w:t>
      </w:r>
    </w:p>
    <w:p w14:paraId="1124454B" w14:textId="77777777" w:rsidR="0012719E" w:rsidRDefault="0012719E">
      <w:pPr>
        <w:spacing w:line="360" w:lineRule="auto"/>
        <w:jc w:val="both"/>
        <w:rPr>
          <w:rFonts w:ascii="Book Antiqua" w:hAnsi="Book Antiqua"/>
        </w:rPr>
      </w:pPr>
    </w:p>
    <w:p w14:paraId="3783131B"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Cheng-An Xu, Qing-Qing Wu, </w:t>
      </w:r>
      <w:r>
        <w:rPr>
          <w:rFonts w:ascii="Book Antiqua" w:hAnsi="Book Antiqua" w:cs="Book Antiqua" w:hint="eastAsia"/>
          <w:color w:val="000000"/>
          <w:lang w:eastAsia="zh-CN"/>
        </w:rPr>
        <w:t>T</w:t>
      </w:r>
      <w:r>
        <w:rPr>
          <w:rFonts w:ascii="Book Antiqua" w:eastAsia="Book Antiqua" w:hAnsi="Book Antiqua" w:cs="Book Antiqua"/>
          <w:color w:val="000000"/>
        </w:rPr>
        <w:t>he Second Clinical Department, Zhejiang Chinese Medical University, Hangzhou 310053, Zhejiang Province, China</w:t>
      </w:r>
    </w:p>
    <w:p w14:paraId="3A80C9E0" w14:textId="77777777" w:rsidR="0012719E" w:rsidRDefault="0012719E">
      <w:pPr>
        <w:spacing w:line="360" w:lineRule="auto"/>
        <w:jc w:val="both"/>
        <w:rPr>
          <w:rFonts w:ascii="Book Antiqua" w:hAnsi="Book Antiqua"/>
        </w:rPr>
      </w:pPr>
    </w:p>
    <w:p w14:paraId="79CD72C2"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Wei Zheng, Qiao-Qiao Yin, </w:t>
      </w:r>
      <w:r>
        <w:rPr>
          <w:rFonts w:ascii="Book Antiqua" w:eastAsia="Book Antiqua" w:hAnsi="Book Antiqua" w:cs="Book Antiqua"/>
          <w:color w:val="000000"/>
        </w:rPr>
        <w:t>D</w:t>
      </w:r>
      <w:r>
        <w:rPr>
          <w:rFonts w:ascii="Book Antiqua" w:eastAsia="Book Antiqua" w:hAnsi="Book Antiqua" w:cs="Book Antiqua"/>
          <w:color w:val="000000"/>
        </w:rPr>
        <w:t>epartment of Infectious Diseases, Zhejiang Provincial People's Hospital,</w:t>
      </w:r>
      <w:r>
        <w:rPr>
          <w:rFonts w:ascii="Book Antiqua" w:hAnsi="Book Antiqua" w:cs="Book Antiqua" w:hint="eastAsia"/>
          <w:color w:val="000000"/>
          <w:lang w:eastAsia="zh-CN"/>
        </w:rPr>
        <w:t xml:space="preserve"> </w:t>
      </w:r>
      <w:r>
        <w:rPr>
          <w:rFonts w:ascii="Book Antiqua" w:eastAsia="Book Antiqua" w:hAnsi="Book Antiqua" w:cs="Book Antiqua"/>
          <w:color w:val="000000"/>
        </w:rPr>
        <w:t>Hangzhou Medical College, Hangzhou 310014, Zhejiang Province, China</w:t>
      </w:r>
    </w:p>
    <w:p w14:paraId="59B87B41" w14:textId="77777777" w:rsidR="0012719E" w:rsidRDefault="0012719E">
      <w:pPr>
        <w:spacing w:line="360" w:lineRule="auto"/>
        <w:jc w:val="both"/>
        <w:rPr>
          <w:rFonts w:ascii="Book Antiqua" w:hAnsi="Book Antiqua"/>
        </w:rPr>
      </w:pPr>
    </w:p>
    <w:p w14:paraId="155D5358"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SH and Hui TC collected primary data, searched the literature and drafted the manuscrip</w:t>
      </w:r>
      <w:r>
        <w:rPr>
          <w:rFonts w:ascii="Book Antiqua" w:eastAsia="Book Antiqua" w:hAnsi="Book Antiqua" w:cs="Book Antiqua"/>
          <w:color w:val="000000"/>
        </w:rPr>
        <w:t xml:space="preserve">t; Zhou ZW searched the literature and drafted the manuscript; Xu CA and Wu WH </w:t>
      </w:r>
      <w:r>
        <w:rPr>
          <w:rFonts w:ascii="Book Antiqua" w:eastAsia="Book Antiqua" w:hAnsi="Book Antiqua" w:cs="Book Antiqua"/>
          <w:color w:val="000000"/>
        </w:rPr>
        <w:t>provided</w:t>
      </w:r>
      <w:r>
        <w:rPr>
          <w:rFonts w:ascii="Book Antiqua" w:eastAsia="Book Antiqua" w:hAnsi="Book Antiqua" w:cs="Book Antiqua"/>
          <w:color w:val="000000"/>
        </w:rPr>
        <w:t xml:space="preserve"> expertise for genetic analysis</w:t>
      </w:r>
      <w:r>
        <w:rPr>
          <w:rFonts w:ascii="Book Antiqua" w:eastAsia="Book Antiqua" w:hAnsi="Book Antiqua" w:cs="Book Antiqua"/>
          <w:color w:val="000000"/>
        </w:rPr>
        <w:t xml:space="preserve">; Wu QQ and Yin QQ contributed to </w:t>
      </w:r>
      <w:r>
        <w:rPr>
          <w:rFonts w:ascii="Book Antiqua" w:eastAsia="Book Antiqua" w:hAnsi="Book Antiqua" w:cs="Book Antiqua"/>
          <w:color w:val="000000"/>
        </w:rPr>
        <w:t xml:space="preserve">manuscript </w:t>
      </w:r>
      <w:r>
        <w:rPr>
          <w:rFonts w:ascii="Book Antiqua" w:eastAsia="Book Antiqua" w:hAnsi="Book Antiqua" w:cs="Book Antiqua"/>
          <w:color w:val="000000"/>
        </w:rPr>
        <w:t xml:space="preserve">review, data analysis and preparation of tables; Zheng W and Pan HY were </w:t>
      </w:r>
      <w:r>
        <w:rPr>
          <w:rFonts w:ascii="Book Antiqua" w:eastAsia="Book Antiqua" w:hAnsi="Book Antiqua" w:cs="Book Antiqua"/>
          <w:color w:val="000000"/>
        </w:rPr>
        <w:t>responsible for the revision of the manuscript for important intellectual content; all authors have read and approve the final manuscript.</w:t>
      </w:r>
    </w:p>
    <w:p w14:paraId="38530B92" w14:textId="77777777" w:rsidR="0012719E" w:rsidRDefault="0012719E">
      <w:pPr>
        <w:spacing w:line="360" w:lineRule="auto"/>
        <w:jc w:val="both"/>
        <w:rPr>
          <w:rFonts w:ascii="Book Antiqua" w:hAnsi="Book Antiqua"/>
        </w:rPr>
      </w:pPr>
    </w:p>
    <w:p w14:paraId="64EFA725"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Corresponding author: Hong-Ying Pan, MM, Professor, </w:t>
      </w:r>
      <w:r>
        <w:rPr>
          <w:rFonts w:ascii="Book Antiqua" w:eastAsia="Book Antiqua" w:hAnsi="Book Antiqua" w:cs="Book Antiqua"/>
          <w:color w:val="000000"/>
        </w:rPr>
        <w:t>Qingdao Medical College, Qingdao University, No.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Ningde Road, </w:t>
      </w:r>
      <w:r>
        <w:rPr>
          <w:rFonts w:ascii="Book Antiqua" w:eastAsia="Book Antiqua" w:hAnsi="Book Antiqua" w:cs="Book Antiqua"/>
          <w:color w:val="000000"/>
        </w:rPr>
        <w:t>Qingdao 266073, Shandong Province, China. hypanzjsrmyy@126.com</w:t>
      </w:r>
    </w:p>
    <w:p w14:paraId="58EC1EBE" w14:textId="77777777" w:rsidR="0012719E" w:rsidRDefault="0012719E">
      <w:pPr>
        <w:spacing w:line="360" w:lineRule="auto"/>
        <w:jc w:val="both"/>
        <w:rPr>
          <w:rFonts w:ascii="Book Antiqua" w:hAnsi="Book Antiqua"/>
        </w:rPr>
      </w:pPr>
    </w:p>
    <w:p w14:paraId="756432DE"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22, 2021</w:t>
      </w:r>
    </w:p>
    <w:p w14:paraId="2000524E"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May 27, 2021</w:t>
      </w:r>
    </w:p>
    <w:p w14:paraId="4762444A"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Pr>
          <w:rFonts w:ascii="Book Antiqua" w:eastAsia="SimSun" w:hAnsi="Book Antiqua"/>
          <w:color w:val="000000" w:themeColor="text1"/>
        </w:rPr>
        <w:t>J</w:t>
      </w:r>
      <w:r>
        <w:rPr>
          <w:rFonts w:ascii="Book Antiqua" w:eastAsia="SimSun" w:hAnsi="Book Antiqua" w:hint="eastAsia"/>
          <w:color w:val="000000" w:themeColor="text1"/>
        </w:rPr>
        <w:t>u</w:t>
      </w:r>
      <w:r>
        <w:rPr>
          <w:rFonts w:ascii="Book Antiqua" w:eastAsia="SimSun" w:hAnsi="Book Antiqua"/>
          <w:color w:val="000000" w:themeColor="text1"/>
        </w:rPr>
        <w:t>ly 19, 2021</w:t>
      </w:r>
      <w:bookmarkEnd w:id="0"/>
      <w:bookmarkEnd w:id="1"/>
      <w:bookmarkEnd w:id="2"/>
    </w:p>
    <w:p w14:paraId="1FE2AF70"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56712C62" w14:textId="77777777" w:rsidR="0012719E" w:rsidRDefault="0012719E">
      <w:pPr>
        <w:spacing w:line="360" w:lineRule="auto"/>
        <w:jc w:val="both"/>
        <w:rPr>
          <w:rFonts w:ascii="Book Antiqua" w:hAnsi="Book Antiqua"/>
        </w:rPr>
        <w:sectPr w:rsidR="0012719E">
          <w:footerReference w:type="default" r:id="rId7"/>
          <w:pgSz w:w="12240" w:h="15840"/>
          <w:pgMar w:top="1440" w:right="1440" w:bottom="1440" w:left="1440" w:header="720" w:footer="720" w:gutter="0"/>
          <w:cols w:space="720"/>
          <w:docGrid w:linePitch="360"/>
        </w:sectPr>
      </w:pPr>
    </w:p>
    <w:p w14:paraId="4EC09D7E"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E66C835"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BACKGROUND</w:t>
      </w:r>
    </w:p>
    <w:p w14:paraId="581B8680"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 xml:space="preserve">Inborn error of bile acid synthesis type 4 is a peroxisomal disease with impaired bile acid synthesis caused by </w:t>
      </w:r>
      <w:r>
        <w:rPr>
          <w:rFonts w:ascii="Book Antiqua" w:eastAsia="Book Antiqua" w:hAnsi="Book Antiqua" w:cs="Book Antiqua"/>
          <w:i/>
          <w:color w:val="000000"/>
        </w:rPr>
        <w:t>a-methylacyl-CoA racemase</w:t>
      </w:r>
      <w:r>
        <w:rPr>
          <w:rFonts w:ascii="Book Antiqua" w:eastAsia="Book Antiqua" w:hAnsi="Book Antiqua" w:cs="Book Antiqua"/>
          <w:color w:val="000000"/>
        </w:rPr>
        <w:t xml:space="preserve"> (</w:t>
      </w:r>
      <w:r>
        <w:rPr>
          <w:rFonts w:ascii="Book Antiqua" w:eastAsia="Book Antiqua" w:hAnsi="Book Antiqua" w:cs="Book Antiqua"/>
          <w:i/>
          <w:iCs/>
          <w:color w:val="000000"/>
        </w:rPr>
        <w:t>AMACR</w:t>
      </w:r>
      <w:r>
        <w:rPr>
          <w:rFonts w:ascii="Book Antiqua" w:eastAsia="Book Antiqua" w:hAnsi="Book Antiqua" w:cs="Book Antiqua"/>
          <w:color w:val="000000"/>
        </w:rPr>
        <w:t>) gene mutation. The disease is usually found in children with mild to severe liver disease, cholestasis and poo</w:t>
      </w:r>
      <w:r>
        <w:rPr>
          <w:rFonts w:ascii="Book Antiqua" w:eastAsia="Book Antiqua" w:hAnsi="Book Antiqua" w:cs="Book Antiqua"/>
          <w:color w:val="000000"/>
        </w:rPr>
        <w:t>r fat-soluble vitamin absorption. At present, there is no report of inborn errors of bile acid synthesis type 4 in adults with liver disease and poor fat-soluble vitamin absorption.</w:t>
      </w:r>
    </w:p>
    <w:p w14:paraId="3303AFE5" w14:textId="77777777" w:rsidR="0012719E" w:rsidRDefault="0012719E">
      <w:pPr>
        <w:spacing w:line="360" w:lineRule="auto"/>
        <w:jc w:val="both"/>
        <w:rPr>
          <w:rFonts w:ascii="Book Antiqua" w:hAnsi="Book Antiqua"/>
        </w:rPr>
      </w:pPr>
    </w:p>
    <w:p w14:paraId="2F7FC467"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CASE SUMMARY</w:t>
      </w:r>
    </w:p>
    <w:p w14:paraId="539E5F96"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A 71-year-old man was hospitalized in our department for rec</w:t>
      </w:r>
      <w:r>
        <w:rPr>
          <w:rFonts w:ascii="Book Antiqua" w:eastAsia="Book Antiqua" w:hAnsi="Book Antiqua" w:cs="Book Antiqua"/>
          <w:color w:val="000000"/>
        </w:rPr>
        <w:t>urrent liver dysfunction. The clinical manifestations were chronic liver disease and yellow skin and sclera. Serum transaminase, bilirubin and bile acid were abnormally increased; and fat-soluble vitamins decreased. Liver cirrhosis and ascites were diagnos</w:t>
      </w:r>
      <w:r>
        <w:rPr>
          <w:rFonts w:ascii="Book Antiqua" w:eastAsia="Book Antiqua" w:hAnsi="Book Antiqua" w:cs="Book Antiqua"/>
          <w:color w:val="000000"/>
        </w:rPr>
        <w:t xml:space="preserve">ed by computed tomography. The patient had poor coagulation function and ascites and did not undergo liver puncture. Genetic testing showed </w:t>
      </w:r>
      <w:r>
        <w:rPr>
          <w:rFonts w:ascii="Book Antiqua" w:eastAsia="Book Antiqua" w:hAnsi="Book Antiqua" w:cs="Book Antiqua"/>
          <w:i/>
          <w:iCs/>
          <w:color w:val="000000"/>
        </w:rPr>
        <w:t>AMACR</w:t>
      </w:r>
      <w:r>
        <w:rPr>
          <w:rFonts w:ascii="Book Antiqua" w:eastAsia="Book Antiqua" w:hAnsi="Book Antiqua" w:cs="Book Antiqua"/>
          <w:color w:val="000000"/>
        </w:rPr>
        <w:t xml:space="preserve"> gene missense mutation. The patient was diagnosed with inborn error of bile acid synthesis type 4. He was trea</w:t>
      </w:r>
      <w:r>
        <w:rPr>
          <w:rFonts w:ascii="Book Antiqua" w:eastAsia="Book Antiqua" w:hAnsi="Book Antiqua" w:cs="Book Antiqua"/>
          <w:color w:val="000000"/>
        </w:rPr>
        <w:t>ted with ursodeoxycholic acid, liver protection and vitamin supplementation, and jaundice of the skin and sclera was reduced. The indicators of liver function and the quality of life were significantly improved.</w:t>
      </w:r>
    </w:p>
    <w:p w14:paraId="7DC5D1DC" w14:textId="77777777" w:rsidR="0012719E" w:rsidRDefault="0012719E">
      <w:pPr>
        <w:spacing w:line="360" w:lineRule="auto"/>
        <w:jc w:val="both"/>
        <w:rPr>
          <w:rFonts w:ascii="Book Antiqua" w:hAnsi="Book Antiqua"/>
        </w:rPr>
      </w:pPr>
    </w:p>
    <w:p w14:paraId="2910D2FE"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CONCLUSION</w:t>
      </w:r>
    </w:p>
    <w:p w14:paraId="057B2DAC"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When adults have recurrent liver</w:t>
      </w:r>
      <w:r>
        <w:rPr>
          <w:rFonts w:ascii="Book Antiqua" w:eastAsia="Book Antiqua" w:hAnsi="Book Antiqua" w:cs="Book Antiqua"/>
          <w:color w:val="000000"/>
        </w:rPr>
        <w:t xml:space="preserve"> function abnormalities, physicians should be alert to genetic diseases and provide timely treatment.</w:t>
      </w:r>
    </w:p>
    <w:p w14:paraId="6193D954" w14:textId="77777777" w:rsidR="0012719E" w:rsidRDefault="0012719E">
      <w:pPr>
        <w:spacing w:line="360" w:lineRule="auto"/>
        <w:jc w:val="both"/>
        <w:rPr>
          <w:rFonts w:ascii="Book Antiqua" w:hAnsi="Book Antiqua"/>
        </w:rPr>
      </w:pPr>
    </w:p>
    <w:p w14:paraId="00054E0D"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Bile acid synthesis; </w:t>
      </w:r>
      <w:r>
        <w:rPr>
          <w:rFonts w:ascii="Book Antiqua" w:hAnsi="Book Antiqua" w:cs="Book Antiqua" w:hint="eastAsia"/>
          <w:i/>
          <w:color w:val="000000"/>
          <w:lang w:eastAsia="zh-CN"/>
        </w:rPr>
        <w:t>A</w:t>
      </w:r>
      <w:r>
        <w:rPr>
          <w:rFonts w:ascii="Book Antiqua" w:eastAsia="Book Antiqua" w:hAnsi="Book Antiqua" w:cs="Book Antiqua"/>
          <w:i/>
          <w:color w:val="000000"/>
        </w:rPr>
        <w:t>-methylacyl-CoA racemase</w:t>
      </w:r>
      <w:r>
        <w:rPr>
          <w:rFonts w:ascii="Book Antiqua" w:eastAsia="Book Antiqua" w:hAnsi="Book Antiqua" w:cs="Book Antiqua"/>
          <w:color w:val="000000"/>
        </w:rPr>
        <w:t xml:space="preserve"> gene; Gene mutation; Inborn error of metabolism; Ursodeoxycholic acid; Case report</w:t>
      </w:r>
    </w:p>
    <w:p w14:paraId="668FF6BA" w14:textId="77777777" w:rsidR="0012719E" w:rsidRDefault="0012719E">
      <w:pPr>
        <w:spacing w:line="360" w:lineRule="auto"/>
        <w:jc w:val="both"/>
        <w:rPr>
          <w:rFonts w:ascii="Book Antiqua" w:hAnsi="Book Antiqua"/>
        </w:rPr>
      </w:pPr>
    </w:p>
    <w:p w14:paraId="3BF92BA4"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 xml:space="preserve">Wang SH, Hui TC, Zhou ZW, Xu CA, Wu WH, Wu QQ, Zheng W, Yin QQ, Pan HY. Diagnosis and treatment of an inborn error of bile acid synthesis type 4: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10C13C2" w14:textId="77777777" w:rsidR="0012719E" w:rsidRDefault="0012719E">
      <w:pPr>
        <w:spacing w:line="360" w:lineRule="auto"/>
        <w:jc w:val="both"/>
        <w:rPr>
          <w:rFonts w:ascii="Book Antiqua" w:hAnsi="Book Antiqua"/>
        </w:rPr>
      </w:pPr>
    </w:p>
    <w:p w14:paraId="275EE9DF"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Inborn error of bile acid synthesis type 4 is a peroxisomal disease with impaired bile acid synthesis caused by </w:t>
      </w:r>
      <w:r>
        <w:rPr>
          <w:rFonts w:ascii="Book Antiqua" w:hAnsi="Book Antiqua" w:cs="Book Antiqua" w:hint="eastAsia"/>
          <w:i/>
          <w:color w:val="000000"/>
          <w:lang w:eastAsia="zh-CN"/>
        </w:rPr>
        <w:t>a</w:t>
      </w:r>
      <w:r>
        <w:rPr>
          <w:rFonts w:ascii="Book Antiqua" w:eastAsia="Book Antiqua" w:hAnsi="Book Antiqua" w:cs="Book Antiqua"/>
          <w:i/>
          <w:color w:val="000000"/>
        </w:rPr>
        <w:t>-methylacyl-CoA racemase</w:t>
      </w:r>
      <w:r>
        <w:rPr>
          <w:rFonts w:ascii="Book Antiqua" w:eastAsia="Book Antiqua" w:hAnsi="Book Antiqua" w:cs="Book Antiqua"/>
          <w:color w:val="000000"/>
        </w:rPr>
        <w:t xml:space="preserve"> gene mutation. This is the first report of an adult patient with liver disease and fat-soluble vitamin deficiency. The</w:t>
      </w:r>
      <w:r>
        <w:rPr>
          <w:rFonts w:ascii="Book Antiqua" w:eastAsia="Book Antiqua" w:hAnsi="Book Antiqua" w:cs="Book Antiqua"/>
          <w:color w:val="000000"/>
        </w:rPr>
        <w:t xml:space="preserve"> patient had significantly improved prognosis after treatment. In adult patients with recurrent liver function abnormalities, physicians should be alert to the possibility of genetic disorders, which can be diagnosed by genetic testing or, if possible, com</w:t>
      </w:r>
      <w:r>
        <w:rPr>
          <w:rFonts w:ascii="Book Antiqua" w:eastAsia="Book Antiqua" w:hAnsi="Book Antiqua" w:cs="Book Antiqua"/>
          <w:color w:val="000000"/>
        </w:rPr>
        <w:t>bined with mass spectrometry.</w:t>
      </w:r>
    </w:p>
    <w:p w14:paraId="7F3ED52B" w14:textId="77777777" w:rsidR="0012719E" w:rsidRDefault="0012719E">
      <w:pPr>
        <w:spacing w:line="360" w:lineRule="auto"/>
        <w:jc w:val="both"/>
        <w:rPr>
          <w:rFonts w:ascii="Book Antiqua" w:hAnsi="Book Antiqua"/>
        </w:rPr>
      </w:pPr>
    </w:p>
    <w:p w14:paraId="2884C590" w14:textId="77777777" w:rsidR="0012719E" w:rsidRDefault="00B91CBC">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089BF15E"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Inborn error of bile acid synthesis is a rare genetic disease characterized by neonatal cholestasis, neurological disorders or fat-soluble vitamin deficiency. At present, an increasing number of inborn errors of</w:t>
      </w:r>
      <w:r>
        <w:rPr>
          <w:rFonts w:ascii="Book Antiqua" w:eastAsia="Book Antiqua" w:hAnsi="Book Antiqua" w:cs="Book Antiqua"/>
          <w:color w:val="000000"/>
        </w:rPr>
        <w:t xml:space="preserve"> bile acid synthesis have been reported, which constitutes an expanding category of rare inherited diseases. Most of these diseases have autosomal recessive inheritance, which has led to 1%–2% of neonatal cholestasis</w:t>
      </w:r>
      <w:r>
        <w:rPr>
          <w:rFonts w:ascii="Book Antiqua" w:eastAsia="Book Antiqua" w:hAnsi="Book Antiqua" w:cs="Book Antiqua"/>
          <w:color w:val="000000"/>
          <w:vertAlign w:val="superscript"/>
        </w:rPr>
        <w:t>[</w:t>
      </w:r>
      <w:hyperlink w:anchor="_ENREF_1" w:tooltip="Bove, 2004 #17" w:history="1">
        <w:r>
          <w:rPr>
            <w:rFonts w:ascii="Book Antiqua" w:eastAsia="Book Antiqua" w:hAnsi="Book Antiqua" w:cs="Book Antiqua"/>
            <w:color w:val="000000"/>
            <w:u w:color="0000EE"/>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congenital defects in bile acid synthesis and biotransformation are divided into three categories according to defects in the modification of the sterol nucleus, defects in the modification of the side chains and defects in bile acid amida</w:t>
      </w:r>
      <w:r>
        <w:rPr>
          <w:rFonts w:ascii="Book Antiqua" w:eastAsia="Book Antiqua" w:hAnsi="Book Antiqua" w:cs="Book Antiqua"/>
          <w:color w:val="000000"/>
        </w:rPr>
        <w:t xml:space="preserve">tion. </w:t>
      </w:r>
      <w:r>
        <w:rPr>
          <w:rFonts w:ascii="Book Antiqua" w:hAnsi="Book Antiqua" w:cs="Book Antiqua" w:hint="eastAsia"/>
          <w:color w:val="000000"/>
          <w:lang w:eastAsia="zh-CN"/>
        </w:rPr>
        <w:t>A</w:t>
      </w:r>
      <w:r>
        <w:rPr>
          <w:rFonts w:ascii="Book Antiqua" w:eastAsia="Book Antiqua" w:hAnsi="Book Antiqua" w:cs="Book Antiqua"/>
          <w:color w:val="000000"/>
        </w:rPr>
        <w:t xml:space="preserve">-methylacyl-CoA racemase </w:t>
      </w:r>
      <w:r>
        <w:rPr>
          <w:rFonts w:ascii="Book Antiqua" w:hAnsi="Book Antiqua" w:cs="Book Antiqua" w:hint="eastAsia"/>
          <w:color w:val="000000"/>
          <w:lang w:eastAsia="zh-CN"/>
        </w:rPr>
        <w:t>(</w:t>
      </w:r>
      <w:r>
        <w:rPr>
          <w:rFonts w:ascii="Book Antiqua" w:eastAsia="Book Antiqua" w:hAnsi="Book Antiqua" w:cs="Book Antiqua"/>
          <w:color w:val="000000"/>
        </w:rPr>
        <w:t>AMACR</w:t>
      </w:r>
      <w:r>
        <w:rPr>
          <w:rFonts w:ascii="Book Antiqua" w:hAnsi="Book Antiqua" w:cs="Book Antiqua" w:hint="eastAsia"/>
          <w:color w:val="000000"/>
          <w:lang w:eastAsia="zh-CN"/>
        </w:rPr>
        <w:t xml:space="preserve">) </w:t>
      </w:r>
      <w:r>
        <w:rPr>
          <w:rFonts w:ascii="Book Antiqua" w:eastAsia="Book Antiqua" w:hAnsi="Book Antiqua" w:cs="Book Antiqua"/>
          <w:color w:val="000000"/>
        </w:rPr>
        <w:t>belongs to side-chain modification</w:t>
      </w:r>
      <w:r>
        <w:rPr>
          <w:rFonts w:ascii="Book Antiqua" w:eastAsia="Book Antiqua" w:hAnsi="Book Antiqua" w:cs="Book Antiqua"/>
          <w:color w:val="000000"/>
          <w:vertAlign w:val="superscript"/>
        </w:rPr>
        <w:t>[</w:t>
      </w:r>
      <w:hyperlink w:anchor="_ENREF_2" w:tooltip="Monte, 2009 #15" w:history="1">
        <w:r>
          <w:rPr>
            <w:rFonts w:ascii="Book Antiqua" w:eastAsia="Book Antiqua" w:hAnsi="Book Antiqua" w:cs="Book Antiqua"/>
            <w:color w:val="000000"/>
            <w:u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18764A2" w14:textId="77777777" w:rsidR="0012719E" w:rsidRDefault="00B91CBC">
      <w:pPr>
        <w:spacing w:line="360" w:lineRule="auto"/>
        <w:ind w:firstLine="360"/>
        <w:jc w:val="both"/>
        <w:rPr>
          <w:rFonts w:ascii="Book Antiqua" w:hAnsi="Book Antiqua"/>
        </w:rPr>
      </w:pPr>
      <w:r>
        <w:rPr>
          <w:rFonts w:ascii="Book Antiqua" w:eastAsia="Book Antiqua" w:hAnsi="Book Antiqua" w:cs="Book Antiqua"/>
          <w:color w:val="000000"/>
        </w:rPr>
        <w:t xml:space="preserve">These diseases are characterized by failure to produce normal bile acids and abnormal accumulation of bile acids and bile </w:t>
      </w:r>
      <w:r>
        <w:rPr>
          <w:rFonts w:ascii="Book Antiqua" w:eastAsia="Book Antiqua" w:hAnsi="Book Antiqua" w:cs="Book Antiqua"/>
          <w:color w:val="000000"/>
        </w:rPr>
        <w:t>acid intermediates. Patients with inborn errors of bile acid synthesis usually show normal or low serum bile acid concentration, normal γ-glutamyl transpeptidase concentration and no pruritus. If the disease is not diagnosed in time, it may lead to progres</w:t>
      </w:r>
      <w:r>
        <w:rPr>
          <w:rFonts w:ascii="Book Antiqua" w:eastAsia="Book Antiqua" w:hAnsi="Book Antiqua" w:cs="Book Antiqua"/>
          <w:color w:val="000000"/>
        </w:rPr>
        <w:t>sive chronic liver disease or liver failure</w:t>
      </w:r>
      <w:r>
        <w:rPr>
          <w:rFonts w:ascii="Book Antiqua" w:eastAsia="Book Antiqua" w:hAnsi="Book Antiqua" w:cs="Book Antiqua"/>
          <w:color w:val="000000"/>
          <w:vertAlign w:val="superscript"/>
        </w:rPr>
        <w:t>[</w:t>
      </w:r>
      <w:hyperlink w:anchor="_ENREF_3" w:tooltip="Ferdinandusse, 2000 #19" w:history="1">
        <w:r>
          <w:rPr>
            <w:rFonts w:ascii="Book Antiqua" w:eastAsia="Book Antiqua" w:hAnsi="Book Antiqua" w:cs="Book Antiqua"/>
            <w:color w:val="000000"/>
            <w:u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22C919D" w14:textId="77777777" w:rsidR="0012719E" w:rsidRDefault="00B91CBC">
      <w:pPr>
        <w:spacing w:line="360" w:lineRule="auto"/>
        <w:ind w:firstLine="360"/>
        <w:jc w:val="both"/>
        <w:rPr>
          <w:rFonts w:ascii="Book Antiqua" w:hAnsi="Book Antiqua"/>
        </w:rPr>
      </w:pPr>
      <w:r>
        <w:rPr>
          <w:rFonts w:ascii="Book Antiqua" w:eastAsia="Book Antiqua" w:hAnsi="Book Antiqua" w:cs="Book Antiqua"/>
          <w:color w:val="000000"/>
        </w:rPr>
        <w:t xml:space="preserve">In this case, the patient’s disease type was inborn error of bile acid synthesis type 4, with missense mutation in the </w:t>
      </w:r>
      <w:r>
        <w:rPr>
          <w:rFonts w:ascii="Book Antiqua" w:eastAsia="Book Antiqua" w:hAnsi="Book Antiqua" w:cs="Book Antiqua"/>
          <w:i/>
          <w:iCs/>
          <w:color w:val="000000"/>
        </w:rPr>
        <w:t>AMACR</w:t>
      </w:r>
      <w:r>
        <w:rPr>
          <w:rFonts w:ascii="Book Antiqua" w:eastAsia="Book Antiqua" w:hAnsi="Book Antiqua" w:cs="Book Antiqua"/>
          <w:color w:val="000000"/>
        </w:rPr>
        <w:t xml:space="preserve"> gene; commonly known as AM</w:t>
      </w:r>
      <w:r>
        <w:rPr>
          <w:rFonts w:ascii="Book Antiqua" w:eastAsia="Book Antiqua" w:hAnsi="Book Antiqua" w:cs="Book Antiqua"/>
          <w:color w:val="000000"/>
        </w:rPr>
        <w:t>ACR deficiency. The clinical features of this disease are neonatal cholestasis with severe liposoluble vitamin deficiency or adult paroxysmal peripheral neuropathy</w:t>
      </w:r>
      <w:r>
        <w:rPr>
          <w:rFonts w:ascii="Book Antiqua" w:eastAsia="Book Antiqua" w:hAnsi="Book Antiqua" w:cs="Book Antiqua"/>
          <w:color w:val="000000"/>
          <w:vertAlign w:val="superscript"/>
        </w:rPr>
        <w:t>[</w:t>
      </w:r>
      <w:hyperlink w:anchor="_ENREF_4" w:tooltip="Vaz, 2017 #18" w:history="1">
        <w:r>
          <w:rPr>
            <w:rFonts w:ascii="Book Antiqua" w:eastAsia="Book Antiqua" w:hAnsi="Book Antiqua" w:cs="Book Antiqua"/>
            <w:color w:val="000000"/>
            <w:u w:color="0000EE"/>
            <w:vertAlign w:val="superscript"/>
          </w:rPr>
          <w:t>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in this report, the patient was </w:t>
      </w:r>
      <w:r>
        <w:rPr>
          <w:rFonts w:ascii="Book Antiqua" w:eastAsia="Book Antiqua" w:hAnsi="Book Antiqua" w:cs="Book Antiqua"/>
          <w:color w:val="000000"/>
        </w:rPr>
        <w:t>an adult male with liver disease and poor absorption of fat-soluble vitamins. No neurological symptoms were found.</w:t>
      </w:r>
      <w:r>
        <w:rPr>
          <w:rFonts w:ascii="Book Antiqua" w:eastAsia="Book Antiqua" w:hAnsi="Book Antiqua" w:cs="Book Antiqua"/>
          <w:color w:val="000000"/>
          <w:shd w:val="clear" w:color="auto" w:fill="F7F8FA"/>
        </w:rPr>
        <w:t xml:space="preserve"> </w:t>
      </w:r>
    </w:p>
    <w:p w14:paraId="22DB0A0E" w14:textId="77777777" w:rsidR="0012719E" w:rsidRDefault="00B91CBC">
      <w:pPr>
        <w:spacing w:line="360" w:lineRule="auto"/>
        <w:ind w:firstLine="360"/>
        <w:jc w:val="both"/>
        <w:rPr>
          <w:rFonts w:ascii="Book Antiqua" w:hAnsi="Book Antiqua"/>
        </w:rPr>
      </w:pPr>
      <w:r>
        <w:rPr>
          <w:rFonts w:ascii="Book Antiqua" w:eastAsia="Book Antiqua" w:hAnsi="Book Antiqua" w:cs="Book Antiqua"/>
          <w:color w:val="000000"/>
        </w:rPr>
        <w:t>We here present a 71-year-old patient at the time of diagnosis, who is the oldest patient with untreated AMACR deficiency described to date.</w:t>
      </w:r>
      <w:r>
        <w:rPr>
          <w:rFonts w:ascii="Book Antiqua" w:eastAsia="Book Antiqua" w:hAnsi="Book Antiqua" w:cs="Book Antiqua"/>
          <w:color w:val="000000"/>
        </w:rPr>
        <w:t xml:space="preserve"> </w:t>
      </w:r>
    </w:p>
    <w:p w14:paraId="481D82A4" w14:textId="77777777" w:rsidR="0012719E" w:rsidRDefault="0012719E">
      <w:pPr>
        <w:spacing w:line="360" w:lineRule="auto"/>
        <w:ind w:firstLine="360"/>
        <w:jc w:val="both"/>
        <w:rPr>
          <w:rFonts w:ascii="Book Antiqua" w:hAnsi="Book Antiqua"/>
        </w:rPr>
      </w:pPr>
    </w:p>
    <w:p w14:paraId="2F29B954" w14:textId="77777777" w:rsidR="0012719E" w:rsidRDefault="00B91CBC">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6EB786A2" w14:textId="77777777" w:rsidR="0012719E" w:rsidRDefault="00B91CBC">
      <w:pPr>
        <w:spacing w:line="360" w:lineRule="auto"/>
        <w:jc w:val="both"/>
        <w:rPr>
          <w:rFonts w:ascii="Book Antiqua" w:hAnsi="Book Antiqua"/>
        </w:rPr>
      </w:pPr>
      <w:r>
        <w:rPr>
          <w:rFonts w:ascii="Book Antiqua" w:eastAsia="Book Antiqua" w:hAnsi="Book Antiqua" w:cs="Book Antiqua"/>
          <w:b/>
          <w:i/>
          <w:color w:val="000000"/>
        </w:rPr>
        <w:t>Chief complaints</w:t>
      </w:r>
    </w:p>
    <w:p w14:paraId="11B4DAC2"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A 71-year-old man presented in the liver disease department of our hospital with abdominal distension without obvious inducement and no other discomfort.</w:t>
      </w:r>
    </w:p>
    <w:p w14:paraId="6238F926" w14:textId="77777777" w:rsidR="0012719E" w:rsidRDefault="0012719E">
      <w:pPr>
        <w:spacing w:line="360" w:lineRule="auto"/>
        <w:jc w:val="both"/>
        <w:rPr>
          <w:rFonts w:ascii="Book Antiqua" w:hAnsi="Book Antiqua"/>
        </w:rPr>
      </w:pPr>
    </w:p>
    <w:p w14:paraId="3EBB1B3E" w14:textId="77777777" w:rsidR="0012719E" w:rsidRDefault="00B91CBC">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2B10FDB4"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lastRenderedPageBreak/>
        <w:t>The patient had recurrent bloating s</w:t>
      </w:r>
      <w:r>
        <w:rPr>
          <w:rFonts w:ascii="Book Antiqua" w:eastAsia="Book Antiqua" w:hAnsi="Book Antiqua" w:cs="Book Antiqua"/>
          <w:color w:val="000000"/>
        </w:rPr>
        <w:t>ymptoms started a month previously, which worsened the week before admission.</w:t>
      </w:r>
    </w:p>
    <w:p w14:paraId="45E1B69C" w14:textId="77777777" w:rsidR="0012719E" w:rsidRDefault="0012719E">
      <w:pPr>
        <w:spacing w:line="360" w:lineRule="auto"/>
        <w:jc w:val="both"/>
        <w:rPr>
          <w:rFonts w:ascii="Book Antiqua" w:hAnsi="Book Antiqua"/>
        </w:rPr>
      </w:pPr>
    </w:p>
    <w:p w14:paraId="7F275ECD" w14:textId="77777777" w:rsidR="0012719E" w:rsidRDefault="00B91CBC">
      <w:pPr>
        <w:spacing w:line="360" w:lineRule="auto"/>
        <w:jc w:val="both"/>
        <w:rPr>
          <w:rFonts w:ascii="Book Antiqua" w:hAnsi="Book Antiqua"/>
        </w:rPr>
      </w:pPr>
      <w:r>
        <w:rPr>
          <w:rFonts w:ascii="Book Antiqua" w:eastAsia="Book Antiqua" w:hAnsi="Book Antiqua" w:cs="Book Antiqua"/>
          <w:b/>
          <w:i/>
          <w:color w:val="000000"/>
        </w:rPr>
        <w:t>History of past illness</w:t>
      </w:r>
    </w:p>
    <w:p w14:paraId="246CE066"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 xml:space="preserve">The patient underwent physical examinations and liver function test at a local hospital </w:t>
      </w:r>
      <w:r>
        <w:rPr>
          <w:rFonts w:ascii="Book Antiqua" w:eastAsia="Book Antiqua" w:hAnsi="Book Antiqua" w:cs="Book Antiqua"/>
          <w:color w:val="000000"/>
        </w:rPr>
        <w:t>2</w:t>
      </w:r>
      <w:r>
        <w:rPr>
          <w:rFonts w:ascii="Book Antiqua" w:eastAsia="Book Antiqua" w:hAnsi="Book Antiqua" w:cs="Book Antiqua"/>
          <w:color w:val="000000"/>
        </w:rPr>
        <w:t xml:space="preserve"> years ago. The patient received liver protection treatment in the local hospital, but his liver function did not improve</w:t>
      </w:r>
      <w:r>
        <w:rPr>
          <w:rFonts w:ascii="Book Antiqua" w:eastAsia="Book Antiqua" w:hAnsi="Book Antiqua" w:cs="Book Antiqua"/>
          <w:color w:val="000000"/>
        </w:rPr>
        <w:t>,</w:t>
      </w:r>
      <w:r>
        <w:rPr>
          <w:rFonts w:ascii="Book Antiqua" w:eastAsia="Book Antiqua" w:hAnsi="Book Antiqua" w:cs="Book Antiqua"/>
          <w:color w:val="000000"/>
        </w:rPr>
        <w:t xml:space="preserve"> and he had yellow urine occasionally but had no obvious physical discomfort.</w:t>
      </w:r>
    </w:p>
    <w:p w14:paraId="7FE981B1" w14:textId="77777777" w:rsidR="0012719E" w:rsidRDefault="0012719E">
      <w:pPr>
        <w:spacing w:line="360" w:lineRule="auto"/>
        <w:jc w:val="both"/>
        <w:rPr>
          <w:rFonts w:ascii="Book Antiqua" w:hAnsi="Book Antiqua"/>
        </w:rPr>
      </w:pPr>
    </w:p>
    <w:p w14:paraId="3C215EEF" w14:textId="77777777" w:rsidR="0012719E" w:rsidRDefault="00B91CBC">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6743C592"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 xml:space="preserve">The patient’s personal and </w:t>
      </w:r>
      <w:r>
        <w:rPr>
          <w:rFonts w:ascii="Book Antiqua" w:eastAsia="Book Antiqua" w:hAnsi="Book Antiqua" w:cs="Book Antiqua"/>
          <w:color w:val="000000"/>
        </w:rPr>
        <w:t>family history was unremarkable.</w:t>
      </w:r>
    </w:p>
    <w:p w14:paraId="2DFF6E92" w14:textId="77777777" w:rsidR="0012719E" w:rsidRDefault="0012719E">
      <w:pPr>
        <w:spacing w:line="360" w:lineRule="auto"/>
        <w:jc w:val="both"/>
        <w:rPr>
          <w:rFonts w:ascii="Book Antiqua" w:hAnsi="Book Antiqua"/>
        </w:rPr>
      </w:pPr>
    </w:p>
    <w:p w14:paraId="3B41AC88" w14:textId="77777777" w:rsidR="0012719E" w:rsidRDefault="00B91CBC">
      <w:pPr>
        <w:spacing w:line="360" w:lineRule="auto"/>
        <w:jc w:val="both"/>
        <w:rPr>
          <w:rFonts w:ascii="Book Antiqua" w:hAnsi="Book Antiqua"/>
        </w:rPr>
      </w:pPr>
      <w:r>
        <w:rPr>
          <w:rFonts w:ascii="Book Antiqua" w:eastAsia="Book Antiqua" w:hAnsi="Book Antiqua" w:cs="Book Antiqua"/>
          <w:b/>
          <w:i/>
          <w:color w:val="000000"/>
        </w:rPr>
        <w:t>Physical examination</w:t>
      </w:r>
    </w:p>
    <w:p w14:paraId="6184C0E9"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 xml:space="preserve">At admission, his body temperature was 36.8 °C, heart rate was 68 bmp, breathing rate was 18 breaths </w:t>
      </w:r>
      <w:r>
        <w:rPr>
          <w:rFonts w:ascii="Book Antiqua" w:eastAsia="Book Antiqua" w:hAnsi="Book Antiqua" w:cs="Book Antiqua"/>
          <w:i/>
          <w:color w:val="000000"/>
        </w:rPr>
        <w:t xml:space="preserve">per </w:t>
      </w:r>
      <w:r>
        <w:rPr>
          <w:rFonts w:ascii="Book Antiqua" w:eastAsia="Book Antiqua" w:hAnsi="Book Antiqua" w:cs="Book Antiqua"/>
          <w:color w:val="000000"/>
        </w:rPr>
        <w:t>minute, blood pressure was 134/74 mmHg, and blood oxygen saturation was 99%. The patient present</w:t>
      </w:r>
      <w:r>
        <w:rPr>
          <w:rFonts w:ascii="Book Antiqua" w:eastAsia="Book Antiqua" w:hAnsi="Book Antiqua" w:cs="Book Antiqua"/>
          <w:color w:val="000000"/>
        </w:rPr>
        <w:t>ed with chronic liver disease, moderately yellowish skin and sclera, but no liver palms and spider angioma. The patient's abdomen was soft, without obvious tenderness and rebound pain. Moreover, the patient's liver area was negative for percussion pain, th</w:t>
      </w:r>
      <w:r>
        <w:rPr>
          <w:rFonts w:ascii="Book Antiqua" w:eastAsia="Book Antiqua" w:hAnsi="Book Antiqua" w:cs="Book Antiqua"/>
          <w:color w:val="000000"/>
        </w:rPr>
        <w:t>e liver and spleen were not touched under the ribs and Murphy's sign was negative. No abnormalities were found on nervous system examination.</w:t>
      </w:r>
    </w:p>
    <w:p w14:paraId="3CE98CE0" w14:textId="77777777" w:rsidR="0012719E" w:rsidRDefault="0012719E">
      <w:pPr>
        <w:spacing w:line="360" w:lineRule="auto"/>
        <w:jc w:val="both"/>
        <w:rPr>
          <w:rFonts w:ascii="Book Antiqua" w:hAnsi="Book Antiqua"/>
        </w:rPr>
      </w:pPr>
    </w:p>
    <w:p w14:paraId="66CE4C3B" w14:textId="77777777" w:rsidR="0012719E" w:rsidRDefault="00B91CBC">
      <w:pPr>
        <w:spacing w:line="360" w:lineRule="auto"/>
        <w:jc w:val="both"/>
        <w:rPr>
          <w:rFonts w:ascii="Book Antiqua" w:hAnsi="Book Antiqua"/>
        </w:rPr>
      </w:pPr>
      <w:r>
        <w:rPr>
          <w:rFonts w:ascii="Book Antiqua" w:eastAsia="Book Antiqua" w:hAnsi="Book Antiqua" w:cs="Book Antiqua"/>
          <w:b/>
          <w:i/>
          <w:color w:val="000000"/>
        </w:rPr>
        <w:t>Laboratory examinations</w:t>
      </w:r>
    </w:p>
    <w:p w14:paraId="134F71FE"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Liver function showed albumin 23.9 g/L (normal</w:t>
      </w:r>
      <w:r>
        <w:rPr>
          <w:rFonts w:ascii="Book Antiqua" w:eastAsia="Book Antiqua" w:hAnsi="Book Antiqua" w:cs="Book Antiqua"/>
          <w:color w:val="000000"/>
        </w:rPr>
        <w:t>:</w:t>
      </w:r>
      <w:r>
        <w:rPr>
          <w:rFonts w:ascii="Book Antiqua" w:eastAsia="Book Antiqua" w:hAnsi="Book Antiqua" w:cs="Book Antiqua"/>
          <w:color w:val="000000"/>
        </w:rPr>
        <w:t xml:space="preserve"> 40-55 g/L)</w:t>
      </w:r>
      <w:r>
        <w:rPr>
          <w:rFonts w:ascii="Book Antiqua" w:eastAsia="Book Antiqua" w:hAnsi="Book Antiqua" w:cs="Book Antiqua"/>
          <w:color w:val="000000"/>
        </w:rPr>
        <w:t>,</w:t>
      </w:r>
      <w:r>
        <w:rPr>
          <w:rFonts w:ascii="Book Antiqua" w:eastAsia="Book Antiqua" w:hAnsi="Book Antiqua" w:cs="Book Antiqua"/>
          <w:color w:val="000000"/>
        </w:rPr>
        <w:t xml:space="preserve"> alanine aminotransferase 135 </w:t>
      </w:r>
      <w:r>
        <w:rPr>
          <w:rFonts w:ascii="Book Antiqua" w:eastAsia="Book Antiqua" w:hAnsi="Book Antiqua" w:cs="Book Antiqua"/>
          <w:color w:val="000000"/>
        </w:rPr>
        <w:t>U/L (normal</w:t>
      </w:r>
      <w:r>
        <w:rPr>
          <w:rFonts w:ascii="Book Antiqua" w:eastAsia="Book Antiqua" w:hAnsi="Book Antiqua" w:cs="Book Antiqua"/>
          <w:color w:val="000000"/>
        </w:rPr>
        <w:t>:</w:t>
      </w:r>
      <w:r>
        <w:rPr>
          <w:rFonts w:ascii="Book Antiqua" w:eastAsia="Book Antiqua" w:hAnsi="Book Antiqua" w:cs="Book Antiqua"/>
          <w:color w:val="000000"/>
        </w:rPr>
        <w:t xml:space="preserve"> &lt; 50 U/L), aspartate aminotransferase 127 U/L (normal</w:t>
      </w:r>
      <w:r>
        <w:rPr>
          <w:rFonts w:ascii="Book Antiqua" w:eastAsia="Book Antiqua" w:hAnsi="Book Antiqua" w:cs="Book Antiqua"/>
          <w:color w:val="000000"/>
        </w:rPr>
        <w:t>:</w:t>
      </w:r>
      <w:r>
        <w:rPr>
          <w:rFonts w:ascii="Book Antiqua" w:eastAsia="Book Antiqua" w:hAnsi="Book Antiqua" w:cs="Book Antiqua"/>
          <w:color w:val="000000"/>
        </w:rPr>
        <w:t xml:space="preserve"> &lt; 40 U/L), γ-glutamine acyltranspeptidase 131 U/L (normal</w:t>
      </w:r>
      <w:r>
        <w:rPr>
          <w:rFonts w:ascii="Book Antiqua" w:eastAsia="Book Antiqua" w:hAnsi="Book Antiqua" w:cs="Book Antiqua"/>
          <w:color w:val="000000"/>
        </w:rPr>
        <w:t>:</w:t>
      </w:r>
      <w:r>
        <w:rPr>
          <w:rFonts w:ascii="Book Antiqua" w:eastAsia="Book Antiqua" w:hAnsi="Book Antiqua" w:cs="Book Antiqua"/>
          <w:color w:val="000000"/>
        </w:rPr>
        <w:t xml:space="preserve"> &lt; 60 U/L), total bilirubin 49.3 μmol/L (normal</w:t>
      </w:r>
      <w:r>
        <w:rPr>
          <w:rFonts w:ascii="Book Antiqua" w:eastAsia="Book Antiqua" w:hAnsi="Book Antiqua" w:cs="Book Antiqua"/>
          <w:color w:val="000000"/>
        </w:rPr>
        <w:t>:</w:t>
      </w:r>
      <w:r>
        <w:rPr>
          <w:rFonts w:ascii="Book Antiqua" w:eastAsia="Book Antiqua" w:hAnsi="Book Antiqua" w:cs="Book Antiqua"/>
          <w:color w:val="000000"/>
        </w:rPr>
        <w:t xml:space="preserve"> &lt; 24 μmol/L) and direct bilirubin 17.3 μmol/L (normal</w:t>
      </w:r>
      <w:r>
        <w:rPr>
          <w:rFonts w:ascii="Book Antiqua" w:eastAsia="Book Antiqua" w:hAnsi="Book Antiqua" w:cs="Book Antiqua"/>
          <w:color w:val="000000"/>
        </w:rPr>
        <w:t>:</w:t>
      </w:r>
      <w:r>
        <w:rPr>
          <w:rFonts w:ascii="Book Antiqua" w:eastAsia="Book Antiqua" w:hAnsi="Book Antiqua" w:cs="Book Antiqua"/>
          <w:color w:val="000000"/>
        </w:rPr>
        <w:t xml:space="preserve"> &lt; 6.8 μmol/L). The blood t</w:t>
      </w:r>
      <w:r>
        <w:rPr>
          <w:rFonts w:ascii="Book Antiqua" w:eastAsia="Book Antiqua" w:hAnsi="Book Antiqua" w:cs="Book Antiqua"/>
          <w:color w:val="000000"/>
        </w:rPr>
        <w:t>est showed hemoglobin 116 g/L (normal</w:t>
      </w:r>
      <w:r>
        <w:rPr>
          <w:rFonts w:ascii="Book Antiqua" w:eastAsia="Book Antiqua" w:hAnsi="Book Antiqua" w:cs="Book Antiqua"/>
          <w:color w:val="000000"/>
        </w:rPr>
        <w:t>:</w:t>
      </w:r>
      <w:r>
        <w:rPr>
          <w:rFonts w:ascii="Book Antiqua" w:eastAsia="Book Antiqua" w:hAnsi="Book Antiqua" w:cs="Book Antiqua"/>
          <w:color w:val="000000"/>
        </w:rPr>
        <w:t xml:space="preserve"> 160-175 g/L) and platelet count 75</w:t>
      </w:r>
      <w:r>
        <w:rPr>
          <w:rFonts w:ascii="Book Antiqua" w:hAnsi="Book Antiqua" w:cs="Book Antiqua" w:hint="eastAsia"/>
          <w:color w:val="000000"/>
          <w:lang w:eastAsia="zh-CN"/>
        </w:rPr>
        <w:t xml:space="preserve"> </w:t>
      </w:r>
      <w:r>
        <w:rPr>
          <w:rFonts w:ascii="Book Antiqua" w:hAnsi="Book Antiqua"/>
        </w:rPr>
        <w:t>× 10</w:t>
      </w:r>
      <w:r>
        <w:rPr>
          <w:rFonts w:ascii="Book Antiqua" w:hAnsi="Book Antiqua"/>
          <w:vertAlign w:val="superscript"/>
        </w:rPr>
        <w:t>9</w:t>
      </w:r>
      <w:r>
        <w:rPr>
          <w:rFonts w:ascii="Book Antiqua" w:eastAsia="Book Antiqua" w:hAnsi="Book Antiqua" w:cs="Book Antiqua"/>
          <w:color w:val="000000"/>
        </w:rPr>
        <w:t>/L (normal</w:t>
      </w:r>
      <w:r>
        <w:rPr>
          <w:rFonts w:ascii="Book Antiqua" w:eastAsia="Book Antiqua" w:hAnsi="Book Antiqua" w:cs="Book Antiqua"/>
          <w:color w:val="000000"/>
        </w:rPr>
        <w:t>:</w:t>
      </w:r>
      <w:r>
        <w:rPr>
          <w:rFonts w:ascii="Book Antiqua" w:eastAsia="Book Antiqua" w:hAnsi="Book Antiqua" w:cs="Book Antiqua"/>
          <w:color w:val="000000"/>
        </w:rPr>
        <w:t xml:space="preserve"> 125-350</w:t>
      </w:r>
      <w:r>
        <w:rPr>
          <w:rFonts w:ascii="Book Antiqua" w:hAnsi="Book Antiqua" w:cs="Book Antiqua" w:hint="eastAsia"/>
          <w:color w:val="000000"/>
          <w:lang w:eastAsia="zh-CN"/>
        </w:rPr>
        <w:t xml:space="preserve"> </w:t>
      </w:r>
      <w:r>
        <w:rPr>
          <w:rFonts w:ascii="Book Antiqua" w:hAnsi="Book Antiqua"/>
        </w:rPr>
        <w:t>× 10</w:t>
      </w:r>
      <w:r>
        <w:rPr>
          <w:rFonts w:ascii="Book Antiqua" w:hAnsi="Book Antiqua"/>
          <w:vertAlign w:val="superscript"/>
        </w:rPr>
        <w:t>9</w:t>
      </w:r>
      <w:r>
        <w:rPr>
          <w:rFonts w:ascii="Book Antiqua" w:eastAsia="Book Antiqua" w:hAnsi="Book Antiqua" w:cs="Book Antiqua"/>
          <w:color w:val="000000"/>
        </w:rPr>
        <w:t>/L). The coagulation function test showed that the prothrombin time was 16.4 s (normal</w:t>
      </w:r>
      <w:r>
        <w:rPr>
          <w:rFonts w:ascii="Book Antiqua" w:eastAsia="Book Antiqua" w:hAnsi="Book Antiqua" w:cs="Book Antiqua"/>
          <w:color w:val="000000"/>
        </w:rPr>
        <w:t>:</w:t>
      </w:r>
      <w:r>
        <w:rPr>
          <w:rFonts w:ascii="Book Antiqua" w:eastAsia="Book Antiqua" w:hAnsi="Book Antiqua" w:cs="Book Antiqua"/>
          <w:color w:val="000000"/>
        </w:rPr>
        <w:t xml:space="preserve"> 9.8-13.2 s), and the international normalized ratio </w:t>
      </w:r>
      <w:r>
        <w:rPr>
          <w:rFonts w:ascii="Book Antiqua" w:eastAsia="Book Antiqua" w:hAnsi="Book Antiqua" w:cs="Book Antiqua"/>
          <w:color w:val="000000"/>
        </w:rPr>
        <w:lastRenderedPageBreak/>
        <w:t>was 1.46 s (</w:t>
      </w:r>
      <w:r>
        <w:rPr>
          <w:rFonts w:ascii="Book Antiqua" w:eastAsia="Book Antiqua" w:hAnsi="Book Antiqua" w:cs="Book Antiqua"/>
          <w:color w:val="000000"/>
        </w:rPr>
        <w:t>normal</w:t>
      </w:r>
      <w:r>
        <w:rPr>
          <w:rFonts w:ascii="Book Antiqua" w:eastAsia="Book Antiqua" w:hAnsi="Book Antiqua" w:cs="Book Antiqua"/>
          <w:color w:val="000000"/>
        </w:rPr>
        <w:t>:</w:t>
      </w:r>
      <w:r>
        <w:rPr>
          <w:rFonts w:ascii="Book Antiqua" w:eastAsia="Book Antiqua" w:hAnsi="Book Antiqua" w:cs="Book Antiqua"/>
          <w:color w:val="000000"/>
        </w:rPr>
        <w:t xml:space="preserve"> 0.85-1.20 s) (Table 1). The erythrocyte sedimentation rate, neutrophil count and hypersensitivity C-reactive protein were normal. Stool and urine routine tests were also normal.</w:t>
      </w:r>
    </w:p>
    <w:p w14:paraId="69D4C8BB" w14:textId="77777777" w:rsidR="0012719E" w:rsidRDefault="0012719E">
      <w:pPr>
        <w:spacing w:line="360" w:lineRule="auto"/>
        <w:jc w:val="both"/>
        <w:rPr>
          <w:rFonts w:ascii="Book Antiqua" w:hAnsi="Book Antiqua"/>
        </w:rPr>
      </w:pPr>
    </w:p>
    <w:p w14:paraId="23259543" w14:textId="77777777" w:rsidR="0012719E" w:rsidRDefault="00B91CBC">
      <w:pPr>
        <w:spacing w:line="360" w:lineRule="auto"/>
        <w:jc w:val="both"/>
        <w:rPr>
          <w:rFonts w:ascii="Book Antiqua" w:hAnsi="Book Antiqua"/>
        </w:rPr>
      </w:pPr>
      <w:r>
        <w:rPr>
          <w:rFonts w:ascii="Book Antiqua" w:eastAsia="Book Antiqua" w:hAnsi="Book Antiqua" w:cs="Book Antiqua"/>
          <w:b/>
          <w:i/>
          <w:color w:val="000000"/>
        </w:rPr>
        <w:t>Imaging examinations</w:t>
      </w:r>
    </w:p>
    <w:p w14:paraId="73DBF152" w14:textId="77777777" w:rsidR="0012719E" w:rsidRDefault="00B91CBC">
      <w:pPr>
        <w:spacing w:line="360" w:lineRule="auto"/>
        <w:jc w:val="both"/>
        <w:rPr>
          <w:rFonts w:ascii="Book Antiqua" w:hAnsi="Book Antiqua"/>
          <w:lang w:eastAsia="zh-CN"/>
        </w:rPr>
      </w:pPr>
      <w:r>
        <w:rPr>
          <w:rFonts w:ascii="Book Antiqua" w:eastAsia="Book Antiqua" w:hAnsi="Book Antiqua" w:cs="Book Antiqua"/>
          <w:color w:val="000000"/>
        </w:rPr>
        <w:t xml:space="preserve">Hepatobiliary enhanced magnetic </w:t>
      </w:r>
      <w:r>
        <w:rPr>
          <w:rFonts w:ascii="Book Antiqua" w:eastAsia="Book Antiqua" w:hAnsi="Book Antiqua" w:cs="Book Antiqua"/>
          <w:color w:val="000000"/>
        </w:rPr>
        <w:t>resonance imaging showed that the liver contour was unsmooth, the liver proportion was imbalanced, the left lobe of the liver was enlarged and the right lobe of the liver was reduced. The liver parenchymal signal was not uniform, and multiple diffuse nodul</w:t>
      </w:r>
      <w:r>
        <w:rPr>
          <w:rFonts w:ascii="Book Antiqua" w:eastAsia="Book Antiqua" w:hAnsi="Book Antiqua" w:cs="Book Antiqua"/>
          <w:color w:val="000000"/>
        </w:rPr>
        <w:t>es could be seen. T1-weighted imaging showed isointensity, T</w:t>
      </w:r>
      <w:r>
        <w:rPr>
          <w:rFonts w:ascii="Book Antiqua" w:eastAsia="Book Antiqua" w:hAnsi="Book Antiqua" w:cs="Book Antiqua" w:hint="eastAsia"/>
          <w:color w:val="000000"/>
        </w:rPr>
        <w:t>2</w:t>
      </w:r>
      <w:r>
        <w:rPr>
          <w:rFonts w:ascii="Book Antiqua" w:eastAsia="Book Antiqua" w:hAnsi="Book Antiqua" w:cs="Book Antiqua"/>
          <w:color w:val="000000"/>
        </w:rPr>
        <w:t>-weighted imaging showed low signal, OutPhase signal was not lower than InPhase and there were no obvious abnormalities in the liver parenchyma after enhancement. The internal diameter of the mai</w:t>
      </w:r>
      <w:r>
        <w:rPr>
          <w:rFonts w:ascii="Book Antiqua" w:eastAsia="Book Antiqua" w:hAnsi="Book Antiqua" w:cs="Book Antiqua"/>
          <w:color w:val="000000"/>
        </w:rPr>
        <w:t>n portal vein was within the normal range, and the intrahepatic bile duct was not significantly dilated. The volume of the spleen increased, and there was no obvious abnormality in the signal. The examination revealed liver cirrhosis, splenomegaly and asci</w:t>
      </w:r>
      <w:r>
        <w:rPr>
          <w:rFonts w:ascii="Book Antiqua" w:eastAsia="Book Antiqua" w:hAnsi="Book Antiqua" w:cs="Book Antiqua"/>
          <w:color w:val="000000"/>
        </w:rPr>
        <w:t>tes</w:t>
      </w:r>
      <w:r>
        <w:rPr>
          <w:rFonts w:ascii="Book Antiqua" w:hAnsi="Book Antiqua" w:cs="Book Antiqua"/>
          <w:color w:val="000000"/>
          <w:lang w:eastAsia="zh-CN"/>
        </w:rPr>
        <w:t xml:space="preserve"> (Figure </w:t>
      </w:r>
      <w:r>
        <w:rPr>
          <w:rFonts w:ascii="Book Antiqua" w:hAnsi="Book Antiqua" w:cs="Book Antiqua" w:hint="eastAsia"/>
          <w:color w:val="000000"/>
          <w:lang w:eastAsia="zh-CN"/>
        </w:rPr>
        <w:t>1</w:t>
      </w:r>
      <w:r>
        <w:rPr>
          <w:rFonts w:ascii="Book Antiqua" w:hAnsi="Book Antiqua" w:cs="Book Antiqua"/>
          <w:color w:val="000000"/>
          <w:lang w:eastAsia="zh-CN"/>
        </w:rPr>
        <w:t>)</w:t>
      </w:r>
      <w:r>
        <w:rPr>
          <w:rFonts w:ascii="Book Antiqua" w:eastAsia="Book Antiqua" w:hAnsi="Book Antiqua" w:cs="Book Antiqua"/>
          <w:color w:val="000000"/>
        </w:rPr>
        <w:t>.</w:t>
      </w:r>
    </w:p>
    <w:p w14:paraId="57C5C9A7" w14:textId="77777777" w:rsidR="0012719E" w:rsidRDefault="0012719E">
      <w:pPr>
        <w:spacing w:line="360" w:lineRule="auto"/>
        <w:jc w:val="both"/>
        <w:rPr>
          <w:rFonts w:ascii="Book Antiqua" w:hAnsi="Book Antiqua"/>
        </w:rPr>
      </w:pPr>
    </w:p>
    <w:p w14:paraId="59D5F70A" w14:textId="77777777" w:rsidR="0012719E" w:rsidRDefault="00B91CBC">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Further diagnostic work-up</w:t>
      </w:r>
    </w:p>
    <w:p w14:paraId="00731FA4"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Abnormal liver functions are associated with viral infection, alcohol consumption, drug use, autoimmunity and genetic diseases. In the present case, coxsackie virus antibody, Epstein-Barr virus antibody, hepatiti</w:t>
      </w:r>
      <w:r>
        <w:rPr>
          <w:rFonts w:ascii="Book Antiqua" w:eastAsia="Book Antiqua" w:hAnsi="Book Antiqua" w:cs="Book Antiqua"/>
          <w:color w:val="000000"/>
        </w:rPr>
        <w:t>s B surface antigen, and cytomegalovirus-DNA were examined</w:t>
      </w:r>
      <w:r>
        <w:rPr>
          <w:rFonts w:ascii="Book Antiqua" w:eastAsia="Book Antiqua" w:hAnsi="Book Antiqua" w:cs="Book Antiqua"/>
          <w:color w:val="000000"/>
        </w:rPr>
        <w:t>;</w:t>
      </w:r>
      <w:r>
        <w:rPr>
          <w:rFonts w:ascii="Book Antiqua" w:eastAsia="Book Antiqua" w:hAnsi="Book Antiqua" w:cs="Book Antiqua"/>
          <w:color w:val="000000"/>
        </w:rPr>
        <w:t xml:space="preserve"> and results were all negative, thus viral factors could be ruled out. In addition, as the patient had no history of drinking and inappropriate drug use, alcoholic and drug-related factors were als</w:t>
      </w:r>
      <w:r>
        <w:rPr>
          <w:rFonts w:ascii="Book Antiqua" w:eastAsia="Book Antiqua" w:hAnsi="Book Antiqua" w:cs="Book Antiqua"/>
          <w:color w:val="000000"/>
        </w:rPr>
        <w:t xml:space="preserve">o ruled out. The patient's antinuclear antibody and </w:t>
      </w:r>
      <w:r>
        <w:rPr>
          <w:rFonts w:ascii="Book Antiqua" w:eastAsia="Book Antiqua" w:hAnsi="Book Antiqua" w:cs="Book Antiqua"/>
          <w:color w:val="000000"/>
          <w:shd w:val="clear" w:color="auto" w:fill="FFFFFF"/>
        </w:rPr>
        <w:t>anti-neutrophil cytoplasmic antibodies</w:t>
      </w:r>
      <w:r>
        <w:rPr>
          <w:rFonts w:ascii="Book Antiqua" w:eastAsia="Book Antiqua" w:hAnsi="Book Antiqua" w:cs="Book Antiqua"/>
          <w:color w:val="000000"/>
        </w:rPr>
        <w:t xml:space="preserve"> test were negative, which excluded autoimmune factors. Therefore, we speculated that the patient may have a genetic disease that caused abnormal liver function, so g</w:t>
      </w:r>
      <w:r>
        <w:rPr>
          <w:rFonts w:ascii="Book Antiqua" w:eastAsia="Book Antiqua" w:hAnsi="Book Antiqua" w:cs="Book Antiqua"/>
          <w:color w:val="000000"/>
        </w:rPr>
        <w:t xml:space="preserve">enetic test was carried out for genetic mutations. </w:t>
      </w:r>
    </w:p>
    <w:p w14:paraId="5B91845C" w14:textId="77777777" w:rsidR="0012719E" w:rsidRDefault="0012719E">
      <w:pPr>
        <w:spacing w:line="360" w:lineRule="auto"/>
        <w:jc w:val="both"/>
        <w:rPr>
          <w:rFonts w:ascii="Book Antiqua" w:hAnsi="Book Antiqua"/>
        </w:rPr>
      </w:pPr>
    </w:p>
    <w:p w14:paraId="788F9696" w14:textId="77777777" w:rsidR="0012719E" w:rsidRDefault="00B91CBC">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Genetic testing and analysis</w:t>
      </w:r>
    </w:p>
    <w:p w14:paraId="3790E3A4"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 xml:space="preserve">The detection range included 20000 gene combinations such as </w:t>
      </w:r>
      <w:r>
        <w:rPr>
          <w:rFonts w:ascii="Book Antiqua" w:eastAsia="Book Antiqua" w:hAnsi="Book Antiqua" w:cs="Book Antiqua"/>
          <w:i/>
          <w:iCs/>
          <w:color w:val="000000"/>
        </w:rPr>
        <w:t xml:space="preserve">AARS, ANO5 </w:t>
      </w:r>
      <w:r>
        <w:rPr>
          <w:rFonts w:ascii="Book Antiqua" w:eastAsia="Book Antiqua" w:hAnsi="Book Antiqua" w:cs="Book Antiqua"/>
          <w:color w:val="000000"/>
        </w:rPr>
        <w:t>and</w:t>
      </w:r>
      <w:r>
        <w:rPr>
          <w:rFonts w:ascii="Book Antiqua" w:eastAsia="Book Antiqua" w:hAnsi="Book Antiqua" w:cs="Book Antiqua"/>
          <w:i/>
          <w:iCs/>
          <w:color w:val="000000"/>
        </w:rPr>
        <w:t xml:space="preserve"> CAPN3</w:t>
      </w:r>
      <w:r>
        <w:rPr>
          <w:rFonts w:ascii="Book Antiqua" w:eastAsia="Book Antiqua" w:hAnsi="Book Antiqua" w:cs="Book Antiqua"/>
          <w:color w:val="000000"/>
        </w:rPr>
        <w:t>, for genetic diseases. Exons and their adjacent ±</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bp introns were tested and analyzed </w:t>
      </w:r>
      <w:r>
        <w:rPr>
          <w:rFonts w:ascii="Book Antiqua" w:eastAsia="Book Antiqua" w:hAnsi="Book Antiqua" w:cs="Book Antiqua"/>
          <w:color w:val="000000"/>
        </w:rPr>
        <w:lastRenderedPageBreak/>
        <w:t xml:space="preserve">by high-throughput sequencing. Regarding genes related to the digestive system, a heterozygous missense mutation (c.710A&gt;G) in the 33998775 position of exon 5 of the </w:t>
      </w:r>
      <w:r>
        <w:rPr>
          <w:rFonts w:ascii="Book Antiqua" w:eastAsia="Book Antiqua" w:hAnsi="Book Antiqua" w:cs="Book Antiqua"/>
          <w:i/>
          <w:iCs/>
          <w:color w:val="000000"/>
        </w:rPr>
        <w:t>AMACR</w:t>
      </w:r>
      <w:r>
        <w:rPr>
          <w:rFonts w:ascii="Book Antiqua" w:eastAsia="Book Antiqua" w:hAnsi="Book Antiqua" w:cs="Book Antiqua"/>
          <w:color w:val="000000"/>
        </w:rPr>
        <w:t xml:space="preserve"> gene was found (Figure </w:t>
      </w:r>
      <w:r>
        <w:rPr>
          <w:rFonts w:ascii="Book Antiqua" w:hAnsi="Book Antiqua" w:cs="Book Antiqua" w:hint="eastAsia"/>
          <w:color w:val="000000"/>
          <w:lang w:eastAsia="zh-CN"/>
        </w:rPr>
        <w:t>2</w:t>
      </w:r>
      <w:r>
        <w:rPr>
          <w:rFonts w:ascii="Book Antiqua" w:eastAsia="Book Antiqua" w:hAnsi="Book Antiqua" w:cs="Book Antiqua"/>
          <w:color w:val="000000"/>
        </w:rPr>
        <w:t>), which occurred in the</w:t>
      </w:r>
      <w:r>
        <w:rPr>
          <w:rFonts w:ascii="Book Antiqua" w:eastAsia="Book Antiqua" w:hAnsi="Book Antiqua" w:cs="Book Antiqua"/>
          <w:color w:val="000000"/>
        </w:rPr>
        <w:t xml:space="preserve"> protein CoA-transferase family </w:t>
      </w:r>
      <w:r>
        <w:rPr>
          <w:rFonts w:ascii="SimSun" w:eastAsia="SimSun" w:hAnsi="SimSun" w:cs="SimSun" w:hint="eastAsia"/>
          <w:color w:val="000000"/>
        </w:rPr>
        <w:t>Ⅲ</w:t>
      </w:r>
      <w:r>
        <w:rPr>
          <w:rFonts w:ascii="Book Antiqua" w:eastAsia="Book Antiqua" w:hAnsi="Book Antiqua" w:cs="Book Antiqua"/>
          <w:color w:val="000000"/>
        </w:rPr>
        <w:t xml:space="preserve"> domain. According to the National Center for Biotechnology Information and Online Mendelian Inheritance in Man, the frequency of this site in the normal East Asian population is 0.0001. SIFT and Polyphen-2 software was use</w:t>
      </w:r>
      <w:r>
        <w:rPr>
          <w:rFonts w:ascii="Book Antiqua" w:eastAsia="Book Antiqua" w:hAnsi="Book Antiqua" w:cs="Book Antiqua"/>
          <w:color w:val="000000"/>
        </w:rPr>
        <w:t>d to predict its protein function, and the results were all positive.</w:t>
      </w:r>
    </w:p>
    <w:p w14:paraId="4C79DAD3" w14:textId="77777777" w:rsidR="0012719E" w:rsidRDefault="0012719E">
      <w:pPr>
        <w:spacing w:line="360" w:lineRule="auto"/>
        <w:jc w:val="both"/>
        <w:rPr>
          <w:rFonts w:ascii="Book Antiqua" w:hAnsi="Book Antiqua"/>
        </w:rPr>
      </w:pPr>
    </w:p>
    <w:p w14:paraId="79CCBF18" w14:textId="77777777" w:rsidR="0012719E" w:rsidRDefault="00B91CBC">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ECBF1E2"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The final diagnosis was abnormal liver function caused by inborn error of bile acid synthesis type 4.</w:t>
      </w:r>
    </w:p>
    <w:p w14:paraId="310B2FD0" w14:textId="77777777" w:rsidR="0012719E" w:rsidRDefault="0012719E">
      <w:pPr>
        <w:spacing w:line="360" w:lineRule="auto"/>
        <w:jc w:val="both"/>
        <w:rPr>
          <w:rFonts w:ascii="Book Antiqua" w:hAnsi="Book Antiqua"/>
        </w:rPr>
      </w:pPr>
    </w:p>
    <w:p w14:paraId="153607B2" w14:textId="77777777" w:rsidR="0012719E" w:rsidRDefault="00B91CBC">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4D1F5EE"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He was given liver-protecting treatments such as intrave</w:t>
      </w:r>
      <w:r>
        <w:rPr>
          <w:rFonts w:ascii="Book Antiqua" w:eastAsia="Book Antiqua" w:hAnsi="Book Antiqua" w:cs="Book Antiqua"/>
          <w:color w:val="000000"/>
        </w:rPr>
        <w:t>nous infusion of compound glycyrrhizin 80</w:t>
      </w:r>
      <w:r>
        <w:rPr>
          <w:rFonts w:ascii="Book Antiqua" w:hAnsi="Book Antiqua" w:cs="Book Antiqua" w:hint="eastAsia"/>
          <w:color w:val="000000"/>
          <w:lang w:eastAsia="zh-CN"/>
        </w:rPr>
        <w:t xml:space="preserve"> </w:t>
      </w:r>
      <w:r>
        <w:rPr>
          <w:rFonts w:ascii="Book Antiqua" w:eastAsia="Book Antiqua" w:hAnsi="Book Antiqua" w:cs="Book Antiqua"/>
          <w:color w:val="000000"/>
        </w:rPr>
        <w:t>mL qd, adenosylmethionine 1000</w:t>
      </w:r>
      <w:r>
        <w:rPr>
          <w:rFonts w:ascii="Book Antiqua" w:hAnsi="Book Antiqua" w:cs="Book Antiqua" w:hint="eastAsia"/>
          <w:color w:val="000000"/>
          <w:lang w:eastAsia="zh-CN"/>
        </w:rPr>
        <w:t xml:space="preserve"> </w:t>
      </w:r>
      <w:r>
        <w:rPr>
          <w:rFonts w:ascii="Book Antiqua" w:eastAsia="Book Antiqua" w:hAnsi="Book Antiqua" w:cs="Book Antiqua"/>
          <w:color w:val="000000"/>
        </w:rPr>
        <w:t>mg qd and glutathione 1.2</w:t>
      </w:r>
      <w:r>
        <w:rPr>
          <w:rFonts w:ascii="Book Antiqua" w:hAnsi="Book Antiqua" w:cs="Book Antiqua" w:hint="eastAsia"/>
          <w:color w:val="000000"/>
          <w:lang w:eastAsia="zh-CN"/>
        </w:rPr>
        <w:t xml:space="preserve"> </w:t>
      </w:r>
      <w:r>
        <w:rPr>
          <w:rFonts w:ascii="Book Antiqua" w:eastAsia="Book Antiqua" w:hAnsi="Book Antiqua" w:cs="Book Antiqua"/>
          <w:color w:val="000000"/>
        </w:rPr>
        <w:t>g qd. As the patient had hypoalbuminemia, 10</w:t>
      </w:r>
      <w:r>
        <w:rPr>
          <w:rFonts w:ascii="Book Antiqua" w:hAnsi="Book Antiqua" w:cs="Book Antiqua" w:hint="eastAsia"/>
          <w:color w:val="000000"/>
          <w:lang w:eastAsia="zh-CN"/>
        </w:rPr>
        <w:t xml:space="preserve"> </w:t>
      </w:r>
      <w:r>
        <w:rPr>
          <w:rFonts w:ascii="Book Antiqua" w:eastAsia="Book Antiqua" w:hAnsi="Book Antiqua" w:cs="Book Antiqua"/>
          <w:color w:val="000000"/>
        </w:rPr>
        <w:t>g qd human albumin was injected intravenously. Spironolactone tablets were also administered orally at 20 mg qd.</w:t>
      </w:r>
      <w:r>
        <w:rPr>
          <w:rFonts w:ascii="Book Antiqua" w:eastAsia="Book Antiqua" w:hAnsi="Book Antiqua" w:cs="Book Antiqua"/>
          <w:color w:val="000000"/>
        </w:rPr>
        <w:t xml:space="preserve"> After the diagnosis, the patient started oral ursodeoxycholic acid 0.25</w:t>
      </w:r>
      <w:r>
        <w:rPr>
          <w:rFonts w:ascii="Book Antiqua" w:hAnsi="Book Antiqua" w:cs="Book Antiqua" w:hint="eastAsia"/>
          <w:color w:val="000000"/>
          <w:lang w:eastAsia="zh-CN"/>
        </w:rPr>
        <w:t xml:space="preserve"> </w:t>
      </w:r>
      <w:r>
        <w:rPr>
          <w:rFonts w:ascii="Book Antiqua" w:eastAsia="Book Antiqua" w:hAnsi="Book Antiqua" w:cs="Book Antiqua"/>
          <w:color w:val="000000"/>
        </w:rPr>
        <w:t>g tid. Subsequently, the fat-soluble vitamin was tested, and the result showed that vitamin A was 83.10</w:t>
      </w:r>
      <w:r>
        <w:rPr>
          <w:rFonts w:ascii="Book Antiqua" w:hAnsi="Book Antiqua" w:cs="Book Antiqua" w:hint="eastAsia"/>
          <w:color w:val="000000"/>
          <w:lang w:eastAsia="zh-CN"/>
        </w:rPr>
        <w:t xml:space="preserve"> </w:t>
      </w:r>
      <w:r>
        <w:rPr>
          <w:rFonts w:ascii="Book Antiqua" w:eastAsia="Book Antiqua" w:hAnsi="Book Antiqua" w:cs="Book Antiqua"/>
          <w:color w:val="000000"/>
        </w:rPr>
        <w:t>ng/mL (normal</w:t>
      </w:r>
      <w:r>
        <w:rPr>
          <w:rFonts w:ascii="Book Antiqua" w:eastAsia="Book Antiqua" w:hAnsi="Book Antiqua" w:cs="Book Antiqua"/>
          <w:color w:val="000000"/>
        </w:rPr>
        <w:t>:</w:t>
      </w:r>
      <w:r>
        <w:rPr>
          <w:rFonts w:ascii="Book Antiqua" w:eastAsia="Book Antiqua" w:hAnsi="Book Antiqua" w:cs="Book Antiqua"/>
          <w:color w:val="000000"/>
        </w:rPr>
        <w:t xml:space="preserve"> 300-800</w:t>
      </w:r>
      <w:r>
        <w:rPr>
          <w:rFonts w:ascii="Book Antiqua" w:hAnsi="Book Antiqua" w:cs="Book Antiqua" w:hint="eastAsia"/>
          <w:color w:val="000000"/>
          <w:lang w:eastAsia="zh-CN"/>
        </w:rPr>
        <w:t xml:space="preserve"> </w:t>
      </w:r>
      <w:r>
        <w:rPr>
          <w:rFonts w:ascii="Book Antiqua" w:eastAsia="Book Antiqua" w:hAnsi="Book Antiqua" w:cs="Book Antiqua"/>
          <w:color w:val="000000"/>
        </w:rPr>
        <w:t>ng/mL), so vitamin A capsules of 25000 units bid were su</w:t>
      </w:r>
      <w:r>
        <w:rPr>
          <w:rFonts w:ascii="Book Antiqua" w:eastAsia="Book Antiqua" w:hAnsi="Book Antiqua" w:cs="Book Antiqua"/>
          <w:color w:val="000000"/>
        </w:rPr>
        <w:t>pplemented. After 2 wk of continuous use of liver protection and diuretics, the patient's liver function improved significantly, the abdominal distension was markedly relieved and the skin and sclera were slightly yellowish</w:t>
      </w:r>
      <w:r>
        <w:rPr>
          <w:rFonts w:ascii="Book Antiqua" w:eastAsia="Book Antiqua" w:hAnsi="Book Antiqua" w:cs="Book Antiqua"/>
          <w:color w:val="000000"/>
        </w:rPr>
        <w:t>;</w:t>
      </w:r>
      <w:r>
        <w:rPr>
          <w:rFonts w:ascii="Book Antiqua" w:eastAsia="Book Antiqua" w:hAnsi="Book Antiqua" w:cs="Book Antiqua"/>
          <w:color w:val="000000"/>
        </w:rPr>
        <w:t xml:space="preserve"> the patient was then discharged</w:t>
      </w:r>
      <w:r>
        <w:rPr>
          <w:rFonts w:ascii="Book Antiqua" w:eastAsia="Book Antiqua" w:hAnsi="Book Antiqua" w:cs="Book Antiqua"/>
          <w:color w:val="000000"/>
        </w:rPr>
        <w:t xml:space="preserve"> from hospital. </w:t>
      </w:r>
    </w:p>
    <w:p w14:paraId="15D48321" w14:textId="77777777" w:rsidR="0012719E" w:rsidRDefault="00B91CBC">
      <w:pPr>
        <w:spacing w:line="360" w:lineRule="auto"/>
        <w:ind w:firstLine="360"/>
        <w:jc w:val="both"/>
        <w:rPr>
          <w:rFonts w:ascii="Book Antiqua" w:hAnsi="Book Antiqua"/>
        </w:rPr>
      </w:pPr>
      <w:r>
        <w:rPr>
          <w:rFonts w:ascii="Book Antiqua" w:eastAsia="Book Antiqua" w:hAnsi="Book Antiqua" w:cs="Book Antiqua"/>
          <w:color w:val="000000"/>
        </w:rPr>
        <w:t>The patient was advised to take ursodeoxycholic acid 0.25 g tid, bicyclol 25</w:t>
      </w:r>
      <w:r>
        <w:rPr>
          <w:rFonts w:ascii="Book Antiqua" w:hAnsi="Book Antiqua" w:cs="Book Antiqua" w:hint="eastAsia"/>
          <w:color w:val="000000"/>
          <w:lang w:eastAsia="zh-CN"/>
        </w:rPr>
        <w:t xml:space="preserve"> </w:t>
      </w:r>
      <w:r>
        <w:rPr>
          <w:rFonts w:ascii="Book Antiqua" w:eastAsia="Book Antiqua" w:hAnsi="Book Antiqua" w:cs="Book Antiqua"/>
          <w:color w:val="000000"/>
        </w:rPr>
        <w:t>mg tid, spironolactone tablets 20</w:t>
      </w:r>
      <w:r>
        <w:rPr>
          <w:rFonts w:ascii="Book Antiqua" w:hAnsi="Book Antiqua" w:cs="Book Antiqua" w:hint="eastAsia"/>
          <w:color w:val="000000"/>
          <w:lang w:eastAsia="zh-CN"/>
        </w:rPr>
        <w:t xml:space="preserve"> </w:t>
      </w:r>
      <w:r>
        <w:rPr>
          <w:rFonts w:ascii="Book Antiqua" w:eastAsia="Book Antiqua" w:hAnsi="Book Antiqua" w:cs="Book Antiqua"/>
          <w:color w:val="000000"/>
        </w:rPr>
        <w:t>mg qd, peptides 80 mg tid and vitamin A capsules of 25000 units bid.</w:t>
      </w:r>
    </w:p>
    <w:p w14:paraId="14B75066" w14:textId="77777777" w:rsidR="0012719E" w:rsidRDefault="0012719E">
      <w:pPr>
        <w:spacing w:line="360" w:lineRule="auto"/>
        <w:ind w:firstLine="360"/>
        <w:jc w:val="both"/>
        <w:rPr>
          <w:rFonts w:ascii="Book Antiqua" w:hAnsi="Book Antiqua"/>
        </w:rPr>
      </w:pPr>
    </w:p>
    <w:p w14:paraId="57941080" w14:textId="77777777" w:rsidR="0012719E" w:rsidRDefault="00B91CBC">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6649E839"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The patient had good compliance with</w:t>
      </w:r>
      <w:r>
        <w:rPr>
          <w:rFonts w:ascii="Book Antiqua" w:eastAsia="Book Antiqua" w:hAnsi="Book Antiqua" w:cs="Book Antiqua"/>
          <w:color w:val="000000"/>
        </w:rPr>
        <w:t xml:space="preserve"> medication and regular check-ups every month. During the follow-up, the patient had no obvious symptoms such as abdominal </w:t>
      </w:r>
      <w:r>
        <w:rPr>
          <w:rFonts w:ascii="Book Antiqua" w:eastAsia="Book Antiqua" w:hAnsi="Book Antiqua" w:cs="Book Antiqua"/>
          <w:color w:val="000000"/>
        </w:rPr>
        <w:lastRenderedPageBreak/>
        <w:t>distension, and the liver function indicators basically returned to normal. It was recommended that the patient should continue treat</w:t>
      </w:r>
      <w:r>
        <w:rPr>
          <w:rFonts w:ascii="Book Antiqua" w:eastAsia="Book Antiqua" w:hAnsi="Book Antiqua" w:cs="Book Antiqua"/>
          <w:color w:val="000000"/>
        </w:rPr>
        <w:t>ment and medication and regular inspections.</w:t>
      </w:r>
    </w:p>
    <w:p w14:paraId="3C5EB7DC" w14:textId="77777777" w:rsidR="0012719E" w:rsidRDefault="0012719E">
      <w:pPr>
        <w:spacing w:line="360" w:lineRule="auto"/>
        <w:jc w:val="both"/>
        <w:rPr>
          <w:rFonts w:ascii="Book Antiqua" w:hAnsi="Book Antiqua"/>
        </w:rPr>
      </w:pPr>
    </w:p>
    <w:p w14:paraId="18C05501" w14:textId="77777777" w:rsidR="0012719E" w:rsidRDefault="00B91CBC">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589D84A"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 xml:space="preserve">The clinical phenotype caused by AMACR deficiency is known as inborn error of bile acid synthesis type 4. AMACR deficiency is an autosomal recessive defect that affects or even hinders bile acid </w:t>
      </w:r>
      <w:r>
        <w:rPr>
          <w:rFonts w:ascii="Book Antiqua" w:eastAsia="Book Antiqua" w:hAnsi="Book Antiqua" w:cs="Book Antiqua"/>
          <w:color w:val="000000"/>
        </w:rPr>
        <w:t>and fatty acid synthesis by inhibiting oxidative AMACR deficiency of cholesterol side chain</w:t>
      </w:r>
      <w:r>
        <w:rPr>
          <w:rFonts w:ascii="Book Antiqua" w:eastAsia="Book Antiqua" w:hAnsi="Book Antiqua" w:cs="Book Antiqua"/>
          <w:color w:val="000000"/>
          <w:vertAlign w:val="superscript"/>
        </w:rPr>
        <w:t>[</w:t>
      </w:r>
      <w:hyperlink w:anchor="_ENREF_5" w:tooltip="Watkins, 1995 #25" w:history="1">
        <w:r>
          <w:rPr>
            <w:rFonts w:ascii="Book Antiqua" w:eastAsia="Book Antiqua" w:hAnsi="Book Antiqua" w:cs="Book Antiqua"/>
            <w:color w:val="000000"/>
            <w:u w:color="0000EE"/>
            <w:vertAlign w:val="superscript"/>
          </w:rPr>
          <w:t>5</w:t>
        </w:r>
      </w:hyperlink>
      <w:r>
        <w:rPr>
          <w:rFonts w:ascii="Book Antiqua" w:eastAsia="Book Antiqua" w:hAnsi="Book Antiqua" w:cs="Book Antiqua"/>
          <w:color w:val="000000"/>
          <w:vertAlign w:val="superscript"/>
        </w:rPr>
        <w:t>,</w:t>
      </w:r>
      <w:hyperlink w:anchor="_ENREF_6" w:tooltip="Ferdinandusse, 2000 #21" w:history="1">
        <w:r>
          <w:rPr>
            <w:rFonts w:ascii="Book Antiqua" w:eastAsia="Book Antiqua" w:hAnsi="Book Antiqua" w:cs="Book Antiqua"/>
            <w:color w:val="000000"/>
            <w:u w:color="0000EE"/>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AMACR catalyzes conversion of 25R</w:t>
      </w:r>
      <w:r>
        <w:rPr>
          <w:rFonts w:ascii="Book Antiqua" w:eastAsia="Book Antiqua" w:hAnsi="Book Antiqua" w:cs="Book Antiqua"/>
          <w:color w:val="000000"/>
        </w:rPr>
        <w:t>-</w:t>
      </w:r>
      <w:r>
        <w:rPr>
          <w:rFonts w:ascii="Book Antiqua" w:eastAsia="Book Antiqua" w:hAnsi="Book Antiqua" w:cs="Book Antiqua"/>
          <w:color w:val="000000"/>
        </w:rPr>
        <w:t>trihydroxy-chole</w:t>
      </w:r>
      <w:r>
        <w:rPr>
          <w:rFonts w:ascii="Book Antiqua" w:eastAsia="Book Antiqua" w:hAnsi="Book Antiqua" w:cs="Book Antiqua"/>
          <w:color w:val="000000"/>
        </w:rPr>
        <w:t>stanoic acid to its 25S isomer; a step required for subsequent oxidation of peroxisomal β-oxidate to primary bile acids</w:t>
      </w:r>
      <w:r>
        <w:rPr>
          <w:rFonts w:ascii="Book Antiqua" w:eastAsia="Book Antiqua" w:hAnsi="Book Antiqua" w:cs="Book Antiqua"/>
          <w:color w:val="000000"/>
          <w:vertAlign w:val="superscript"/>
        </w:rPr>
        <w:t>[</w:t>
      </w:r>
      <w:hyperlink w:anchor="_ENREF_2" w:tooltip="Monte, 2009 #15" w:history="1">
        <w:r>
          <w:rPr>
            <w:rFonts w:ascii="Book Antiqua" w:eastAsia="Book Antiqua" w:hAnsi="Book Antiqua" w:cs="Book Antiqua"/>
            <w:color w:val="000000"/>
            <w:u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43B48F4" w14:textId="77777777" w:rsidR="0012719E" w:rsidRDefault="00B91CBC">
      <w:pPr>
        <w:spacing w:line="360" w:lineRule="auto"/>
        <w:ind w:firstLine="360"/>
        <w:jc w:val="both"/>
        <w:rPr>
          <w:rFonts w:ascii="Book Antiqua" w:hAnsi="Book Antiqua"/>
        </w:rPr>
      </w:pPr>
      <w:r>
        <w:rPr>
          <w:rFonts w:ascii="Book Antiqua" w:eastAsia="Book Antiqua" w:hAnsi="Book Antiqua" w:cs="Book Antiqua"/>
          <w:color w:val="000000"/>
        </w:rPr>
        <w:t xml:space="preserve">In 2000, Ferdinandusse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6" w:tooltip="Ferdinandusse, 2000 #21" w:history="1">
        <w:r>
          <w:rPr>
            <w:rFonts w:ascii="Book Antiqua" w:eastAsia="Book Antiqua" w:hAnsi="Book Antiqua" w:cs="Book Antiqua"/>
            <w:color w:val="000000"/>
            <w:u w:color="0000EE"/>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three adult patients with progressive sensory neuropathy but presenting without fat-soluble vitamin malabsorption and liver disease. </w:t>
      </w:r>
      <w:r>
        <w:rPr>
          <w:rFonts w:ascii="Book Antiqua" w:eastAsia="Book Antiqua" w:hAnsi="Book Antiqua" w:cs="Book Antiqua"/>
          <w:i/>
          <w:iCs/>
          <w:color w:val="000000"/>
        </w:rPr>
        <w:t>AMACR</w:t>
      </w:r>
      <w:r>
        <w:rPr>
          <w:rFonts w:ascii="Book Antiqua" w:eastAsia="Book Antiqua" w:hAnsi="Book Antiqua" w:cs="Book Antiqua"/>
          <w:color w:val="000000"/>
        </w:rPr>
        <w:t xml:space="preserve"> gene detection in these three patients revealed gene mutations, and fibroblast culture confirmed the </w:t>
      </w:r>
      <w:r>
        <w:rPr>
          <w:rFonts w:ascii="Book Antiqua" w:eastAsia="Book Antiqua" w:hAnsi="Book Antiqua" w:cs="Book Antiqua"/>
          <w:color w:val="000000"/>
        </w:rPr>
        <w:t xml:space="preserve">damage to the synthetic pathway. In 2003, Setchell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7" w:tooltip="Setchell, 2003 #22" w:history="1">
        <w:r>
          <w:rPr>
            <w:rFonts w:ascii="Book Antiqua" w:eastAsia="Book Antiqua" w:hAnsi="Book Antiqua" w:cs="Book Antiqua"/>
            <w:color w:val="000000"/>
            <w:u w:color="0000EE"/>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case of AMACR deficiency in a child with fat-soluble-vitamin deficiency, coagulopathy and mild cholestatic liver disease in the neona</w:t>
      </w:r>
      <w:r>
        <w:rPr>
          <w:rFonts w:ascii="Book Antiqua" w:eastAsia="Book Antiqua" w:hAnsi="Book Antiqua" w:cs="Book Antiqua"/>
          <w:color w:val="000000"/>
        </w:rPr>
        <w:t>tal period. Analysis of the patient’s blood and urine showed significant elevation of 25R-</w:t>
      </w:r>
      <w:r>
        <w:rPr>
          <w:rFonts w:ascii="Book Antiqua" w:eastAsia="Book Antiqua" w:hAnsi="Book Antiqua" w:cs="Book Antiqua"/>
          <w:color w:val="000000"/>
        </w:rPr>
        <w:t xml:space="preserve">trihydroxy-cholestanoic acid </w:t>
      </w:r>
      <w:r>
        <w:rPr>
          <w:rFonts w:ascii="Book Antiqua" w:eastAsia="Book Antiqua" w:hAnsi="Book Antiqua" w:cs="Book Antiqua"/>
          <w:color w:val="000000"/>
        </w:rPr>
        <w:t xml:space="preserve">THCA. Genetic testing confirmed a mutation in the </w:t>
      </w:r>
      <w:r>
        <w:rPr>
          <w:rFonts w:ascii="Book Antiqua" w:eastAsia="Book Antiqua" w:hAnsi="Book Antiqua" w:cs="Book Antiqua"/>
          <w:i/>
          <w:iCs/>
          <w:color w:val="000000"/>
        </w:rPr>
        <w:t>AMACR</w:t>
      </w:r>
      <w:r>
        <w:rPr>
          <w:rFonts w:ascii="Book Antiqua" w:eastAsia="Book Antiqua" w:hAnsi="Book Antiqua" w:cs="Book Antiqua"/>
          <w:color w:val="000000"/>
        </w:rPr>
        <w:t xml:space="preserve"> gene, and fibroblast studies also confirmed AMACR deficiency</w:t>
      </w:r>
      <w:r>
        <w:rPr>
          <w:rFonts w:ascii="Book Antiqua" w:eastAsia="Book Antiqua" w:hAnsi="Book Antiqua" w:cs="Book Antiqua"/>
          <w:color w:val="000000"/>
          <w:vertAlign w:val="superscript"/>
        </w:rPr>
        <w:t>[</w:t>
      </w:r>
      <w:hyperlink w:anchor="_ENREF_8" w:tooltip="Van Veldhoven, 2001 #27" w:history="1">
        <w:r>
          <w:rPr>
            <w:rFonts w:ascii="Book Antiqua" w:eastAsia="Book Antiqua" w:hAnsi="Book Antiqua" w:cs="Book Antiqua"/>
            <w:color w:val="000000"/>
            <w:u w:color="0000EE"/>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16A89B6" w14:textId="1010AEB0" w:rsidR="0012719E" w:rsidRDefault="00B91CBC">
      <w:pPr>
        <w:spacing w:line="360" w:lineRule="auto"/>
        <w:ind w:firstLine="360"/>
        <w:jc w:val="both"/>
        <w:rPr>
          <w:rFonts w:ascii="Book Antiqua" w:eastAsia="Book Antiqua" w:hAnsi="Book Antiqua" w:cs="Book Antiqua"/>
          <w:color w:val="000000"/>
        </w:rPr>
      </w:pPr>
      <w:r>
        <w:rPr>
          <w:rFonts w:ascii="Book Antiqua" w:eastAsia="Book Antiqua" w:hAnsi="Book Antiqua" w:cs="Book Antiqua"/>
          <w:color w:val="000000"/>
        </w:rPr>
        <w:t>Among the currently reported patients with AMACR deficiency, there are not only adults with delayed peripheral neuropathy</w:t>
      </w:r>
      <w:r>
        <w:rPr>
          <w:rFonts w:ascii="Book Antiqua" w:eastAsia="Book Antiqua" w:hAnsi="Book Antiqua" w:cs="Book Antiqua"/>
          <w:color w:val="000000"/>
        </w:rPr>
        <w:t xml:space="preserve"> but also infants with cholestasis with absorption of fat-soluble vitamins. However, the case we report here is an adult with cholestasis but without any neurological manifestations. The patient had been treated in a local hospital, but the cause of diseas</w:t>
      </w:r>
      <w:r>
        <w:rPr>
          <w:rFonts w:ascii="Book Antiqua" w:eastAsia="Book Antiqua" w:hAnsi="Book Antiqua" w:cs="Book Antiqua"/>
          <w:color w:val="000000"/>
        </w:rPr>
        <w:t>e was unknown repeated liver function examinations found that serum transaminase and total bilirubin were elevated, and conjugated bilirubin was the main component</w:t>
      </w:r>
      <w:r>
        <w:rPr>
          <w:rFonts w:ascii="Book Antiqua" w:eastAsia="Book Antiqua" w:hAnsi="Book Antiqua" w:cs="Book Antiqua"/>
          <w:color w:val="000000"/>
        </w:rPr>
        <w:t>. Gamma g</w:t>
      </w:r>
      <w:r>
        <w:rPr>
          <w:rFonts w:ascii="Book Antiqua" w:eastAsia="Book Antiqua" w:hAnsi="Book Antiqua" w:cs="Book Antiqua"/>
          <w:color w:val="000000"/>
        </w:rPr>
        <w:t>lutamyl transpeptidase and total bile acid were also elevated. Because the patient h</w:t>
      </w:r>
      <w:r>
        <w:rPr>
          <w:rFonts w:ascii="Book Antiqua" w:eastAsia="Book Antiqua" w:hAnsi="Book Antiqua" w:cs="Book Antiqua"/>
          <w:color w:val="000000"/>
        </w:rPr>
        <w:t xml:space="preserve">ad contraindications for liver puncture, histological examination could not be performed. It was impossible to clarify the specific cause based on the clinical characteristics of the patient alone. After genetic </w:t>
      </w:r>
      <w:r>
        <w:rPr>
          <w:rFonts w:ascii="Book Antiqua" w:eastAsia="Book Antiqua" w:hAnsi="Book Antiqua" w:cs="Book Antiqua"/>
          <w:color w:val="000000"/>
        </w:rPr>
        <w:lastRenderedPageBreak/>
        <w:t>testing, a heterozygous missense mutation (c</w:t>
      </w:r>
      <w:r>
        <w:rPr>
          <w:rFonts w:ascii="Book Antiqua" w:eastAsia="Book Antiqua" w:hAnsi="Book Antiqua" w:cs="Book Antiqua"/>
          <w:color w:val="000000"/>
        </w:rPr>
        <w:t xml:space="preserve">.710A&gt;G) in the </w:t>
      </w:r>
      <w:r>
        <w:rPr>
          <w:rFonts w:ascii="Book Antiqua" w:eastAsia="Book Antiqua" w:hAnsi="Book Antiqua" w:cs="Book Antiqua"/>
          <w:i/>
          <w:iCs/>
          <w:color w:val="000000"/>
        </w:rPr>
        <w:t>AMACR</w:t>
      </w:r>
      <w:r>
        <w:rPr>
          <w:rFonts w:ascii="Book Antiqua" w:eastAsia="Book Antiqua" w:hAnsi="Book Antiqua" w:cs="Book Antiqua"/>
          <w:color w:val="000000"/>
        </w:rPr>
        <w:t xml:space="preserve"> gene was found, which provided an evidence for the diagnosis. It was reported that the clinical manifestations of this disease are cholestatic liver disease (usually present in infancy) and progressive nervous system disease (present </w:t>
      </w:r>
      <w:r>
        <w:rPr>
          <w:rFonts w:ascii="Book Antiqua" w:eastAsia="Book Antiqua" w:hAnsi="Book Antiqua" w:cs="Book Antiqua"/>
          <w:color w:val="000000"/>
        </w:rPr>
        <w:t xml:space="preserve">in late childhood or adulthood). Infantile cholestatic disease is characterized by concomitant hyperbilirubinemia with elevated transaminases, but normal </w:t>
      </w:r>
      <w:r>
        <w:rPr>
          <w:rFonts w:ascii="Symbol" w:eastAsia="Book Antiqua" w:hAnsi="Symbol" w:cs="Book Antiqua"/>
          <w:color w:val="000000"/>
        </w:rPr>
        <w:t>g</w:t>
      </w:r>
      <w:r>
        <w:rPr>
          <w:rFonts w:ascii="Book Antiqua" w:eastAsia="Book Antiqua" w:hAnsi="Book Antiqua" w:cs="Book Antiqua"/>
          <w:color w:val="000000"/>
        </w:rPr>
        <w:t>-glutamyl transpeptidase, and biopsy demonstrates giant cell hepatitis. Neurological manifestations u</w:t>
      </w:r>
      <w:r>
        <w:rPr>
          <w:rFonts w:ascii="Book Antiqua" w:eastAsia="Book Antiqua" w:hAnsi="Book Antiqua" w:cs="Book Antiqua"/>
          <w:color w:val="000000"/>
        </w:rPr>
        <w:t>sually include signs of upper motor neuron damage (spastic paralysis)</w:t>
      </w:r>
      <w:r>
        <w:rPr>
          <w:rFonts w:ascii="Book Antiqua" w:eastAsia="Book Antiqua" w:hAnsi="Book Antiqua" w:cs="Book Antiqua"/>
          <w:color w:val="000000"/>
          <w:vertAlign w:val="superscript"/>
        </w:rPr>
        <w:t>[</w:t>
      </w:r>
      <w:hyperlink w:anchor="_ENREF_4" w:tooltip="Vaz, 2017 #18" w:history="1">
        <w:r>
          <w:rPr>
            <w:rFonts w:ascii="Book Antiqua" w:eastAsia="Book Antiqua" w:hAnsi="Book Antiqua" w:cs="Book Antiqua"/>
            <w:color w:val="000000"/>
            <w:u w:color="0000EE"/>
            <w:vertAlign w:val="superscript"/>
          </w:rPr>
          <w:t>4</w:t>
        </w:r>
      </w:hyperlink>
      <w:r>
        <w:rPr>
          <w:rFonts w:ascii="Book Antiqua" w:eastAsia="Book Antiqua" w:hAnsi="Book Antiqua" w:cs="Book Antiqua"/>
          <w:color w:val="000000"/>
          <w:vertAlign w:val="superscript"/>
        </w:rPr>
        <w:t>,</w:t>
      </w:r>
      <w:hyperlink w:anchor="_ENREF_8" w:tooltip="Clayton, 2011 #13" w:history="1">
        <w:r>
          <w:rPr>
            <w:rFonts w:ascii="Book Antiqua" w:eastAsia="Book Antiqua" w:hAnsi="Book Antiqua" w:cs="Book Antiqua"/>
            <w:color w:val="000000"/>
            <w:u w:color="0000EE"/>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Clinically, if there are neonatal or adult cholestasis and chronic liver disease s</w:t>
      </w:r>
      <w:r>
        <w:rPr>
          <w:rFonts w:ascii="Book Antiqua" w:eastAsia="Book Antiqua" w:hAnsi="Book Antiqua" w:cs="Book Antiqua"/>
          <w:color w:val="000000"/>
        </w:rPr>
        <w:t xml:space="preserve">imilar to the above disease characteristics, a high degree of clinical suspicion is required when making a diagnosis. </w:t>
      </w:r>
    </w:p>
    <w:p w14:paraId="4F31F97C" w14:textId="77777777" w:rsidR="0012719E" w:rsidRDefault="00B91CBC">
      <w:pPr>
        <w:spacing w:line="360" w:lineRule="auto"/>
        <w:ind w:firstLine="360"/>
        <w:jc w:val="both"/>
        <w:rPr>
          <w:rFonts w:ascii="Book Antiqua" w:hAnsi="Book Antiqua"/>
        </w:rPr>
      </w:pPr>
      <w:r>
        <w:rPr>
          <w:rFonts w:ascii="Book Antiqua" w:eastAsia="Book Antiqua" w:hAnsi="Book Antiqua" w:cs="Book Antiqua"/>
          <w:color w:val="000000"/>
        </w:rPr>
        <w:t>The diagnosis of inborn error of bile acid synthesis requires comprehensive clinical symptoms, laboratory examinations, auxiliary examina</w:t>
      </w:r>
      <w:r>
        <w:rPr>
          <w:rFonts w:ascii="Book Antiqua" w:eastAsia="Book Antiqua" w:hAnsi="Book Antiqua" w:cs="Book Antiqua"/>
          <w:color w:val="000000"/>
        </w:rPr>
        <w:t>tions and pathological biopsy. The current diagnosis mainly relies on genetic testing and urine mass spectrometry. For inborn error of bile acid synthesis, it is safe and effective to supplement primary bile acids such as ursodeoxycholic acid as soon as po</w:t>
      </w:r>
      <w:r>
        <w:rPr>
          <w:rFonts w:ascii="Book Antiqua" w:eastAsia="Book Antiqua" w:hAnsi="Book Antiqua" w:cs="Book Antiqua"/>
          <w:color w:val="000000"/>
        </w:rPr>
        <w:t>ssible</w:t>
      </w:r>
      <w:r>
        <w:rPr>
          <w:rFonts w:ascii="Book Antiqua" w:eastAsia="Book Antiqua" w:hAnsi="Book Antiqua" w:cs="Book Antiqua"/>
          <w:color w:val="000000"/>
          <w:vertAlign w:val="superscript"/>
        </w:rPr>
        <w:t>[</w:t>
      </w:r>
      <w:hyperlink w:anchor="_ENREF_9" w:tooltip="Gonzales, 2009 #23" w:history="1">
        <w:r>
          <w:rPr>
            <w:rFonts w:ascii="Book Antiqua" w:eastAsia="Book Antiqua" w:hAnsi="Book Antiqua" w:cs="Book Antiqua"/>
            <w:color w:val="000000"/>
            <w:u w:color="0000EE"/>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Oral supplementation of fat-soluble vitamins such as K</w:t>
      </w:r>
      <w:r>
        <w:rPr>
          <w:rFonts w:ascii="Book Antiqua" w:eastAsia="Book Antiqua" w:hAnsi="Book Antiqua" w:cs="Book Antiqua"/>
          <w:color w:val="000000"/>
          <w:vertAlign w:val="subscript"/>
        </w:rPr>
        <w:t>1</w:t>
      </w:r>
      <w:r>
        <w:rPr>
          <w:rFonts w:ascii="Book Antiqua" w:eastAsia="Book Antiqua" w:hAnsi="Book Antiqua" w:cs="Book Antiqua"/>
          <w:color w:val="000000"/>
        </w:rPr>
        <w:t xml:space="preserve">, E, A and D is needed. Oral administration of primary bile acids has two purposes: </w:t>
      </w:r>
      <w:r>
        <w:rPr>
          <w:rFonts w:ascii="Book Antiqua" w:hAnsi="Book Antiqua" w:cs="Book Antiqua" w:hint="eastAsia"/>
          <w:color w:val="000000"/>
          <w:lang w:eastAsia="zh-CN"/>
        </w:rPr>
        <w:t>O</w:t>
      </w:r>
      <w:r>
        <w:rPr>
          <w:rFonts w:ascii="Book Antiqua" w:eastAsia="Book Antiqua" w:hAnsi="Book Antiqua" w:cs="Book Antiqua"/>
          <w:color w:val="000000"/>
        </w:rPr>
        <w:t xml:space="preserve">ne is to provide the human body with primary bile </w:t>
      </w:r>
      <w:r>
        <w:rPr>
          <w:rFonts w:ascii="Book Antiqua" w:eastAsia="Book Antiqua" w:hAnsi="Book Antiqua" w:cs="Book Antiqua"/>
          <w:color w:val="000000"/>
        </w:rPr>
        <w:t>acids, and the other is to down-regulate the synthesis of abnormal bile acids through negative feedback, thereby reducing the production of abnormal</w:t>
      </w:r>
      <w:r>
        <w:rPr>
          <w:rFonts w:ascii="Book Antiqua" w:eastAsia="Book Antiqua" w:hAnsi="Book Antiqua" w:cs="Book Antiqua"/>
          <w:color w:val="000000"/>
        </w:rPr>
        <w:t xml:space="preserve"> </w:t>
      </w:r>
      <w:r>
        <w:rPr>
          <w:rFonts w:ascii="Book Antiqua" w:eastAsia="Book Antiqua" w:hAnsi="Book Antiqua" w:cs="Book Antiqua"/>
          <w:color w:val="000000"/>
        </w:rPr>
        <w:t>toxic intermediate products of defective liver cells</w:t>
      </w:r>
      <w:r>
        <w:rPr>
          <w:rFonts w:ascii="Book Antiqua" w:eastAsia="Book Antiqua" w:hAnsi="Book Antiqua" w:cs="Book Antiqua"/>
          <w:color w:val="000000"/>
          <w:vertAlign w:val="superscript"/>
        </w:rPr>
        <w:t>[</w:t>
      </w:r>
      <w:hyperlink w:anchor="_ENREF_2" w:tooltip="Monte, 2009 #15" w:history="1">
        <w:r>
          <w:rPr>
            <w:rFonts w:ascii="Book Antiqua" w:eastAsia="Book Antiqua" w:hAnsi="Book Antiqua" w:cs="Book Antiqua"/>
            <w:color w:val="000000"/>
            <w:u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w:t>
      </w:r>
      <w:r>
        <w:rPr>
          <w:rFonts w:ascii="Book Antiqua" w:eastAsia="Book Antiqua" w:hAnsi="Book Antiqua" w:cs="Book Antiqua"/>
          <w:color w:val="000000"/>
        </w:rPr>
        <w:t>herefore, the use of primary bile acid replacement therapy for this disease can improve liver function and avoid further liver damage</w:t>
      </w:r>
      <w:r>
        <w:rPr>
          <w:rFonts w:ascii="Book Antiqua" w:eastAsia="Book Antiqua" w:hAnsi="Book Antiqua" w:cs="Book Antiqua"/>
          <w:color w:val="000000"/>
          <w:vertAlign w:val="superscript"/>
        </w:rPr>
        <w:t>[</w:t>
      </w:r>
      <w:hyperlink w:anchor="_ENREF_10" w:tooltip="Sundaram, 2008 #11" w:history="1">
        <w:r>
          <w:rPr>
            <w:rFonts w:ascii="Book Antiqua" w:eastAsia="Book Antiqua" w:hAnsi="Book Antiqua" w:cs="Book Antiqua"/>
            <w:color w:val="000000"/>
            <w:u w:color="0000EE"/>
            <w:vertAlign w:val="superscript"/>
          </w:rPr>
          <w:t>10</w:t>
        </w:r>
      </w:hyperlink>
      <w:r>
        <w:rPr>
          <w:rFonts w:ascii="Book Antiqua" w:hAnsi="Book Antiqua" w:cs="Book Antiqua" w:hint="eastAsia"/>
          <w:color w:val="000000"/>
          <w:u w:color="0000EE"/>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Liver transplantation is the only option for patients whose c</w:t>
      </w:r>
      <w:r>
        <w:rPr>
          <w:rFonts w:ascii="Book Antiqua" w:eastAsia="Book Antiqua" w:hAnsi="Book Antiqua" w:cs="Book Antiqua"/>
          <w:color w:val="000000"/>
        </w:rPr>
        <w:t>ondition cannot be controlled by medication. The patient's liver function improved progressively after oral administration of ursodeoxycholic acid</w:t>
      </w:r>
      <w:r>
        <w:rPr>
          <w:rFonts w:ascii="Book Antiqua" w:eastAsia="Book Antiqua" w:hAnsi="Book Antiqua" w:cs="Book Antiqua"/>
          <w:color w:val="000000"/>
        </w:rPr>
        <w:t>, b</w:t>
      </w:r>
      <w:r>
        <w:rPr>
          <w:rFonts w:ascii="Book Antiqua" w:eastAsia="Book Antiqua" w:hAnsi="Book Antiqua" w:cs="Book Antiqua"/>
          <w:color w:val="000000"/>
        </w:rPr>
        <w:t>ut the long-term prognosis needs to be followed up. This case shows that patients with inborn error of bile</w:t>
      </w:r>
      <w:r>
        <w:rPr>
          <w:rFonts w:ascii="Book Antiqua" w:eastAsia="Book Antiqua" w:hAnsi="Book Antiqua" w:cs="Book Antiqua"/>
          <w:color w:val="000000"/>
        </w:rPr>
        <w:t xml:space="preserve"> acid synthesis type 4 can survive the neonatal period, childhood and adulthood without bile acid therapy. It is still not clear why some patients die in the early stages of cholestasis disease while this patient can live for decades without treatment. At </w:t>
      </w:r>
      <w:r>
        <w:rPr>
          <w:rFonts w:ascii="Book Antiqua" w:eastAsia="Book Antiqua" w:hAnsi="Book Antiqua" w:cs="Book Antiqua"/>
          <w:color w:val="000000"/>
        </w:rPr>
        <w:t>the same time, pediatricians and hepatologists need to improve their understanding of the diagnosis and treatment of congenital bile acid deficiency for early diagnosis and treatment.</w:t>
      </w:r>
    </w:p>
    <w:p w14:paraId="4B3CF93D" w14:textId="77777777" w:rsidR="0012719E" w:rsidRDefault="0012719E">
      <w:pPr>
        <w:spacing w:line="360" w:lineRule="auto"/>
        <w:ind w:firstLine="360"/>
        <w:jc w:val="both"/>
        <w:rPr>
          <w:rFonts w:ascii="Book Antiqua" w:hAnsi="Book Antiqua"/>
        </w:rPr>
      </w:pPr>
    </w:p>
    <w:p w14:paraId="7D328847" w14:textId="77777777" w:rsidR="0012719E" w:rsidRDefault="00B91CB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6A2F3F2"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 xml:space="preserve">This report systematically analyzed the clinical symptoms, signs and laboratory features of an adult patient with inborn error of bile acid synthesis type 4. The patient was diagnosed by mutations of the </w:t>
      </w:r>
      <w:r>
        <w:rPr>
          <w:rFonts w:ascii="Book Antiqua" w:eastAsia="Book Antiqua" w:hAnsi="Book Antiqua" w:cs="Book Antiqua"/>
          <w:i/>
          <w:color w:val="000000"/>
        </w:rPr>
        <w:t>AMACR</w:t>
      </w:r>
      <w:r>
        <w:rPr>
          <w:rFonts w:ascii="Book Antiqua" w:eastAsia="Book Antiqua" w:hAnsi="Book Antiqua" w:cs="Book Antiqua"/>
          <w:color w:val="000000"/>
        </w:rPr>
        <w:t xml:space="preserve"> gene. Cholic acid treatment has achieved good results. This study for the first time indicated the inherent relationship between age and clinical manifestations, and the clinical features of </w:t>
      </w:r>
      <w:r>
        <w:rPr>
          <w:rFonts w:ascii="Book Antiqua" w:eastAsia="Book Antiqua" w:hAnsi="Book Antiqua" w:cs="Book Antiqua"/>
          <w:i/>
          <w:color w:val="000000"/>
        </w:rPr>
        <w:t>AMACR</w:t>
      </w:r>
      <w:r>
        <w:rPr>
          <w:rFonts w:ascii="Book Antiqua" w:eastAsia="Book Antiqua" w:hAnsi="Book Antiqua" w:cs="Book Antiqua"/>
          <w:color w:val="000000"/>
        </w:rPr>
        <w:t xml:space="preserve"> gene mutations in this disease.</w:t>
      </w:r>
    </w:p>
    <w:p w14:paraId="047550FA" w14:textId="77777777" w:rsidR="0012719E" w:rsidRDefault="0012719E">
      <w:pPr>
        <w:spacing w:line="360" w:lineRule="auto"/>
        <w:jc w:val="both"/>
        <w:rPr>
          <w:rFonts w:ascii="Book Antiqua" w:hAnsi="Book Antiqua"/>
        </w:rPr>
      </w:pPr>
    </w:p>
    <w:p w14:paraId="23B033EE" w14:textId="77777777" w:rsidR="0012719E" w:rsidRDefault="00B91CBC">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9C4F246"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We great</w:t>
      </w:r>
      <w:r>
        <w:rPr>
          <w:rFonts w:ascii="Book Antiqua" w:eastAsia="Book Antiqua" w:hAnsi="Book Antiqua" w:cs="Book Antiqua"/>
          <w:color w:val="000000"/>
        </w:rPr>
        <w:t>ly appreciate the patient, his family and the medical staff involved in this study.</w:t>
      </w:r>
    </w:p>
    <w:p w14:paraId="538F45D7" w14:textId="77777777" w:rsidR="0012719E" w:rsidRDefault="0012719E">
      <w:pPr>
        <w:spacing w:line="360" w:lineRule="auto"/>
        <w:jc w:val="both"/>
        <w:rPr>
          <w:rFonts w:ascii="Book Antiqua" w:hAnsi="Book Antiqua"/>
        </w:rPr>
      </w:pPr>
    </w:p>
    <w:p w14:paraId="3A771DDA"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t>REFERENCES</w:t>
      </w:r>
    </w:p>
    <w:p w14:paraId="06C0F862" w14:textId="77777777" w:rsidR="0012719E" w:rsidRDefault="00B91CBC">
      <w:pPr>
        <w:spacing w:line="360" w:lineRule="auto"/>
        <w:jc w:val="both"/>
        <w:rPr>
          <w:rFonts w:ascii="Book Antiqua" w:hAnsi="Book Antiqua"/>
        </w:rPr>
      </w:pPr>
      <w:bookmarkStart w:id="3" w:name="OLE_LINK18"/>
      <w:r>
        <w:rPr>
          <w:rFonts w:ascii="Book Antiqua" w:hAnsi="Book Antiqua"/>
        </w:rPr>
        <w:t xml:space="preserve">1 </w:t>
      </w:r>
      <w:r>
        <w:rPr>
          <w:rFonts w:ascii="Book Antiqua" w:hAnsi="Book Antiqua"/>
          <w:b/>
          <w:bCs/>
        </w:rPr>
        <w:t>Bove KE</w:t>
      </w:r>
      <w:r>
        <w:rPr>
          <w:rFonts w:ascii="Book Antiqua" w:hAnsi="Book Antiqua"/>
        </w:rPr>
        <w:t xml:space="preserve">, Heubi JE, Balistreri WF, Setchell KD. Bile acid synthetic defects and liver disease: a comprehensive review. </w:t>
      </w:r>
      <w:r>
        <w:rPr>
          <w:rFonts w:ascii="Book Antiqua" w:hAnsi="Book Antiqua"/>
          <w:i/>
          <w:iCs/>
        </w:rPr>
        <w:t>Pediatr Dev Pathol</w:t>
      </w:r>
      <w:r>
        <w:rPr>
          <w:rFonts w:ascii="Book Antiqua" w:hAnsi="Book Antiqua"/>
        </w:rPr>
        <w:t xml:space="preserve"> 2004; </w:t>
      </w:r>
      <w:r>
        <w:rPr>
          <w:rFonts w:ascii="Book Antiqua" w:hAnsi="Book Antiqua"/>
          <w:b/>
          <w:bCs/>
        </w:rPr>
        <w:t>7</w:t>
      </w:r>
      <w:r>
        <w:rPr>
          <w:rFonts w:ascii="Book Antiqua" w:hAnsi="Book Antiqua"/>
        </w:rPr>
        <w:t>: 315-334 [PMI</w:t>
      </w:r>
      <w:r>
        <w:rPr>
          <w:rFonts w:ascii="Book Antiqua" w:hAnsi="Book Antiqua"/>
        </w:rPr>
        <w:t>D: 15383928 DOI: 10.1007/s10024-002-1201-8]</w:t>
      </w:r>
    </w:p>
    <w:p w14:paraId="34058651" w14:textId="77777777" w:rsidR="0012719E" w:rsidRDefault="00B91CBC">
      <w:pPr>
        <w:spacing w:line="360" w:lineRule="auto"/>
        <w:jc w:val="both"/>
        <w:rPr>
          <w:rFonts w:ascii="Book Antiqua" w:hAnsi="Book Antiqua"/>
        </w:rPr>
      </w:pPr>
      <w:r>
        <w:rPr>
          <w:rFonts w:ascii="Book Antiqua" w:hAnsi="Book Antiqua"/>
        </w:rPr>
        <w:t xml:space="preserve">2 </w:t>
      </w:r>
      <w:r>
        <w:rPr>
          <w:rFonts w:ascii="Book Antiqua" w:hAnsi="Book Antiqua"/>
          <w:b/>
          <w:bCs/>
        </w:rPr>
        <w:t>Monte MJ</w:t>
      </w:r>
      <w:r>
        <w:rPr>
          <w:rFonts w:ascii="Book Antiqua" w:hAnsi="Book Antiqua"/>
        </w:rPr>
        <w:t xml:space="preserve">, Marin JJ, Antelo A, Vazquez-Tato J. Bile acids: chemistry, physiology, and pathophysiology. </w:t>
      </w:r>
      <w:r>
        <w:rPr>
          <w:rFonts w:ascii="Book Antiqua" w:hAnsi="Book Antiqua"/>
          <w:i/>
          <w:iCs/>
        </w:rPr>
        <w:t>World J Gastroenterol</w:t>
      </w:r>
      <w:r>
        <w:rPr>
          <w:rFonts w:ascii="Book Antiqua" w:hAnsi="Book Antiqua"/>
        </w:rPr>
        <w:t xml:space="preserve"> 2009; </w:t>
      </w:r>
      <w:r>
        <w:rPr>
          <w:rFonts w:ascii="Book Antiqua" w:hAnsi="Book Antiqua"/>
          <w:b/>
          <w:bCs/>
        </w:rPr>
        <w:t>15</w:t>
      </w:r>
      <w:r>
        <w:rPr>
          <w:rFonts w:ascii="Book Antiqua" w:hAnsi="Book Antiqua"/>
        </w:rPr>
        <w:t>: 804-816 [PMID: 19230041 DOI: 10.3748/wjg.15.804]</w:t>
      </w:r>
    </w:p>
    <w:p w14:paraId="52FEAC8A" w14:textId="77777777" w:rsidR="0012719E" w:rsidRDefault="00B91CBC">
      <w:pPr>
        <w:spacing w:line="360" w:lineRule="auto"/>
        <w:jc w:val="both"/>
        <w:rPr>
          <w:rFonts w:ascii="Book Antiqua" w:hAnsi="Book Antiqua"/>
        </w:rPr>
      </w:pPr>
      <w:r>
        <w:rPr>
          <w:rFonts w:ascii="Book Antiqua" w:hAnsi="Book Antiqua"/>
        </w:rPr>
        <w:t xml:space="preserve">3 </w:t>
      </w:r>
      <w:r>
        <w:rPr>
          <w:rFonts w:ascii="Book Antiqua" w:hAnsi="Book Antiqua"/>
          <w:b/>
          <w:bCs/>
        </w:rPr>
        <w:t>Ferdinandusse S</w:t>
      </w:r>
      <w:r>
        <w:rPr>
          <w:rFonts w:ascii="Book Antiqua" w:hAnsi="Book Antiqua"/>
        </w:rPr>
        <w:t>, Denis S,</w:t>
      </w:r>
      <w:r>
        <w:rPr>
          <w:rFonts w:ascii="Book Antiqua" w:hAnsi="Book Antiqua"/>
        </w:rPr>
        <w:t xml:space="preserve"> IJlst L, Dacremont G, Waterham HR, Wanders RJ. Subcellular localization and physiological role of alpha-methylacyl-CoA racemase. </w:t>
      </w:r>
      <w:r>
        <w:rPr>
          <w:rFonts w:ascii="Book Antiqua" w:hAnsi="Book Antiqua"/>
          <w:i/>
          <w:iCs/>
        </w:rPr>
        <w:t>J Lipid Res</w:t>
      </w:r>
      <w:r>
        <w:rPr>
          <w:rFonts w:ascii="Book Antiqua" w:hAnsi="Book Antiqua"/>
        </w:rPr>
        <w:t xml:space="preserve"> 2000; </w:t>
      </w:r>
      <w:r>
        <w:rPr>
          <w:rFonts w:ascii="Book Antiqua" w:hAnsi="Book Antiqua"/>
          <w:b/>
          <w:bCs/>
        </w:rPr>
        <w:t>41</w:t>
      </w:r>
      <w:r>
        <w:rPr>
          <w:rFonts w:ascii="Book Antiqua" w:hAnsi="Book Antiqua"/>
        </w:rPr>
        <w:t>: 1890-1896 [PMID: 11060359]</w:t>
      </w:r>
    </w:p>
    <w:p w14:paraId="0F2DFF2E" w14:textId="77777777" w:rsidR="0012719E" w:rsidRDefault="00B91CBC">
      <w:pPr>
        <w:spacing w:line="360" w:lineRule="auto"/>
        <w:jc w:val="both"/>
        <w:rPr>
          <w:rFonts w:ascii="Book Antiqua" w:hAnsi="Book Antiqua"/>
        </w:rPr>
      </w:pPr>
      <w:r>
        <w:rPr>
          <w:rFonts w:ascii="Book Antiqua" w:hAnsi="Book Antiqua"/>
        </w:rPr>
        <w:t xml:space="preserve">4 </w:t>
      </w:r>
      <w:r>
        <w:rPr>
          <w:rFonts w:ascii="Book Antiqua" w:hAnsi="Book Antiqua"/>
          <w:b/>
          <w:bCs/>
        </w:rPr>
        <w:t>Vaz FM</w:t>
      </w:r>
      <w:r>
        <w:rPr>
          <w:rFonts w:ascii="Book Antiqua" w:hAnsi="Book Antiqua"/>
        </w:rPr>
        <w:t>, Ferdinandusse S. Bile acid analysis in human disorders of bile acid</w:t>
      </w:r>
      <w:r>
        <w:rPr>
          <w:rFonts w:ascii="Book Antiqua" w:hAnsi="Book Antiqua"/>
        </w:rPr>
        <w:t xml:space="preserve"> biosynthesis. </w:t>
      </w:r>
      <w:r>
        <w:rPr>
          <w:rFonts w:ascii="Book Antiqua" w:hAnsi="Book Antiqua"/>
          <w:i/>
          <w:iCs/>
        </w:rPr>
        <w:t>Mol Aspects Med</w:t>
      </w:r>
      <w:r>
        <w:rPr>
          <w:rFonts w:ascii="Book Antiqua" w:hAnsi="Book Antiqua"/>
        </w:rPr>
        <w:t xml:space="preserve"> 2017; </w:t>
      </w:r>
      <w:r>
        <w:rPr>
          <w:rFonts w:ascii="Book Antiqua" w:hAnsi="Book Antiqua"/>
          <w:b/>
          <w:bCs/>
        </w:rPr>
        <w:t>56</w:t>
      </w:r>
      <w:r>
        <w:rPr>
          <w:rFonts w:ascii="Book Antiqua" w:hAnsi="Book Antiqua"/>
        </w:rPr>
        <w:t>: 10-24 [PMID: 28322867 DOI: 10.1016/j.mam.2017.03.003]</w:t>
      </w:r>
    </w:p>
    <w:p w14:paraId="72A34167" w14:textId="77777777" w:rsidR="0012719E" w:rsidRDefault="00B91CBC">
      <w:pPr>
        <w:spacing w:line="360" w:lineRule="auto"/>
        <w:jc w:val="both"/>
        <w:rPr>
          <w:rFonts w:ascii="Book Antiqua" w:hAnsi="Book Antiqua"/>
        </w:rPr>
      </w:pPr>
      <w:r>
        <w:rPr>
          <w:rFonts w:ascii="Book Antiqua" w:hAnsi="Book Antiqua"/>
        </w:rPr>
        <w:t xml:space="preserve">5 </w:t>
      </w:r>
      <w:r>
        <w:rPr>
          <w:rFonts w:ascii="Book Antiqua" w:hAnsi="Book Antiqua"/>
          <w:b/>
          <w:bCs/>
        </w:rPr>
        <w:t>Watkins PA</w:t>
      </w:r>
      <w:r>
        <w:rPr>
          <w:rFonts w:ascii="Book Antiqua" w:hAnsi="Book Antiqua"/>
        </w:rPr>
        <w:t>, McGuinness MC, Raymond GV, Hicks BA, Sisk JM, Moser AB, Moser HW. Distinction between peroxisomal bifunctional enzyme and acyl-CoA oxidase deficien</w:t>
      </w:r>
      <w:r>
        <w:rPr>
          <w:rFonts w:ascii="Book Antiqua" w:hAnsi="Book Antiqua"/>
        </w:rPr>
        <w:t xml:space="preserve">cies. </w:t>
      </w:r>
      <w:r>
        <w:rPr>
          <w:rFonts w:ascii="Book Antiqua" w:hAnsi="Book Antiqua"/>
          <w:i/>
          <w:iCs/>
        </w:rPr>
        <w:t>Ann Neurol</w:t>
      </w:r>
      <w:r>
        <w:rPr>
          <w:rFonts w:ascii="Book Antiqua" w:hAnsi="Book Antiqua"/>
        </w:rPr>
        <w:t xml:space="preserve"> 1995; </w:t>
      </w:r>
      <w:r>
        <w:rPr>
          <w:rFonts w:ascii="Book Antiqua" w:hAnsi="Book Antiqua"/>
          <w:b/>
          <w:bCs/>
        </w:rPr>
        <w:t>38</w:t>
      </w:r>
      <w:r>
        <w:rPr>
          <w:rFonts w:ascii="Book Antiqua" w:hAnsi="Book Antiqua"/>
        </w:rPr>
        <w:t>: 472-477 [PMID: 7668838 DOI: 10.1002/ana.410380322]</w:t>
      </w:r>
    </w:p>
    <w:p w14:paraId="7C11075F" w14:textId="77777777" w:rsidR="0012719E" w:rsidRDefault="00B91CBC">
      <w:pPr>
        <w:spacing w:line="360" w:lineRule="auto"/>
        <w:jc w:val="both"/>
        <w:rPr>
          <w:rFonts w:ascii="Book Antiqua" w:hAnsi="Book Antiqua"/>
        </w:rPr>
      </w:pPr>
      <w:r>
        <w:rPr>
          <w:rFonts w:ascii="Book Antiqua" w:hAnsi="Book Antiqua"/>
        </w:rPr>
        <w:t xml:space="preserve">6 </w:t>
      </w:r>
      <w:r>
        <w:rPr>
          <w:rFonts w:ascii="Book Antiqua" w:hAnsi="Book Antiqua"/>
          <w:b/>
          <w:bCs/>
        </w:rPr>
        <w:t>Ferdinandusse S</w:t>
      </w:r>
      <w:r>
        <w:rPr>
          <w:rFonts w:ascii="Book Antiqua" w:hAnsi="Book Antiqua"/>
        </w:rPr>
        <w:t xml:space="preserve">, Denis S, Clayton PT, Graham A, Rees JE, Allen JT, McLean BN, Brown AY, Vreken P, Waterham HR, Wanders RJ. Mutations in the gene encoding peroxisomal </w:t>
      </w:r>
      <w:r>
        <w:rPr>
          <w:rFonts w:ascii="Book Antiqua" w:hAnsi="Book Antiqua"/>
        </w:rPr>
        <w:lastRenderedPageBreak/>
        <w:t>alpha-meth</w:t>
      </w:r>
      <w:r>
        <w:rPr>
          <w:rFonts w:ascii="Book Antiqua" w:hAnsi="Book Antiqua"/>
        </w:rPr>
        <w:t xml:space="preserve">ylacyl-CoA racemase cause adult-onset sensory motor neuropathy. </w:t>
      </w:r>
      <w:r>
        <w:rPr>
          <w:rFonts w:ascii="Book Antiqua" w:hAnsi="Book Antiqua"/>
          <w:i/>
          <w:iCs/>
        </w:rPr>
        <w:t>Nat Genet</w:t>
      </w:r>
      <w:r>
        <w:rPr>
          <w:rFonts w:ascii="Book Antiqua" w:hAnsi="Book Antiqua"/>
        </w:rPr>
        <w:t xml:space="preserve"> 2000; </w:t>
      </w:r>
      <w:r>
        <w:rPr>
          <w:rFonts w:ascii="Book Antiqua" w:hAnsi="Book Antiqua"/>
          <w:b/>
          <w:bCs/>
        </w:rPr>
        <w:t>24</w:t>
      </w:r>
      <w:r>
        <w:rPr>
          <w:rFonts w:ascii="Book Antiqua" w:hAnsi="Book Antiqua"/>
        </w:rPr>
        <w:t>: 188-191 [PMID: 10655068 DOI: 10.1038/72861]</w:t>
      </w:r>
    </w:p>
    <w:p w14:paraId="3454CA90" w14:textId="77777777" w:rsidR="0012719E" w:rsidRDefault="00B91CBC">
      <w:pPr>
        <w:spacing w:line="360" w:lineRule="auto"/>
        <w:jc w:val="both"/>
        <w:rPr>
          <w:rFonts w:ascii="Book Antiqua" w:hAnsi="Book Antiqua"/>
        </w:rPr>
      </w:pPr>
      <w:r>
        <w:rPr>
          <w:rFonts w:ascii="Book Antiqua" w:hAnsi="Book Antiqua"/>
        </w:rPr>
        <w:t xml:space="preserve">7 </w:t>
      </w:r>
      <w:r>
        <w:rPr>
          <w:rFonts w:ascii="Book Antiqua" w:hAnsi="Book Antiqua"/>
          <w:b/>
          <w:bCs/>
        </w:rPr>
        <w:t>Setchell KD</w:t>
      </w:r>
      <w:r>
        <w:rPr>
          <w:rFonts w:ascii="Book Antiqua" w:hAnsi="Book Antiqua"/>
        </w:rPr>
        <w:t>, Heubi JE, Bove KE, O'Connell NC, Brewsaugh T, Steinberg SJ, Moser A, Squires RH Jr. Liver disease caused by failu</w:t>
      </w:r>
      <w:r>
        <w:rPr>
          <w:rFonts w:ascii="Book Antiqua" w:hAnsi="Book Antiqua"/>
        </w:rPr>
        <w:t xml:space="preserve">re to racemize trihydroxycholestanoic acid: gene mutation and effect of bile acid therapy. </w:t>
      </w:r>
      <w:r>
        <w:rPr>
          <w:rFonts w:ascii="Book Antiqua" w:hAnsi="Book Antiqua"/>
          <w:i/>
          <w:iCs/>
        </w:rPr>
        <w:t>Gastroenterology</w:t>
      </w:r>
      <w:r>
        <w:rPr>
          <w:rFonts w:ascii="Book Antiqua" w:hAnsi="Book Antiqua"/>
        </w:rPr>
        <w:t xml:space="preserve"> 2003; </w:t>
      </w:r>
      <w:r>
        <w:rPr>
          <w:rFonts w:ascii="Book Antiqua" w:hAnsi="Book Antiqua"/>
          <w:b/>
          <w:bCs/>
        </w:rPr>
        <w:t>124</w:t>
      </w:r>
      <w:r>
        <w:rPr>
          <w:rFonts w:ascii="Book Antiqua" w:hAnsi="Book Antiqua"/>
        </w:rPr>
        <w:t>: 217-232 [PMID: 12512044 DOI: 10.1053/gast.2003.50017]</w:t>
      </w:r>
    </w:p>
    <w:p w14:paraId="33EBC450" w14:textId="77777777" w:rsidR="0012719E" w:rsidRDefault="00B91CBC">
      <w:pPr>
        <w:spacing w:line="360" w:lineRule="auto"/>
        <w:jc w:val="both"/>
        <w:rPr>
          <w:rFonts w:ascii="Book Antiqua" w:hAnsi="Book Antiqua"/>
        </w:rPr>
      </w:pPr>
      <w:r>
        <w:rPr>
          <w:rFonts w:ascii="Book Antiqua" w:hAnsi="Book Antiqua"/>
        </w:rPr>
        <w:t xml:space="preserve">8 </w:t>
      </w:r>
      <w:r>
        <w:rPr>
          <w:rFonts w:ascii="Book Antiqua" w:hAnsi="Book Antiqua"/>
          <w:b/>
          <w:bCs/>
        </w:rPr>
        <w:t>Van Veldhoven PP</w:t>
      </w:r>
      <w:r>
        <w:rPr>
          <w:rFonts w:ascii="Book Antiqua" w:hAnsi="Book Antiqua"/>
        </w:rPr>
        <w:t>, Meyhi E, Squires RH, Fransen M, Fournier B, Brys V, Bennett MJ, Mannaerts GP. Fibroblast studies documenting a case of peroxisomal 2-methylacyl-CoA racemase deficiency: possible link between racemase deficiency and malabsorption and vitamin K deficiency.</w:t>
      </w:r>
      <w:r>
        <w:rPr>
          <w:rFonts w:ascii="Book Antiqua" w:hAnsi="Book Antiqua"/>
        </w:rPr>
        <w:t xml:space="preserve"> </w:t>
      </w:r>
      <w:r>
        <w:rPr>
          <w:rFonts w:ascii="Book Antiqua" w:hAnsi="Book Antiqua"/>
          <w:i/>
          <w:iCs/>
        </w:rPr>
        <w:t>Eur J Clin Invest</w:t>
      </w:r>
      <w:r>
        <w:rPr>
          <w:rFonts w:ascii="Book Antiqua" w:hAnsi="Book Antiqua"/>
        </w:rPr>
        <w:t xml:space="preserve"> 2001; </w:t>
      </w:r>
      <w:r>
        <w:rPr>
          <w:rFonts w:ascii="Book Antiqua" w:hAnsi="Book Antiqua"/>
          <w:b/>
          <w:bCs/>
        </w:rPr>
        <w:t>31</w:t>
      </w:r>
      <w:r>
        <w:rPr>
          <w:rFonts w:ascii="Book Antiqua" w:hAnsi="Book Antiqua"/>
        </w:rPr>
        <w:t>: 714-722 [PMID: 11473573 DOI: 10.1046/j.1365-2362.2001.00877.x]</w:t>
      </w:r>
    </w:p>
    <w:p w14:paraId="76D70E45" w14:textId="77777777" w:rsidR="0012719E" w:rsidRDefault="00B91CBC">
      <w:pPr>
        <w:spacing w:line="360" w:lineRule="auto"/>
        <w:jc w:val="both"/>
        <w:rPr>
          <w:rFonts w:ascii="Book Antiqua" w:hAnsi="Book Antiqua"/>
        </w:rPr>
      </w:pPr>
      <w:r>
        <w:rPr>
          <w:rFonts w:ascii="Book Antiqua" w:hAnsi="Book Antiqua"/>
        </w:rPr>
        <w:t xml:space="preserve">9 </w:t>
      </w:r>
      <w:r>
        <w:rPr>
          <w:rFonts w:ascii="Book Antiqua" w:hAnsi="Book Antiqua"/>
          <w:b/>
          <w:bCs/>
        </w:rPr>
        <w:t>Clayton PT</w:t>
      </w:r>
      <w:r>
        <w:rPr>
          <w:rFonts w:ascii="Book Antiqua" w:hAnsi="Book Antiqua"/>
        </w:rPr>
        <w:t xml:space="preserve">. Disorders of bile acid synthesis. </w:t>
      </w:r>
      <w:r>
        <w:rPr>
          <w:rFonts w:ascii="Book Antiqua" w:hAnsi="Book Antiqua"/>
          <w:i/>
          <w:iCs/>
        </w:rPr>
        <w:t>J Inherit Metab Dis</w:t>
      </w:r>
      <w:r>
        <w:rPr>
          <w:rFonts w:ascii="Book Antiqua" w:hAnsi="Book Antiqua"/>
        </w:rPr>
        <w:t xml:space="preserve"> 2011; </w:t>
      </w:r>
      <w:r>
        <w:rPr>
          <w:rFonts w:ascii="Book Antiqua" w:hAnsi="Book Antiqua"/>
          <w:b/>
          <w:bCs/>
        </w:rPr>
        <w:t>34</w:t>
      </w:r>
      <w:r>
        <w:rPr>
          <w:rFonts w:ascii="Book Antiqua" w:hAnsi="Book Antiqua"/>
        </w:rPr>
        <w:t>: 593-604 [PMID: 21229319 DOI: 10.1007/s10545-010-9259-3]</w:t>
      </w:r>
    </w:p>
    <w:p w14:paraId="334B6BC5" w14:textId="77777777" w:rsidR="0012719E" w:rsidRDefault="00B91CBC">
      <w:pPr>
        <w:spacing w:line="360" w:lineRule="auto"/>
        <w:jc w:val="both"/>
        <w:rPr>
          <w:rFonts w:ascii="Book Antiqua" w:hAnsi="Book Antiqua"/>
        </w:rPr>
      </w:pPr>
      <w:r>
        <w:rPr>
          <w:rFonts w:ascii="Book Antiqua" w:hAnsi="Book Antiqua"/>
        </w:rPr>
        <w:t xml:space="preserve">10 </w:t>
      </w:r>
      <w:r>
        <w:rPr>
          <w:rFonts w:ascii="Book Antiqua" w:hAnsi="Book Antiqua"/>
          <w:b/>
          <w:bCs/>
        </w:rPr>
        <w:t>Gonzales E</w:t>
      </w:r>
      <w:r>
        <w:rPr>
          <w:rFonts w:ascii="Book Antiqua" w:hAnsi="Book Antiqua"/>
        </w:rPr>
        <w:t>, Gerhardt MF, Fa</w:t>
      </w:r>
      <w:r>
        <w:rPr>
          <w:rFonts w:ascii="Book Antiqua" w:hAnsi="Book Antiqua"/>
        </w:rPr>
        <w:t xml:space="preserve">bre M, Setchell KD, Davit-Spraul A, Vincent I, Heubi JE, Bernard O, Jacquemin E. Oral cholic acid for hereditary defects of primary bile acid synthesis: a safe and effective long-term therapy. </w:t>
      </w:r>
      <w:r>
        <w:rPr>
          <w:rFonts w:ascii="Book Antiqua" w:hAnsi="Book Antiqua"/>
          <w:i/>
          <w:iCs/>
        </w:rPr>
        <w:t>Gastroenterology</w:t>
      </w:r>
      <w:r>
        <w:rPr>
          <w:rFonts w:ascii="Book Antiqua" w:hAnsi="Book Antiqua"/>
        </w:rPr>
        <w:t xml:space="preserve"> 2009; </w:t>
      </w:r>
      <w:r>
        <w:rPr>
          <w:rFonts w:ascii="Book Antiqua" w:hAnsi="Book Antiqua"/>
          <w:b/>
          <w:bCs/>
        </w:rPr>
        <w:t>137</w:t>
      </w:r>
      <w:r>
        <w:rPr>
          <w:rFonts w:ascii="Book Antiqua" w:hAnsi="Book Antiqua"/>
        </w:rPr>
        <w:t>: 1310-1320.e1-3 [PMID: 19622360 DOI:</w:t>
      </w:r>
      <w:r>
        <w:rPr>
          <w:rFonts w:ascii="Book Antiqua" w:hAnsi="Book Antiqua"/>
        </w:rPr>
        <w:t xml:space="preserve"> 10.1053/j.gastro.2009.07.043]</w:t>
      </w:r>
    </w:p>
    <w:p w14:paraId="6F724466" w14:textId="77777777" w:rsidR="0012719E" w:rsidRDefault="00B91CBC">
      <w:pPr>
        <w:spacing w:line="360" w:lineRule="auto"/>
        <w:jc w:val="both"/>
        <w:rPr>
          <w:rFonts w:ascii="Book Antiqua" w:hAnsi="Book Antiqua"/>
        </w:rPr>
      </w:pPr>
      <w:r>
        <w:rPr>
          <w:rFonts w:ascii="Book Antiqua" w:hAnsi="Book Antiqua"/>
        </w:rPr>
        <w:t xml:space="preserve">11 </w:t>
      </w:r>
      <w:r>
        <w:rPr>
          <w:rFonts w:ascii="Book Antiqua" w:hAnsi="Book Antiqua"/>
          <w:b/>
          <w:bCs/>
        </w:rPr>
        <w:t>Sundaram SS</w:t>
      </w:r>
      <w:r>
        <w:rPr>
          <w:rFonts w:ascii="Book Antiqua" w:hAnsi="Book Antiqua"/>
        </w:rPr>
        <w:t xml:space="preserve">, Bove KE, Lovell MA, Sokol RJ. Mechanisms of disease: Inborn errors of bile acid synthesis. </w:t>
      </w:r>
      <w:r>
        <w:rPr>
          <w:rFonts w:ascii="Book Antiqua" w:hAnsi="Book Antiqua"/>
          <w:i/>
          <w:iCs/>
        </w:rPr>
        <w:t>Nat Clin Pract Gastroenterol Hepatol</w:t>
      </w:r>
      <w:r>
        <w:rPr>
          <w:rFonts w:ascii="Book Antiqua" w:hAnsi="Book Antiqua"/>
        </w:rPr>
        <w:t xml:space="preserve"> 2008; </w:t>
      </w:r>
      <w:r>
        <w:rPr>
          <w:rFonts w:ascii="Book Antiqua" w:hAnsi="Book Antiqua"/>
          <w:b/>
          <w:bCs/>
        </w:rPr>
        <w:t>5</w:t>
      </w:r>
      <w:r>
        <w:rPr>
          <w:rFonts w:ascii="Book Antiqua" w:hAnsi="Book Antiqua"/>
        </w:rPr>
        <w:t>: 456-468 [PMID: 18577977 DOI: 10.1038/ncpgasthep1179]</w:t>
      </w:r>
    </w:p>
    <w:bookmarkEnd w:id="3"/>
    <w:p w14:paraId="0DB6E31C" w14:textId="77777777" w:rsidR="0012719E" w:rsidRDefault="0012719E">
      <w:pPr>
        <w:spacing w:line="360" w:lineRule="auto"/>
        <w:jc w:val="both"/>
        <w:rPr>
          <w:rFonts w:ascii="Book Antiqua" w:hAnsi="Book Antiqua"/>
        </w:rPr>
        <w:sectPr w:rsidR="0012719E">
          <w:pgSz w:w="12240" w:h="15840"/>
          <w:pgMar w:top="1440" w:right="1440" w:bottom="1440" w:left="1440" w:header="720" w:footer="720" w:gutter="0"/>
          <w:cols w:space="720"/>
          <w:docGrid w:linePitch="360"/>
        </w:sectPr>
      </w:pPr>
    </w:p>
    <w:p w14:paraId="3C336BEF"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BC08399"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Infor</w:t>
      </w:r>
      <w:r>
        <w:rPr>
          <w:rFonts w:ascii="Book Antiqua" w:eastAsia="Book Antiqua" w:hAnsi="Book Antiqua" w:cs="Book Antiqua"/>
          <w:b/>
          <w:bCs/>
          <w:color w:val="000000"/>
        </w:rPr>
        <w:t xml:space="preserve">med consent statement: </w:t>
      </w:r>
      <w:r>
        <w:rPr>
          <w:rFonts w:ascii="Book Antiqua" w:eastAsia="Book Antiqua" w:hAnsi="Book Antiqua" w:cs="Book Antiqua"/>
          <w:color w:val="000000"/>
        </w:rPr>
        <w:t>Informed written consent was obtained from the patient for publication of this report, data and accompanying images.</w:t>
      </w:r>
    </w:p>
    <w:p w14:paraId="43853AE8" w14:textId="77777777" w:rsidR="0012719E" w:rsidRDefault="0012719E">
      <w:pPr>
        <w:spacing w:line="360" w:lineRule="auto"/>
        <w:jc w:val="both"/>
        <w:rPr>
          <w:rFonts w:ascii="Book Antiqua" w:hAnsi="Book Antiqua"/>
        </w:rPr>
      </w:pPr>
    </w:p>
    <w:p w14:paraId="6931A434"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do not have any commercial or associative interest.</w:t>
      </w:r>
    </w:p>
    <w:p w14:paraId="30755B7F" w14:textId="77777777" w:rsidR="0012719E" w:rsidRDefault="0012719E">
      <w:pPr>
        <w:spacing w:line="360" w:lineRule="auto"/>
        <w:jc w:val="both"/>
        <w:rPr>
          <w:rFonts w:ascii="Book Antiqua" w:hAnsi="Book Antiqua"/>
        </w:rPr>
      </w:pPr>
    </w:p>
    <w:p w14:paraId="2143F39A"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6E513F7" w14:textId="77777777" w:rsidR="0012719E" w:rsidRDefault="0012719E">
      <w:pPr>
        <w:spacing w:line="360" w:lineRule="auto"/>
        <w:jc w:val="both"/>
        <w:rPr>
          <w:rFonts w:ascii="Book Antiqua" w:hAnsi="Book Antiqua"/>
        </w:rPr>
      </w:pPr>
    </w:p>
    <w:p w14:paraId="5D3BCD56" w14:textId="77777777" w:rsidR="0012719E" w:rsidRDefault="00B91CB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w:t>
      </w:r>
      <w:r>
        <w:rPr>
          <w:rFonts w:ascii="Book Antiqua" w:eastAsia="Book Antiqua" w:hAnsi="Book Antiqua" w:cs="Book Antiqua"/>
          <w:color w:val="000000"/>
        </w:rPr>
        <w:t>or and fully peer-reviewed by external reviewers. It is distributed in accordance with the Creative Commons Attribution NonCommercial (CC BY-NC 4.0) license, which permits others to distribute, remix, adapt, build upon this work non-commercially, and licen</w:t>
      </w:r>
      <w:r>
        <w:rPr>
          <w:rFonts w:ascii="Book Antiqua" w:eastAsia="Book Antiqua" w:hAnsi="Book Antiqua" w:cs="Book Antiqua"/>
          <w:color w:val="000000"/>
        </w:rPr>
        <w:t>se their derivative works on different terms, provided the original work is properly cited and the use is non-commercial. See: http://creativecommons.org/Licenses/by-nc/4.0/</w:t>
      </w:r>
    </w:p>
    <w:p w14:paraId="5A413794" w14:textId="77777777" w:rsidR="0012719E" w:rsidRDefault="0012719E">
      <w:pPr>
        <w:spacing w:line="360" w:lineRule="auto"/>
        <w:jc w:val="both"/>
        <w:rPr>
          <w:rFonts w:ascii="Book Antiqua" w:hAnsi="Book Antiqua"/>
        </w:rPr>
      </w:pPr>
    </w:p>
    <w:p w14:paraId="12FE12B8"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3820CA2D" w14:textId="77777777" w:rsidR="0012719E" w:rsidRDefault="0012719E">
      <w:pPr>
        <w:spacing w:line="360" w:lineRule="auto"/>
        <w:jc w:val="both"/>
        <w:rPr>
          <w:rFonts w:ascii="Book Antiqua" w:hAnsi="Book Antiqua"/>
        </w:rPr>
      </w:pPr>
    </w:p>
    <w:p w14:paraId="5CF8F610"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2021</w:t>
      </w:r>
    </w:p>
    <w:p w14:paraId="5604BC39"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14:paraId="0EB5AC94"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AAA6362" w14:textId="77777777" w:rsidR="0012719E" w:rsidRDefault="0012719E">
      <w:pPr>
        <w:spacing w:line="360" w:lineRule="auto"/>
        <w:jc w:val="both"/>
        <w:rPr>
          <w:rFonts w:ascii="Book Antiqua" w:hAnsi="Book Antiqua"/>
        </w:rPr>
      </w:pPr>
    </w:p>
    <w:p w14:paraId="25B39A98"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4" w:name="_Hlk71726650"/>
      <w:bookmarkStart w:id="5" w:name="OLE_LINK1952"/>
      <w:bookmarkStart w:id="6" w:name="OLE_LINK2066"/>
      <w:bookmarkStart w:id="7" w:name="OLE_LINK1953"/>
      <w:r>
        <w:rPr>
          <w:rFonts w:ascii="Book Antiqua" w:eastAsia="Microsoft YaHei" w:hAnsi="Book Antiqua" w:cs="SimSun"/>
        </w:rPr>
        <w:t>Medicine, research and experimenta</w:t>
      </w:r>
      <w:bookmarkEnd w:id="4"/>
      <w:r>
        <w:rPr>
          <w:rFonts w:ascii="Book Antiqua" w:eastAsia="Microsoft YaHei" w:hAnsi="Book Antiqua" w:cs="SimSun"/>
        </w:rPr>
        <w:t>l</w:t>
      </w:r>
      <w:bookmarkEnd w:id="5"/>
      <w:bookmarkEnd w:id="6"/>
      <w:bookmarkEnd w:id="7"/>
    </w:p>
    <w:p w14:paraId="763E7396"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4E52E70"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7335CB8"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 xml:space="preserve">Grade A </w:t>
      </w:r>
      <w:r>
        <w:rPr>
          <w:rFonts w:ascii="Book Antiqua" w:eastAsia="Book Antiqua" w:hAnsi="Book Antiqua" w:cs="Book Antiqua"/>
          <w:color w:val="000000"/>
        </w:rPr>
        <w:t>(Excellent): 0</w:t>
      </w:r>
    </w:p>
    <w:p w14:paraId="0878FD7A"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Grade B (Very good): B, B</w:t>
      </w:r>
    </w:p>
    <w:p w14:paraId="24A0E3E6"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Grade C (Good): 0</w:t>
      </w:r>
    </w:p>
    <w:p w14:paraId="4B53B955"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t>Grade D (Fair): 0</w:t>
      </w:r>
    </w:p>
    <w:p w14:paraId="65F9D65B" w14:textId="77777777" w:rsidR="0012719E" w:rsidRDefault="00B91CBC">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3CA15127" w14:textId="77777777" w:rsidR="0012719E" w:rsidRDefault="0012719E">
      <w:pPr>
        <w:spacing w:line="360" w:lineRule="auto"/>
        <w:jc w:val="both"/>
        <w:rPr>
          <w:rFonts w:ascii="Book Antiqua" w:hAnsi="Book Antiqua"/>
        </w:rPr>
      </w:pPr>
    </w:p>
    <w:p w14:paraId="13B314D2" w14:textId="77777777" w:rsidR="0012719E" w:rsidRDefault="00B91CBC">
      <w:pPr>
        <w:spacing w:line="360" w:lineRule="auto"/>
        <w:jc w:val="both"/>
        <w:rPr>
          <w:rFonts w:ascii="Book Antiqua" w:hAnsi="Book Antiqua"/>
        </w:rPr>
        <w:sectPr w:rsidR="0012719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Ali FE, Costache RS</w:t>
      </w:r>
      <w:r>
        <w:rPr>
          <w:rFonts w:ascii="Book Antiqua" w:eastAsia="Book Antiqua" w:hAnsi="Book Antiqua" w:cs="Book Antiqua"/>
          <w:b/>
          <w:color w:val="000000"/>
        </w:rPr>
        <w:t xml:space="preserve"> S-Editor: </w:t>
      </w:r>
      <w:r>
        <w:rPr>
          <w:rFonts w:ascii="Book Antiqua" w:hAnsi="Book Antiqua" w:cs="Book Antiqua"/>
          <w:color w:val="000000"/>
          <w:lang w:eastAsia="zh-CN"/>
        </w:rPr>
        <w:t>F</w:t>
      </w:r>
      <w:r>
        <w:rPr>
          <w:rFonts w:ascii="Book Antiqua" w:eastAsia="Book Antiqua" w:hAnsi="Book Antiqua" w:cs="Book Antiqua"/>
          <w:color w:val="000000"/>
        </w:rPr>
        <w:t>an J</w:t>
      </w:r>
      <w:r>
        <w:rPr>
          <w:rFonts w:ascii="Book Antiqua" w:hAnsi="Book Antiqua" w:cs="Book Antiqua"/>
          <w:color w:val="000000"/>
          <w:lang w:eastAsia="zh-CN"/>
        </w:rPr>
        <w:t>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83272FC" w14:textId="77777777" w:rsidR="0012719E" w:rsidRDefault="00B91CBC">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22721E51" w14:textId="77777777" w:rsidR="0012719E" w:rsidRDefault="00B91CBC">
      <w:pPr>
        <w:spacing w:line="360" w:lineRule="auto"/>
        <w:jc w:val="both"/>
        <w:rPr>
          <w:rFonts w:ascii="Book Antiqua" w:hAnsi="Book Antiqua"/>
          <w:lang w:eastAsia="zh-CN"/>
        </w:rPr>
      </w:pPr>
      <w:r>
        <w:rPr>
          <w:rFonts w:ascii="Book Antiqua" w:hAnsi="Book Antiqua"/>
          <w:noProof/>
          <w:lang w:eastAsia="zh-CN"/>
        </w:rPr>
        <w:drawing>
          <wp:inline distT="0" distB="0" distL="0" distR="0" wp14:anchorId="7467E98A" wp14:editId="517739DC">
            <wp:extent cx="5486400" cy="2959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486400" cy="2959100"/>
                    </a:xfrm>
                    <a:prstGeom prst="rect">
                      <a:avLst/>
                    </a:prstGeom>
                  </pic:spPr>
                </pic:pic>
              </a:graphicData>
            </a:graphic>
          </wp:inline>
        </w:drawing>
      </w:r>
    </w:p>
    <w:p w14:paraId="0F01CB11" w14:textId="77777777" w:rsidR="0012719E" w:rsidRDefault="00B91CB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1</w:t>
      </w:r>
      <w:r>
        <w:rPr>
          <w:rFonts w:ascii="Book Antiqua" w:eastAsia="Book Antiqua" w:hAnsi="Book Antiqua" w:cs="Book Antiqua"/>
          <w:b/>
          <w:bCs/>
          <w:color w:val="000000"/>
        </w:rPr>
        <w:t xml:space="preserve"> Imaging examinations. </w:t>
      </w:r>
      <w:r>
        <w:rPr>
          <w:rFonts w:ascii="Book Antiqua" w:hAnsi="Book Antiqua" w:cs="Book Antiqua"/>
          <w:bCs/>
          <w:color w:val="000000"/>
          <w:lang w:eastAsia="zh-CN"/>
        </w:rPr>
        <w:t xml:space="preserve">A: </w:t>
      </w:r>
      <w:r>
        <w:rPr>
          <w:rFonts w:ascii="Book Antiqua" w:eastAsia="Book Antiqua" w:hAnsi="Book Antiqua" w:cs="Book Antiqua"/>
          <w:color w:val="000000"/>
        </w:rPr>
        <w:t>Hepatobiliary magnetic res</w:t>
      </w:r>
      <w:r>
        <w:rPr>
          <w:rFonts w:ascii="Book Antiqua" w:eastAsia="Book Antiqua" w:hAnsi="Book Antiqua" w:cs="Book Antiqua"/>
          <w:color w:val="000000"/>
        </w:rPr>
        <w:t>onance; B:</w:t>
      </w:r>
      <w:r>
        <w:rPr>
          <w:rFonts w:ascii="Book Antiqua" w:hAnsi="Book Antiqua" w:cs="Book Antiqua"/>
          <w:b/>
          <w:bCs/>
          <w:color w:val="000000"/>
          <w:lang w:eastAsia="zh-CN"/>
        </w:rPr>
        <w:t xml:space="preserve"> </w:t>
      </w:r>
      <w:r>
        <w:rPr>
          <w:rFonts w:ascii="Book Antiqua" w:eastAsia="Book Antiqua" w:hAnsi="Book Antiqua" w:cs="Book Antiqua"/>
          <w:color w:val="000000"/>
        </w:rPr>
        <w:t>Hepatobiliary enhanced magnetic resonance imaging indicates that the patient has liver cirrhosis, splenomegaly and ascites.</w:t>
      </w:r>
    </w:p>
    <w:p w14:paraId="52D80325" w14:textId="77777777" w:rsidR="0012719E" w:rsidRDefault="00B91CBC">
      <w:pPr>
        <w:spacing w:line="360" w:lineRule="auto"/>
        <w:jc w:val="both"/>
        <w:rPr>
          <w:rFonts w:ascii="Book Antiqua" w:hAnsi="Book Antiqua" w:cs="Book Antiqua"/>
          <w:b/>
          <w:bCs/>
          <w:color w:val="000000"/>
          <w:lang w:eastAsia="zh-CN"/>
        </w:rPr>
      </w:pPr>
      <w:r>
        <w:rPr>
          <w:rFonts w:ascii="Book Antiqua" w:hAnsi="Book Antiqua"/>
          <w:lang w:eastAsia="zh-CN"/>
        </w:rPr>
        <w:br w:type="page"/>
      </w:r>
      <w:r>
        <w:rPr>
          <w:rFonts w:ascii="Book Antiqua" w:hAnsi="Book Antiqua"/>
          <w:noProof/>
          <w:lang w:eastAsia="zh-CN"/>
        </w:rPr>
        <w:lastRenderedPageBreak/>
        <w:drawing>
          <wp:inline distT="0" distB="0" distL="0" distR="0" wp14:anchorId="65F387F5" wp14:editId="4AB3B671">
            <wp:extent cx="5486400" cy="26092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86400" cy="2609215"/>
                    </a:xfrm>
                    <a:prstGeom prst="rect">
                      <a:avLst/>
                    </a:prstGeom>
                  </pic:spPr>
                </pic:pic>
              </a:graphicData>
            </a:graphic>
          </wp:inline>
        </w:drawing>
      </w:r>
    </w:p>
    <w:p w14:paraId="43FD9695" w14:textId="77777777" w:rsidR="0012719E" w:rsidRDefault="00B91CB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Results of </w:t>
      </w:r>
      <w:r>
        <w:rPr>
          <w:rFonts w:ascii="Book Antiqua" w:eastAsia="Book Antiqua" w:hAnsi="Book Antiqua" w:cs="Book Antiqua"/>
          <w:b/>
          <w:bCs/>
          <w:i/>
          <w:color w:val="000000"/>
        </w:rPr>
        <w:t>a-methylacyl-CoA racemase</w:t>
      </w:r>
      <w:r>
        <w:rPr>
          <w:rFonts w:ascii="Book Antiqua" w:eastAsia="Book Antiqua" w:hAnsi="Book Antiqua" w:cs="Book Antiqua"/>
          <w:color w:val="000000"/>
        </w:rPr>
        <w:t xml:space="preserve"> </w:t>
      </w:r>
      <w:r>
        <w:rPr>
          <w:rFonts w:ascii="Book Antiqua" w:eastAsia="Book Antiqua" w:hAnsi="Book Antiqua" w:cs="Book Antiqua"/>
          <w:b/>
          <w:bCs/>
          <w:color w:val="000000"/>
        </w:rPr>
        <w:t>gene detection.</w:t>
      </w:r>
      <w:r>
        <w:rPr>
          <w:rFonts w:ascii="Book Antiqua" w:eastAsia="Book Antiqua" w:hAnsi="Book Antiqua" w:cs="Book Antiqua"/>
          <w:color w:val="000000"/>
        </w:rPr>
        <w:t xml:space="preserve"> c.710 A&gt;G (Glu237Gly), the red box shows that T in the coding region of </w:t>
      </w:r>
      <w:r>
        <w:rPr>
          <w:rFonts w:ascii="Book Antiqua" w:eastAsia="Book Antiqua" w:hAnsi="Book Antiqua" w:cs="Book Antiqua"/>
          <w:i/>
          <w:color w:val="000000"/>
        </w:rPr>
        <w:t>a-methylacyl-CoA racemase</w:t>
      </w:r>
      <w:r>
        <w:rPr>
          <w:rFonts w:ascii="Book Antiqua" w:eastAsia="Book Antiqua" w:hAnsi="Book Antiqua" w:cs="Book Antiqua"/>
          <w:color w:val="000000"/>
        </w:rPr>
        <w:t xml:space="preserve"> </w:t>
      </w:r>
      <w:r>
        <w:rPr>
          <w:rFonts w:ascii="Book Antiqua" w:eastAsia="Book Antiqua" w:hAnsi="Book Antiqua" w:cs="Book Antiqua"/>
          <w:color w:val="000000"/>
        </w:rPr>
        <w:t>gene has been mutated to C.</w:t>
      </w:r>
    </w:p>
    <w:p w14:paraId="72869A6F" w14:textId="77777777" w:rsidR="0012719E" w:rsidRDefault="00B91CBC">
      <w:pPr>
        <w:spacing w:line="360" w:lineRule="auto"/>
        <w:jc w:val="both"/>
        <w:rPr>
          <w:rFonts w:ascii="Book Antiqua" w:hAnsi="Book Antiqua"/>
          <w:b/>
        </w:rPr>
      </w:pPr>
      <w:r>
        <w:rPr>
          <w:rFonts w:ascii="Book Antiqua" w:hAnsi="Book Antiqua"/>
          <w:b/>
        </w:rPr>
        <w:br w:type="page"/>
      </w:r>
      <w:r>
        <w:rPr>
          <w:rFonts w:ascii="Book Antiqua" w:hAnsi="Book Antiqua"/>
          <w:b/>
        </w:rPr>
        <w:lastRenderedPageBreak/>
        <w:t>Table 1 Laboratory examinations during hospitalization and follow-up</w:t>
      </w:r>
    </w:p>
    <w:tbl>
      <w:tblPr>
        <w:tblStyle w:val="TableGrid"/>
        <w:tblW w:w="5182"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1050"/>
        <w:gridCol w:w="1048"/>
        <w:gridCol w:w="1054"/>
        <w:gridCol w:w="1040"/>
        <w:gridCol w:w="1040"/>
        <w:gridCol w:w="1040"/>
        <w:gridCol w:w="1333"/>
      </w:tblGrid>
      <w:tr w:rsidR="0012719E" w14:paraId="4D010F6A" w14:textId="77777777">
        <w:tc>
          <w:tcPr>
            <w:tcW w:w="1081" w:type="pct"/>
            <w:tcBorders>
              <w:top w:val="single" w:sz="4" w:space="0" w:color="auto"/>
              <w:bottom w:val="single" w:sz="4" w:space="0" w:color="auto"/>
            </w:tcBorders>
          </w:tcPr>
          <w:p w14:paraId="30DF7907" w14:textId="77777777" w:rsidR="0012719E" w:rsidRDefault="00B91CBC">
            <w:pPr>
              <w:widowControl w:val="0"/>
              <w:spacing w:line="360" w:lineRule="auto"/>
              <w:jc w:val="both"/>
              <w:rPr>
                <w:rFonts w:ascii="Book Antiqua" w:eastAsia="SimSun" w:hAnsi="Book Antiqua"/>
                <w:b/>
                <w:kern w:val="2"/>
                <w:lang w:eastAsia="zh-CN"/>
              </w:rPr>
            </w:pPr>
            <w:r>
              <w:rPr>
                <w:rFonts w:ascii="Book Antiqua" w:eastAsia="Times New Roman" w:hAnsi="Book Antiqua"/>
                <w:b/>
                <w:lang w:eastAsia="zh-CN"/>
              </w:rPr>
              <w:t>Parameters</w:t>
            </w:r>
          </w:p>
        </w:tc>
        <w:tc>
          <w:tcPr>
            <w:tcW w:w="541" w:type="pct"/>
            <w:tcBorders>
              <w:top w:val="single" w:sz="4" w:space="0" w:color="auto"/>
              <w:bottom w:val="single" w:sz="4" w:space="0" w:color="auto"/>
            </w:tcBorders>
          </w:tcPr>
          <w:p w14:paraId="0832E02E" w14:textId="77777777" w:rsidR="0012719E" w:rsidRDefault="00B91CBC">
            <w:pPr>
              <w:widowControl w:val="0"/>
              <w:spacing w:line="360" w:lineRule="auto"/>
              <w:jc w:val="both"/>
              <w:rPr>
                <w:rFonts w:ascii="Book Antiqua" w:eastAsia="SimSun" w:hAnsi="Book Antiqua"/>
                <w:b/>
                <w:kern w:val="2"/>
                <w:lang w:eastAsia="zh-CN"/>
              </w:rPr>
            </w:pPr>
            <w:r>
              <w:rPr>
                <w:rFonts w:ascii="Book Antiqua" w:eastAsia="Times New Roman" w:hAnsi="Book Antiqua"/>
                <w:b/>
                <w:lang w:eastAsia="zh-CN"/>
              </w:rPr>
              <w:t>Day 1</w:t>
            </w:r>
          </w:p>
        </w:tc>
        <w:tc>
          <w:tcPr>
            <w:tcW w:w="540" w:type="pct"/>
            <w:tcBorders>
              <w:top w:val="single" w:sz="4" w:space="0" w:color="auto"/>
              <w:bottom w:val="single" w:sz="4" w:space="0" w:color="auto"/>
            </w:tcBorders>
          </w:tcPr>
          <w:p w14:paraId="22CF0800" w14:textId="77777777" w:rsidR="0012719E" w:rsidRDefault="00B91CBC">
            <w:pPr>
              <w:widowControl w:val="0"/>
              <w:spacing w:line="360" w:lineRule="auto"/>
              <w:jc w:val="both"/>
              <w:rPr>
                <w:rFonts w:ascii="Book Antiqua" w:eastAsia="SimSun" w:hAnsi="Book Antiqua"/>
                <w:b/>
                <w:kern w:val="2"/>
                <w:lang w:eastAsia="zh-CN"/>
              </w:rPr>
            </w:pPr>
            <w:r>
              <w:rPr>
                <w:rFonts w:ascii="Book Antiqua" w:eastAsia="Times New Roman" w:hAnsi="Book Antiqua"/>
                <w:b/>
                <w:lang w:eastAsia="zh-CN"/>
              </w:rPr>
              <w:t>Day 7</w:t>
            </w:r>
          </w:p>
        </w:tc>
        <w:tc>
          <w:tcPr>
            <w:tcW w:w="543" w:type="pct"/>
            <w:tcBorders>
              <w:top w:val="single" w:sz="4" w:space="0" w:color="auto"/>
              <w:bottom w:val="single" w:sz="4" w:space="0" w:color="auto"/>
            </w:tcBorders>
          </w:tcPr>
          <w:p w14:paraId="7B729FD1" w14:textId="77777777" w:rsidR="0012719E" w:rsidRDefault="00B91CBC">
            <w:pPr>
              <w:widowControl w:val="0"/>
              <w:spacing w:line="360" w:lineRule="auto"/>
              <w:jc w:val="both"/>
              <w:rPr>
                <w:rFonts w:ascii="Book Antiqua" w:eastAsia="SimSun" w:hAnsi="Book Antiqua"/>
                <w:b/>
                <w:kern w:val="2"/>
                <w:lang w:eastAsia="zh-CN"/>
              </w:rPr>
            </w:pPr>
            <w:r>
              <w:rPr>
                <w:rFonts w:ascii="Book Antiqua" w:eastAsia="Times New Roman" w:hAnsi="Book Antiqua"/>
                <w:b/>
                <w:lang w:eastAsia="zh-CN"/>
              </w:rPr>
              <w:t>Day 15</w:t>
            </w:r>
          </w:p>
        </w:tc>
        <w:tc>
          <w:tcPr>
            <w:tcW w:w="536" w:type="pct"/>
            <w:tcBorders>
              <w:top w:val="single" w:sz="4" w:space="0" w:color="auto"/>
              <w:bottom w:val="single" w:sz="4" w:space="0" w:color="auto"/>
            </w:tcBorders>
          </w:tcPr>
          <w:p w14:paraId="776A217D" w14:textId="77777777" w:rsidR="0012719E" w:rsidRDefault="00B91CBC">
            <w:pPr>
              <w:widowControl w:val="0"/>
              <w:spacing w:line="360" w:lineRule="auto"/>
              <w:jc w:val="both"/>
              <w:rPr>
                <w:rFonts w:ascii="Book Antiqua" w:eastAsia="SimSun" w:hAnsi="Book Antiqua"/>
                <w:b/>
                <w:kern w:val="2"/>
                <w:lang w:eastAsia="zh-CN"/>
              </w:rPr>
            </w:pPr>
            <w:r>
              <w:rPr>
                <w:rFonts w:ascii="Book Antiqua" w:eastAsia="Times New Roman" w:hAnsi="Book Antiqua"/>
                <w:b/>
                <w:lang w:eastAsia="zh-CN"/>
              </w:rPr>
              <w:t>1 mo</w:t>
            </w:r>
          </w:p>
        </w:tc>
        <w:tc>
          <w:tcPr>
            <w:tcW w:w="536" w:type="pct"/>
            <w:tcBorders>
              <w:top w:val="single" w:sz="4" w:space="0" w:color="auto"/>
              <w:bottom w:val="single" w:sz="4" w:space="0" w:color="auto"/>
            </w:tcBorders>
          </w:tcPr>
          <w:p w14:paraId="3D93AF52" w14:textId="77777777" w:rsidR="0012719E" w:rsidRDefault="00B91CBC">
            <w:pPr>
              <w:widowControl w:val="0"/>
              <w:spacing w:line="360" w:lineRule="auto"/>
              <w:jc w:val="both"/>
              <w:rPr>
                <w:rFonts w:ascii="Book Antiqua" w:eastAsia="SimSun" w:hAnsi="Book Antiqua"/>
                <w:b/>
                <w:kern w:val="2"/>
                <w:lang w:eastAsia="zh-CN"/>
              </w:rPr>
            </w:pPr>
            <w:r>
              <w:rPr>
                <w:rFonts w:ascii="Book Antiqua" w:eastAsia="Times New Roman" w:hAnsi="Book Antiqua"/>
                <w:b/>
                <w:lang w:eastAsia="zh-CN"/>
              </w:rPr>
              <w:t>2 mo</w:t>
            </w:r>
          </w:p>
        </w:tc>
        <w:tc>
          <w:tcPr>
            <w:tcW w:w="536" w:type="pct"/>
            <w:tcBorders>
              <w:top w:val="single" w:sz="4" w:space="0" w:color="auto"/>
              <w:bottom w:val="single" w:sz="4" w:space="0" w:color="auto"/>
            </w:tcBorders>
          </w:tcPr>
          <w:p w14:paraId="65B9C0D1" w14:textId="77777777" w:rsidR="0012719E" w:rsidRDefault="00B91CBC">
            <w:pPr>
              <w:widowControl w:val="0"/>
              <w:spacing w:line="360" w:lineRule="auto"/>
              <w:jc w:val="both"/>
              <w:rPr>
                <w:rFonts w:ascii="Book Antiqua" w:eastAsia="SimSun" w:hAnsi="Book Antiqua"/>
                <w:b/>
                <w:kern w:val="2"/>
                <w:lang w:eastAsia="zh-CN"/>
              </w:rPr>
            </w:pPr>
            <w:r>
              <w:rPr>
                <w:rFonts w:ascii="Book Antiqua" w:eastAsia="Times New Roman" w:hAnsi="Book Antiqua"/>
                <w:b/>
                <w:lang w:eastAsia="zh-CN"/>
              </w:rPr>
              <w:t>3 mo</w:t>
            </w:r>
          </w:p>
        </w:tc>
        <w:tc>
          <w:tcPr>
            <w:tcW w:w="688" w:type="pct"/>
            <w:tcBorders>
              <w:top w:val="single" w:sz="4" w:space="0" w:color="auto"/>
              <w:bottom w:val="single" w:sz="4" w:space="0" w:color="auto"/>
            </w:tcBorders>
          </w:tcPr>
          <w:p w14:paraId="2226FE93" w14:textId="77777777" w:rsidR="0012719E" w:rsidRDefault="00B91CBC">
            <w:pPr>
              <w:widowControl w:val="0"/>
              <w:spacing w:line="360" w:lineRule="auto"/>
              <w:jc w:val="both"/>
              <w:rPr>
                <w:rFonts w:ascii="Book Antiqua" w:hAnsi="Book Antiqua"/>
                <w:b/>
                <w:kern w:val="2"/>
                <w:lang w:eastAsia="zh-CN"/>
              </w:rPr>
            </w:pPr>
            <w:r>
              <w:rPr>
                <w:rFonts w:ascii="Book Antiqua" w:eastAsia="Times New Roman" w:hAnsi="Book Antiqua"/>
                <w:b/>
                <w:lang w:eastAsia="zh-CN"/>
              </w:rPr>
              <w:t>Reference</w:t>
            </w:r>
            <w:r>
              <w:rPr>
                <w:rFonts w:ascii="Book Antiqua" w:hAnsi="Book Antiqua"/>
                <w:b/>
                <w:lang w:eastAsia="zh-CN"/>
              </w:rPr>
              <w:t xml:space="preserve"> range</w:t>
            </w:r>
          </w:p>
        </w:tc>
      </w:tr>
      <w:tr w:rsidR="0012719E" w14:paraId="4663B8A9" w14:textId="77777777">
        <w:tc>
          <w:tcPr>
            <w:tcW w:w="1081" w:type="pct"/>
            <w:tcBorders>
              <w:top w:val="single" w:sz="4" w:space="0" w:color="auto"/>
            </w:tcBorders>
          </w:tcPr>
          <w:p w14:paraId="3CB93052"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ALB</w:t>
            </w:r>
            <w:r>
              <w:rPr>
                <w:rFonts w:ascii="Book Antiqua" w:hAnsi="Book Antiqua"/>
                <w:lang w:eastAsia="zh-CN"/>
              </w:rPr>
              <w:t xml:space="preserve"> </w:t>
            </w:r>
            <w:r>
              <w:rPr>
                <w:rFonts w:ascii="Book Antiqua" w:eastAsia="Times New Roman" w:hAnsi="Book Antiqua"/>
                <w:lang w:eastAsia="zh-CN"/>
              </w:rPr>
              <w:t>(g/L)</w:t>
            </w:r>
          </w:p>
        </w:tc>
        <w:tc>
          <w:tcPr>
            <w:tcW w:w="541" w:type="pct"/>
            <w:tcBorders>
              <w:top w:val="single" w:sz="4" w:space="0" w:color="auto"/>
            </w:tcBorders>
          </w:tcPr>
          <w:p w14:paraId="277F9953"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28.2</w:t>
            </w:r>
          </w:p>
        </w:tc>
        <w:tc>
          <w:tcPr>
            <w:tcW w:w="540" w:type="pct"/>
            <w:tcBorders>
              <w:top w:val="single" w:sz="4" w:space="0" w:color="auto"/>
            </w:tcBorders>
          </w:tcPr>
          <w:p w14:paraId="6529CF54"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23.9</w:t>
            </w:r>
          </w:p>
        </w:tc>
        <w:tc>
          <w:tcPr>
            <w:tcW w:w="543" w:type="pct"/>
            <w:tcBorders>
              <w:top w:val="single" w:sz="4" w:space="0" w:color="auto"/>
            </w:tcBorders>
          </w:tcPr>
          <w:p w14:paraId="1003C2FA"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27.6</w:t>
            </w:r>
          </w:p>
        </w:tc>
        <w:tc>
          <w:tcPr>
            <w:tcW w:w="536" w:type="pct"/>
            <w:tcBorders>
              <w:top w:val="single" w:sz="4" w:space="0" w:color="auto"/>
            </w:tcBorders>
          </w:tcPr>
          <w:p w14:paraId="7B5BB527"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31.3</w:t>
            </w:r>
          </w:p>
        </w:tc>
        <w:tc>
          <w:tcPr>
            <w:tcW w:w="536" w:type="pct"/>
            <w:tcBorders>
              <w:top w:val="single" w:sz="4" w:space="0" w:color="auto"/>
            </w:tcBorders>
          </w:tcPr>
          <w:p w14:paraId="08418C30"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27.5</w:t>
            </w:r>
          </w:p>
        </w:tc>
        <w:tc>
          <w:tcPr>
            <w:tcW w:w="536" w:type="pct"/>
            <w:tcBorders>
              <w:top w:val="single" w:sz="4" w:space="0" w:color="auto"/>
            </w:tcBorders>
          </w:tcPr>
          <w:p w14:paraId="55ABBA05"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27.8</w:t>
            </w:r>
          </w:p>
        </w:tc>
        <w:tc>
          <w:tcPr>
            <w:tcW w:w="688" w:type="pct"/>
            <w:tcBorders>
              <w:top w:val="single" w:sz="4" w:space="0" w:color="auto"/>
            </w:tcBorders>
          </w:tcPr>
          <w:p w14:paraId="380C2E94"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40.0-55.0</w:t>
            </w:r>
          </w:p>
        </w:tc>
      </w:tr>
      <w:tr w:rsidR="0012719E" w14:paraId="5EB8FA23" w14:textId="77777777">
        <w:tc>
          <w:tcPr>
            <w:tcW w:w="1081" w:type="pct"/>
          </w:tcPr>
          <w:p w14:paraId="7AAFFD83"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ALT</w:t>
            </w:r>
            <w:r>
              <w:rPr>
                <w:rFonts w:ascii="Book Antiqua" w:hAnsi="Book Antiqua"/>
                <w:lang w:eastAsia="zh-CN"/>
              </w:rPr>
              <w:t xml:space="preserve"> </w:t>
            </w:r>
            <w:r>
              <w:rPr>
                <w:rFonts w:ascii="Book Antiqua" w:eastAsia="Times New Roman" w:hAnsi="Book Antiqua"/>
                <w:lang w:eastAsia="zh-CN"/>
              </w:rPr>
              <w:t>(U/L)</w:t>
            </w:r>
          </w:p>
        </w:tc>
        <w:tc>
          <w:tcPr>
            <w:tcW w:w="541" w:type="pct"/>
          </w:tcPr>
          <w:p w14:paraId="4C9D8DCA"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212</w:t>
            </w:r>
          </w:p>
        </w:tc>
        <w:tc>
          <w:tcPr>
            <w:tcW w:w="540" w:type="pct"/>
          </w:tcPr>
          <w:p w14:paraId="53555A52"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135</w:t>
            </w:r>
          </w:p>
        </w:tc>
        <w:tc>
          <w:tcPr>
            <w:tcW w:w="543" w:type="pct"/>
          </w:tcPr>
          <w:p w14:paraId="0C76D0C3"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35</w:t>
            </w:r>
          </w:p>
        </w:tc>
        <w:tc>
          <w:tcPr>
            <w:tcW w:w="536" w:type="pct"/>
          </w:tcPr>
          <w:p w14:paraId="45337B91"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183</w:t>
            </w:r>
          </w:p>
        </w:tc>
        <w:tc>
          <w:tcPr>
            <w:tcW w:w="536" w:type="pct"/>
          </w:tcPr>
          <w:p w14:paraId="63184264"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93</w:t>
            </w:r>
          </w:p>
        </w:tc>
        <w:tc>
          <w:tcPr>
            <w:tcW w:w="536" w:type="pct"/>
          </w:tcPr>
          <w:p w14:paraId="34B7D291"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43</w:t>
            </w:r>
          </w:p>
        </w:tc>
        <w:tc>
          <w:tcPr>
            <w:tcW w:w="688" w:type="pct"/>
          </w:tcPr>
          <w:p w14:paraId="0B15CF28"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9-50</w:t>
            </w:r>
          </w:p>
        </w:tc>
      </w:tr>
      <w:tr w:rsidR="0012719E" w14:paraId="3F75A513" w14:textId="77777777">
        <w:tc>
          <w:tcPr>
            <w:tcW w:w="1081" w:type="pct"/>
          </w:tcPr>
          <w:p w14:paraId="7960EAED"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AST</w:t>
            </w:r>
            <w:r>
              <w:rPr>
                <w:rFonts w:ascii="Book Antiqua" w:hAnsi="Book Antiqua"/>
                <w:lang w:eastAsia="zh-CN"/>
              </w:rPr>
              <w:t xml:space="preserve"> </w:t>
            </w:r>
            <w:r>
              <w:rPr>
                <w:rFonts w:ascii="Book Antiqua" w:eastAsia="Times New Roman" w:hAnsi="Book Antiqua"/>
                <w:lang w:eastAsia="zh-CN"/>
              </w:rPr>
              <w:t>(U/L)</w:t>
            </w:r>
          </w:p>
        </w:tc>
        <w:tc>
          <w:tcPr>
            <w:tcW w:w="541" w:type="pct"/>
          </w:tcPr>
          <w:p w14:paraId="16217A9D"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191</w:t>
            </w:r>
          </w:p>
        </w:tc>
        <w:tc>
          <w:tcPr>
            <w:tcW w:w="540" w:type="pct"/>
          </w:tcPr>
          <w:p w14:paraId="1D699DE6"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127</w:t>
            </w:r>
          </w:p>
        </w:tc>
        <w:tc>
          <w:tcPr>
            <w:tcW w:w="543" w:type="pct"/>
          </w:tcPr>
          <w:p w14:paraId="77DB3141"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43</w:t>
            </w:r>
          </w:p>
        </w:tc>
        <w:tc>
          <w:tcPr>
            <w:tcW w:w="536" w:type="pct"/>
          </w:tcPr>
          <w:p w14:paraId="2EFD8D5D"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181</w:t>
            </w:r>
          </w:p>
        </w:tc>
        <w:tc>
          <w:tcPr>
            <w:tcW w:w="536" w:type="pct"/>
          </w:tcPr>
          <w:p w14:paraId="50250146"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121</w:t>
            </w:r>
          </w:p>
        </w:tc>
        <w:tc>
          <w:tcPr>
            <w:tcW w:w="536" w:type="pct"/>
          </w:tcPr>
          <w:p w14:paraId="36AEC820"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118</w:t>
            </w:r>
          </w:p>
        </w:tc>
        <w:tc>
          <w:tcPr>
            <w:tcW w:w="688" w:type="pct"/>
          </w:tcPr>
          <w:p w14:paraId="6A404A77"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15-40</w:t>
            </w:r>
          </w:p>
        </w:tc>
      </w:tr>
      <w:tr w:rsidR="0012719E" w14:paraId="28A3D993" w14:textId="77777777">
        <w:tc>
          <w:tcPr>
            <w:tcW w:w="1081" w:type="pct"/>
          </w:tcPr>
          <w:p w14:paraId="1F4AAEAF"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GGT</w:t>
            </w:r>
            <w:r>
              <w:rPr>
                <w:rFonts w:ascii="Book Antiqua" w:hAnsi="Book Antiqua"/>
                <w:lang w:eastAsia="zh-CN"/>
              </w:rPr>
              <w:t xml:space="preserve"> </w:t>
            </w:r>
            <w:r>
              <w:rPr>
                <w:rFonts w:ascii="Book Antiqua" w:eastAsia="Times New Roman" w:hAnsi="Book Antiqua"/>
                <w:lang w:eastAsia="zh-CN"/>
              </w:rPr>
              <w:t>(U/L)</w:t>
            </w:r>
          </w:p>
        </w:tc>
        <w:tc>
          <w:tcPr>
            <w:tcW w:w="541" w:type="pct"/>
          </w:tcPr>
          <w:p w14:paraId="0F1C2ED1"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152</w:t>
            </w:r>
          </w:p>
        </w:tc>
        <w:tc>
          <w:tcPr>
            <w:tcW w:w="540" w:type="pct"/>
          </w:tcPr>
          <w:p w14:paraId="473CC717"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131</w:t>
            </w:r>
          </w:p>
        </w:tc>
        <w:tc>
          <w:tcPr>
            <w:tcW w:w="543" w:type="pct"/>
          </w:tcPr>
          <w:p w14:paraId="01AE9BEB"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75</w:t>
            </w:r>
          </w:p>
        </w:tc>
        <w:tc>
          <w:tcPr>
            <w:tcW w:w="536" w:type="pct"/>
          </w:tcPr>
          <w:p w14:paraId="22A042B1"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55</w:t>
            </w:r>
          </w:p>
        </w:tc>
        <w:tc>
          <w:tcPr>
            <w:tcW w:w="536" w:type="pct"/>
          </w:tcPr>
          <w:p w14:paraId="792B3C3E"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58</w:t>
            </w:r>
          </w:p>
        </w:tc>
        <w:tc>
          <w:tcPr>
            <w:tcW w:w="536" w:type="pct"/>
          </w:tcPr>
          <w:p w14:paraId="0AB3135C"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62</w:t>
            </w:r>
          </w:p>
        </w:tc>
        <w:tc>
          <w:tcPr>
            <w:tcW w:w="688" w:type="pct"/>
          </w:tcPr>
          <w:p w14:paraId="12FA5537"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10-60</w:t>
            </w:r>
          </w:p>
        </w:tc>
      </w:tr>
      <w:tr w:rsidR="0012719E" w14:paraId="51CFB3E0" w14:textId="77777777">
        <w:tc>
          <w:tcPr>
            <w:tcW w:w="1081" w:type="pct"/>
          </w:tcPr>
          <w:p w14:paraId="30DEB7E4"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ALP</w:t>
            </w:r>
            <w:r>
              <w:rPr>
                <w:rFonts w:ascii="Book Antiqua" w:hAnsi="Book Antiqua"/>
                <w:lang w:eastAsia="zh-CN"/>
              </w:rPr>
              <w:t xml:space="preserve"> </w:t>
            </w:r>
            <w:r>
              <w:rPr>
                <w:rFonts w:ascii="Book Antiqua" w:eastAsia="Times New Roman" w:hAnsi="Book Antiqua"/>
                <w:lang w:eastAsia="zh-CN"/>
              </w:rPr>
              <w:t>(U/L)</w:t>
            </w:r>
          </w:p>
        </w:tc>
        <w:tc>
          <w:tcPr>
            <w:tcW w:w="541" w:type="pct"/>
          </w:tcPr>
          <w:p w14:paraId="6B417759"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115</w:t>
            </w:r>
          </w:p>
        </w:tc>
        <w:tc>
          <w:tcPr>
            <w:tcW w:w="540" w:type="pct"/>
          </w:tcPr>
          <w:p w14:paraId="498C8326"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105</w:t>
            </w:r>
          </w:p>
        </w:tc>
        <w:tc>
          <w:tcPr>
            <w:tcW w:w="543" w:type="pct"/>
          </w:tcPr>
          <w:p w14:paraId="2E901F59"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93</w:t>
            </w:r>
          </w:p>
        </w:tc>
        <w:tc>
          <w:tcPr>
            <w:tcW w:w="536" w:type="pct"/>
          </w:tcPr>
          <w:p w14:paraId="6A0F6B4D"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108</w:t>
            </w:r>
          </w:p>
        </w:tc>
        <w:tc>
          <w:tcPr>
            <w:tcW w:w="536" w:type="pct"/>
          </w:tcPr>
          <w:p w14:paraId="6C945E3C"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125</w:t>
            </w:r>
          </w:p>
        </w:tc>
        <w:tc>
          <w:tcPr>
            <w:tcW w:w="536" w:type="pct"/>
          </w:tcPr>
          <w:p w14:paraId="12F007E7"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147</w:t>
            </w:r>
          </w:p>
        </w:tc>
        <w:tc>
          <w:tcPr>
            <w:tcW w:w="688" w:type="pct"/>
          </w:tcPr>
          <w:p w14:paraId="1D6BF62C"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42-125</w:t>
            </w:r>
          </w:p>
        </w:tc>
      </w:tr>
      <w:tr w:rsidR="0012719E" w14:paraId="54726C48" w14:textId="77777777">
        <w:tc>
          <w:tcPr>
            <w:tcW w:w="1081" w:type="pct"/>
          </w:tcPr>
          <w:p w14:paraId="28347391"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TBIL</w:t>
            </w:r>
            <w:r>
              <w:rPr>
                <w:rFonts w:ascii="Book Antiqua" w:hAnsi="Book Antiqua"/>
                <w:lang w:eastAsia="zh-CN"/>
              </w:rPr>
              <w:t xml:space="preserve"> </w:t>
            </w:r>
            <w:r>
              <w:rPr>
                <w:rFonts w:ascii="Book Antiqua" w:eastAsia="Times New Roman" w:hAnsi="Book Antiqua"/>
                <w:lang w:eastAsia="zh-CN"/>
              </w:rPr>
              <w:t>(μmol/L)</w:t>
            </w:r>
          </w:p>
        </w:tc>
        <w:tc>
          <w:tcPr>
            <w:tcW w:w="541" w:type="pct"/>
          </w:tcPr>
          <w:p w14:paraId="7F423752"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60.5</w:t>
            </w:r>
          </w:p>
        </w:tc>
        <w:tc>
          <w:tcPr>
            <w:tcW w:w="540" w:type="pct"/>
          </w:tcPr>
          <w:p w14:paraId="2A514717"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49.3</w:t>
            </w:r>
          </w:p>
        </w:tc>
        <w:tc>
          <w:tcPr>
            <w:tcW w:w="543" w:type="pct"/>
          </w:tcPr>
          <w:p w14:paraId="0B211267"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49.1</w:t>
            </w:r>
          </w:p>
        </w:tc>
        <w:tc>
          <w:tcPr>
            <w:tcW w:w="536" w:type="pct"/>
          </w:tcPr>
          <w:p w14:paraId="0ECBB31E"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74.1</w:t>
            </w:r>
          </w:p>
        </w:tc>
        <w:tc>
          <w:tcPr>
            <w:tcW w:w="536" w:type="pct"/>
          </w:tcPr>
          <w:p w14:paraId="37A33421"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44.9</w:t>
            </w:r>
          </w:p>
        </w:tc>
        <w:tc>
          <w:tcPr>
            <w:tcW w:w="536" w:type="pct"/>
          </w:tcPr>
          <w:p w14:paraId="0B13B29A"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43.5</w:t>
            </w:r>
          </w:p>
        </w:tc>
        <w:tc>
          <w:tcPr>
            <w:tcW w:w="688" w:type="pct"/>
          </w:tcPr>
          <w:p w14:paraId="0DB784E8"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3.4-24.0</w:t>
            </w:r>
          </w:p>
        </w:tc>
      </w:tr>
      <w:tr w:rsidR="0012719E" w14:paraId="79D0B9BA" w14:textId="77777777">
        <w:tc>
          <w:tcPr>
            <w:tcW w:w="1081" w:type="pct"/>
          </w:tcPr>
          <w:p w14:paraId="44B0E23E"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DBIL</w:t>
            </w:r>
            <w:r>
              <w:rPr>
                <w:rFonts w:ascii="Book Antiqua" w:hAnsi="Book Antiqua"/>
                <w:lang w:eastAsia="zh-CN"/>
              </w:rPr>
              <w:t xml:space="preserve"> </w:t>
            </w:r>
            <w:r>
              <w:rPr>
                <w:rFonts w:ascii="Book Antiqua" w:eastAsia="Times New Roman" w:hAnsi="Book Antiqua"/>
                <w:lang w:eastAsia="zh-CN"/>
              </w:rPr>
              <w:t>(μmol/L)</w:t>
            </w:r>
          </w:p>
        </w:tc>
        <w:tc>
          <w:tcPr>
            <w:tcW w:w="541" w:type="pct"/>
          </w:tcPr>
          <w:p w14:paraId="50E4476E"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21.7</w:t>
            </w:r>
          </w:p>
        </w:tc>
        <w:tc>
          <w:tcPr>
            <w:tcW w:w="540" w:type="pct"/>
          </w:tcPr>
          <w:p w14:paraId="609517CF"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17.3</w:t>
            </w:r>
          </w:p>
        </w:tc>
        <w:tc>
          <w:tcPr>
            <w:tcW w:w="543" w:type="pct"/>
          </w:tcPr>
          <w:p w14:paraId="52BF39AA"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21.9</w:t>
            </w:r>
          </w:p>
        </w:tc>
        <w:tc>
          <w:tcPr>
            <w:tcW w:w="536" w:type="pct"/>
          </w:tcPr>
          <w:p w14:paraId="0D1403F4"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31.0</w:t>
            </w:r>
          </w:p>
        </w:tc>
        <w:tc>
          <w:tcPr>
            <w:tcW w:w="536" w:type="pct"/>
          </w:tcPr>
          <w:p w14:paraId="53E86F45"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16.5</w:t>
            </w:r>
          </w:p>
        </w:tc>
        <w:tc>
          <w:tcPr>
            <w:tcW w:w="536" w:type="pct"/>
          </w:tcPr>
          <w:p w14:paraId="17019CC9"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16.9</w:t>
            </w:r>
          </w:p>
        </w:tc>
        <w:tc>
          <w:tcPr>
            <w:tcW w:w="688" w:type="pct"/>
          </w:tcPr>
          <w:p w14:paraId="33E88205"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0.0-6.8</w:t>
            </w:r>
          </w:p>
        </w:tc>
      </w:tr>
      <w:tr w:rsidR="0012719E" w14:paraId="6DE71136" w14:textId="77777777">
        <w:tc>
          <w:tcPr>
            <w:tcW w:w="1081" w:type="pct"/>
          </w:tcPr>
          <w:p w14:paraId="57721273"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PT</w:t>
            </w:r>
            <w:r>
              <w:rPr>
                <w:rFonts w:ascii="Book Antiqua" w:hAnsi="Book Antiqua"/>
                <w:lang w:eastAsia="zh-CN"/>
              </w:rPr>
              <w:t xml:space="preserve"> </w:t>
            </w:r>
            <w:r>
              <w:rPr>
                <w:rFonts w:ascii="Book Antiqua" w:eastAsia="Times New Roman" w:hAnsi="Book Antiqua"/>
                <w:lang w:eastAsia="zh-CN"/>
              </w:rPr>
              <w:t>(s)</w:t>
            </w:r>
          </w:p>
        </w:tc>
        <w:tc>
          <w:tcPr>
            <w:tcW w:w="541" w:type="pct"/>
          </w:tcPr>
          <w:p w14:paraId="4E3AA59C"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16.4</w:t>
            </w:r>
          </w:p>
        </w:tc>
        <w:tc>
          <w:tcPr>
            <w:tcW w:w="540" w:type="pct"/>
          </w:tcPr>
          <w:p w14:paraId="3AF037BA"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15.3</w:t>
            </w:r>
          </w:p>
        </w:tc>
        <w:tc>
          <w:tcPr>
            <w:tcW w:w="543" w:type="pct"/>
          </w:tcPr>
          <w:p w14:paraId="2C969D2F"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16.6</w:t>
            </w:r>
          </w:p>
        </w:tc>
        <w:tc>
          <w:tcPr>
            <w:tcW w:w="536" w:type="pct"/>
          </w:tcPr>
          <w:p w14:paraId="2918D9E9"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15.9</w:t>
            </w:r>
          </w:p>
        </w:tc>
        <w:tc>
          <w:tcPr>
            <w:tcW w:w="536" w:type="pct"/>
          </w:tcPr>
          <w:p w14:paraId="396C7E36" w14:textId="77777777" w:rsidR="0012719E" w:rsidRDefault="0012719E">
            <w:pPr>
              <w:widowControl w:val="0"/>
              <w:spacing w:line="360" w:lineRule="auto"/>
              <w:jc w:val="both"/>
              <w:rPr>
                <w:rFonts w:ascii="Book Antiqua" w:eastAsia="SimSun" w:hAnsi="Book Antiqua"/>
                <w:kern w:val="2"/>
                <w:lang w:eastAsia="zh-CN"/>
              </w:rPr>
            </w:pPr>
          </w:p>
        </w:tc>
        <w:tc>
          <w:tcPr>
            <w:tcW w:w="536" w:type="pct"/>
          </w:tcPr>
          <w:p w14:paraId="1232AACC" w14:textId="77777777" w:rsidR="0012719E" w:rsidRDefault="0012719E">
            <w:pPr>
              <w:widowControl w:val="0"/>
              <w:spacing w:line="360" w:lineRule="auto"/>
              <w:jc w:val="both"/>
              <w:rPr>
                <w:rFonts w:ascii="Book Antiqua" w:eastAsia="SimSun" w:hAnsi="Book Antiqua"/>
                <w:kern w:val="2"/>
                <w:lang w:eastAsia="zh-CN"/>
              </w:rPr>
            </w:pPr>
          </w:p>
        </w:tc>
        <w:tc>
          <w:tcPr>
            <w:tcW w:w="688" w:type="pct"/>
          </w:tcPr>
          <w:p w14:paraId="3CCF0B08"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9.8-13.2</w:t>
            </w:r>
          </w:p>
        </w:tc>
      </w:tr>
      <w:tr w:rsidR="0012719E" w14:paraId="5160DE75" w14:textId="77777777">
        <w:tc>
          <w:tcPr>
            <w:tcW w:w="1081" w:type="pct"/>
          </w:tcPr>
          <w:p w14:paraId="548C469E"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INR</w:t>
            </w:r>
          </w:p>
        </w:tc>
        <w:tc>
          <w:tcPr>
            <w:tcW w:w="541" w:type="pct"/>
          </w:tcPr>
          <w:p w14:paraId="247DFAEF"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1.46</w:t>
            </w:r>
          </w:p>
        </w:tc>
        <w:tc>
          <w:tcPr>
            <w:tcW w:w="540" w:type="pct"/>
          </w:tcPr>
          <w:p w14:paraId="10106D02"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1.36</w:t>
            </w:r>
          </w:p>
        </w:tc>
        <w:tc>
          <w:tcPr>
            <w:tcW w:w="543" w:type="pct"/>
          </w:tcPr>
          <w:p w14:paraId="61329275"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1.48</w:t>
            </w:r>
          </w:p>
        </w:tc>
        <w:tc>
          <w:tcPr>
            <w:tcW w:w="536" w:type="pct"/>
          </w:tcPr>
          <w:p w14:paraId="6C297D33"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1.42</w:t>
            </w:r>
          </w:p>
        </w:tc>
        <w:tc>
          <w:tcPr>
            <w:tcW w:w="536" w:type="pct"/>
          </w:tcPr>
          <w:p w14:paraId="0EB5008C" w14:textId="77777777" w:rsidR="0012719E" w:rsidRDefault="0012719E">
            <w:pPr>
              <w:widowControl w:val="0"/>
              <w:spacing w:line="360" w:lineRule="auto"/>
              <w:jc w:val="both"/>
              <w:rPr>
                <w:rFonts w:ascii="Book Antiqua" w:eastAsia="SimSun" w:hAnsi="Book Antiqua"/>
                <w:kern w:val="2"/>
                <w:lang w:eastAsia="zh-CN"/>
              </w:rPr>
            </w:pPr>
          </w:p>
        </w:tc>
        <w:tc>
          <w:tcPr>
            <w:tcW w:w="536" w:type="pct"/>
          </w:tcPr>
          <w:p w14:paraId="50E2A771" w14:textId="77777777" w:rsidR="0012719E" w:rsidRDefault="0012719E">
            <w:pPr>
              <w:widowControl w:val="0"/>
              <w:spacing w:line="360" w:lineRule="auto"/>
              <w:jc w:val="both"/>
              <w:rPr>
                <w:rFonts w:ascii="Book Antiqua" w:eastAsia="SimSun" w:hAnsi="Book Antiqua"/>
                <w:kern w:val="2"/>
                <w:lang w:eastAsia="zh-CN"/>
              </w:rPr>
            </w:pPr>
          </w:p>
        </w:tc>
        <w:tc>
          <w:tcPr>
            <w:tcW w:w="688" w:type="pct"/>
          </w:tcPr>
          <w:p w14:paraId="223E76D0"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0.85-1.20</w:t>
            </w:r>
          </w:p>
        </w:tc>
      </w:tr>
      <w:tr w:rsidR="0012719E" w14:paraId="250926AE" w14:textId="77777777">
        <w:tc>
          <w:tcPr>
            <w:tcW w:w="1081" w:type="pct"/>
          </w:tcPr>
          <w:p w14:paraId="0C4300A1"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PLT</w:t>
            </w:r>
            <w:r>
              <w:rPr>
                <w:rFonts w:ascii="Book Antiqua" w:hAnsi="Book Antiqua"/>
                <w:lang w:eastAsia="zh-CN"/>
              </w:rPr>
              <w:t xml:space="preserve"> </w:t>
            </w:r>
            <w:r>
              <w:rPr>
                <w:rFonts w:ascii="Book Antiqua" w:eastAsia="Times New Roman" w:hAnsi="Book Antiqua"/>
                <w:lang w:eastAsia="zh-CN"/>
              </w:rPr>
              <w:t>(×</w:t>
            </w:r>
            <w:r>
              <w:rPr>
                <w:rFonts w:ascii="Book Antiqua" w:hAnsi="Book Antiqua"/>
                <w:lang w:eastAsia="zh-CN"/>
              </w:rPr>
              <w:t xml:space="preserve"> </w:t>
            </w:r>
            <w:r>
              <w:rPr>
                <w:rFonts w:ascii="Book Antiqua" w:eastAsia="Times New Roman" w:hAnsi="Book Antiqua"/>
                <w:lang w:eastAsia="zh-CN"/>
              </w:rPr>
              <w:t>10</w:t>
            </w:r>
            <w:r>
              <w:rPr>
                <w:rFonts w:ascii="Book Antiqua" w:eastAsia="Times New Roman" w:hAnsi="Book Antiqua"/>
                <w:vertAlign w:val="superscript"/>
                <w:lang w:eastAsia="zh-CN"/>
              </w:rPr>
              <w:t>9</w:t>
            </w:r>
            <w:r>
              <w:rPr>
                <w:rFonts w:ascii="Book Antiqua" w:eastAsia="Times New Roman" w:hAnsi="Book Antiqua"/>
                <w:lang w:eastAsia="zh-CN"/>
              </w:rPr>
              <w:t>/L)</w:t>
            </w:r>
          </w:p>
        </w:tc>
        <w:tc>
          <w:tcPr>
            <w:tcW w:w="541" w:type="pct"/>
          </w:tcPr>
          <w:p w14:paraId="017BD6F7"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75</w:t>
            </w:r>
          </w:p>
        </w:tc>
        <w:tc>
          <w:tcPr>
            <w:tcW w:w="540" w:type="pct"/>
          </w:tcPr>
          <w:p w14:paraId="06F2773C"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72</w:t>
            </w:r>
          </w:p>
        </w:tc>
        <w:tc>
          <w:tcPr>
            <w:tcW w:w="543" w:type="pct"/>
          </w:tcPr>
          <w:p w14:paraId="1ED4E070"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65</w:t>
            </w:r>
          </w:p>
        </w:tc>
        <w:tc>
          <w:tcPr>
            <w:tcW w:w="536" w:type="pct"/>
          </w:tcPr>
          <w:p w14:paraId="67B2EB09"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84</w:t>
            </w:r>
          </w:p>
        </w:tc>
        <w:tc>
          <w:tcPr>
            <w:tcW w:w="536" w:type="pct"/>
          </w:tcPr>
          <w:p w14:paraId="55EF9F42" w14:textId="77777777" w:rsidR="0012719E" w:rsidRDefault="0012719E">
            <w:pPr>
              <w:widowControl w:val="0"/>
              <w:spacing w:line="360" w:lineRule="auto"/>
              <w:jc w:val="both"/>
              <w:rPr>
                <w:rFonts w:ascii="Book Antiqua" w:eastAsia="SimSun" w:hAnsi="Book Antiqua"/>
                <w:kern w:val="2"/>
                <w:lang w:eastAsia="zh-CN"/>
              </w:rPr>
            </w:pPr>
          </w:p>
        </w:tc>
        <w:tc>
          <w:tcPr>
            <w:tcW w:w="536" w:type="pct"/>
          </w:tcPr>
          <w:p w14:paraId="64BD872F" w14:textId="77777777" w:rsidR="0012719E" w:rsidRDefault="0012719E">
            <w:pPr>
              <w:widowControl w:val="0"/>
              <w:spacing w:line="360" w:lineRule="auto"/>
              <w:jc w:val="both"/>
              <w:rPr>
                <w:rFonts w:ascii="Book Antiqua" w:eastAsia="SimSun" w:hAnsi="Book Antiqua"/>
                <w:kern w:val="2"/>
                <w:lang w:eastAsia="zh-CN"/>
              </w:rPr>
            </w:pPr>
          </w:p>
        </w:tc>
        <w:tc>
          <w:tcPr>
            <w:tcW w:w="688" w:type="pct"/>
          </w:tcPr>
          <w:p w14:paraId="55F7F89B" w14:textId="77777777" w:rsidR="0012719E" w:rsidRDefault="00B91CBC">
            <w:pPr>
              <w:widowControl w:val="0"/>
              <w:spacing w:line="360" w:lineRule="auto"/>
              <w:jc w:val="both"/>
              <w:rPr>
                <w:rFonts w:ascii="Book Antiqua" w:eastAsia="SimSun" w:hAnsi="Book Antiqua"/>
                <w:kern w:val="2"/>
                <w:lang w:eastAsia="zh-CN"/>
              </w:rPr>
            </w:pPr>
            <w:r>
              <w:rPr>
                <w:rFonts w:ascii="Book Antiqua" w:eastAsia="Times New Roman" w:hAnsi="Book Antiqua"/>
                <w:lang w:eastAsia="zh-CN"/>
              </w:rPr>
              <w:t>125-350</w:t>
            </w:r>
          </w:p>
        </w:tc>
      </w:tr>
    </w:tbl>
    <w:p w14:paraId="6B1DA8EA" w14:textId="77777777" w:rsidR="0012719E" w:rsidRDefault="00B91CBC">
      <w:pPr>
        <w:spacing w:line="360" w:lineRule="auto"/>
        <w:jc w:val="both"/>
        <w:rPr>
          <w:rFonts w:ascii="Book Antiqua" w:hAnsi="Book Antiqua"/>
          <w:kern w:val="2"/>
          <w:lang w:eastAsia="zh-CN"/>
        </w:rPr>
      </w:pPr>
      <w:r>
        <w:rPr>
          <w:rFonts w:ascii="Book Antiqua" w:hAnsi="Book Antiqua"/>
          <w:lang w:eastAsia="zh-CN"/>
        </w:rPr>
        <w:t>ALB: A</w:t>
      </w:r>
      <w:r>
        <w:rPr>
          <w:rFonts w:ascii="Book Antiqua" w:hAnsi="Book Antiqua"/>
        </w:rPr>
        <w:t>lbumin</w:t>
      </w:r>
      <w:r>
        <w:rPr>
          <w:rFonts w:ascii="Book Antiqua" w:hAnsi="Book Antiqua"/>
          <w:lang w:eastAsia="zh-CN"/>
        </w:rPr>
        <w:t xml:space="preserve">; </w:t>
      </w:r>
      <w:r>
        <w:rPr>
          <w:rFonts w:ascii="Book Antiqua" w:hAnsi="Book Antiqua"/>
          <w:lang w:eastAsia="zh-CN"/>
        </w:rPr>
        <w:t>ALP: A</w:t>
      </w:r>
      <w:r>
        <w:rPr>
          <w:rFonts w:ascii="Book Antiqua" w:hAnsi="Book Antiqua"/>
        </w:rPr>
        <w:t>lkaline phosphatase</w:t>
      </w:r>
      <w:r>
        <w:rPr>
          <w:rFonts w:ascii="Book Antiqua" w:hAnsi="Book Antiqua"/>
          <w:lang w:eastAsia="zh-CN"/>
        </w:rPr>
        <w:t xml:space="preserve">; </w:t>
      </w:r>
      <w:r>
        <w:rPr>
          <w:rFonts w:ascii="Book Antiqua" w:hAnsi="Book Antiqua"/>
          <w:lang w:eastAsia="zh-CN"/>
        </w:rPr>
        <w:t xml:space="preserve">ALT: </w:t>
      </w:r>
      <w:r>
        <w:rPr>
          <w:rFonts w:ascii="Book Antiqua" w:hAnsi="Book Antiqua"/>
        </w:rPr>
        <w:t xml:space="preserve">Alanine </w:t>
      </w:r>
      <w:r>
        <w:rPr>
          <w:rFonts w:ascii="Book Antiqua" w:hAnsi="Book Antiqua"/>
        </w:rPr>
        <w:t>aminotransferase</w:t>
      </w:r>
      <w:r>
        <w:rPr>
          <w:rFonts w:ascii="Book Antiqua" w:hAnsi="Book Antiqua"/>
          <w:lang w:eastAsia="zh-CN"/>
        </w:rPr>
        <w:t>; AST: A</w:t>
      </w:r>
      <w:r>
        <w:rPr>
          <w:rFonts w:ascii="Book Antiqua" w:hAnsi="Book Antiqua"/>
        </w:rPr>
        <w:t>spartate aminotransferase</w:t>
      </w:r>
      <w:r>
        <w:rPr>
          <w:rFonts w:ascii="Book Antiqua" w:hAnsi="Book Antiqua"/>
          <w:lang w:eastAsia="zh-CN"/>
        </w:rPr>
        <w:t xml:space="preserve">; </w:t>
      </w:r>
      <w:r>
        <w:rPr>
          <w:rFonts w:ascii="Book Antiqua" w:hAnsi="Book Antiqua"/>
          <w:lang w:eastAsia="zh-CN"/>
        </w:rPr>
        <w:t>DBIL: D</w:t>
      </w:r>
      <w:r>
        <w:rPr>
          <w:rFonts w:ascii="Book Antiqua" w:hAnsi="Book Antiqua"/>
        </w:rPr>
        <w:t>irect bilirubin</w:t>
      </w:r>
      <w:r>
        <w:rPr>
          <w:rFonts w:ascii="Book Antiqua" w:hAnsi="Book Antiqua"/>
          <w:lang w:eastAsia="zh-CN"/>
        </w:rPr>
        <w:t xml:space="preserve">; </w:t>
      </w:r>
      <w:r>
        <w:rPr>
          <w:rFonts w:ascii="Book Antiqua" w:hAnsi="Book Antiqua"/>
          <w:lang w:eastAsia="zh-CN"/>
        </w:rPr>
        <w:t>GGT: G</w:t>
      </w:r>
      <w:r>
        <w:rPr>
          <w:rFonts w:ascii="Book Antiqua" w:hAnsi="Book Antiqua"/>
        </w:rPr>
        <w:t>amma-glutamyl transferase</w:t>
      </w:r>
      <w:r>
        <w:rPr>
          <w:rFonts w:ascii="Book Antiqua" w:hAnsi="Book Antiqua"/>
          <w:lang w:eastAsia="zh-CN"/>
        </w:rPr>
        <w:t xml:space="preserve">; </w:t>
      </w:r>
      <w:r>
        <w:rPr>
          <w:rFonts w:ascii="Book Antiqua" w:hAnsi="Book Antiqua"/>
          <w:lang w:eastAsia="zh-CN"/>
        </w:rPr>
        <w:t xml:space="preserve">INR: </w:t>
      </w:r>
      <w:r>
        <w:rPr>
          <w:rFonts w:ascii="Book Antiqua" w:hAnsi="Book Antiqua"/>
          <w:bCs/>
          <w:lang w:eastAsia="zh-CN"/>
        </w:rPr>
        <w:t>I</w:t>
      </w:r>
      <w:r>
        <w:rPr>
          <w:rFonts w:ascii="Book Antiqua" w:hAnsi="Book Antiqua"/>
          <w:bCs/>
        </w:rPr>
        <w:t>nternational</w:t>
      </w:r>
      <w:r>
        <w:rPr>
          <w:rFonts w:ascii="Book Antiqua" w:hAnsi="Book Antiqua"/>
        </w:rPr>
        <w:t xml:space="preserve"> </w:t>
      </w:r>
      <w:r>
        <w:rPr>
          <w:rFonts w:ascii="Book Antiqua" w:hAnsi="Book Antiqua"/>
          <w:bCs/>
        </w:rPr>
        <w:t>normalized</w:t>
      </w:r>
      <w:r>
        <w:rPr>
          <w:rFonts w:ascii="Book Antiqua" w:hAnsi="Book Antiqua"/>
        </w:rPr>
        <w:t xml:space="preserve"> </w:t>
      </w:r>
      <w:r>
        <w:rPr>
          <w:rFonts w:ascii="Book Antiqua" w:hAnsi="Book Antiqua"/>
          <w:bCs/>
        </w:rPr>
        <w:t>ratio</w:t>
      </w:r>
      <w:r>
        <w:rPr>
          <w:rFonts w:ascii="Book Antiqua" w:hAnsi="Book Antiqua"/>
          <w:lang w:eastAsia="zh-CN"/>
        </w:rPr>
        <w:t xml:space="preserve">; </w:t>
      </w:r>
      <w:r>
        <w:rPr>
          <w:rFonts w:ascii="Book Antiqua" w:hAnsi="Book Antiqua"/>
          <w:lang w:eastAsia="zh-CN"/>
        </w:rPr>
        <w:t xml:space="preserve">PLT: </w:t>
      </w:r>
      <w:r>
        <w:rPr>
          <w:rFonts w:ascii="Book Antiqua" w:hAnsi="Book Antiqua"/>
        </w:rPr>
        <w:t>Platelet</w:t>
      </w:r>
      <w:r>
        <w:rPr>
          <w:rFonts w:ascii="Book Antiqua" w:hAnsi="Book Antiqua"/>
          <w:lang w:eastAsia="zh-CN"/>
        </w:rPr>
        <w:t xml:space="preserve">; PT: </w:t>
      </w:r>
      <w:r>
        <w:rPr>
          <w:rFonts w:ascii="Book Antiqua" w:hAnsi="Book Antiqua"/>
        </w:rPr>
        <w:t xml:space="preserve">Prothrombin </w:t>
      </w:r>
      <w:r>
        <w:rPr>
          <w:rFonts w:ascii="Book Antiqua" w:hAnsi="Book Antiqua"/>
          <w:lang w:eastAsia="zh-CN"/>
        </w:rPr>
        <w:t>t</w:t>
      </w:r>
      <w:r>
        <w:rPr>
          <w:rFonts w:ascii="Book Antiqua" w:hAnsi="Book Antiqua"/>
        </w:rPr>
        <w:t>ime</w:t>
      </w:r>
      <w:r>
        <w:rPr>
          <w:rFonts w:ascii="Book Antiqua" w:hAnsi="Book Antiqua"/>
          <w:lang w:eastAsia="zh-CN"/>
        </w:rPr>
        <w:t>; TBIL: T</w:t>
      </w:r>
      <w:r>
        <w:rPr>
          <w:rFonts w:ascii="Book Antiqua" w:hAnsi="Book Antiqua"/>
        </w:rPr>
        <w:t>otal bilirubin</w:t>
      </w:r>
      <w:r>
        <w:rPr>
          <w:rFonts w:ascii="Book Antiqua" w:hAnsi="Book Antiqua"/>
          <w:lang w:eastAsia="zh-CN"/>
        </w:rPr>
        <w:t>.</w:t>
      </w:r>
    </w:p>
    <w:p w14:paraId="6BE612B0" w14:textId="77777777" w:rsidR="0012719E" w:rsidRDefault="0012719E">
      <w:pPr>
        <w:spacing w:line="360" w:lineRule="auto"/>
        <w:jc w:val="both"/>
        <w:rPr>
          <w:rFonts w:ascii="Book Antiqua" w:hAnsi="Book Antiqua"/>
          <w:lang w:eastAsia="zh-CN"/>
        </w:rPr>
      </w:pPr>
    </w:p>
    <w:sectPr w:rsidR="001271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164CF" w14:textId="77777777" w:rsidR="00B91CBC" w:rsidRDefault="00B91CBC">
      <w:r>
        <w:separator/>
      </w:r>
    </w:p>
  </w:endnote>
  <w:endnote w:type="continuationSeparator" w:id="0">
    <w:p w14:paraId="6D3F42FB" w14:textId="77777777" w:rsidR="00B91CBC" w:rsidRDefault="00B9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670593"/>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288EF160" w14:textId="77777777" w:rsidR="0012719E" w:rsidRDefault="00B91CBC">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18</w:t>
            </w:r>
            <w:r>
              <w:rPr>
                <w:rFonts w:ascii="Book Antiqua" w:hAnsi="Book Antiqua"/>
                <w:sz w:val="24"/>
                <w:szCs w:val="24"/>
              </w:rPr>
              <w:fldChar w:fldCharType="end"/>
            </w:r>
          </w:p>
        </w:sdtContent>
      </w:sdt>
    </w:sdtContent>
  </w:sdt>
  <w:p w14:paraId="0ECEA84D" w14:textId="77777777" w:rsidR="0012719E" w:rsidRDefault="0012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AA6DE" w14:textId="77777777" w:rsidR="00B91CBC" w:rsidRDefault="00B91CBC">
      <w:r>
        <w:separator/>
      </w:r>
    </w:p>
  </w:footnote>
  <w:footnote w:type="continuationSeparator" w:id="0">
    <w:p w14:paraId="0E6AB024" w14:textId="77777777" w:rsidR="00B91CBC" w:rsidRDefault="00B91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656"/>
    <w:rsid w:val="00043BA8"/>
    <w:rsid w:val="00072C48"/>
    <w:rsid w:val="000D163A"/>
    <w:rsid w:val="000E3BC6"/>
    <w:rsid w:val="00103654"/>
    <w:rsid w:val="0012719E"/>
    <w:rsid w:val="00136733"/>
    <w:rsid w:val="0015513D"/>
    <w:rsid w:val="00243E14"/>
    <w:rsid w:val="002F4616"/>
    <w:rsid w:val="00415A31"/>
    <w:rsid w:val="00436C8E"/>
    <w:rsid w:val="0045545F"/>
    <w:rsid w:val="004B1C8F"/>
    <w:rsid w:val="004E2812"/>
    <w:rsid w:val="004F7128"/>
    <w:rsid w:val="00523123"/>
    <w:rsid w:val="005619CB"/>
    <w:rsid w:val="00562974"/>
    <w:rsid w:val="005D54EA"/>
    <w:rsid w:val="00615675"/>
    <w:rsid w:val="006453B7"/>
    <w:rsid w:val="00680F04"/>
    <w:rsid w:val="006C77AC"/>
    <w:rsid w:val="006E3205"/>
    <w:rsid w:val="00773DAD"/>
    <w:rsid w:val="007D2573"/>
    <w:rsid w:val="00804D00"/>
    <w:rsid w:val="0081027C"/>
    <w:rsid w:val="00833B16"/>
    <w:rsid w:val="00865951"/>
    <w:rsid w:val="00876EC5"/>
    <w:rsid w:val="008F4B54"/>
    <w:rsid w:val="008F5CB5"/>
    <w:rsid w:val="00937279"/>
    <w:rsid w:val="009A5582"/>
    <w:rsid w:val="009D0D48"/>
    <w:rsid w:val="00A03A05"/>
    <w:rsid w:val="00A77B3E"/>
    <w:rsid w:val="00A97BD1"/>
    <w:rsid w:val="00B91CBC"/>
    <w:rsid w:val="00BB68B4"/>
    <w:rsid w:val="00C130A9"/>
    <w:rsid w:val="00C16130"/>
    <w:rsid w:val="00C7219D"/>
    <w:rsid w:val="00C9486C"/>
    <w:rsid w:val="00CA2A55"/>
    <w:rsid w:val="00CC0509"/>
    <w:rsid w:val="00CC0892"/>
    <w:rsid w:val="00CC0D1A"/>
    <w:rsid w:val="00CE4AF3"/>
    <w:rsid w:val="00CE6D17"/>
    <w:rsid w:val="00D01A89"/>
    <w:rsid w:val="00DD4136"/>
    <w:rsid w:val="00E210D5"/>
    <w:rsid w:val="00E357A6"/>
    <w:rsid w:val="00E37457"/>
    <w:rsid w:val="00E62F2B"/>
    <w:rsid w:val="00EB7281"/>
    <w:rsid w:val="00ED307D"/>
    <w:rsid w:val="00EF75CC"/>
    <w:rsid w:val="00F47E6B"/>
    <w:rsid w:val="00F55305"/>
    <w:rsid w:val="00F93FB1"/>
    <w:rsid w:val="00FC26E9"/>
    <w:rsid w:val="076F7D44"/>
    <w:rsid w:val="0D0B1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786788"/>
  <w15:docId w15:val="{83D46F6B-7482-1C4E-84BE-D60F21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99"/>
    <w:unhideWhenUsed/>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rPr>
      <w:sz w:val="18"/>
      <w:szCs w:val="18"/>
    </w:rPr>
  </w:style>
  <w:style w:type="character" w:customStyle="1" w:styleId="jlqj4b">
    <w:name w:val="jlqj4b"/>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3438</Words>
  <Characters>19598</Characters>
  <Application>Microsoft Office Word</Application>
  <DocSecurity>0</DocSecurity>
  <Lines>163</Lines>
  <Paragraphs>45</Paragraphs>
  <ScaleCrop>false</ScaleCrop>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Donna Fox</cp:lastModifiedBy>
  <cp:revision>2</cp:revision>
  <dcterms:created xsi:type="dcterms:W3CDTF">2021-07-28T02:05:00Z</dcterms:created>
  <dcterms:modified xsi:type="dcterms:W3CDTF">2021-07-28T02:05:00Z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994D2DF2D9714F9785EE857D4434D031</vt:lpwstr>
  </property>
</Properties>
</file>