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67173</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Case Control Study</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Circulating microRNA 9-3p and serum endocan as potential biomarkers for hepatitis C virus-related hepatocellular carcinoma</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Wahb A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rPr>
        <w:t>.</w:t>
      </w:r>
      <w:r>
        <w:rPr>
          <w:rFonts w:ascii="Book Antiqua" w:hAnsi="Book Antiqua"/>
          <w:color w:val="000000"/>
          <w:highlight w:val="none"/>
        </w:rPr>
        <w:t xml:space="preserve"> </w:t>
      </w:r>
      <w:r>
        <w:rPr>
          <w:rFonts w:ascii="Book Antiqua" w:hAnsi="Book Antiqua" w:eastAsia="Book Antiqua" w:cs="Book Antiqua"/>
          <w:color w:val="000000"/>
          <w:highlight w:val="none"/>
        </w:rPr>
        <w:t>microRNA 9-3p and endocan in HCC</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Amany Mohamed Salah Eldin Wahb, Mohamed El Kassas, Ahmed Kamal Khamis, Mostafa Elhelbawy, Nesreen Elhelbawy, Mona Salah Eldin Habieb</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Amany Mohamed Salah Eldin Wahb, </w:t>
      </w:r>
      <w:r>
        <w:rPr>
          <w:rFonts w:ascii="Book Antiqua" w:hAnsi="Book Antiqua" w:eastAsia="Book Antiqua" w:cs="Book Antiqua"/>
          <w:color w:val="000000"/>
          <w:highlight w:val="none"/>
        </w:rPr>
        <w:t>Department of Medical Biochemistry and Molecular Biology, Faculty of Medicine, Helwan University, Cairo 11795, Egypt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Mohamed El Kassas, </w:t>
      </w:r>
      <w:r>
        <w:rPr>
          <w:rFonts w:ascii="Book Antiqua" w:hAnsi="Book Antiqua" w:eastAsia="Book Antiqua" w:cs="Book Antiqua"/>
          <w:color w:val="000000"/>
          <w:highlight w:val="none"/>
        </w:rPr>
        <w:t>Department of Endemic Medicine, Faculty of Medicine, Helwan University, Cairo 11795, Egypt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Ahmed Kamal Khamis, Mostafa Elhelbawy, </w:t>
      </w:r>
      <w:r>
        <w:rPr>
          <w:rFonts w:ascii="Book Antiqua" w:hAnsi="Book Antiqua" w:eastAsia="Book Antiqua" w:cs="Book Antiqua"/>
          <w:color w:val="000000"/>
          <w:highlight w:val="none"/>
        </w:rPr>
        <w:t>Department of Hepatology and Gastroenterology, National Liver Institute, Menoufia University, Shebin Elkom 32512, Menoufia, Egypt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Nesreen Elhelbawy, Mona Salah Eldin Habieb, </w:t>
      </w:r>
      <w:r>
        <w:rPr>
          <w:rFonts w:ascii="Book Antiqua" w:hAnsi="Book Antiqua" w:eastAsia="Book Antiqua" w:cs="Book Antiqua"/>
          <w:color w:val="000000"/>
          <w:highlight w:val="none"/>
        </w:rPr>
        <w:t>Department of Medical Biochemistry and Molecular Biology, Faculty of Medicine, Menoufia University, Shebin Elkoum 3511, Egypt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Author contributions: </w:t>
      </w:r>
      <w:r>
        <w:rPr>
          <w:rFonts w:ascii="Book Antiqua" w:hAnsi="Book Antiqua" w:eastAsia="Book Antiqua" w:cs="Book Antiqua"/>
          <w:color w:val="000000"/>
          <w:highlight w:val="none"/>
        </w:rPr>
        <w:t>Wahb A designed the research; Wahb A and Habieb M performed the laboratory work, performed the RT-qPCR work and drafted the manuscript; El Kassas M, Khamis A and Elhelbawy M performed the case selection and the clinical and radiological evaluations; Habieb M supplied reagents; Elhelbawy N performed the data analysis, biological parameter assessment and performed the RT-qPCR work; all authors contributed equally to the manuscript drafting and revision; All authors approved the final version of the manuscript.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Corresponding author: Mohamed El Kassas, MD, Associate Professor, </w:t>
      </w:r>
      <w:r>
        <w:rPr>
          <w:rFonts w:ascii="Book Antiqua" w:hAnsi="Book Antiqua" w:eastAsia="Book Antiqua" w:cs="Book Antiqua"/>
          <w:color w:val="000000"/>
          <w:highlight w:val="none"/>
        </w:rPr>
        <w:t>Department of Endemic Medicine, Faculty of Medicine, Helwan University, Ain Helwan, Cairo 11795, Egypt. m_elkassas@hq.helwan.edu.eg</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Received: </w:t>
      </w:r>
      <w:r>
        <w:rPr>
          <w:rFonts w:ascii="Book Antiqua" w:hAnsi="Book Antiqua" w:eastAsia="Book Antiqua" w:cs="Book Antiqua"/>
          <w:color w:val="000000"/>
          <w:highlight w:val="none"/>
        </w:rPr>
        <w:t>April 16,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Revised:</w:t>
      </w:r>
      <w:r>
        <w:rPr>
          <w:rFonts w:ascii="Book Antiqua" w:hAnsi="Book Antiqua" w:eastAsia="Book Antiqua" w:cs="Book Antiqua"/>
          <w:color w:val="000000"/>
          <w:highlight w:val="none"/>
        </w:rPr>
        <w:t xml:space="preserve"> July 2,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Accepted: </w:t>
      </w:r>
      <w:r>
        <w:rPr>
          <w:rFonts w:ascii="Book Antiqua" w:hAnsi="Book Antiqua" w:eastAsia="Book Antiqua" w:cs="Book Antiqua"/>
          <w:color w:val="000000"/>
          <w:highlight w:val="none"/>
        </w:rPr>
        <w:t>September 1, 2021</w:t>
      </w:r>
    </w:p>
    <w:p>
      <w:pPr>
        <w:spacing w:line="360" w:lineRule="auto"/>
        <w:jc w:val="both"/>
        <w:rPr>
          <w:rFonts w:ascii="Book Antiqua" w:hAnsi="Book Antiqua" w:eastAsia="Book Antiqua" w:cs="Book Antiqua"/>
          <w:highlight w:val="none"/>
        </w:rPr>
        <w:sectPr>
          <w:footerReference r:id="rId3" w:type="default"/>
          <w:pgSz w:w="12240" w:h="15840"/>
          <w:pgMar w:top="1440" w:right="1440" w:bottom="1440" w:left="1440" w:header="720" w:footer="720" w:gutter="0"/>
          <w:pgNumType w:start="1"/>
          <w:cols w:space="720" w:num="1"/>
        </w:sectPr>
      </w:pPr>
      <w:r>
        <w:rPr>
          <w:rFonts w:ascii="Book Antiqua" w:hAnsi="Book Antiqua" w:eastAsia="Book Antiqua" w:cs="Book Antiqua"/>
          <w:b/>
          <w:color w:val="000000"/>
          <w:highlight w:val="none"/>
        </w:rPr>
        <w:t xml:space="preserve">Published online: </w:t>
      </w:r>
      <w:r>
        <w:rPr>
          <w:rFonts w:ascii="Book Antiqua" w:hAnsi="Book Antiqua"/>
          <w:color w:val="000000"/>
          <w:highlight w:val="none"/>
          <w:shd w:val="clear" w:color="auto" w:fill="FFFFFF"/>
        </w:rPr>
        <w:t>November 27</w:t>
      </w:r>
      <w:r>
        <w:rPr>
          <w:rFonts w:hint="eastAsia" w:ascii="Book Antiqua" w:hAnsi="Book Antiqua"/>
          <w:color w:val="000000"/>
          <w:highlight w:val="none"/>
          <w:shd w:val="clear" w:color="auto" w:fill="FFFFFF"/>
          <w:lang w:eastAsia="zh-CN"/>
        </w:rPr>
        <w:t>,</w:t>
      </w:r>
      <w:r>
        <w:rPr>
          <w:rFonts w:ascii="Book Antiqua" w:hAnsi="Book Antiqua"/>
          <w:color w:val="000000"/>
          <w:highlight w:val="none"/>
          <w:shd w:val="clear" w:color="auto" w:fill="FFFFFF"/>
          <w:lang w:eastAsia="zh-CN"/>
        </w:rPr>
        <w:t xml:space="preserve">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The high mortality rate of hepatocellular carcinoma (HCC) in Egypt is due mainly to the increasing prevalence of hepatitis C virus infection (HCV) and late diagnosis of the carcinoma. MicroRNAs (miRNA), which regulate tumor proliferation and metastasis in HCC, may serve as a useful diagnostic approach for the early detection of HCC, thus decreasing its mortality. Meanwhile, endocan is a protein with angiogenic and inflammatory properties that are associated with tumor progression and poor outcomes.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To analyze the levels of miRNA 9-3p and endocan</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in HCV-infected HCC patients and correlate them with clinicopathological parameters.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We compared levels of endocan and circulating miRNA 9-3p from 35 HCV-related HCC patients to 33 patients with HCV-induced chronic liver disease and 32 age and gender matched healthy controls recruited from inpatient and outpatient clinics of the National Liver Institute, Menoufia University, Egypt in the period from January to March 2021 in a case-control study. Serum samples from all groups were analyzed for HCV. Endocan was measured by enzyme-linked immunosorbent assays, and the expression levels of circulating miRNA 9-3p were measured by real-time quantitative reverse transcriptase PCR.</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The levels of circulating miRNA 9-3p were significantly lower in the HCC group compared to the chronic liver disease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control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groups, while levels in the chronic liver disease were significantly lower than those in the control group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The levels of serum endocan were significantly higher in the HCC group compared to the chronic liver disease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control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groups. Moreover miRNA 9-3p and endocan performed better than α-fetoprotein in discriminating HCC patients from cirrhosis and healthy patients. The levels of miRNA 9-3p were significantly inversely correlated to vascular invasion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0.002), stage of advancement of Barcelona Clinical Liver Cancer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the metastatic site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of the HCC group.</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Circulating miRNA 9-3p and endocan can be used as novel biomarkers for the early diagnosis of HCV-related HCC.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Key Words: </w:t>
      </w:r>
      <w:r>
        <w:rPr>
          <w:rFonts w:ascii="Book Antiqua" w:hAnsi="Book Antiqua" w:eastAsia="Book Antiqua" w:cs="Book Antiqua"/>
          <w:color w:val="000000"/>
          <w:highlight w:val="none"/>
        </w:rPr>
        <w:t>MicroRNA 9-3p; Hepatocellular carcinoma; Endocan; Diagnostic; Biomarker; Egypt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宋体" w:cs="Book Antiqua"/>
          <w:highlight w:val="none"/>
          <w:lang w:val="en-US" w:eastAsia="zh-CN"/>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Wahb AMSE, El Kassas M, Khamis AK, Elhelbawy M, Elhelbawy N, Habieb MSE. Circulating microRNA 9-3p and serum endocan as potential biomarkers for hepatitis C virus-related hepatocellular carcinoma. </w:t>
      </w:r>
      <w:r>
        <w:rPr>
          <w:rFonts w:ascii="Book Antiqua" w:hAnsi="Book Antiqua" w:eastAsia="Book Antiqua" w:cs="Book Antiqua"/>
          <w:i/>
          <w:color w:val="000000"/>
          <w:highlight w:val="none"/>
        </w:rPr>
        <w:t>World J Hepatol</w:t>
      </w:r>
      <w:r>
        <w:rPr>
          <w:rFonts w:ascii="Book Antiqua" w:hAnsi="Book Antiqua" w:eastAsia="Book Antiqua" w:cs="Book Antiqua"/>
          <w:color w:val="000000"/>
          <w:highlight w:val="none"/>
        </w:rPr>
        <w:t xml:space="preserve"> 2021; </w:t>
      </w:r>
      <w:bookmarkStart w:id="0" w:name="_Hlk87378010"/>
      <w:r>
        <w:rPr>
          <w:rFonts w:ascii="Book Antiqua" w:hAnsi="Book Antiqua" w:eastAsia="Book Antiqua" w:cs="Book Antiqua"/>
          <w:color w:val="000000"/>
          <w:highlight w:val="none"/>
        </w:rPr>
        <w:t xml:space="preserve">13(11): </w:t>
      </w:r>
      <w:r>
        <w:rPr>
          <w:rFonts w:hint="default" w:ascii="Book Antiqua" w:hAnsi="Book Antiqua" w:eastAsia="Book Antiqua" w:cs="Book Antiqua"/>
          <w:i w:val="0"/>
          <w:iCs w:val="0"/>
          <w:color w:val="000000"/>
          <w:kern w:val="0"/>
          <w:sz w:val="24"/>
          <w:szCs w:val="24"/>
          <w:u w:val="none"/>
          <w:lang w:val="en-US" w:eastAsia="zh-CN" w:bidi="ar"/>
        </w:rPr>
        <w:t>1753-1765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w:t>
      </w:r>
      <w:r>
        <w:rPr>
          <w:rFonts w:hint="eastAsia" w:ascii="Book Antiqua" w:hAnsi="Book Antiqua" w:eastAsia="Book Antiqua" w:cs="Book Antiqua"/>
          <w:color w:val="000000" w:themeColor="text1"/>
          <w14:textFill>
            <w14:solidFill>
              <w14:schemeClr w14:val="tx1"/>
            </w14:solidFill>
          </w14:textFill>
        </w:rPr>
        <w:t>https://www.wjgnet.com/1948-5182/full/v13/i1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1753</w:t>
      </w:r>
      <w:r>
        <w:rPr>
          <w:rFonts w:hint="eastAsia" w:ascii="Book Antiqua" w:hAnsi="Book Antiqua" w:eastAsia="Book Antiqua" w:cs="Book Antiqua"/>
          <w:color w:val="000000" w:themeColor="text1"/>
          <w14:textFill>
            <w14:solidFill>
              <w14:schemeClr w14:val="tx1"/>
            </w14:solidFill>
          </w14:textFill>
        </w:rPr>
        <w:t>.htm</w:t>
      </w:r>
    </w:p>
    <w:p>
      <w:pPr>
        <w:spacing w:line="360" w:lineRule="auto"/>
        <w:jc w:val="both"/>
        <w:rPr>
          <w:rFonts w:ascii="Book Antiqua" w:hAnsi="Book Antiqua" w:eastAsia="Book Antiqua" w:cs="Book Antiqua"/>
          <w:highlight w:val="none"/>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https://dx.doi.org/10.4254/wjh.v13.i11.</w:t>
      </w:r>
      <w:bookmarkEnd w:id="0"/>
      <w:r>
        <w:rPr>
          <w:rFonts w:hint="default" w:ascii="Book Antiqua" w:hAnsi="Book Antiqua" w:eastAsia="Book Antiqua" w:cs="Book Antiqua"/>
          <w:i w:val="0"/>
          <w:iCs w:val="0"/>
          <w:color w:val="000000"/>
          <w:kern w:val="0"/>
          <w:sz w:val="24"/>
          <w:szCs w:val="24"/>
          <w:u w:val="none"/>
          <w:lang w:val="en-US" w:eastAsia="zh-CN" w:bidi="ar"/>
        </w:rPr>
        <w:t>1753</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Core Tip: </w:t>
      </w:r>
      <w:r>
        <w:rPr>
          <w:rFonts w:ascii="Book Antiqua" w:hAnsi="Book Antiqua" w:eastAsia="Book Antiqua" w:cs="Book Antiqua"/>
          <w:color w:val="000000"/>
          <w:highlight w:val="none"/>
        </w:rPr>
        <w:t xml:space="preserve">The level of circulating microRNA 9-3p was significantly decreased in hepatocellular carcinoma (HCC) patients than in chronic liver disease and control groups. The level of serum endocan was significantly increased in HCC patients than in the cirrhotic and control groups, and there was better diagnostic performance of microRNA 9-3p and endocan than α-fetoprotein. The levels of microRNA 9-3p have a significant inverse correlation with endocan and vascular invasion and advanced stage of Barcelona Clinical Liver Cancer in the HCC group. Circulating microRNA 9-3p and endocan could be novel biomarkers for early diagnosis of hepatitis C virus-related HCC patients.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highlight w:val="none"/>
        </w:rPr>
        <w:br w:type="page"/>
      </w:r>
      <w:r>
        <w:rPr>
          <w:rFonts w:ascii="Book Antiqua" w:hAnsi="Book Antiqua" w:eastAsia="Book Antiqua" w:cs="Book Antiqua"/>
          <w:b/>
          <w:smallCaps/>
          <w:color w:val="000000"/>
          <w:highlight w:val="none"/>
          <w:u w:val="single"/>
        </w:rPr>
        <w:t>INTRODUCTION</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Worldwide, hepatocellular carcinoma (HCC) is the sixth most prevalent cancer and the third leading cause of cancer deaths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In Egypt, HCC is a significant health problem, as it is the most prevalent and second most prevalent cancer in males and females, respectively. It is the most prevalent malignancy in general, accounting for 32.35% of the total cancer deaths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One reason for these high prevalence rates is the high prevalence of hepatitis C in Egypt</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xml:space="preserve">. </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Moreover, HCC has been attributed to molecular aberrations, such as errors in regulation of gene expression, which may result in translational repression and/or degradation</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To improve the overall survival from HCC, extensive research is needed, focusing particularly on more accurate and monitored management of the disease</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MicroRNAs (miRNAs) are small (approximately 22 nucleotides long), endogenous, non-protein coding RNAs that are key post-transcriptional regulators of gene expression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miRNAs regulate different cellular pathways, including the cell cycle, cell proliferation and apoptosis. Dysregulation of miRNAs can therefore impact cellular processes involved in tumorigenesis and cancer. Thus, serum miRNAs may serve as non-invasive biomarkers for the diagnosis of cancer</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Three genes encode miRNA 9-3p: </w:t>
      </w:r>
      <w:r>
        <w:rPr>
          <w:rFonts w:ascii="Book Antiqua" w:hAnsi="Book Antiqua" w:eastAsia="Book Antiqua" w:cs="Book Antiqua"/>
          <w:i/>
          <w:iCs/>
          <w:color w:val="000000"/>
          <w:highlight w:val="none"/>
        </w:rPr>
        <w:t>MIR9</w:t>
      </w:r>
      <w:r>
        <w:rPr>
          <w:rFonts w:ascii="Book Antiqua" w:hAnsi="Book Antiqua" w:eastAsia="Book Antiqua" w:cs="Book Antiqua"/>
          <w:color w:val="000000"/>
          <w:highlight w:val="none"/>
        </w:rPr>
        <w:t>-</w:t>
      </w:r>
      <w:r>
        <w:rPr>
          <w:rFonts w:ascii="Book Antiqua" w:hAnsi="Book Antiqua" w:eastAsia="Book Antiqua" w:cs="Book Antiqua"/>
          <w:i/>
          <w:iCs/>
          <w:color w:val="000000"/>
          <w:highlight w:val="none"/>
        </w:rPr>
        <w:t>1</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MIR9-2</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MIR9-3</w:t>
      </w:r>
      <w:r>
        <w:rPr>
          <w:rFonts w:ascii="Book Antiqua" w:hAnsi="Book Antiqua" w:eastAsia="Book Antiqua" w:cs="Book Antiqua"/>
          <w:color w:val="000000"/>
          <w:highlight w:val="none"/>
        </w:rPr>
        <w:t>, located on chromosomes 1 (1q22), 5 (5q14.3) and 15 (15q26.1), respectively</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miRNA 9-3p is expressed abnormally in various types of human cancer, suggesting that it is functionally versatile</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miRNA 9-3p has been identified to have a tumor suppressive role by targeting an oncogenic tafazzin expression in HCC cells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Endocan is a 50 kDa soluble proteoglycan that circulates freely in the bloodstream of healthy individuals and is expressed by the vascular endothelium. It has angiogenic and inflammatory properties that may affect vascular permeability, thus it plays crucial roles in regulating major physiological and pathophysiological processes, such as cell adhesion, inflammation and tumor progression</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Endocan expression is upregulated in cancer cells derived from the lung, kidney, brain, astrocytes and liver</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A single study has reported that miRNA 9-3p expression decreases in bladder cancer patients, resulting in reduced inhibition of endocan, thus increasing its expression, which promotes cell proliferation</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These results indicate that the gene encoding endocan is a target of miRNA 9-3p. To the best of our knowledge, simultaneous assessment of the roles of both miRNA 9-3p and inflammatory role of endocan that may induce tumorigenesis and tumor progression have not been evaluated in HCV-related HCC, which is triggered by the viral inflammation. Thus, the current work aimed to study the diagnostic value of circulating levels of miRNA 9-3p and endocan in HCV-related HCC patients and to correlate them with clinicopathological parameters.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color w:val="000000"/>
          <w:highlight w:val="none"/>
          <w:u w:val="single"/>
        </w:rPr>
        <w:t>MATERIALS AND METHODS</w:t>
      </w: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Study subjects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This case-control study included a total of 100 subjects recruited from inpatient and outpatient clinics of the National Liver Institute, Menoufia University, Egypt in the period from January to March 2021. Participants were categorized into three groups: Group I: 35 patients with HCV-related HCC; Group II: 33 patients with chronic liver disease due to chronic HCV; and Group III: 32 healthy and free of viral infection volunteers of matched age and gender. Patients were selected based on restrictive inclusion criteria including patients whose age was more than 18 years with confirmed HCV infection by both HCV antibody (anti-HCV) detection and positive HCV RNA. In Group I, HCC was diagnosed (triphasic spiral computed tomography or dynamic magnetic resonance imaging together with elevated α-fetoprotein and/or liver biopsy), and its stage was identified according to the Barcelona Clinical Liver Cancer (BCLC) system</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In Group II, chronic liver disease was diagnosed based on history, clinical examination, laboratory results and imaging that included abdominal ultrasonography and computed tomography. Liver disease severity was assessed by the Child-Pugh score. Patients with positive hepatitis B surface antigen and/or hepatitis B c antibody, secondary liver cancer, other malignancies, chronic hepatitis or cirrhosis due to any cause other than HCV infection, significant associated comorbidities (such as renal failure or heart failure) and those receiving chemotherapy, radiotherapy or on immunosuppression medication were excluded. Detailed histories of all participants were taken, and they all underwent physical examination, liver imaging (abdominal ultrasound) and routine laboratory tests that included complete blood counts, kidney and liver function tests [albumin, total bilirubin, direct bilirubin, alanine aminotransferase (ALT) and aspartate aminotransferase (AST)], serum levels of α-fetoprotein, and serological tests for hepatitis B virus and HCV. Serum samples from Groups I and II were analyzed for HCV by reverse transcriptase PCR (RT-PCR).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Laboratory procedures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Seven milliliters of venous blood were withdrawn by venipuncture; of this, 5 mL were transferred into a plain tube, left to clot and centrifuged for 10 min at 4000 rpm. The serum obtained was stored at -80 ºC until subsequent analyses for serum α-fetoprotein levels, liver function tests, hepatitis viral markers and endocan levels. The remaining 2 mL of blood were placed into an EDTA containing tube for HCV RT-PCR and miRNA 9-3p expression analysis. Anti-HCV levels were determined by electrochemiluminescence immunoassay using the Cobas immunoassay analyzer.</w:t>
      </w:r>
    </w:p>
    <w:p>
      <w:pPr>
        <w:spacing w:line="360" w:lineRule="auto"/>
        <w:ind w:firstLine="24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The hepatitis B surface antigen in serum was determined using (Sorin Biomedica Co. kits, Italy). Serum levels of ALT and AST were determined by the kinetic UV optimized method of the IFCC (ELTEC Kit, England). Serum levels of total bilirubin were measured using the DIAMOND diagnostics Kit, Germany. Serum albumin levels were quantified using a colorimetric method of enhanced specificity of bromocresol green (DIAMOND diagnostics Kit, Germany). Prothrombin time was determined by the STA-Stago Compact computed tomography autoanalyzer. Serum α-fetoprotein levels were measured by enzyme-linked immunosorbent assays using the IMMULITE 1000 system (Siemens Medical Solutions Diagnostics, United States).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 xml:space="preserve">Endocan detection </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Serum endocan levels were measured by enzyme-linked immunosorbent assay using the PicokineTM ELISA Kit for human ESMI/Endocan (Boster Biological Technology Co., Ltd., CA, United States, cat# EK0752).</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RT-PCR for HCV</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Nucleic acids were extracted using the Qiagen viral RNA Mini Extraction Kit.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 xml:space="preserve">Expression assay for miRNA 9-3p </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miRNA was isolated from plasma using the Qiagen™ RNA extraction Kit MiRNeasy Kit (QIAGEN). miRNA was purified and then its concentration and purity were quantified using a NanoDrop</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N50 nanophotometer (Implant GmbH and Implen, Inc. Schatzbogen 52 81829 München, Germany). Purified miRNA was stored at -80 °C until reverse transcription, which was accomplished using the Qiagen®miScript II RT Kit (QIAGEN) following the manufacturer’s instructions. Each 20-µl reaction tube contained 4 μL 5 × miScript HiSpec Buffer, 2 μL 10 × miScript Nuclease Mix, 2 μL RNase-free water, 2 μL miScript Reverse Transcriptase Mix, and 10 μL template RNA. Reverse transcription was carried out at 37 °C for 60 min and 95 °C for 5 min on an Applied Biosystems 2720 thermal cycler (Bioline, Singapore, United States). The cDNA product was diluted to 5 ng/ul before determining the transcript levels by real-time quantitative PCR. Real-time quantitative PCR was performed using the miScript SYBR Green PCR Kit (QIAGEN) according to the manufacturer’s instructions. The reaction mixture contained 12.5 μL 2x QuantiTect SYBR Green PCR Master Mix, 2.5 μL 10x miScript Universal Primer based on mRNA sequences obtained from the miRBase database for miRNA 9-3p, 2.5 μL template cDNA and 3.5 μL RNase-free water. The Applied Biosystems</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7500 real-time thermal cycler (Applied Biosystems, Foster City, CA, United States) was programmed to run 40 cycles of the following steps: 95 °C for 15 min (initial denaturation step), denaturation at 94 °C for 15 s, annealing for 30 s at 55 °C and extension for 30 s at 70 °C. U6 snRNA was used as an endogenous control. Relative quantification expression levels were calculated using the comparative 2−ΔΔCt method with Applied Biosystems 7500 software version 2.0.1. Each run was completed using melting curve analysis to confirm the specificity of the amplification and absence of primer dimers.</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All procedures involving human participants were performed according to the ethical standards of the institutional and/or national research committee and the 1964 Helsinki Declaration and its later amendments or comparable ethical standards. The study was approved by the Menoufia University Faculty of Medicine Research Ethics Committee. Every patient in this research provided their written consent to participate in the research, provided that they were not identified in the paper.</w:t>
      </w:r>
    </w:p>
    <w:p>
      <w:pPr>
        <w:spacing w:line="360" w:lineRule="auto"/>
        <w:jc w:val="both"/>
        <w:rPr>
          <w:rFonts w:ascii="Book Antiqua" w:hAnsi="Book Antiqua" w:eastAsia="Book Antiqua" w:cs="Book Antiqua"/>
          <w:b/>
          <w:i/>
          <w:color w:val="000000"/>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Statistical analysis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Data were analyzed using IBM SPSS statistics software version 20 (SPSS Inc. Released 2011. IBM SPSS statistics for windows, version 20.0, Armonk, NY, United States: IBM Corp). Quantitative data are presented as means, standard deviations, medians and interquartile ranges, while qualitative data are presented as frequencies and percentages. The relationship between qualitative variables was evaluated by the χ</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xml:space="preserve"> test. Pairs of groups of non-normally distributed quantitative data were compared by the Mann–Whitney test, while three groups were compared by the Kruskal–Wallis test (non-parametric analysis of variance). Based on Kruskal–Wallis distribution, a post-hoc test was performed for pairwise comparisons. Correlations were assessed using the Spearman correlation test. The diagnostic values of serum miRNA 9-3p and endocan in HCC patients were evaluated by the receiver operating characteristic (ROC) curve analysis. The most independent factor associated with metastasis was identified by logistic regression analysis.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values of &lt; 0.05 were considered statistically significant.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color w:val="000000"/>
          <w:highlight w:val="none"/>
          <w:u w:val="single"/>
        </w:rPr>
        <w:t>RESULTS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The patients in all three groups did not differ statistically in terms of age and gender. Biochemical analyses results (Table 1) showed that the HCC group and the chronic liver disease group differed in the following: ALT, direct bilirubin, international normalized ratio, endocan and miRNA 9-3p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0.005,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0.003,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0.002,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w:t>
      </w:r>
      <w:r>
        <w:rPr>
          <w:rFonts w:ascii="Book Antiqua" w:hAnsi="Book Antiqua" w:eastAsia="Book Antiqua" w:cs="Book Antiqua"/>
          <w:i/>
          <w:color w:val="000000"/>
          <w:highlight w:val="none"/>
        </w:rPr>
        <w:t xml:space="preserve">P </w:t>
      </w:r>
      <w:r>
        <w:rPr>
          <w:rFonts w:ascii="Book Antiqua" w:hAnsi="Book Antiqua" w:eastAsia="Book Antiqua" w:cs="Book Antiqua"/>
          <w:color w:val="000000"/>
          <w:highlight w:val="none"/>
        </w:rPr>
        <w:t xml:space="preserve">&lt; 0.001, respectively). </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The HCC group differed significantly from the control group in terms of ALT, AST, platelet count, serum albumin, direct bilirubin, international normalized ratio, α-fetoprotein level, endocan and miRNA 9-3p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The chronic liver disease group differed significantly from the control group in terms of ALT, AST, hemoglobin level, platelet count, international normalized ratio, α-fetoprotein level, endocan and miRNA 9-3p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0.003,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0.019,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0.022,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0.001,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respectively). </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Serum endocan levels in the HCC group were significantly higher than those in the chronic liver disease and control groups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Furthermore, serum miRNA 9-3p expression levels in the HCC group were significantly lower than those in the chronic liver disease and control groups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while levels in the chronic liver disease group were significantly lower than those in the control group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In the HCC group, 62.9% of patients (22 patients) were classified as grade A and (37.1%) of patients (13 patients) were classified as grade B according to Child-Pugh classifications; 4 (11.4%) patients were classified as grade A in BCLC stage, 18 (51.4 %) patients in stage B and 13 (37.1%) patients were in stage C. Detailed tumor characteristics of the HCC group are shown in Table 2.</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The correlations between serum miRNA 9-3p levels and clinical data in HCC patients are shown in Table 3. miRNA 9-3p expression levels were significantly inversely correlated to vascular invasion, BCLC classification and metastatic site. Moreover, miRNA 9-3p expression levels were also significantly inversely correlated to serum endocan levels (Figure 1).</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Univariate and multivariate logistic regression analyses on the HCC group indicated that miRNA 9-3p is an independent predictor factor of metastasis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0.041; 95% confidence interval: 0.089-0.951) (Table 4).</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ROC analysis of miRNA 9-3p and endocan levels indicated that at a cutoff point of 0.26, miRNA 9-3p can discriminate between patients with HCC and those with chronic liver disease with a sensitivity of 91.43%, a specificity of 87.88%, a positive predictive value of 88.90% and a negative predictive value of 90.60%. Meanwhile, at a cutoff point of 2370 pg/mL, endocan can discriminate between HCC and chronic liver disease patients with a sensitivity of 82.86%, a specificity of 84.85%, a positive predictive value of 85.30% and a negative predictive value of 82.40%. In comparison, α-fetoprotein was less sensitive and specific (60.00% and 33.30%, respectively). </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At a cutoff point of 1.01, miRNA 9-3p can discriminate between HCC and control group patients with a sensitivity of 91.43%, a specificity of 87.50%, a positive predictive value of 88.90% and a negative predictive value of 90.30%. Meanwhile, at a cutoff point of 1510 pg/mL, endocan can discriminate between HCC and chronic liver disease patients with a sensitivity of 85.71%, a specificity of 87.50%, a positive predictive value of 88.20% and a negative predictive value of 84.80%. In comparison, α-fetoprotein was less sensitive and specific (80.00% and 71.87%, respectively). Diagnostically, both miRNA 9-3p and endocan performed better than α-fetoprotein at discriminating HCC patients from both chronic liver disease and healthy patients (Figures 2 and 3).</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ROC analysis of miRNA 9-3p levels in the HCC group indicated that at a cutoff point of 0.02, miRNA 9-3p can discriminate between metastatic and non-metastatic HCC patients with a sensitivity of 91.67%, a specificity of 82.61%, a positive predictive value of 73.30% and a negative predictive value of 95.00%.</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color w:val="000000"/>
          <w:highlight w:val="none"/>
          <w:u w:val="single"/>
        </w:rPr>
        <w:t>DISCUSSION</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The increasing prevalence of HCC worldwide and its associated poor prognosis make it a global health problem. Studies in Egypt shows the increasing role of HCV infection in liver cancer etiology, and among all cancer deaths in Egypt, HCC is the primary cause</w:t>
      </w:r>
      <w:r>
        <w:rPr>
          <w:rFonts w:ascii="Book Antiqua" w:hAnsi="Book Antiqua" w:eastAsia="Book Antiqua" w:cs="Book Antiqua"/>
          <w:color w:val="000000"/>
          <w:highlight w:val="none"/>
          <w:vertAlign w:val="superscript"/>
        </w:rPr>
        <w:t>[17,18]</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HCC is often detected late, when it is no longer operable, which limits curative surgical treatment to only a few cases involving small HCC malignancies. Moreover, as a diagnostic tool, α-fetoprotein is limited in its accuracy</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In contrast, circulating miRNAs may serve as biomarkers and a useful diagnostic approach for the early detection of HCC</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In the present study, clinical and laboratory data from the three different groups of patients revealed that serum α-fetoprotein levels of HCC and chronic liver disease patients was significantly different from those of control patients. α-fetoprotein is known to be overexpressed in HCC</w:t>
      </w:r>
      <w:r>
        <w:rPr>
          <w:rFonts w:ascii="Book Antiqua" w:hAnsi="Book Antiqua" w:eastAsia="Book Antiqua" w:cs="Book Antiqua"/>
          <w:color w:val="000000"/>
          <w:highlight w:val="none"/>
          <w:vertAlign w:val="superscript"/>
        </w:rPr>
        <w:t>[21-23]</w:t>
      </w:r>
      <w:r>
        <w:rPr>
          <w:rFonts w:ascii="Book Antiqua" w:hAnsi="Book Antiqua" w:eastAsia="Book Antiqua" w:cs="Book Antiqua"/>
          <w:color w:val="000000"/>
          <w:highlight w:val="none"/>
        </w:rPr>
        <w:t>, and the severity of cirrhosis is a significant predictor of elevated serum α-fetoprotein levels; higher serum α-fetoprotein levels are significantly correlated with advanced cirrhosis in patients with chronic HCV</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xml:space="preserve">. </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We found that serum α-fetoprotein levels in the HCC group did not differ significantly from those of the chronic liver disease group. This agrees with the results of Massironi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xml:space="preserve">, who reported similar findings in HCC and liver cirrhosis subjects. In our study, at a cutoff value of 23 ng/dL, α-fetoprotein discriminates between HCC and control patients at a sensitivity of 80.00% and a specificity of 71.87%. These results are similar to those of Massironi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xml:space="preserve"> and Metwaly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who reported a sensitivity of 75% and a specificity of 80% at a cutoff value of 16.9 ng/dL.</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Our findings show higher serum endocan levels in HCC patients than in chronic liver disease patients, which agrees with previous studies by Nault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and Ozaki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Recent studies on HCC show that elevated serum endocan levels and endocan expression by stromal endothelial cells in HCC tissues are correlated with poor survival</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Endocan expression in tumors undergoing angiogenesis reflects the processes of angiogenesis and tumor invasion. Structurally, the glycan form and phenylalanine-rich region of endocan are its key effective sections through the nuclear factor-κB/IκB pathway</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However, the involvement of endocan in HCC development remains unclear.</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We found that plasma miRNA 9-3p levels are significantly lower in HCC patients compared to chronic liver disease and control patients. Overall, the order of miRNA 9-3p expression among the different groups is as follows: HCC &lt; chronic liver disease &lt; control.</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This supports the concept of the antitumor function of miRNA 9-3p as reported by Higashi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Yang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xml:space="preserve"> and Tang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In contrast, Sun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showed that miR-9 increases the levels of migration and invasion of HCC cell lines. It is possible that miR-9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miR-9-5p) and miR-9* (miR-9-3p) are two different miRNAs that originate from the same precursor, and they can play either synergistic or opposite roles within one malignancy</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Interestingly, we observed significantly lower levels of miRNA 9-3p expression and vascular invasion at the advanced stage of BCLC and at the metastatic site of the HCC group.</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In cervical adenocarcinoma, miRNA 9-3p is downregulated and acts as a tumor suppressor. Ectopic expression of miR-9-3p inhibits the JAK/STAT3 pathway by targeting interleukin 6, leading to the upregulation of vascular endothelial growth factor and increased angiogenesis. This results in decreased proliferation and migration and reduced tumor growth </w:t>
      </w:r>
      <w:r>
        <w:rPr>
          <w:rFonts w:ascii="Book Antiqua" w:hAnsi="Book Antiqua" w:eastAsia="Book Antiqua" w:cs="Book Antiqua"/>
          <w:i/>
          <w:color w:val="000000"/>
          <w:highlight w:val="none"/>
        </w:rPr>
        <w:t>in vivo</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xml:space="preserve">. Moreover, Tang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reported that exosomal miRNA 9-3p suppresses the development and progression of HCC.</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Cai </w:t>
      </w:r>
      <w:r>
        <w:rPr>
          <w:rFonts w:ascii="Book Antiqua" w:hAnsi="Book Antiqua" w:eastAsia="Book Antiqua" w:cs="Book Antiqua"/>
          <w:i/>
          <w:color w:val="000000"/>
          <w:highlight w:val="none"/>
        </w:rPr>
        <w:t>et al</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reported that increased exosomal miR-9-3p counteracts bladder cancer growth and metastasis and decreases endocan protein expression in nude mice. We similarly observed that miR-9-3p expression is inversely correlated to serum endocan levels in the HCC group.</w:t>
      </w:r>
    </w:p>
    <w:p>
      <w:pPr>
        <w:spacing w:line="360" w:lineRule="auto"/>
        <w:ind w:firstLine="240"/>
        <w:jc w:val="both"/>
        <w:rPr>
          <w:rFonts w:ascii="Book Antiqua" w:hAnsi="Book Antiqua" w:eastAsia="Book Antiqua" w:cs="Book Antiqua"/>
          <w:highlight w:val="none"/>
        </w:rPr>
      </w:pPr>
      <w:r>
        <w:rPr>
          <w:rFonts w:ascii="Book Antiqua" w:hAnsi="Book Antiqua" w:eastAsia="Book Antiqua" w:cs="Book Antiqua"/>
          <w:color w:val="000000"/>
          <w:highlight w:val="none"/>
        </w:rPr>
        <w:t>We performed ROC analysis to compare the diagnostic accuracies of miRNA 9-3p, endocan and the traditional HCC tumor marker, α-fetoprotein. Diagnostically, both miRNA 9-3p and endocan perform better than α-fetoprotein in discriminating patients with HCC from those with or without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healthy) chronic liver disease. Furthermore, ROC analysis revealed that miRNA 9-3p performed well at discriminating between metastatic and non-metastatic patients in the HCC group. Statistically, miRNA 9-3p is an independent predictor factor of metastasis. This study could be the nucleus of a larger study working on a larger number of patients that may include those with other causes of chronic liver disease like alcoholism as our study was limited to HCV-induced chronic liver disease as it is highly prevalent in Egypt.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color w:val="000000"/>
          <w:highlight w:val="none"/>
          <w:u w:val="single"/>
        </w:rPr>
        <w:t>CONCLUSION</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Endocan and miRNA 9-3p could be biomarkers with potential use for the early diagnosis of HCV-related HCC. In this regard, they are more valuable than α-fetoprotein. Moreover, miRNA 9-3p is an independent predictor of metastasis in HCC patients.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color w:val="000000"/>
          <w:highlight w:val="none"/>
          <w:u w:val="single"/>
        </w:rPr>
        <w:t>ARTICLE HIGHLIGHTS</w:t>
      </w: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The high mortality rate of hepatocellular carcinoma (HCC) in Egypt is due mainly to the increasing prevalence of hepatitis C virus infection (HCV) and late diagnosis of the carcinoma.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MicroRNAs (miRNA), which regulate tumor proliferation and metastasis in HCC, may serve as a useful diagnostic approach for the early detection of HCC, thus decreasing its mortality. Meanwhile, endocan is a protein with angiogenic and inflammatory properties that are associated with tumor progression and poor outcomes.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To analyze the levels of miRNA 9-3p and endocan</w:t>
      </w:r>
      <w:r>
        <w:rPr>
          <w:rFonts w:ascii="Book Antiqua" w:hAnsi="Book Antiqua" w:eastAsia="Book Antiqua" w:cs="Book Antiqua"/>
          <w:b/>
          <w:color w:val="000000"/>
          <w:highlight w:val="none"/>
        </w:rPr>
        <w:t xml:space="preserve"> </w:t>
      </w:r>
      <w:r>
        <w:rPr>
          <w:rFonts w:ascii="Book Antiqua" w:hAnsi="Book Antiqua" w:eastAsia="Book Antiqua" w:cs="Book Antiqua"/>
          <w:color w:val="000000"/>
          <w:highlight w:val="none"/>
        </w:rPr>
        <w:t>in HCV-infected HCC patients and correlate them with clinicopathological parameters.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We compared levels of endocan and circulating miRNA 9-3p from 35 HCV-related HCC patients to 33 patients with HCV-induced chronic liver disease and 32 age and gender matched healthy controls.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The levels of circulating miRNA 9-3p were significantly lower in the HCC group compared to the chronic liver disease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control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groups, while levels in the chronic liver disease were significantly lower than those in the control group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While the levels of serum endocan were significantly higher in the HCC group compared to the chronic liver disease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control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groups. Moreover, miRNA 9-3p and endocan performed better than α-fetoprotein in discriminating HCC patients from cirrhosis and healthy patients. The levels of miRNA 9-3p are significantly inversely correlated to vascular invasion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0.002), stage of advancement of Barcelona Clinical Liver Cancer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and the metastatic site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of the HCC group.</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Endocan and miRNA 9-3p could be biomarkers with potential use for the early diagnosis of HCV-related HCC. In this regard, they are more valuable than α-fetoprotein. Moreover, miRNA 9-3p is an independent predictor of metastasis in HCC patients.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The findings of this study warrant additional investigation in prospective trials with larger cohorts and longer follow-up for confirming our results and validating the potential clinical use of these markers in early HCC detection.</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smallCaps/>
          <w:color w:val="000000"/>
          <w:highlight w:val="none"/>
          <w:u w:val="single"/>
        </w:rPr>
        <w:t>ACKNOWLEDGEMENTS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We thank all medical staff and technicians of dialysis centers who agreed to participate in this study.</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color w:val="000000"/>
          <w:highlight w:val="none"/>
        </w:rPr>
        <w:t>Bray F</w:t>
      </w:r>
      <w:r>
        <w:rPr>
          <w:rFonts w:ascii="Book Antiqua" w:hAnsi="Book Antiqua" w:eastAsia="Book Antiqua" w:cs="Book Antiqua"/>
          <w:color w:val="000000"/>
          <w:highlight w:val="none"/>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color w:val="000000"/>
          <w:highlight w:val="none"/>
        </w:rPr>
        <w:t>CA Cancer J Clin</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68</w:t>
      </w:r>
      <w:r>
        <w:rPr>
          <w:rFonts w:ascii="Book Antiqua" w:hAnsi="Book Antiqua" w:eastAsia="Book Antiqua" w:cs="Book Antiqua"/>
          <w:color w:val="000000"/>
          <w:highlight w:val="none"/>
        </w:rPr>
        <w:t>: 394-424 [PMID: 30207593 DOI: 10.3322/caac.21492]</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color w:val="000000"/>
          <w:highlight w:val="none"/>
        </w:rPr>
        <w:t>Ferlay J</w:t>
      </w:r>
      <w:r>
        <w:rPr>
          <w:rFonts w:ascii="Book Antiqua" w:hAnsi="Book Antiqua" w:eastAsia="Book Antiqua" w:cs="Book Antiqua"/>
          <w:color w:val="000000"/>
          <w:highlight w:val="none"/>
        </w:rPr>
        <w:t xml:space="preserve">, Colombet M, Soerjomataram I, Mathers C, Parkin DM, Piñeros M, Znaor A, Bray F. Estimating the global cancer incidence and mortality in 2018: GLOBOCAN sources and methods. </w:t>
      </w:r>
      <w:r>
        <w:rPr>
          <w:rFonts w:ascii="Book Antiqua" w:hAnsi="Book Antiqua" w:eastAsia="Book Antiqua" w:cs="Book Antiqua"/>
          <w:i/>
          <w:color w:val="000000"/>
          <w:highlight w:val="none"/>
        </w:rPr>
        <w:t>Int J Cancer</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144</w:t>
      </w:r>
      <w:r>
        <w:rPr>
          <w:rFonts w:ascii="Book Antiqua" w:hAnsi="Book Antiqua" w:eastAsia="Book Antiqua" w:cs="Book Antiqua"/>
          <w:color w:val="000000"/>
          <w:highlight w:val="none"/>
        </w:rPr>
        <w:t>: 1941-1953 [PMID: 30350310 DOI: 10.1002/ijc.31937]</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color w:val="000000"/>
          <w:highlight w:val="none"/>
        </w:rPr>
        <w:t>Rashed WM</w:t>
      </w:r>
      <w:r>
        <w:rPr>
          <w:rFonts w:ascii="Book Antiqua" w:hAnsi="Book Antiqua" w:eastAsia="Book Antiqua" w:cs="Book Antiqua"/>
          <w:color w:val="000000"/>
          <w:highlight w:val="none"/>
        </w:rPr>
        <w:t xml:space="preserve">, Kandeil MAM, Mahmoud MO, Ezzat S. Hepatocellular Carcinoma (HCC) in Egypt: A comprehensive overview. </w:t>
      </w:r>
      <w:r>
        <w:rPr>
          <w:rFonts w:ascii="Book Antiqua" w:hAnsi="Book Antiqua" w:eastAsia="Book Antiqua" w:cs="Book Antiqua"/>
          <w:i/>
          <w:color w:val="000000"/>
          <w:highlight w:val="none"/>
        </w:rPr>
        <w:t>J Egypt Natl Canc Inst</w:t>
      </w:r>
      <w:r>
        <w:rPr>
          <w:rFonts w:ascii="Book Antiqua" w:hAnsi="Book Antiqua" w:eastAsia="Book Antiqua" w:cs="Book Antiqua"/>
          <w:color w:val="000000"/>
          <w:highlight w:val="none"/>
        </w:rPr>
        <w:t xml:space="preserve"> 2020; </w:t>
      </w:r>
      <w:r>
        <w:rPr>
          <w:rFonts w:ascii="Book Antiqua" w:hAnsi="Book Antiqua" w:eastAsia="Book Antiqua" w:cs="Book Antiqua"/>
          <w:b/>
          <w:color w:val="000000"/>
          <w:highlight w:val="none"/>
        </w:rPr>
        <w:t>32</w:t>
      </w:r>
      <w:r>
        <w:rPr>
          <w:rFonts w:ascii="Book Antiqua" w:hAnsi="Book Antiqua" w:eastAsia="Book Antiqua" w:cs="Book Antiqua"/>
          <w:color w:val="000000"/>
          <w:highlight w:val="none"/>
        </w:rPr>
        <w:t>: 5 [PMID: 32372179 DOI: 10.1186/s43046-020-0016-x]</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color w:val="000000"/>
          <w:highlight w:val="none"/>
        </w:rPr>
        <w:t>El Kassas M</w:t>
      </w:r>
      <w:r>
        <w:rPr>
          <w:rFonts w:ascii="Book Antiqua" w:hAnsi="Book Antiqua" w:eastAsia="Book Antiqua" w:cs="Book Antiqua"/>
          <w:color w:val="000000"/>
          <w:highlight w:val="none"/>
        </w:rPr>
        <w:t xml:space="preserve">, Elbaz T, Elsharkawy A, Omar H, Esmat G. HCV in Egypt, prevention, treatment and key barriers to elimination. </w:t>
      </w:r>
      <w:r>
        <w:rPr>
          <w:rFonts w:ascii="Book Antiqua" w:hAnsi="Book Antiqua" w:eastAsia="Book Antiqua" w:cs="Book Antiqua"/>
          <w:i/>
          <w:color w:val="000000"/>
          <w:highlight w:val="none"/>
        </w:rPr>
        <w:t>Expert Rev Anti Infect Ther</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16</w:t>
      </w:r>
      <w:r>
        <w:rPr>
          <w:rFonts w:ascii="Book Antiqua" w:hAnsi="Book Antiqua" w:eastAsia="Book Antiqua" w:cs="Book Antiqua"/>
          <w:color w:val="000000"/>
          <w:highlight w:val="none"/>
        </w:rPr>
        <w:t>: 345-350 [PMID: 29506418 DOI: 10.1080/14787210.2018.1448709]</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color w:val="000000"/>
          <w:highlight w:val="none"/>
        </w:rPr>
        <w:t>Zucman-Rossi J</w:t>
      </w:r>
      <w:r>
        <w:rPr>
          <w:rFonts w:ascii="Book Antiqua" w:hAnsi="Book Antiqua" w:eastAsia="Book Antiqua" w:cs="Book Antiqua"/>
          <w:color w:val="000000"/>
          <w:highlight w:val="none"/>
        </w:rPr>
        <w:t xml:space="preserve">, Villanueva A, Nault JC, Llovet JM. Genetic Landscape and Biomarkers of Hepatocellular Carcinoma. </w:t>
      </w:r>
      <w:r>
        <w:rPr>
          <w:rFonts w:ascii="Book Antiqua" w:hAnsi="Book Antiqua" w:eastAsia="Book Antiqua" w:cs="Book Antiqua"/>
          <w:i/>
          <w:color w:val="000000"/>
          <w:highlight w:val="none"/>
        </w:rPr>
        <w:t>Gastroenterology</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149</w:t>
      </w:r>
      <w:r>
        <w:rPr>
          <w:rFonts w:ascii="Book Antiqua" w:hAnsi="Book Antiqua" w:eastAsia="Book Antiqua" w:cs="Book Antiqua"/>
          <w:color w:val="000000"/>
          <w:highlight w:val="none"/>
        </w:rPr>
        <w:t>: 1226-1239.e4 [PMID: 26099527 DOI: 10.1053/j.gastro.2015.05.061]</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Cancer Genome Atlas Research Network</w:t>
      </w:r>
      <w:r>
        <w:rPr>
          <w:rFonts w:ascii="Book Antiqua" w:hAnsi="Book Antiqua" w:eastAsia="Book Antiqua" w:cs="Book Antiqua"/>
          <w:color w:val="000000"/>
          <w:highlight w:val="none"/>
        </w:rPr>
        <w:t xml:space="preserve">; Comprehensive and Integrative Genomic Characterization of Hepatocellular Carcinoma.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169</w:t>
      </w:r>
      <w:r>
        <w:rPr>
          <w:rFonts w:ascii="Book Antiqua" w:hAnsi="Book Antiqua" w:eastAsia="Book Antiqua" w:cs="Book Antiqua"/>
          <w:color w:val="000000"/>
          <w:highlight w:val="none"/>
        </w:rPr>
        <w:t>: 1327-1341.e23 [PMID: 28622513 DOI: 10.1016/j.cell.2017.05.046]</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color w:val="000000"/>
          <w:highlight w:val="none"/>
        </w:rPr>
        <w:t>El-Gebaly F</w:t>
      </w:r>
      <w:r>
        <w:rPr>
          <w:rFonts w:ascii="Book Antiqua" w:hAnsi="Book Antiqua" w:eastAsia="Book Antiqua" w:cs="Book Antiqua"/>
          <w:color w:val="000000"/>
          <w:highlight w:val="none"/>
        </w:rPr>
        <w:t xml:space="preserve">, Abou-Saif S, Elkadeem M, Helmy A, Abd-Elsalam S, Yousef M, Elkhouly RA, Amer IF, El-Demerdash T. Study of Serum Soluble Programmed Death Ligand 1 as a Prognostic Factor in Hepatocellular Carcinoma in Egyptian Patients. </w:t>
      </w:r>
      <w:r>
        <w:rPr>
          <w:rFonts w:ascii="Book Antiqua" w:hAnsi="Book Antiqua" w:eastAsia="Book Antiqua" w:cs="Book Antiqua"/>
          <w:i/>
          <w:color w:val="000000"/>
          <w:highlight w:val="none"/>
        </w:rPr>
        <w:t>Curr Cancer Drug Targets</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19</w:t>
      </w:r>
      <w:r>
        <w:rPr>
          <w:rFonts w:ascii="Book Antiqua" w:hAnsi="Book Antiqua" w:eastAsia="Book Antiqua" w:cs="Book Antiqua"/>
          <w:color w:val="000000"/>
          <w:highlight w:val="none"/>
        </w:rPr>
        <w:t>: 896-905 [PMID: 31538897 DOI: 10.2174/1568009619666190718141647]</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color w:val="000000"/>
          <w:highlight w:val="none"/>
        </w:rPr>
        <w:t>Catalanotto C</w:t>
      </w:r>
      <w:r>
        <w:rPr>
          <w:rFonts w:ascii="Book Antiqua" w:hAnsi="Book Antiqua" w:eastAsia="Book Antiqua" w:cs="Book Antiqua"/>
          <w:color w:val="000000"/>
          <w:highlight w:val="none"/>
        </w:rPr>
        <w:t xml:space="preserve">, Cogoni C, Zardo G. MicroRNA in Control of Gene Expression: An Overview of Nuclear Functions. </w:t>
      </w:r>
      <w:r>
        <w:rPr>
          <w:rFonts w:ascii="Book Antiqua" w:hAnsi="Book Antiqua" w:eastAsia="Book Antiqua" w:cs="Book Antiqua"/>
          <w:i/>
          <w:color w:val="000000"/>
          <w:highlight w:val="none"/>
        </w:rPr>
        <w:t>Int J Mol Sci</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 xml:space="preserve">17 </w:t>
      </w:r>
      <w:r>
        <w:rPr>
          <w:rFonts w:ascii="Book Antiqua" w:hAnsi="Book Antiqua" w:eastAsia="Book Antiqua" w:cs="Book Antiqua"/>
          <w:color w:val="000000"/>
          <w:highlight w:val="none"/>
        </w:rPr>
        <w:t>[PMID: 27754357 DOI: 10.3390/ijms17101712]</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color w:val="000000"/>
          <w:highlight w:val="none"/>
        </w:rPr>
        <w:t>Hu Q</w:t>
      </w:r>
      <w:r>
        <w:rPr>
          <w:rFonts w:ascii="Book Antiqua" w:hAnsi="Book Antiqua" w:eastAsia="Book Antiqua" w:cs="Book Antiqua"/>
          <w:color w:val="000000"/>
          <w:highlight w:val="none"/>
        </w:rPr>
        <w:t xml:space="preserve">, Du K, Mao X, Ning S. miR-197 is downregulated in cervical carcinogenesis and suppresses cell proliferation and invasion through targeting forkhead box M1. </w:t>
      </w:r>
      <w:r>
        <w:rPr>
          <w:rFonts w:ascii="Book Antiqua" w:hAnsi="Book Antiqua" w:eastAsia="Book Antiqua" w:cs="Book Antiqua"/>
          <w:i/>
          <w:color w:val="000000"/>
          <w:highlight w:val="none"/>
        </w:rPr>
        <w:t>Oncol Lett</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15</w:t>
      </w:r>
      <w:r>
        <w:rPr>
          <w:rFonts w:ascii="Book Antiqua" w:hAnsi="Book Antiqua" w:eastAsia="Book Antiqua" w:cs="Book Antiqua"/>
          <w:color w:val="000000"/>
          <w:highlight w:val="none"/>
        </w:rPr>
        <w:t xml:space="preserve">: 10063-10069 </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29928375 DOI: 10.3892/ol.2018.8565]</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color w:val="000000"/>
          <w:highlight w:val="none"/>
        </w:rPr>
        <w:t>Coolen M</w:t>
      </w:r>
      <w:r>
        <w:rPr>
          <w:rFonts w:ascii="Book Antiqua" w:hAnsi="Book Antiqua" w:eastAsia="Book Antiqua" w:cs="Book Antiqua"/>
          <w:color w:val="000000"/>
          <w:highlight w:val="none"/>
        </w:rPr>
        <w:t xml:space="preserve">, Katz S, Bally-Cuif L. miR-9: a versatile regulator of neurogenesis. </w:t>
      </w:r>
      <w:r>
        <w:rPr>
          <w:rFonts w:ascii="Book Antiqua" w:hAnsi="Book Antiqua" w:eastAsia="Book Antiqua" w:cs="Book Antiqua"/>
          <w:i/>
          <w:color w:val="000000"/>
          <w:highlight w:val="none"/>
        </w:rPr>
        <w:t>Front Cell Neurosci</w:t>
      </w:r>
      <w:r>
        <w:rPr>
          <w:rFonts w:ascii="Book Antiqua" w:hAnsi="Book Antiqua" w:eastAsia="Book Antiqua" w:cs="Book Antiqua"/>
          <w:color w:val="000000"/>
          <w:highlight w:val="none"/>
        </w:rPr>
        <w:t xml:space="preserve"> 2013; </w:t>
      </w:r>
      <w:r>
        <w:rPr>
          <w:rFonts w:ascii="Book Antiqua" w:hAnsi="Book Antiqua" w:eastAsia="Book Antiqua" w:cs="Book Antiqua"/>
          <w:b/>
          <w:color w:val="000000"/>
          <w:highlight w:val="none"/>
        </w:rPr>
        <w:t>7</w:t>
      </w:r>
      <w:r>
        <w:rPr>
          <w:rFonts w:ascii="Book Antiqua" w:hAnsi="Book Antiqua" w:eastAsia="Book Antiqua" w:cs="Book Antiqua"/>
          <w:color w:val="000000"/>
          <w:highlight w:val="none"/>
        </w:rPr>
        <w:t>: 220 [PMID: 24312010 DOI: 10.3389/fncel.2013.00220]</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color w:val="000000"/>
          <w:highlight w:val="none"/>
        </w:rPr>
        <w:t>Ma L</w:t>
      </w:r>
      <w:r>
        <w:rPr>
          <w:rFonts w:ascii="Book Antiqua" w:hAnsi="Book Antiqua" w:eastAsia="Book Antiqua" w:cs="Book Antiqua"/>
          <w:color w:val="000000"/>
          <w:highlight w:val="none"/>
        </w:rPr>
        <w:t xml:space="preserve">, Young J, Prabhala H, Pan E, Mestdagh P, Muth D, Teruya-Feldstein J, Reinhardt F, Onder TT, Valastyan S, Westermann F, Speleman F, Vandesompele J, Weinberg RA. miR-9, a MYC/MYCN-activated microRNA, regulates E-cadherin and cancer metastasis. </w:t>
      </w:r>
      <w:r>
        <w:rPr>
          <w:rFonts w:ascii="Book Antiqua" w:hAnsi="Book Antiqua" w:eastAsia="Book Antiqua" w:cs="Book Antiqua"/>
          <w:i/>
          <w:color w:val="000000"/>
          <w:highlight w:val="none"/>
        </w:rPr>
        <w:t>Nat Cell Biol</w:t>
      </w:r>
      <w:r>
        <w:rPr>
          <w:rFonts w:ascii="Book Antiqua" w:hAnsi="Book Antiqua" w:eastAsia="Book Antiqua" w:cs="Book Antiqua"/>
          <w:color w:val="000000"/>
          <w:highlight w:val="none"/>
        </w:rPr>
        <w:t xml:space="preserve"> 2010; </w:t>
      </w:r>
      <w:r>
        <w:rPr>
          <w:rFonts w:ascii="Book Antiqua" w:hAnsi="Book Antiqua" w:eastAsia="Book Antiqua" w:cs="Book Antiqua"/>
          <w:b/>
          <w:color w:val="000000"/>
          <w:highlight w:val="none"/>
        </w:rPr>
        <w:t>12</w:t>
      </w:r>
      <w:r>
        <w:rPr>
          <w:rFonts w:ascii="Book Antiqua" w:hAnsi="Book Antiqua" w:eastAsia="Book Antiqua" w:cs="Book Antiqua"/>
          <w:color w:val="000000"/>
          <w:highlight w:val="none"/>
        </w:rPr>
        <w:t>: 247-256 [PMID: 20173740 DOI: 10.1038/ncb2024]</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color w:val="000000"/>
          <w:highlight w:val="none"/>
        </w:rPr>
        <w:t>Higashi T</w:t>
      </w:r>
      <w:r>
        <w:rPr>
          <w:rFonts w:ascii="Book Antiqua" w:hAnsi="Book Antiqua" w:eastAsia="Book Antiqua" w:cs="Book Antiqua"/>
          <w:color w:val="000000"/>
          <w:highlight w:val="none"/>
        </w:rPr>
        <w:t xml:space="preserve">, Hayashi H, Ishimoto T, Takeyama H, Kaida T, Arima K, Taki K, Sakamoto K, Kuroki H, Okabe H, Nitta H, Hashimoto D, Chikamoto A, Beppu T, Baba H. miR-9-3p plays a tumour-suppressor role by targeting TAZ (WWTR1) in hepatocellular carcinoma cells. </w:t>
      </w:r>
      <w:r>
        <w:rPr>
          <w:rFonts w:ascii="Book Antiqua" w:hAnsi="Book Antiqua" w:eastAsia="Book Antiqua" w:cs="Book Antiqua"/>
          <w:i/>
          <w:color w:val="000000"/>
          <w:highlight w:val="none"/>
        </w:rPr>
        <w:t>Br J Cancer</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113</w:t>
      </w:r>
      <w:r>
        <w:rPr>
          <w:rFonts w:ascii="Book Antiqua" w:hAnsi="Book Antiqua" w:eastAsia="Book Antiqua" w:cs="Book Antiqua"/>
          <w:color w:val="000000"/>
          <w:highlight w:val="none"/>
        </w:rPr>
        <w:t>: 252-258 [PMID: 26125451 DOI: 10.1038/bjc.2015.170]</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color w:val="000000"/>
          <w:highlight w:val="none"/>
        </w:rPr>
        <w:t>Sarrazin S</w:t>
      </w:r>
      <w:r>
        <w:rPr>
          <w:rFonts w:ascii="Book Antiqua" w:hAnsi="Book Antiqua" w:eastAsia="Book Antiqua" w:cs="Book Antiqua"/>
          <w:color w:val="000000"/>
          <w:highlight w:val="none"/>
        </w:rPr>
        <w:t xml:space="preserve">, Adam E, Lyon M, Depontieu F, Motte V, Landolfi C, Lortat-Jacob H, Bechard D, Lassalle P, Delehedde M. Endocan or endothelial cell specific molecule-1 (ESM-1): a potential novel endothelial cell marker and a new target for cancer therapy. </w:t>
      </w:r>
      <w:r>
        <w:rPr>
          <w:rFonts w:ascii="Book Antiqua" w:hAnsi="Book Antiqua" w:eastAsia="Book Antiqua" w:cs="Book Antiqua"/>
          <w:i/>
          <w:color w:val="000000"/>
          <w:highlight w:val="none"/>
        </w:rPr>
        <w:t>Biochim Biophys Acta</w:t>
      </w:r>
      <w:r>
        <w:rPr>
          <w:rFonts w:ascii="Book Antiqua" w:hAnsi="Book Antiqua" w:eastAsia="Book Antiqua" w:cs="Book Antiqua"/>
          <w:color w:val="000000"/>
          <w:highlight w:val="none"/>
        </w:rPr>
        <w:t xml:space="preserve"> 2006; </w:t>
      </w:r>
      <w:r>
        <w:rPr>
          <w:rFonts w:ascii="Book Antiqua" w:hAnsi="Book Antiqua" w:eastAsia="Book Antiqua" w:cs="Book Antiqua"/>
          <w:b/>
          <w:color w:val="000000"/>
          <w:highlight w:val="none"/>
        </w:rPr>
        <w:t>1765</w:t>
      </w:r>
      <w:r>
        <w:rPr>
          <w:rFonts w:ascii="Book Antiqua" w:hAnsi="Book Antiqua" w:eastAsia="Book Antiqua" w:cs="Book Antiqua"/>
          <w:color w:val="000000"/>
          <w:highlight w:val="none"/>
        </w:rPr>
        <w:t>: 25-37 [PMID: 16168566 DOI: 10.1016/j.bbcan.2005.08.004]</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color w:val="000000"/>
          <w:highlight w:val="none"/>
        </w:rPr>
        <w:t>Leroy X</w:t>
      </w:r>
      <w:r>
        <w:rPr>
          <w:rFonts w:ascii="Book Antiqua" w:hAnsi="Book Antiqua" w:eastAsia="Book Antiqua" w:cs="Book Antiqua"/>
          <w:color w:val="000000"/>
          <w:highlight w:val="none"/>
        </w:rPr>
        <w:t xml:space="preserve">, Aubert S, Zini L, Franquet H, Kervoaze G, Villers A, Delehedde M, Copin MC, Lassalle P. Vascular endocan (ESM-1) is markedly overexpressed in clear cell renal cell carcinoma. </w:t>
      </w:r>
      <w:r>
        <w:rPr>
          <w:rFonts w:ascii="Book Antiqua" w:hAnsi="Book Antiqua" w:eastAsia="Book Antiqua" w:cs="Book Antiqua"/>
          <w:i/>
          <w:color w:val="000000"/>
          <w:highlight w:val="none"/>
        </w:rPr>
        <w:t>Histopathology</w:t>
      </w:r>
      <w:r>
        <w:rPr>
          <w:rFonts w:ascii="Book Antiqua" w:hAnsi="Book Antiqua" w:eastAsia="Book Antiqua" w:cs="Book Antiqua"/>
          <w:color w:val="000000"/>
          <w:highlight w:val="none"/>
        </w:rPr>
        <w:t xml:space="preserve"> 2010; </w:t>
      </w:r>
      <w:r>
        <w:rPr>
          <w:rFonts w:ascii="Book Antiqua" w:hAnsi="Book Antiqua" w:eastAsia="Book Antiqua" w:cs="Book Antiqua"/>
          <w:b/>
          <w:color w:val="000000"/>
          <w:highlight w:val="none"/>
        </w:rPr>
        <w:t>56</w:t>
      </w:r>
      <w:r>
        <w:rPr>
          <w:rFonts w:ascii="Book Antiqua" w:hAnsi="Book Antiqua" w:eastAsia="Book Antiqua" w:cs="Book Antiqua"/>
          <w:color w:val="000000"/>
          <w:highlight w:val="none"/>
        </w:rPr>
        <w:t>: 180-187</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20102396 DOI: 10.1111/j.1365-2559.2009.03458.x]</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color w:val="000000"/>
          <w:highlight w:val="none"/>
        </w:rPr>
        <w:t>Cai H</w:t>
      </w:r>
      <w:r>
        <w:rPr>
          <w:rFonts w:ascii="Book Antiqua" w:hAnsi="Book Antiqua" w:eastAsia="Book Antiqua" w:cs="Book Antiqua"/>
          <w:color w:val="000000"/>
          <w:highlight w:val="none"/>
        </w:rPr>
        <w:t xml:space="preserve">, Yang X, Gao Y, Xu Z, Yu B, Xu T, Li X, Xu W, Wang X, Hua L. Exosomal MicroRNA-9-3p Secreted from BMSCs Downregulates ESM1 to Suppress the Development of Bladder Cancer. </w:t>
      </w:r>
      <w:r>
        <w:rPr>
          <w:rFonts w:ascii="Book Antiqua" w:hAnsi="Book Antiqua" w:eastAsia="Book Antiqua" w:cs="Book Antiqua"/>
          <w:i/>
          <w:color w:val="000000"/>
          <w:highlight w:val="none"/>
        </w:rPr>
        <w:t>Mol Ther Nucleic Acids</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18</w:t>
      </w:r>
      <w:r>
        <w:rPr>
          <w:rFonts w:ascii="Book Antiqua" w:hAnsi="Book Antiqua" w:eastAsia="Book Antiqua" w:cs="Book Antiqua"/>
          <w:color w:val="000000"/>
          <w:highlight w:val="none"/>
        </w:rPr>
        <w:t>: 787-800 [PMID: 31734559 DOI: 10.1016/j.omtn.2019.09.023]</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color w:val="000000"/>
          <w:highlight w:val="none"/>
        </w:rPr>
        <w:t>Llovet JM</w:t>
      </w:r>
      <w:r>
        <w:rPr>
          <w:rFonts w:ascii="Book Antiqua" w:hAnsi="Book Antiqua" w:eastAsia="Book Antiqua" w:cs="Book Antiqua"/>
          <w:color w:val="000000"/>
          <w:highlight w:val="none"/>
        </w:rPr>
        <w:t xml:space="preserve">, Brú C, Bruix J. Prognosis of hepatocellular carcinoma: the BCLC staging classification. </w:t>
      </w:r>
      <w:r>
        <w:rPr>
          <w:rFonts w:ascii="Book Antiqua" w:hAnsi="Book Antiqua" w:eastAsia="Book Antiqua" w:cs="Book Antiqua"/>
          <w:i/>
          <w:color w:val="000000"/>
          <w:highlight w:val="none"/>
        </w:rPr>
        <w:t>Semin Liver Dis</w:t>
      </w:r>
      <w:r>
        <w:rPr>
          <w:rFonts w:ascii="Book Antiqua" w:hAnsi="Book Antiqua" w:eastAsia="Book Antiqua" w:cs="Book Antiqua"/>
          <w:color w:val="000000"/>
          <w:highlight w:val="none"/>
        </w:rPr>
        <w:t xml:space="preserve"> 1999; </w:t>
      </w:r>
      <w:r>
        <w:rPr>
          <w:rFonts w:ascii="Book Antiqua" w:hAnsi="Book Antiqua" w:eastAsia="Book Antiqua" w:cs="Book Antiqua"/>
          <w:b/>
          <w:color w:val="000000"/>
          <w:highlight w:val="none"/>
        </w:rPr>
        <w:t>19</w:t>
      </w:r>
      <w:r>
        <w:rPr>
          <w:rFonts w:ascii="Book Antiqua" w:hAnsi="Book Antiqua" w:eastAsia="Book Antiqua" w:cs="Book Antiqua"/>
          <w:color w:val="000000"/>
          <w:highlight w:val="none"/>
        </w:rPr>
        <w:t>: 329-338 [PMID: 10518312 DOI: 10.1055/s-2007-1007122]</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color w:val="000000"/>
          <w:highlight w:val="none"/>
        </w:rPr>
        <w:t>Patel M</w:t>
      </w:r>
      <w:r>
        <w:rPr>
          <w:rFonts w:ascii="Book Antiqua" w:hAnsi="Book Antiqua" w:eastAsia="Book Antiqua" w:cs="Book Antiqua"/>
          <w:color w:val="000000"/>
          <w:highlight w:val="none"/>
        </w:rPr>
        <w:t xml:space="preserve">, Shariff MI, Ladep NG, Thillainayagam AV, Thomas HC, Khan SA, Taylor-Robinson SD. Hepatocellular carcinoma: diagnostics and screening. </w:t>
      </w:r>
      <w:r>
        <w:rPr>
          <w:rFonts w:ascii="Book Antiqua" w:hAnsi="Book Antiqua" w:eastAsia="Book Antiqua" w:cs="Book Antiqua"/>
          <w:i/>
          <w:color w:val="000000"/>
          <w:highlight w:val="none"/>
        </w:rPr>
        <w:t>J Eval Clin Pract</w:t>
      </w:r>
      <w:r>
        <w:rPr>
          <w:rFonts w:ascii="Book Antiqua" w:hAnsi="Book Antiqua" w:eastAsia="Book Antiqua" w:cs="Book Antiqua"/>
          <w:color w:val="000000"/>
          <w:highlight w:val="none"/>
        </w:rPr>
        <w:t xml:space="preserve"> 2012; </w:t>
      </w:r>
      <w:r>
        <w:rPr>
          <w:rFonts w:ascii="Book Antiqua" w:hAnsi="Book Antiqua" w:eastAsia="Book Antiqua" w:cs="Book Antiqua"/>
          <w:b/>
          <w:color w:val="000000"/>
          <w:highlight w:val="none"/>
        </w:rPr>
        <w:t>18</w:t>
      </w:r>
      <w:r>
        <w:rPr>
          <w:rFonts w:ascii="Book Antiqua" w:hAnsi="Book Antiqua" w:eastAsia="Book Antiqua" w:cs="Book Antiqua"/>
          <w:color w:val="000000"/>
          <w:highlight w:val="none"/>
        </w:rPr>
        <w:t>: 335-342 [PMID: 21114800 DOI: 10.1111/j.1365-2753.2010.01599.x]</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color w:val="000000"/>
          <w:highlight w:val="none"/>
        </w:rPr>
        <w:t>Abudeif A</w:t>
      </w:r>
      <w:r>
        <w:rPr>
          <w:rFonts w:ascii="Book Antiqua" w:hAnsi="Book Antiqua" w:eastAsia="Book Antiqua" w:cs="Book Antiqua"/>
          <w:color w:val="000000"/>
          <w:highlight w:val="none"/>
        </w:rPr>
        <w:t xml:space="preserve">. Epidemiology and Risk Factors of Hepatocellular Carcinoma in Egypt. </w:t>
      </w:r>
      <w:r>
        <w:rPr>
          <w:rFonts w:ascii="Book Antiqua" w:hAnsi="Book Antiqua" w:eastAsia="Book Antiqua" w:cs="Book Antiqua"/>
          <w:i/>
          <w:color w:val="000000"/>
          <w:highlight w:val="none"/>
        </w:rPr>
        <w:t>Sohag Medical Journal</w:t>
      </w:r>
      <w:r>
        <w:rPr>
          <w:rFonts w:ascii="Book Antiqua" w:hAnsi="Book Antiqua" w:eastAsia="Book Antiqua" w:cs="Book Antiqua"/>
          <w:color w:val="000000"/>
          <w:highlight w:val="none"/>
        </w:rPr>
        <w:t xml:space="preserve"> 2019; </w:t>
      </w:r>
      <w:r>
        <w:rPr>
          <w:rFonts w:ascii="Book Antiqua" w:hAnsi="Book Antiqua" w:eastAsia="Book Antiqua" w:cs="Book Antiqua"/>
          <w:b/>
          <w:color w:val="000000"/>
          <w:highlight w:val="none"/>
        </w:rPr>
        <w:t>23</w:t>
      </w:r>
      <w:r>
        <w:rPr>
          <w:rFonts w:ascii="Book Antiqua" w:hAnsi="Book Antiqua" w:eastAsia="Book Antiqua" w:cs="Book Antiqua"/>
          <w:color w:val="000000"/>
          <w:highlight w:val="none"/>
        </w:rPr>
        <w:t>: 8-12 [DOI: 10.21608/SMJ.2019.13376.1019]</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color w:val="000000"/>
          <w:highlight w:val="none"/>
        </w:rPr>
        <w:t>Sun S</w:t>
      </w:r>
      <w:r>
        <w:rPr>
          <w:rFonts w:ascii="Book Antiqua" w:hAnsi="Book Antiqua" w:eastAsia="Book Antiqua" w:cs="Book Antiqua"/>
          <w:color w:val="000000"/>
          <w:highlight w:val="none"/>
        </w:rPr>
        <w:t xml:space="preserve">, Poon RT, Lee NP, Yeung C, Chan KL, Ng IO, Day PJ, Luk JM. Proteomics of hepatocellular carcinoma: serum vimentin as a surrogate marker for small tumors (&lt;or=2 cm). </w:t>
      </w:r>
      <w:r>
        <w:rPr>
          <w:rFonts w:ascii="Book Antiqua" w:hAnsi="Book Antiqua" w:eastAsia="Book Antiqua" w:cs="Book Antiqua"/>
          <w:i/>
          <w:color w:val="000000"/>
          <w:highlight w:val="none"/>
        </w:rPr>
        <w:t>J Proteome Res</w:t>
      </w:r>
      <w:r>
        <w:rPr>
          <w:rFonts w:ascii="Book Antiqua" w:hAnsi="Book Antiqua" w:eastAsia="Book Antiqua" w:cs="Book Antiqua"/>
          <w:color w:val="000000"/>
          <w:highlight w:val="none"/>
        </w:rPr>
        <w:t xml:space="preserve"> 2010; </w:t>
      </w:r>
      <w:r>
        <w:rPr>
          <w:rFonts w:ascii="Book Antiqua" w:hAnsi="Book Antiqua" w:eastAsia="Book Antiqua" w:cs="Book Antiqua"/>
          <w:b/>
          <w:color w:val="000000"/>
          <w:highlight w:val="none"/>
        </w:rPr>
        <w:t>9</w:t>
      </w:r>
      <w:r>
        <w:rPr>
          <w:rFonts w:ascii="Book Antiqua" w:hAnsi="Book Antiqua" w:eastAsia="Book Antiqua" w:cs="Book Antiqua"/>
          <w:color w:val="000000"/>
          <w:highlight w:val="none"/>
        </w:rPr>
        <w:t>: 1923-1930 [PMID: 20121168 DOI: 10.1021/pr901085z]</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color w:val="000000"/>
          <w:highlight w:val="none"/>
        </w:rPr>
        <w:t>Chen X</w:t>
      </w:r>
      <w:r>
        <w:rPr>
          <w:rFonts w:ascii="Book Antiqua" w:hAnsi="Book Antiqua" w:eastAsia="Book Antiqua" w:cs="Book Antiqua"/>
          <w:color w:val="000000"/>
          <w:highlight w:val="none"/>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Pr>
          <w:rFonts w:ascii="Book Antiqua" w:hAnsi="Book Antiqua" w:eastAsia="Book Antiqua" w:cs="Book Antiqua"/>
          <w:i/>
          <w:color w:val="000000"/>
          <w:highlight w:val="none"/>
        </w:rPr>
        <w:t>Cell Res</w:t>
      </w:r>
      <w:r>
        <w:rPr>
          <w:rFonts w:ascii="Book Antiqua" w:hAnsi="Book Antiqua" w:eastAsia="Book Antiqua" w:cs="Book Antiqua"/>
          <w:color w:val="000000"/>
          <w:highlight w:val="none"/>
        </w:rPr>
        <w:t xml:space="preserve"> 2008; </w:t>
      </w:r>
      <w:r>
        <w:rPr>
          <w:rFonts w:ascii="Book Antiqua" w:hAnsi="Book Antiqua" w:eastAsia="Book Antiqua" w:cs="Book Antiqua"/>
          <w:b/>
          <w:color w:val="000000"/>
          <w:highlight w:val="none"/>
        </w:rPr>
        <w:t>18</w:t>
      </w:r>
      <w:r>
        <w:rPr>
          <w:rFonts w:ascii="Book Antiqua" w:hAnsi="Book Antiqua" w:eastAsia="Book Antiqua" w:cs="Book Antiqua"/>
          <w:color w:val="000000"/>
          <w:highlight w:val="none"/>
        </w:rPr>
        <w:t>: 997-1006 [PMID: 18766170 DOI: 10.1038/cr.2008.282]</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color w:val="000000"/>
          <w:highlight w:val="none"/>
        </w:rPr>
        <w:t>Köberle V</w:t>
      </w:r>
      <w:r>
        <w:rPr>
          <w:rFonts w:ascii="Book Antiqua" w:hAnsi="Book Antiqua" w:eastAsia="Book Antiqua" w:cs="Book Antiqua"/>
          <w:color w:val="000000"/>
          <w:highlight w:val="none"/>
        </w:rPr>
        <w:t xml:space="preserve">, Kronenberger B, Pleli T, Trojan J, Imelmann E, Peveling-Oberhag J, Welker MW, Elhendawy M, Zeuzem S, Piiper A, Waidmann O. Serum microRNA-1 and microRNA-122 are prognostic markers in patients with hepatocellular carcinoma. </w:t>
      </w:r>
      <w:r>
        <w:rPr>
          <w:rFonts w:ascii="Book Antiqua" w:hAnsi="Book Antiqua" w:eastAsia="Book Antiqua" w:cs="Book Antiqua"/>
          <w:i/>
          <w:color w:val="000000"/>
          <w:highlight w:val="none"/>
        </w:rPr>
        <w:t>Eur J Cancer</w:t>
      </w:r>
      <w:r>
        <w:rPr>
          <w:rFonts w:ascii="Book Antiqua" w:hAnsi="Book Antiqua" w:eastAsia="Book Antiqua" w:cs="Book Antiqua"/>
          <w:color w:val="000000"/>
          <w:highlight w:val="none"/>
        </w:rPr>
        <w:t xml:space="preserve"> 2013; </w:t>
      </w:r>
      <w:r>
        <w:rPr>
          <w:rFonts w:ascii="Book Antiqua" w:hAnsi="Book Antiqua" w:eastAsia="Book Antiqua" w:cs="Book Antiqua"/>
          <w:b/>
          <w:color w:val="000000"/>
          <w:highlight w:val="none"/>
        </w:rPr>
        <w:t>49</w:t>
      </w:r>
      <w:r>
        <w:rPr>
          <w:rFonts w:ascii="Book Antiqua" w:hAnsi="Book Antiqua" w:eastAsia="Book Antiqua" w:cs="Book Antiqua"/>
          <w:color w:val="000000"/>
          <w:highlight w:val="none"/>
        </w:rPr>
        <w:t>: 3442-3449 [PMID: 23810247 DOI: 10.1016/j.ejca.2013.06.002]</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color w:val="000000"/>
          <w:highlight w:val="none"/>
        </w:rPr>
        <w:t>El-Abd NE</w:t>
      </w:r>
      <w:r>
        <w:rPr>
          <w:rFonts w:ascii="Book Antiqua" w:hAnsi="Book Antiqua" w:eastAsia="Book Antiqua" w:cs="Book Antiqua"/>
          <w:color w:val="000000"/>
          <w:highlight w:val="none"/>
        </w:rPr>
        <w:t xml:space="preserve">, Fawzy NA, El-Sheikh SM, Soliman ME. Circulating miRNA-122, miRNA-199a, and miRNA-16 as Biomarkers for Early Detection of Hepatocellular Carcinoma in Egyptian Patients with Chronic Hepatitis C Virus Infection. </w:t>
      </w:r>
      <w:r>
        <w:rPr>
          <w:rFonts w:ascii="Book Antiqua" w:hAnsi="Book Antiqua" w:eastAsia="Book Antiqua" w:cs="Book Antiqua"/>
          <w:i/>
          <w:color w:val="000000"/>
          <w:highlight w:val="none"/>
        </w:rPr>
        <w:t>Mol Diagn Ther</w:t>
      </w:r>
      <w:r>
        <w:rPr>
          <w:rFonts w:ascii="Book Antiqua" w:hAnsi="Book Antiqua" w:eastAsia="Book Antiqua" w:cs="Book Antiqua"/>
          <w:color w:val="000000"/>
          <w:highlight w:val="none"/>
        </w:rPr>
        <w:t xml:space="preserve"> 2015; </w:t>
      </w:r>
      <w:r>
        <w:rPr>
          <w:rFonts w:ascii="Book Antiqua" w:hAnsi="Book Antiqua" w:eastAsia="Book Antiqua" w:cs="Book Antiqua"/>
          <w:b/>
          <w:color w:val="000000"/>
          <w:highlight w:val="none"/>
        </w:rPr>
        <w:t>19</w:t>
      </w:r>
      <w:r>
        <w:rPr>
          <w:rFonts w:ascii="Book Antiqua" w:hAnsi="Book Antiqua" w:eastAsia="Book Antiqua" w:cs="Book Antiqua"/>
          <w:color w:val="000000"/>
          <w:highlight w:val="none"/>
        </w:rPr>
        <w:t>: 213-220</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26133725 DOI: 10.1007/s40291-015-0148-1]</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color w:val="000000"/>
          <w:highlight w:val="none"/>
        </w:rPr>
        <w:t>Naz Z,</w:t>
      </w:r>
      <w:r>
        <w:rPr>
          <w:rFonts w:ascii="Book Antiqua" w:hAnsi="Book Antiqua" w:eastAsia="Book Antiqua" w:cs="Book Antiqua"/>
          <w:color w:val="000000"/>
          <w:highlight w:val="none"/>
        </w:rPr>
        <w:t xml:space="preserve"> Usman S, Saleem K, Ahmed S, Bashir H, Bilal M, Sumrin A. Alpha-fetoprotein: A fabulous biomarker in hepatocellular, gastric and rectal cancer diagnosis. </w:t>
      </w:r>
      <w:r>
        <w:rPr>
          <w:rFonts w:ascii="Book Antiqua" w:hAnsi="Book Antiqua" w:eastAsia="Book Antiqua" w:cs="Book Antiqua"/>
          <w:i/>
          <w:color w:val="000000"/>
          <w:highlight w:val="none"/>
        </w:rPr>
        <w:t>Biomed Res</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29</w:t>
      </w:r>
      <w:r>
        <w:rPr>
          <w:rFonts w:ascii="Book Antiqua" w:hAnsi="Book Antiqua" w:eastAsia="Book Antiqua" w:cs="Book Antiqua"/>
          <w:color w:val="000000"/>
          <w:highlight w:val="none"/>
        </w:rPr>
        <w:t>: 2478-2483</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[DOI: 10.4066/biomedicalresearch.29-17-1550]</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color w:val="000000"/>
          <w:highlight w:val="none"/>
        </w:rPr>
        <w:t>Chu CW</w:t>
      </w:r>
      <w:r>
        <w:rPr>
          <w:rFonts w:ascii="Book Antiqua" w:hAnsi="Book Antiqua" w:eastAsia="Book Antiqua" w:cs="Book Antiqua"/>
          <w:color w:val="000000"/>
          <w:highlight w:val="none"/>
        </w:rPr>
        <w:t xml:space="preserve">, Hwang SJ, Luo JC, Lai CR, Tsay SH, Li CP, Wu JC, Chang FY, Lee SD. Clinical, virologic, and pathologic significance of elevated serum alpha-fetoprotein levels in patients with chronic hepatitis C. </w:t>
      </w:r>
      <w:r>
        <w:rPr>
          <w:rFonts w:ascii="Book Antiqua" w:hAnsi="Book Antiqua" w:eastAsia="Book Antiqua" w:cs="Book Antiqua"/>
          <w:i/>
          <w:color w:val="000000"/>
          <w:highlight w:val="none"/>
        </w:rPr>
        <w:t>J Clin Gastroenterol</w:t>
      </w:r>
      <w:r>
        <w:rPr>
          <w:rFonts w:ascii="Book Antiqua" w:hAnsi="Book Antiqua" w:eastAsia="Book Antiqua" w:cs="Book Antiqua"/>
          <w:color w:val="000000"/>
          <w:highlight w:val="none"/>
        </w:rPr>
        <w:t xml:space="preserve"> 2001; </w:t>
      </w:r>
      <w:r>
        <w:rPr>
          <w:rFonts w:ascii="Book Antiqua" w:hAnsi="Book Antiqua" w:eastAsia="Book Antiqua" w:cs="Book Antiqua"/>
          <w:b/>
          <w:color w:val="000000"/>
          <w:highlight w:val="none"/>
        </w:rPr>
        <w:t>32</w:t>
      </w:r>
      <w:r>
        <w:rPr>
          <w:rFonts w:ascii="Book Antiqua" w:hAnsi="Book Antiqua" w:eastAsia="Book Antiqua" w:cs="Book Antiqua"/>
          <w:color w:val="000000"/>
          <w:highlight w:val="none"/>
        </w:rPr>
        <w:t>: 240-244</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11246354 DOI: 10.1097/00004836-200103000-00014]</w:t>
      </w:r>
    </w:p>
    <w:p>
      <w:pPr>
        <w:spacing w:line="360" w:lineRule="auto"/>
        <w:jc w:val="both"/>
        <w:rPr>
          <w:rFonts w:ascii="Book Antiqua" w:hAnsi="Book Antiqua" w:eastAsia="Book Antiqua" w:cs="Book Antiqua"/>
          <w:highlight w:val="none"/>
          <w:lang w:val="it-IT"/>
        </w:rPr>
      </w:pPr>
      <w:r>
        <w:rPr>
          <w:rFonts w:ascii="Book Antiqua" w:hAnsi="Book Antiqua" w:eastAsia="Book Antiqua" w:cs="Book Antiqua"/>
          <w:color w:val="000000"/>
          <w:highlight w:val="none"/>
          <w:lang w:val="it-IT"/>
        </w:rPr>
        <w:t xml:space="preserve">25 </w:t>
      </w:r>
      <w:r>
        <w:rPr>
          <w:rFonts w:ascii="Book Antiqua" w:hAnsi="Book Antiqua" w:eastAsia="Book Antiqua" w:cs="Book Antiqua"/>
          <w:b/>
          <w:color w:val="000000"/>
          <w:highlight w:val="none"/>
          <w:lang w:val="it-IT"/>
        </w:rPr>
        <w:t>Massironi S</w:t>
      </w:r>
      <w:r>
        <w:rPr>
          <w:rFonts w:ascii="Book Antiqua" w:hAnsi="Book Antiqua" w:eastAsia="Book Antiqua" w:cs="Book Antiqua"/>
          <w:color w:val="000000"/>
          <w:highlight w:val="none"/>
          <w:lang w:val="it-IT"/>
        </w:rPr>
        <w:t xml:space="preserve">, Fraquelli M, Paggi S, Sangiovanni A, Conte D, Sciola V, Ciafardini C, Colombo M, Peracchi M. Chromogranin A levels in chronic liver disease and hepatocellular carcinoma. </w:t>
      </w:r>
      <w:r>
        <w:rPr>
          <w:rFonts w:ascii="Book Antiqua" w:hAnsi="Book Antiqua" w:eastAsia="Book Antiqua" w:cs="Book Antiqua"/>
          <w:i/>
          <w:color w:val="000000"/>
          <w:highlight w:val="none"/>
          <w:lang w:val="it-IT"/>
        </w:rPr>
        <w:t>Dig Liver Dis</w:t>
      </w:r>
      <w:r>
        <w:rPr>
          <w:rFonts w:ascii="Book Antiqua" w:hAnsi="Book Antiqua" w:eastAsia="Book Antiqua" w:cs="Book Antiqua"/>
          <w:color w:val="000000"/>
          <w:highlight w:val="none"/>
          <w:lang w:val="it-IT"/>
        </w:rPr>
        <w:t xml:space="preserve"> 2009; </w:t>
      </w:r>
      <w:r>
        <w:rPr>
          <w:rFonts w:ascii="Book Antiqua" w:hAnsi="Book Antiqua" w:eastAsia="Book Antiqua" w:cs="Book Antiqua"/>
          <w:b/>
          <w:color w:val="000000"/>
          <w:highlight w:val="none"/>
          <w:lang w:val="it-IT"/>
        </w:rPr>
        <w:t>41</w:t>
      </w:r>
      <w:r>
        <w:rPr>
          <w:rFonts w:ascii="Book Antiqua" w:hAnsi="Book Antiqua" w:eastAsia="Book Antiqua" w:cs="Book Antiqua"/>
          <w:color w:val="000000"/>
          <w:highlight w:val="none"/>
          <w:lang w:val="it-IT"/>
        </w:rPr>
        <w:t>: 31-35</w:t>
      </w:r>
      <w:r>
        <w:rPr>
          <w:rFonts w:ascii="Book Antiqua" w:hAnsi="Book Antiqua" w:eastAsia="Book Antiqua" w:cs="Book Antiqua"/>
          <w:color w:val="000000"/>
          <w:highlight w:val="none"/>
          <w:vertAlign w:val="superscript"/>
          <w:lang w:val="it-IT"/>
        </w:rPr>
        <w:t xml:space="preserve"> </w:t>
      </w:r>
      <w:r>
        <w:rPr>
          <w:rFonts w:ascii="Book Antiqua" w:hAnsi="Book Antiqua" w:eastAsia="Book Antiqua" w:cs="Book Antiqua"/>
          <w:color w:val="000000"/>
          <w:highlight w:val="none"/>
          <w:lang w:val="it-IT"/>
        </w:rPr>
        <w:t>[PMID: 18762462 DOI: 10.1016/j.dld.2008.05.002]</w:t>
      </w:r>
    </w:p>
    <w:p>
      <w:pPr>
        <w:spacing w:line="360" w:lineRule="auto"/>
        <w:jc w:val="both"/>
        <w:rPr>
          <w:rFonts w:ascii="Book Antiqua" w:hAnsi="Book Antiqua" w:eastAsia="Book Antiqua" w:cs="Book Antiqua"/>
          <w:highlight w:val="none"/>
          <w:lang w:val="it-IT"/>
        </w:rPr>
      </w:pPr>
      <w:r>
        <w:rPr>
          <w:rFonts w:ascii="Book Antiqua" w:hAnsi="Book Antiqua" w:eastAsia="Book Antiqua" w:cs="Book Antiqua"/>
          <w:color w:val="000000"/>
          <w:highlight w:val="none"/>
          <w:lang w:val="it-IT"/>
        </w:rPr>
        <w:t xml:space="preserve">26 </w:t>
      </w:r>
      <w:r>
        <w:rPr>
          <w:rFonts w:ascii="Book Antiqua" w:hAnsi="Book Antiqua" w:eastAsia="Book Antiqua" w:cs="Book Antiqua"/>
          <w:b/>
          <w:color w:val="000000"/>
          <w:highlight w:val="none"/>
          <w:lang w:val="it-IT"/>
        </w:rPr>
        <w:t>Metwaly K,</w:t>
      </w:r>
      <w:r>
        <w:rPr>
          <w:rFonts w:ascii="Book Antiqua" w:hAnsi="Book Antiqua" w:eastAsia="Book Antiqua" w:cs="Book Antiqua"/>
          <w:color w:val="000000"/>
          <w:highlight w:val="none"/>
          <w:lang w:val="it-IT"/>
        </w:rPr>
        <w:t xml:space="preserve"> Sameea EA, El-Azab G, Assem M, Abbas M, Zakareya T, Abo Raia G. Mean platelet volume and mean platelet volume/platelet count ratio as markers for hepatocellular carcinoma in patients with chronic hepatitis C virus related cirrhosis. </w:t>
      </w:r>
      <w:r>
        <w:rPr>
          <w:rFonts w:ascii="Book Antiqua" w:hAnsi="Book Antiqua" w:eastAsia="Book Antiqua" w:cs="Book Antiqua"/>
          <w:i/>
          <w:color w:val="000000"/>
          <w:highlight w:val="none"/>
          <w:lang w:val="it-IT"/>
        </w:rPr>
        <w:t>J Cancer Res Clin Oncol</w:t>
      </w:r>
      <w:r>
        <w:rPr>
          <w:rFonts w:ascii="Book Antiqua" w:hAnsi="Book Antiqua" w:eastAsia="Book Antiqua" w:cs="Book Antiqua"/>
          <w:color w:val="000000"/>
          <w:highlight w:val="none"/>
          <w:lang w:val="it-IT"/>
        </w:rPr>
        <w:t xml:space="preserve"> 2016; </w:t>
      </w:r>
      <w:r>
        <w:rPr>
          <w:rFonts w:ascii="Book Antiqua" w:hAnsi="Book Antiqua" w:eastAsia="Book Antiqua" w:cs="Book Antiqua"/>
          <w:b/>
          <w:color w:val="000000"/>
          <w:highlight w:val="none"/>
          <w:lang w:val="it-IT"/>
        </w:rPr>
        <w:t>8</w:t>
      </w:r>
      <w:r>
        <w:rPr>
          <w:rFonts w:ascii="Book Antiqua" w:hAnsi="Book Antiqua" w:eastAsia="Book Antiqua" w:cs="Book Antiqua"/>
          <w:color w:val="000000"/>
          <w:highlight w:val="none"/>
          <w:lang w:val="it-IT"/>
        </w:rPr>
        <w:t>: 33-40</w:t>
      </w:r>
      <w:r>
        <w:rPr>
          <w:rFonts w:ascii="Book Antiqua" w:hAnsi="Book Antiqua" w:eastAsia="Book Antiqua" w:cs="Book Antiqua"/>
          <w:color w:val="000000"/>
          <w:highlight w:val="none"/>
          <w:vertAlign w:val="superscript"/>
          <w:lang w:val="it-IT"/>
        </w:rPr>
        <w:t xml:space="preserve"> </w:t>
      </w:r>
      <w:r>
        <w:rPr>
          <w:rFonts w:ascii="Book Antiqua" w:hAnsi="Book Antiqua" w:eastAsia="Book Antiqua" w:cs="Book Antiqua"/>
          <w:color w:val="000000"/>
          <w:highlight w:val="none"/>
          <w:lang w:val="it-IT"/>
        </w:rPr>
        <w:t>[DOI: 10.5897/JCREO2016.0135]</w:t>
      </w:r>
    </w:p>
    <w:p>
      <w:pPr>
        <w:spacing w:line="360" w:lineRule="auto"/>
        <w:jc w:val="both"/>
        <w:rPr>
          <w:rFonts w:ascii="Book Antiqua" w:hAnsi="Book Antiqua" w:eastAsia="Book Antiqua" w:cs="Book Antiqua"/>
          <w:highlight w:val="none"/>
          <w:lang w:val="it-IT"/>
        </w:rPr>
      </w:pPr>
      <w:r>
        <w:rPr>
          <w:rFonts w:ascii="Book Antiqua" w:hAnsi="Book Antiqua" w:eastAsia="Book Antiqua" w:cs="Book Antiqua"/>
          <w:color w:val="000000"/>
          <w:highlight w:val="none"/>
          <w:lang w:val="it-IT"/>
        </w:rPr>
        <w:t xml:space="preserve">27 </w:t>
      </w:r>
      <w:r>
        <w:rPr>
          <w:rFonts w:ascii="Book Antiqua" w:hAnsi="Book Antiqua" w:eastAsia="Book Antiqua" w:cs="Book Antiqua"/>
          <w:b/>
          <w:color w:val="000000"/>
          <w:highlight w:val="none"/>
          <w:lang w:val="it-IT"/>
        </w:rPr>
        <w:t>Nault JC</w:t>
      </w:r>
      <w:r>
        <w:rPr>
          <w:rFonts w:ascii="Book Antiqua" w:hAnsi="Book Antiqua" w:eastAsia="Book Antiqua" w:cs="Book Antiqua"/>
          <w:color w:val="000000"/>
          <w:highlight w:val="none"/>
          <w:lang w:val="it-IT"/>
        </w:rPr>
        <w:t xml:space="preserve">, Guyot E, Laguillier C, Chevret S, Ganne-Carrie N, N'Kontchou G, Beaugrand M, Seror O, Trinchet JC, Coelho J, Lasalle P, Charnaux N, Delehedde M, Sutton A, Nahon P. Serum proteoglycans as prognostic biomarkers of hepatocellular carcinoma in patients with alcoholic cirrhosis. </w:t>
      </w:r>
      <w:r>
        <w:rPr>
          <w:rFonts w:ascii="Book Antiqua" w:hAnsi="Book Antiqua" w:eastAsia="Book Antiqua" w:cs="Book Antiqua"/>
          <w:i/>
          <w:color w:val="000000"/>
          <w:highlight w:val="none"/>
          <w:lang w:val="it-IT"/>
        </w:rPr>
        <w:t>Cancer Epidemiol Biomarkers Prev</w:t>
      </w:r>
      <w:r>
        <w:rPr>
          <w:rFonts w:ascii="Book Antiqua" w:hAnsi="Book Antiqua" w:eastAsia="Book Antiqua" w:cs="Book Antiqua"/>
          <w:color w:val="000000"/>
          <w:highlight w:val="none"/>
          <w:lang w:val="it-IT"/>
        </w:rPr>
        <w:t xml:space="preserve"> 2013; </w:t>
      </w:r>
      <w:r>
        <w:rPr>
          <w:rFonts w:ascii="Book Antiqua" w:hAnsi="Book Antiqua" w:eastAsia="Book Antiqua" w:cs="Book Antiqua"/>
          <w:b/>
          <w:color w:val="000000"/>
          <w:highlight w:val="none"/>
          <w:lang w:val="it-IT"/>
        </w:rPr>
        <w:t>22</w:t>
      </w:r>
      <w:r>
        <w:rPr>
          <w:rFonts w:ascii="Book Antiqua" w:hAnsi="Book Antiqua" w:eastAsia="Book Antiqua" w:cs="Book Antiqua"/>
          <w:color w:val="000000"/>
          <w:highlight w:val="none"/>
          <w:lang w:val="it-IT"/>
        </w:rPr>
        <w:t>: 1343-1352</w:t>
      </w:r>
      <w:r>
        <w:rPr>
          <w:rFonts w:ascii="Book Antiqua" w:hAnsi="Book Antiqua" w:eastAsia="Book Antiqua" w:cs="Book Antiqua"/>
          <w:color w:val="000000"/>
          <w:highlight w:val="none"/>
          <w:vertAlign w:val="superscript"/>
          <w:lang w:val="it-IT"/>
        </w:rPr>
        <w:t xml:space="preserve"> </w:t>
      </w:r>
      <w:r>
        <w:rPr>
          <w:rFonts w:ascii="Book Antiqua" w:hAnsi="Book Antiqua" w:eastAsia="Book Antiqua" w:cs="Book Antiqua"/>
          <w:color w:val="000000"/>
          <w:highlight w:val="none"/>
          <w:lang w:val="it-IT"/>
        </w:rPr>
        <w:t>[PMID: 23780836 DOI: 10.1158/1055-9965.EPI-13-0179]</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lang w:val="it-IT"/>
        </w:rPr>
        <w:t xml:space="preserve">28 </w:t>
      </w:r>
      <w:r>
        <w:rPr>
          <w:rFonts w:ascii="Book Antiqua" w:hAnsi="Book Antiqua" w:eastAsia="Book Antiqua" w:cs="Book Antiqua"/>
          <w:b/>
          <w:color w:val="000000"/>
          <w:highlight w:val="none"/>
          <w:lang w:val="it-IT"/>
        </w:rPr>
        <w:t>Ozaki K</w:t>
      </w:r>
      <w:r>
        <w:rPr>
          <w:rFonts w:ascii="Book Antiqua" w:hAnsi="Book Antiqua" w:eastAsia="Book Antiqua" w:cs="Book Antiqua"/>
          <w:color w:val="000000"/>
          <w:highlight w:val="none"/>
          <w:lang w:val="it-IT"/>
        </w:rPr>
        <w:t xml:space="preserve">, Toshikuni N, George J, Minato T, Matsue Y, Arisawa T, Tsutsumi M. Serum endocan as a novel prognostic biomarker in patients with hepatocellular carcinoma. </w:t>
      </w:r>
      <w:r>
        <w:rPr>
          <w:rFonts w:ascii="Book Antiqua" w:hAnsi="Book Antiqua" w:eastAsia="Book Antiqua" w:cs="Book Antiqua"/>
          <w:i/>
          <w:color w:val="000000"/>
          <w:highlight w:val="none"/>
        </w:rPr>
        <w:t>J Cancer</w:t>
      </w:r>
      <w:r>
        <w:rPr>
          <w:rFonts w:ascii="Book Antiqua" w:hAnsi="Book Antiqua" w:eastAsia="Book Antiqua" w:cs="Book Antiqua"/>
          <w:color w:val="000000"/>
          <w:highlight w:val="none"/>
        </w:rPr>
        <w:t xml:space="preserve"> 2014; </w:t>
      </w:r>
      <w:r>
        <w:rPr>
          <w:rFonts w:ascii="Book Antiqua" w:hAnsi="Book Antiqua" w:eastAsia="Book Antiqua" w:cs="Book Antiqua"/>
          <w:b/>
          <w:color w:val="000000"/>
          <w:highlight w:val="none"/>
        </w:rPr>
        <w:t>5</w:t>
      </w:r>
      <w:r>
        <w:rPr>
          <w:rFonts w:ascii="Book Antiqua" w:hAnsi="Book Antiqua" w:eastAsia="Book Antiqua" w:cs="Book Antiqua"/>
          <w:color w:val="000000"/>
          <w:highlight w:val="none"/>
        </w:rPr>
        <w:t>: 221-230</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24665346 DOI: 10.7150/jca.7691]</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color w:val="000000"/>
          <w:highlight w:val="none"/>
        </w:rPr>
        <w:t>Huang GW</w:t>
      </w:r>
      <w:r>
        <w:rPr>
          <w:rFonts w:ascii="Book Antiqua" w:hAnsi="Book Antiqua" w:eastAsia="Book Antiqua" w:cs="Book Antiqua"/>
          <w:color w:val="000000"/>
          <w:highlight w:val="none"/>
        </w:rPr>
        <w:t xml:space="preserve">, Tao YM, Ding X. Endocan expression correlated with poor survival in human hepatocellular carcinoma. </w:t>
      </w:r>
      <w:r>
        <w:rPr>
          <w:rFonts w:ascii="Book Antiqua" w:hAnsi="Book Antiqua" w:eastAsia="Book Antiqua" w:cs="Book Antiqua"/>
          <w:i/>
          <w:color w:val="000000"/>
          <w:highlight w:val="none"/>
        </w:rPr>
        <w:t>Dig Dis Sci</w:t>
      </w:r>
      <w:r>
        <w:rPr>
          <w:rFonts w:ascii="Book Antiqua" w:hAnsi="Book Antiqua" w:eastAsia="Book Antiqua" w:cs="Book Antiqua"/>
          <w:color w:val="000000"/>
          <w:highlight w:val="none"/>
        </w:rPr>
        <w:t xml:space="preserve"> 2009; </w:t>
      </w:r>
      <w:r>
        <w:rPr>
          <w:rFonts w:ascii="Book Antiqua" w:hAnsi="Book Antiqua" w:eastAsia="Book Antiqua" w:cs="Book Antiqua"/>
          <w:b/>
          <w:color w:val="000000"/>
          <w:highlight w:val="none"/>
        </w:rPr>
        <w:t>54</w:t>
      </w:r>
      <w:r>
        <w:rPr>
          <w:rFonts w:ascii="Book Antiqua" w:hAnsi="Book Antiqua" w:eastAsia="Book Antiqua" w:cs="Book Antiqua"/>
          <w:color w:val="000000"/>
          <w:highlight w:val="none"/>
        </w:rPr>
        <w:t>: 389-394</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18592377 DOI: 10.1007/s10620-008-0346-3]</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color w:val="000000"/>
          <w:highlight w:val="none"/>
        </w:rPr>
        <w:t>Chen LY</w:t>
      </w:r>
      <w:r>
        <w:rPr>
          <w:rFonts w:ascii="Book Antiqua" w:hAnsi="Book Antiqua" w:eastAsia="Book Antiqua" w:cs="Book Antiqua"/>
          <w:color w:val="000000"/>
          <w:highlight w:val="none"/>
        </w:rPr>
        <w:t xml:space="preserve">, Liu X, Wang SL, Qin CY. Over-expression of the Endocan gene in endothelial cells from hepatocellular carcinoma is associated with angiogenesis and tumour invasion. </w:t>
      </w:r>
      <w:r>
        <w:rPr>
          <w:rFonts w:ascii="Book Antiqua" w:hAnsi="Book Antiqua" w:eastAsia="Book Antiqua" w:cs="Book Antiqua"/>
          <w:i/>
          <w:color w:val="000000"/>
          <w:highlight w:val="none"/>
        </w:rPr>
        <w:t>J Int Med Res</w:t>
      </w:r>
      <w:r>
        <w:rPr>
          <w:rFonts w:ascii="Book Antiqua" w:hAnsi="Book Antiqua" w:eastAsia="Book Antiqua" w:cs="Book Antiqua"/>
          <w:color w:val="000000"/>
          <w:highlight w:val="none"/>
        </w:rPr>
        <w:t xml:space="preserve"> 2010; </w:t>
      </w:r>
      <w:r>
        <w:rPr>
          <w:rFonts w:ascii="Book Antiqua" w:hAnsi="Book Antiqua" w:eastAsia="Book Antiqua" w:cs="Book Antiqua"/>
          <w:b/>
          <w:color w:val="000000"/>
          <w:highlight w:val="none"/>
        </w:rPr>
        <w:t>38</w:t>
      </w:r>
      <w:r>
        <w:rPr>
          <w:rFonts w:ascii="Book Antiqua" w:hAnsi="Book Antiqua" w:eastAsia="Book Antiqua" w:cs="Book Antiqua"/>
          <w:color w:val="000000"/>
          <w:highlight w:val="none"/>
        </w:rPr>
        <w:t>: 498-510</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20515564 DOI: 10.1177/147323001003800213]</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color w:val="000000"/>
          <w:highlight w:val="none"/>
        </w:rPr>
        <w:t>Yang L</w:t>
      </w:r>
      <w:r>
        <w:rPr>
          <w:rFonts w:ascii="Book Antiqua" w:hAnsi="Book Antiqua" w:eastAsia="Book Antiqua" w:cs="Book Antiqua"/>
          <w:color w:val="000000"/>
          <w:highlight w:val="none"/>
        </w:rPr>
        <w:t xml:space="preserve">, Mu Y, Cui H, Liang Y, Su X. MiR-9-3p augments apoptosis induced by H2O2 through down regulation of Herpud1 in glioma. </w:t>
      </w:r>
      <w:r>
        <w:rPr>
          <w:rFonts w:ascii="Book Antiqua" w:hAnsi="Book Antiqua" w:eastAsia="Book Antiqua" w:cs="Book Antiqua"/>
          <w:i/>
          <w:color w:val="000000"/>
          <w:highlight w:val="none"/>
        </w:rPr>
        <w:t>PLoS One</w:t>
      </w:r>
      <w:r>
        <w:rPr>
          <w:rFonts w:ascii="Book Antiqua" w:hAnsi="Book Antiqua" w:eastAsia="Book Antiqua" w:cs="Book Antiqua"/>
          <w:color w:val="000000"/>
          <w:highlight w:val="none"/>
        </w:rPr>
        <w:t xml:space="preserve"> 2017; </w:t>
      </w:r>
      <w:r>
        <w:rPr>
          <w:rFonts w:ascii="Book Antiqua" w:hAnsi="Book Antiqua" w:eastAsia="Book Antiqua" w:cs="Book Antiqua"/>
          <w:b/>
          <w:color w:val="000000"/>
          <w:highlight w:val="none"/>
        </w:rPr>
        <w:t>12</w:t>
      </w:r>
      <w:r>
        <w:rPr>
          <w:rFonts w:ascii="Book Antiqua" w:hAnsi="Book Antiqua" w:eastAsia="Book Antiqua" w:cs="Book Antiqua"/>
          <w:color w:val="000000"/>
          <w:highlight w:val="none"/>
        </w:rPr>
        <w:t>: e0174839</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28430789 DOI: 10.1371/journal.pone.0174839]</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color w:val="000000"/>
          <w:highlight w:val="none"/>
        </w:rPr>
        <w:t>Tang J</w:t>
      </w:r>
      <w:r>
        <w:rPr>
          <w:rFonts w:ascii="Book Antiqua" w:hAnsi="Book Antiqua" w:eastAsia="Book Antiqua" w:cs="Book Antiqua"/>
          <w:color w:val="000000"/>
          <w:highlight w:val="none"/>
        </w:rPr>
        <w:t xml:space="preserve">, Li Y, Liu K, Zhu Q, Yang WH, Xiong LK, Guo DL. Exosomal miR-9-3p suppresses HBGF-5 expression and is a functional biomarker in hepatocellular carcinoma. </w:t>
      </w:r>
      <w:r>
        <w:rPr>
          <w:rFonts w:ascii="Book Antiqua" w:hAnsi="Book Antiqua" w:eastAsia="Book Antiqua" w:cs="Book Antiqua"/>
          <w:i/>
          <w:color w:val="000000"/>
          <w:highlight w:val="none"/>
        </w:rPr>
        <w:t>Minerva Med</w:t>
      </w:r>
      <w:r>
        <w:rPr>
          <w:rFonts w:ascii="Book Antiqua" w:hAnsi="Book Antiqua" w:eastAsia="Book Antiqua" w:cs="Book Antiqua"/>
          <w:color w:val="000000"/>
          <w:highlight w:val="none"/>
        </w:rPr>
        <w:t xml:space="preserve"> 2018; </w:t>
      </w:r>
      <w:r>
        <w:rPr>
          <w:rFonts w:ascii="Book Antiqua" w:hAnsi="Book Antiqua" w:eastAsia="Book Antiqua" w:cs="Book Antiqua"/>
          <w:b/>
          <w:color w:val="000000"/>
          <w:highlight w:val="none"/>
        </w:rPr>
        <w:t>109</w:t>
      </w:r>
      <w:r>
        <w:rPr>
          <w:rFonts w:ascii="Book Antiqua" w:hAnsi="Book Antiqua" w:eastAsia="Book Antiqua" w:cs="Book Antiqua"/>
          <w:color w:val="000000"/>
          <w:highlight w:val="none"/>
        </w:rPr>
        <w:t>: 15-23</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28750499 DOI: 10.23736/S0026-4806.17.05167-9]</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color w:val="000000"/>
          <w:highlight w:val="none"/>
        </w:rPr>
        <w:t>Sun Z</w:t>
      </w:r>
      <w:r>
        <w:rPr>
          <w:rFonts w:ascii="Book Antiqua" w:hAnsi="Book Antiqua" w:eastAsia="Book Antiqua" w:cs="Book Antiqua"/>
          <w:color w:val="000000"/>
          <w:highlight w:val="none"/>
        </w:rPr>
        <w:t xml:space="preserve">, Han Q, Zhou N, Wang S, Lu S, Bai C, Zhao RC. MicroRNA-9 enhances migration and invasion through KLF17 in hepatocellular carcinoma. </w:t>
      </w:r>
      <w:r>
        <w:rPr>
          <w:rFonts w:ascii="Book Antiqua" w:hAnsi="Book Antiqua" w:eastAsia="Book Antiqua" w:cs="Book Antiqua"/>
          <w:i/>
          <w:color w:val="000000"/>
          <w:highlight w:val="none"/>
        </w:rPr>
        <w:t>Mol Oncol</w:t>
      </w:r>
      <w:r>
        <w:rPr>
          <w:rFonts w:ascii="Book Antiqua" w:hAnsi="Book Antiqua" w:eastAsia="Book Antiqua" w:cs="Book Antiqua"/>
          <w:color w:val="000000"/>
          <w:highlight w:val="none"/>
        </w:rPr>
        <w:t xml:space="preserve"> 2013; </w:t>
      </w:r>
      <w:r>
        <w:rPr>
          <w:rFonts w:ascii="Book Antiqua" w:hAnsi="Book Antiqua" w:eastAsia="Book Antiqua" w:cs="Book Antiqua"/>
          <w:b/>
          <w:color w:val="000000"/>
          <w:highlight w:val="none"/>
        </w:rPr>
        <w:t>7</w:t>
      </w:r>
      <w:r>
        <w:rPr>
          <w:rFonts w:ascii="Book Antiqua" w:hAnsi="Book Antiqua" w:eastAsia="Book Antiqua" w:cs="Book Antiqua"/>
          <w:color w:val="000000"/>
          <w:highlight w:val="none"/>
        </w:rPr>
        <w:t>: 884-894</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23684102 DOI: 10.1016/j.molonc.2013.04.007]</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color w:val="000000"/>
          <w:highlight w:val="none"/>
        </w:rPr>
        <w:t>Schraivogel D</w:t>
      </w:r>
      <w:r>
        <w:rPr>
          <w:rFonts w:ascii="Book Antiqua" w:hAnsi="Book Antiqua" w:eastAsia="Book Antiqua" w:cs="Book Antiqua"/>
          <w:color w:val="000000"/>
          <w:highlight w:val="none"/>
        </w:rPr>
        <w:t xml:space="preserve">, Weinmann L, Beier D, Tabatabai G, Eichner A, Zhu JY, Anton M, Sixt M, Weller M, Beier CP, Meister G. CAMTA1 is a novel tumour suppressor regulated by miR-9/9* in glioblastoma stem cells. </w:t>
      </w:r>
      <w:r>
        <w:rPr>
          <w:rFonts w:ascii="Book Antiqua" w:hAnsi="Book Antiqua" w:eastAsia="Book Antiqua" w:cs="Book Antiqua"/>
          <w:i/>
          <w:color w:val="000000"/>
          <w:highlight w:val="none"/>
        </w:rPr>
        <w:t>EMBO J</w:t>
      </w:r>
      <w:r>
        <w:rPr>
          <w:rFonts w:ascii="Book Antiqua" w:hAnsi="Book Antiqua" w:eastAsia="Book Antiqua" w:cs="Book Antiqua"/>
          <w:color w:val="000000"/>
          <w:highlight w:val="none"/>
        </w:rPr>
        <w:t xml:space="preserve"> 2011; </w:t>
      </w:r>
      <w:r>
        <w:rPr>
          <w:rFonts w:ascii="Book Antiqua" w:hAnsi="Book Antiqua" w:eastAsia="Book Antiqua" w:cs="Book Antiqua"/>
          <w:b/>
          <w:color w:val="000000"/>
          <w:highlight w:val="none"/>
        </w:rPr>
        <w:t>30</w:t>
      </w:r>
      <w:r>
        <w:rPr>
          <w:rFonts w:ascii="Book Antiqua" w:hAnsi="Book Antiqua" w:eastAsia="Book Antiqua" w:cs="Book Antiqua"/>
          <w:color w:val="000000"/>
          <w:highlight w:val="none"/>
        </w:rPr>
        <w:t>: 4309-4322</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21857646 DOI: 10.1038/emboj.2011.301]</w:t>
      </w:r>
    </w:p>
    <w:p>
      <w:pPr>
        <w:spacing w:line="360" w:lineRule="auto"/>
        <w:jc w:val="both"/>
        <w:rPr>
          <w:rFonts w:ascii="Book Antiqua" w:hAnsi="Book Antiqua" w:eastAsia="Book Antiqua" w:cs="Book Antiqua"/>
          <w:highlight w:val="none"/>
        </w:rPr>
        <w:sectPr>
          <w:pgSz w:w="12240" w:h="15840"/>
          <w:pgMar w:top="1440" w:right="1440" w:bottom="1440" w:left="1440" w:header="720" w:footer="720" w:gutter="0"/>
          <w:cols w:space="720" w:num="1"/>
        </w:sectPr>
      </w:pPr>
      <w:r>
        <w:rPr>
          <w:rFonts w:ascii="Book Antiqua" w:hAnsi="Book Antiqua" w:eastAsia="Book Antiqua" w:cs="Book Antiqua"/>
          <w:color w:val="000000"/>
          <w:highlight w:val="none"/>
        </w:rPr>
        <w:t xml:space="preserve">35 </w:t>
      </w:r>
      <w:r>
        <w:rPr>
          <w:rFonts w:ascii="Book Antiqua" w:hAnsi="Book Antiqua" w:eastAsia="Book Antiqua" w:cs="Book Antiqua"/>
          <w:b/>
          <w:color w:val="000000"/>
          <w:highlight w:val="none"/>
        </w:rPr>
        <w:t>Zhang J</w:t>
      </w:r>
      <w:r>
        <w:rPr>
          <w:rFonts w:ascii="Book Antiqua" w:hAnsi="Book Antiqua" w:eastAsia="Book Antiqua" w:cs="Book Antiqua"/>
          <w:color w:val="000000"/>
          <w:highlight w:val="none"/>
        </w:rPr>
        <w:t xml:space="preserve">, Jia J, Zhao L, Li X, Xie Q, Chen X, Wang J, Lu F. Down-regulation of microRNA-9 Leads to activation of IL-6/Jak/STAT3 pathway through directly targeting IL-6 in HeLa cell. </w:t>
      </w:r>
      <w:r>
        <w:rPr>
          <w:rFonts w:ascii="Book Antiqua" w:hAnsi="Book Antiqua" w:eastAsia="Book Antiqua" w:cs="Book Antiqua"/>
          <w:i/>
          <w:color w:val="000000"/>
          <w:highlight w:val="none"/>
        </w:rPr>
        <w:t>Mol Carcinog</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55</w:t>
      </w:r>
      <w:r>
        <w:rPr>
          <w:rFonts w:ascii="Book Antiqua" w:hAnsi="Book Antiqua" w:eastAsia="Book Antiqua" w:cs="Book Antiqua"/>
          <w:color w:val="000000"/>
          <w:highlight w:val="none"/>
        </w:rPr>
        <w:t>: 732-742</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[PMID: 25809226 DOI: 10.1002/mc.22317]</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Institutional review board statement: </w:t>
      </w:r>
      <w:r>
        <w:rPr>
          <w:rFonts w:ascii="Book Antiqua" w:hAnsi="Book Antiqua" w:eastAsia="Book Antiqua" w:cs="Book Antiqua"/>
          <w:color w:val="000000"/>
          <w:highlight w:val="none"/>
        </w:rPr>
        <w:t>The study was approved by the Menoufia University Faculty of Medicine Research Ethics Committee</w:t>
      </w:r>
      <w:r>
        <w:rPr>
          <w:rFonts w:ascii="Book Antiqua" w:hAnsi="Book Antiqua" w:eastAsia="Book Antiqua" w:cs="Book Antiqua"/>
          <w:b/>
          <w:color w:val="000000"/>
          <w:highlight w:val="none"/>
        </w:rPr>
        <w: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Informed consent statement: </w:t>
      </w:r>
      <w:r>
        <w:rPr>
          <w:rFonts w:ascii="Book Antiqua" w:hAnsi="Book Antiqua" w:eastAsia="Book Antiqua" w:cs="Book Antiqua"/>
          <w:color w:val="000000"/>
          <w:highlight w:val="none"/>
        </w:rPr>
        <w:t>Written informed consent was obtained from the patient or his/her guardians prior to the study.</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Conflict-of-interest statement: </w:t>
      </w:r>
      <w:r>
        <w:rPr>
          <w:rFonts w:ascii="Book Antiqua" w:hAnsi="Book Antiqua" w:eastAsia="Book Antiqua" w:cs="Book Antiqua"/>
          <w:color w:val="000000"/>
          <w:highlight w:val="none"/>
        </w:rPr>
        <w:t xml:space="preserve">No benefits in any form have been received or will be received from a commercial party related directly or indirectly to the subject of this article. </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Data sharing statement: </w:t>
      </w:r>
      <w:r>
        <w:rPr>
          <w:rFonts w:ascii="Book Antiqua" w:hAnsi="Book Antiqua" w:eastAsia="Book Antiqua" w:cs="Book Antiqua"/>
          <w:color w:val="000000"/>
          <w:highlight w:val="none"/>
        </w:rPr>
        <w:t>No additional data are available.</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STROBE statement: </w:t>
      </w:r>
      <w:r>
        <w:rPr>
          <w:rFonts w:ascii="Book Antiqua" w:hAnsi="Book Antiqua" w:eastAsia="Book Antiqua" w:cs="Book Antiqua"/>
          <w:color w:val="000000"/>
          <w:highlight w:val="none"/>
        </w:rPr>
        <w:t>The authors have read the STROBE Statement checklist of items, and the manuscript was prepared and revised according to the STROBE Statement-checklist of items.</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eastAsia="Book Antiqua" w:cs="Book Antiqua"/>
          <w:highlight w:val="none"/>
        </w:rPr>
      </w:pPr>
    </w:p>
    <w:p>
      <w:pPr>
        <w:spacing w:line="360" w:lineRule="auto"/>
        <w:jc w:val="both"/>
        <w:rPr>
          <w:rFonts w:hint="eastAsia" w:ascii="Book Antiqua" w:hAnsi="Book Antiqua" w:eastAsia="Book Antiqua" w:cs="Book Antiqua"/>
          <w:b/>
          <w:color w:val="000000"/>
          <w:highlight w:val="none"/>
        </w:rPr>
      </w:pPr>
      <w:r>
        <w:rPr>
          <w:rFonts w:hint="eastAsia" w:ascii="Book Antiqua" w:hAnsi="Book Antiqua" w:eastAsia="Book Antiqua" w:cs="Book Antiqua"/>
          <w:b/>
          <w:color w:val="000000"/>
          <w:highlight w:val="none"/>
        </w:rPr>
        <w:t xml:space="preserve">Provenance and peer review: </w:t>
      </w:r>
      <w:r>
        <w:rPr>
          <w:rFonts w:hint="eastAsia" w:ascii="Book Antiqua" w:hAnsi="Book Antiqua" w:eastAsia="Book Antiqua" w:cs="Book Antiqua"/>
          <w:b w:val="0"/>
          <w:bCs/>
          <w:color w:val="000000"/>
          <w:highlight w:val="none"/>
        </w:rPr>
        <w:t>Invited article; Externally peer reviewed.</w:t>
      </w:r>
    </w:p>
    <w:p>
      <w:pPr>
        <w:spacing w:line="360" w:lineRule="auto"/>
        <w:jc w:val="both"/>
        <w:rPr>
          <w:rFonts w:hint="eastAsia" w:ascii="Book Antiqua" w:hAnsi="Book Antiqua" w:eastAsia="Book Antiqua" w:cs="Book Antiqua"/>
          <w:b/>
          <w:color w:val="000000"/>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Egyptian Association for Research and Training in Hepatogastroenterology, 001 Founder and President.</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16,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23, 2021</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September 1, 2021</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Egypt</w:t>
      </w:r>
    </w:p>
    <w:p>
      <w:pPr>
        <w:spacing w:line="360" w:lineRule="auto"/>
        <w:jc w:val="both"/>
        <w:rPr>
          <w:rFonts w:ascii="Book Antiqua" w:hAnsi="Book Antiqua" w:eastAsia="Book Antiqua" w:cs="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Grade C (Good): C, C</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eastAsia="Book Antiqua" w:cs="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Goenka MK, Moldogazieva NT</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Wang LL</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 xml:space="preserve">Filipodia </w:t>
      </w:r>
      <w:r>
        <w:rPr>
          <w:rFonts w:ascii="Book Antiqua" w:hAnsi="Book Antiqua" w:eastAsia="Book Antiqua" w:cs="Book Antiqua"/>
          <w:b/>
          <w:color w:val="000000"/>
          <w:highlight w:val="none"/>
        </w:rPr>
        <w:t xml:space="preserve">P-Editor: </w:t>
      </w:r>
      <w:r>
        <w:rPr>
          <w:rFonts w:ascii="Book Antiqua" w:hAnsi="Book Antiqua" w:eastAsia="Book Antiqua" w:cs="Book Antiqua"/>
          <w:bCs/>
          <w:color w:val="000000"/>
          <w:highlight w:val="none"/>
        </w:rPr>
        <w:t>Yu HG</w:t>
      </w:r>
    </w:p>
    <w:p>
      <w:pPr>
        <w:spacing w:line="360" w:lineRule="auto"/>
        <w:jc w:val="both"/>
        <w:rPr>
          <w:rFonts w:ascii="Book Antiqua" w:hAnsi="Book Antiqua" w:eastAsia="Book Antiqua" w:cs="Book Antiqua"/>
          <w:b/>
          <w:color w:val="000000"/>
          <w:highlight w:val="none"/>
        </w:rPr>
      </w:pPr>
      <w:r>
        <w:rPr>
          <w:rFonts w:ascii="Book Antiqua" w:hAnsi="Book Antiqua"/>
          <w:highlight w:val="none"/>
        </w:rPr>
        <w:br w:type="page"/>
      </w:r>
      <w:r>
        <w:rPr>
          <w:rFonts w:ascii="Book Antiqua" w:hAnsi="Book Antiqua" w:eastAsia="Book Antiqua" w:cs="Book Antiqua"/>
          <w:b/>
          <w:color w:val="000000"/>
          <w:highlight w:val="none"/>
        </w:rPr>
        <w:t>Figure Legends</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drawing>
          <wp:inline distT="0" distB="0" distL="0" distR="0">
            <wp:extent cx="5145405" cy="320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5"/>
                    <a:srcRect/>
                    <a:stretch>
                      <a:fillRect/>
                    </a:stretch>
                  </pic:blipFill>
                  <pic:spPr>
                    <a:xfrm>
                      <a:off x="0" y="0"/>
                      <a:ext cx="5145405" cy="3206750"/>
                    </a:xfrm>
                    <a:prstGeom prst="rect">
                      <a:avLst/>
                    </a:prstGeom>
                  </pic:spPr>
                </pic:pic>
              </a:graphicData>
            </a:graphic>
          </wp:inline>
        </w:drawing>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Figure 1 Correlation between microRNA 9-3p and endocan levels in the hepatocellular carcinoma group.</w:t>
      </w:r>
    </w:p>
    <w:p>
      <w:pPr>
        <w:spacing w:line="360" w:lineRule="auto"/>
        <w:jc w:val="both"/>
        <w:rPr>
          <w:rFonts w:ascii="Book Antiqua" w:hAnsi="Book Antiqua" w:eastAsia="Book Antiqua" w:cs="Book Antiqua"/>
          <w:highlight w:val="none"/>
        </w:rPr>
      </w:pPr>
      <w:r>
        <w:rPr>
          <w:rFonts w:ascii="Book Antiqua" w:hAnsi="Book Antiqua"/>
          <w:highlight w:val="none"/>
        </w:rPr>
        <w:br w:type="page"/>
      </w:r>
      <w:r>
        <w:rPr>
          <w:rFonts w:ascii="Book Antiqua" w:hAnsi="Book Antiqua" w:eastAsia="Book Antiqua" w:cs="Book Antiqua"/>
          <w:highlight w:val="none"/>
        </w:rPr>
        <w:drawing>
          <wp:inline distT="0" distB="0" distL="0" distR="0">
            <wp:extent cx="5114925" cy="37553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6"/>
                    <a:srcRect/>
                    <a:stretch>
                      <a:fillRect/>
                    </a:stretch>
                  </pic:blipFill>
                  <pic:spPr>
                    <a:xfrm>
                      <a:off x="0" y="0"/>
                      <a:ext cx="5114925" cy="3755390"/>
                    </a:xfrm>
                    <a:prstGeom prst="rect">
                      <a:avLst/>
                    </a:prstGeom>
                  </pic:spPr>
                </pic:pic>
              </a:graphicData>
            </a:graphic>
          </wp:inline>
        </w:drawing>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Figure 2 Receiver operating characteristic curve analysis of microRNA 9-3p, endocan and α-fetoprotein for discriminating between hepatocellular carcinoma and chronic liver disease.</w:t>
      </w:r>
    </w:p>
    <w:p>
      <w:pPr>
        <w:spacing w:line="360" w:lineRule="auto"/>
        <w:jc w:val="both"/>
        <w:rPr>
          <w:rFonts w:ascii="Book Antiqua" w:hAnsi="Book Antiqua" w:eastAsia="Book Antiqua" w:cs="Book Antiqua"/>
          <w:highlight w:val="none"/>
        </w:rPr>
      </w:pPr>
      <w:r>
        <w:rPr>
          <w:rFonts w:ascii="Book Antiqua" w:hAnsi="Book Antiqua"/>
          <w:highlight w:val="none"/>
        </w:rPr>
        <w:br w:type="page"/>
      </w:r>
      <w:r>
        <w:rPr>
          <w:rFonts w:ascii="Book Antiqua" w:hAnsi="Book Antiqua" w:eastAsia="Book Antiqua" w:cs="Book Antiqua"/>
          <w:highlight w:val="none"/>
        </w:rPr>
        <w:drawing>
          <wp:inline distT="0" distB="0" distL="0" distR="0">
            <wp:extent cx="5285740" cy="36887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5285740" cy="3688715"/>
                    </a:xfrm>
                    <a:prstGeom prst="rect">
                      <a:avLst/>
                    </a:prstGeom>
                  </pic:spPr>
                </pic:pic>
              </a:graphicData>
            </a:graphic>
          </wp:inline>
        </w:drawing>
      </w:r>
    </w:p>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Figure 3 Receiver operating characteristic curve analysis of microRNA 9-3p, endocan and α-fetoprotein for discriminating between hepatocellular carcinoma and control.</w:t>
      </w:r>
    </w:p>
    <w:p>
      <w:pPr>
        <w:spacing w:line="360" w:lineRule="auto"/>
        <w:jc w:val="both"/>
        <w:rPr>
          <w:rFonts w:ascii="Book Antiqua" w:hAnsi="Book Antiqua" w:eastAsia="Book Antiqua" w:cs="Book Antiqua"/>
          <w:b/>
          <w:highlight w:val="none"/>
        </w:rPr>
      </w:pPr>
      <w:r>
        <w:rPr>
          <w:rFonts w:ascii="Book Antiqua" w:hAnsi="Book Antiqua"/>
          <w:highlight w:val="none"/>
        </w:rPr>
        <w:br w:type="page"/>
      </w:r>
      <w:r>
        <w:rPr>
          <w:rFonts w:ascii="Book Antiqua" w:hAnsi="Book Antiqua" w:eastAsia="Book Antiqua" w:cs="Book Antiqua"/>
          <w:b/>
          <w:highlight w:val="none"/>
        </w:rPr>
        <w:t>Table 1 Demographic and laboratory data of the study participants</w:t>
      </w:r>
    </w:p>
    <w:tbl>
      <w:tblPr>
        <w:tblStyle w:val="15"/>
        <w:tblW w:w="7569" w:type="dxa"/>
        <w:tblInd w:w="93" w:type="dxa"/>
        <w:tblLayout w:type="fixed"/>
        <w:tblCellMar>
          <w:top w:w="0" w:type="dxa"/>
          <w:left w:w="115" w:type="dxa"/>
          <w:bottom w:w="0" w:type="dxa"/>
          <w:right w:w="115" w:type="dxa"/>
        </w:tblCellMar>
      </w:tblPr>
      <w:tblGrid>
        <w:gridCol w:w="1841"/>
        <w:gridCol w:w="713"/>
        <w:gridCol w:w="998"/>
        <w:gridCol w:w="1068"/>
        <w:gridCol w:w="1031"/>
        <w:gridCol w:w="1167"/>
        <w:gridCol w:w="751"/>
      </w:tblGrid>
      <w:tr>
        <w:tblPrEx>
          <w:tblCellMar>
            <w:top w:w="0" w:type="dxa"/>
            <w:left w:w="115" w:type="dxa"/>
            <w:bottom w:w="0" w:type="dxa"/>
            <w:right w:w="115" w:type="dxa"/>
          </w:tblCellMar>
        </w:tblPrEx>
        <w:trPr>
          <w:trHeight w:val="714" w:hRule="atLeast"/>
        </w:trPr>
        <w:tc>
          <w:tcPr>
            <w:tcW w:w="2554" w:type="dxa"/>
            <w:gridSpan w:val="2"/>
            <w:vMerge w:val="restart"/>
            <w:tcBorders>
              <w:top w:val="single" w:color="000000" w:sz="4" w:space="0"/>
              <w:bottom w:val="single" w:color="000000" w:sz="4"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Variables</w:t>
            </w:r>
          </w:p>
        </w:tc>
        <w:tc>
          <w:tcPr>
            <w:tcW w:w="998" w:type="dxa"/>
            <w:tcBorders>
              <w:top w:val="single" w:color="000000" w:sz="4" w:space="0"/>
              <w:bottom w:val="single" w:color="000000" w:sz="4"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Group I</w:t>
            </w:r>
          </w:p>
        </w:tc>
        <w:tc>
          <w:tcPr>
            <w:tcW w:w="1068" w:type="dxa"/>
            <w:tcBorders>
              <w:top w:val="single" w:color="000000" w:sz="4" w:space="0"/>
              <w:bottom w:val="single" w:color="000000" w:sz="4"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Group II</w:t>
            </w:r>
          </w:p>
        </w:tc>
        <w:tc>
          <w:tcPr>
            <w:tcW w:w="1031" w:type="dxa"/>
            <w:tcBorders>
              <w:top w:val="single" w:color="000000" w:sz="4" w:space="0"/>
              <w:bottom w:val="single" w:color="000000" w:sz="4"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Group III</w:t>
            </w:r>
          </w:p>
        </w:tc>
        <w:tc>
          <w:tcPr>
            <w:tcW w:w="1167" w:type="dxa"/>
            <w:vMerge w:val="restart"/>
            <w:tcBorders>
              <w:top w:val="single" w:color="000000" w:sz="4" w:space="0"/>
              <w:bottom w:val="single" w:color="000000" w:sz="4" w:space="0"/>
            </w:tcBorders>
            <w:shd w:val="clear" w:color="auto" w:fill="auto"/>
          </w:tcPr>
          <w:p>
            <w:pPr>
              <w:spacing w:line="360" w:lineRule="auto"/>
              <w:jc w:val="both"/>
              <w:rPr>
                <w:rFonts w:ascii="Book Antiqua" w:hAnsi="Book Antiqua" w:eastAsia="Book Antiqua" w:cs="Book Antiqua"/>
                <w:b/>
                <w:i/>
                <w:color w:val="000000"/>
                <w:highlight w:val="none"/>
              </w:rPr>
            </w:pPr>
            <w:r>
              <w:rPr>
                <w:rFonts w:ascii="Book Antiqua" w:hAnsi="Book Antiqua" w:eastAsia="Book Antiqua" w:cs="Book Antiqua"/>
                <w:b/>
                <w:i/>
                <w:color w:val="000000"/>
                <w:highlight w:val="none"/>
              </w:rPr>
              <w:t>P</w:t>
            </w:r>
            <w:r>
              <w:rPr>
                <w:rFonts w:ascii="Book Antiqua" w:hAnsi="Book Antiqua" w:eastAsia="Book Antiqua" w:cs="Book Antiqua"/>
                <w:b/>
                <w:color w:val="000000"/>
                <w:highlight w:val="none"/>
              </w:rPr>
              <w:t xml:space="preserve"> value</w:t>
            </w:r>
          </w:p>
        </w:tc>
        <w:tc>
          <w:tcPr>
            <w:tcW w:w="751" w:type="dxa"/>
            <w:vMerge w:val="restart"/>
            <w:tcBorders>
              <w:top w:val="single" w:color="000000" w:sz="4" w:space="0"/>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p>
        </w:tc>
      </w:tr>
      <w:tr>
        <w:tblPrEx>
          <w:tblCellMar>
            <w:top w:w="0" w:type="dxa"/>
            <w:left w:w="115" w:type="dxa"/>
            <w:bottom w:w="0" w:type="dxa"/>
            <w:right w:w="115" w:type="dxa"/>
          </w:tblCellMar>
        </w:tblPrEx>
        <w:trPr>
          <w:trHeight w:val="429" w:hRule="atLeast"/>
        </w:trPr>
        <w:tc>
          <w:tcPr>
            <w:tcW w:w="2554" w:type="dxa"/>
            <w:gridSpan w:val="2"/>
            <w:vMerge w:val="continue"/>
            <w:tcBorders>
              <w:top w:val="single" w:color="000000" w:sz="4" w:space="0"/>
              <w:bottom w:val="single" w:color="000000"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color w:val="000000"/>
                <w:highlight w:val="none"/>
              </w:rPr>
            </w:pPr>
          </w:p>
        </w:tc>
        <w:tc>
          <w:tcPr>
            <w:tcW w:w="998" w:type="dxa"/>
            <w:tcBorders>
              <w:top w:val="single" w:color="000000" w:sz="4"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HCC</w:t>
            </w:r>
          </w:p>
        </w:tc>
        <w:tc>
          <w:tcPr>
            <w:tcW w:w="1068" w:type="dxa"/>
            <w:tcBorders>
              <w:top w:val="single" w:color="000000" w:sz="4"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Chronic liver disease</w:t>
            </w:r>
          </w:p>
        </w:tc>
        <w:tc>
          <w:tcPr>
            <w:tcW w:w="1031" w:type="dxa"/>
            <w:tcBorders>
              <w:top w:val="single" w:color="000000" w:sz="4" w:space="0"/>
              <w:bottom w:val="single" w:color="auto" w:sz="6" w:space="0"/>
            </w:tcBorders>
            <w:shd w:val="clear" w:color="auto" w:fill="auto"/>
          </w:tcPr>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Control</w:t>
            </w:r>
            <w:bookmarkStart w:id="1" w:name="_GoBack"/>
            <w:bookmarkEnd w:id="1"/>
          </w:p>
        </w:tc>
        <w:tc>
          <w:tcPr>
            <w:tcW w:w="1167" w:type="dxa"/>
            <w:vMerge w:val="continue"/>
            <w:tcBorders>
              <w:top w:val="single" w:color="000000" w:sz="4" w:space="0"/>
              <w:bottom w:val="single" w:color="000000"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b/>
                <w:color w:val="000000"/>
                <w:highlight w:val="none"/>
              </w:rPr>
            </w:pPr>
          </w:p>
        </w:tc>
        <w:tc>
          <w:tcPr>
            <w:tcW w:w="751" w:type="dxa"/>
            <w:vMerge w:val="continue"/>
            <w:tcBorders>
              <w:top w:val="single" w:color="000000" w:sz="4" w:space="0"/>
              <w:bottom w:val="single" w:color="000000" w:sz="4" w:space="0"/>
            </w:tcBorders>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b/>
                <w:color w:val="000000"/>
                <w:highlight w:val="none"/>
              </w:rPr>
            </w:pPr>
          </w:p>
        </w:tc>
      </w:tr>
      <w:tr>
        <w:tblPrEx>
          <w:tblCellMar>
            <w:top w:w="0" w:type="dxa"/>
            <w:left w:w="115" w:type="dxa"/>
            <w:bottom w:w="0" w:type="dxa"/>
            <w:right w:w="115" w:type="dxa"/>
          </w:tblCellMar>
        </w:tblPrEx>
        <w:trPr>
          <w:trHeight w:val="429" w:hRule="atLeast"/>
        </w:trPr>
        <w:tc>
          <w:tcPr>
            <w:tcW w:w="2554" w:type="dxa"/>
            <w:gridSpan w:val="2"/>
            <w:vMerge w:val="continue"/>
            <w:tcBorders>
              <w:bottom w:val="single" w:color="000000" w:sz="4" w:space="0"/>
            </w:tcBorders>
            <w:shd w:val="clear" w:color="auto" w:fill="auto"/>
          </w:tcPr>
          <w:p>
            <w:pPr>
              <w:spacing w:line="360" w:lineRule="auto"/>
              <w:jc w:val="both"/>
            </w:pPr>
          </w:p>
        </w:tc>
        <w:tc>
          <w:tcPr>
            <w:tcW w:w="998" w:type="dxa"/>
            <w:tcBorders>
              <w:top w:val="single" w:color="000000" w:sz="4" w:space="0"/>
            </w:tcBorders>
            <w:shd w:val="clear" w:color="auto" w:fill="auto"/>
          </w:tcPr>
          <w:p>
            <w:pPr>
              <w:spacing w:line="360" w:lineRule="auto"/>
              <w:jc w:val="both"/>
              <w:rPr>
                <w:rFonts w:ascii="Book Antiqua" w:hAnsi="Book Antiqua" w:eastAsia="Book Antiqua" w:cs="Book Antiqua"/>
                <w:b/>
                <w:i/>
                <w:color w:val="000000"/>
                <w:highlight w:val="none"/>
              </w:rPr>
            </w:pPr>
            <w:r>
              <w:rPr>
                <w:rFonts w:ascii="Book Antiqua" w:hAnsi="Book Antiqua" w:eastAsia="Book Antiqua" w:cs="Book Antiqua"/>
                <w:b/>
                <w:i/>
                <w:color w:val="000000"/>
                <w:highlight w:val="none"/>
              </w:rPr>
              <w:t>n</w:t>
            </w:r>
            <w:r>
              <w:rPr>
                <w:rFonts w:ascii="Book Antiqua" w:hAnsi="Book Antiqua" w:eastAsia="Book Antiqua" w:cs="Book Antiqua"/>
                <w:b/>
                <w:color w:val="000000"/>
                <w:highlight w:val="none"/>
              </w:rPr>
              <w:t xml:space="preserve"> = 35</w:t>
            </w:r>
          </w:p>
        </w:tc>
        <w:tc>
          <w:tcPr>
            <w:tcW w:w="1068" w:type="dxa"/>
            <w:tcBorders>
              <w:top w:val="single" w:color="000000" w:sz="4" w:space="0"/>
            </w:tcBorders>
            <w:shd w:val="clear" w:color="auto" w:fill="auto"/>
          </w:tcPr>
          <w:p>
            <w:pPr>
              <w:spacing w:line="360" w:lineRule="auto"/>
              <w:jc w:val="both"/>
              <w:rPr>
                <w:rFonts w:ascii="Book Antiqua" w:hAnsi="Book Antiqua" w:eastAsia="Book Antiqua" w:cs="Book Antiqua"/>
                <w:b/>
                <w:i/>
                <w:color w:val="000000"/>
                <w:highlight w:val="none"/>
              </w:rPr>
            </w:pPr>
            <w:r>
              <w:rPr>
                <w:rFonts w:ascii="Book Antiqua" w:hAnsi="Book Antiqua" w:eastAsia="Book Antiqua" w:cs="Book Antiqua"/>
                <w:b/>
                <w:i/>
                <w:color w:val="000000"/>
                <w:highlight w:val="none"/>
              </w:rPr>
              <w:t>n</w:t>
            </w:r>
            <w:r>
              <w:rPr>
                <w:rFonts w:ascii="Book Antiqua" w:hAnsi="Book Antiqua" w:eastAsia="Book Antiqua" w:cs="Book Antiqua"/>
                <w:b/>
                <w:color w:val="000000"/>
                <w:highlight w:val="none"/>
              </w:rPr>
              <w:t xml:space="preserve"> = 33</w:t>
            </w:r>
          </w:p>
        </w:tc>
        <w:tc>
          <w:tcPr>
            <w:tcW w:w="1031" w:type="dxa"/>
            <w:tcBorders>
              <w:top w:val="single" w:color="000000" w:sz="4" w:space="0"/>
              <w:bottom w:val="single" w:color="auto" w:sz="6" w:space="0"/>
            </w:tcBorders>
            <w:shd w:val="clear" w:color="auto" w:fill="auto"/>
          </w:tcPr>
          <w:p>
            <w:pPr>
              <w:spacing w:line="360" w:lineRule="auto"/>
              <w:jc w:val="both"/>
              <w:rPr>
                <w:rFonts w:ascii="Book Antiqua" w:hAnsi="Book Antiqua" w:eastAsia="Book Antiqua" w:cs="Book Antiqua"/>
                <w:b/>
                <w:i/>
                <w:color w:val="000000"/>
                <w:highlight w:val="none"/>
              </w:rPr>
            </w:pPr>
            <w:r>
              <w:rPr>
                <w:rFonts w:ascii="Book Antiqua" w:hAnsi="Book Antiqua" w:eastAsia="Book Antiqua" w:cs="Book Antiqua"/>
                <w:b/>
                <w:i/>
                <w:color w:val="000000"/>
                <w:highlight w:val="none"/>
              </w:rPr>
              <w:t>n</w:t>
            </w:r>
            <w:r>
              <w:rPr>
                <w:rFonts w:ascii="Book Antiqua" w:hAnsi="Book Antiqua" w:eastAsia="Book Antiqua" w:cs="Book Antiqua"/>
                <w:b/>
                <w:color w:val="000000"/>
                <w:highlight w:val="none"/>
              </w:rPr>
              <w:t xml:space="preserve"> = 32</w:t>
            </w:r>
          </w:p>
        </w:tc>
        <w:tc>
          <w:tcPr>
            <w:tcW w:w="1167" w:type="dxa"/>
            <w:vMerge w:val="continue"/>
            <w:tcBorders>
              <w:bottom w:val="single" w:color="000000" w:sz="4" w:space="0"/>
            </w:tcBorders>
            <w:shd w:val="clear" w:color="auto" w:fill="auto"/>
          </w:tcPr>
          <w:p>
            <w:pPr>
              <w:spacing w:line="360" w:lineRule="auto"/>
              <w:jc w:val="both"/>
              <w:rPr>
                <w:rFonts w:ascii="Book Antiqua" w:hAnsi="Book Antiqua" w:eastAsia="Book Antiqua" w:cs="Book Antiqua"/>
                <w:b/>
                <w:i/>
                <w:color w:val="000000"/>
                <w:highlight w:val="none"/>
              </w:rPr>
            </w:pPr>
          </w:p>
        </w:tc>
        <w:tc>
          <w:tcPr>
            <w:tcW w:w="751" w:type="dxa"/>
            <w:vMerge w:val="continue"/>
            <w:tcBorders>
              <w:bottom w:val="single" w:color="000000" w:sz="4" w:space="0"/>
            </w:tcBorders>
            <w:shd w:val="clear" w:color="auto" w:fill="auto"/>
          </w:tcPr>
          <w:p>
            <w:pPr>
              <w:spacing w:line="360" w:lineRule="auto"/>
              <w:jc w:val="both"/>
              <w:rPr>
                <w:rFonts w:ascii="Book Antiqua" w:hAnsi="Book Antiqua" w:eastAsia="Book Antiqua" w:cs="Book Antiqua"/>
                <w:b/>
                <w:i/>
                <w:color w:val="000000"/>
                <w:highlight w:val="none"/>
              </w:rPr>
            </w:pPr>
          </w:p>
        </w:tc>
      </w:tr>
      <w:tr>
        <w:tblPrEx>
          <w:tblCellMar>
            <w:top w:w="0" w:type="dxa"/>
            <w:left w:w="115" w:type="dxa"/>
            <w:bottom w:w="0" w:type="dxa"/>
            <w:right w:w="115" w:type="dxa"/>
          </w:tblCellMar>
        </w:tblPrEx>
        <w:trPr>
          <w:trHeight w:val="312"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Gender</w:t>
            </w:r>
          </w:p>
        </w:tc>
        <w:tc>
          <w:tcPr>
            <w:tcW w:w="998" w:type="dxa"/>
            <w:tcBorders>
              <w:top w:val="single" w:color="auto" w:sz="6" w:space="0"/>
            </w:tcBorders>
            <w:shd w:val="clear" w:color="auto" w:fill="auto"/>
          </w:tcPr>
          <w:p>
            <w:pPr>
              <w:spacing w:line="360" w:lineRule="auto"/>
              <w:jc w:val="both"/>
              <w:rPr>
                <w:rFonts w:ascii="Book Antiqua" w:hAnsi="Book Antiqua" w:eastAsia="Book Antiqua" w:cs="Book Antiqua"/>
                <w:color w:val="000000"/>
                <w:highlight w:val="none"/>
              </w:rPr>
            </w:pPr>
          </w:p>
        </w:tc>
        <w:tc>
          <w:tcPr>
            <w:tcW w:w="1068" w:type="dxa"/>
            <w:tcBorders>
              <w:top w:val="single" w:color="auto" w:sz="6" w:space="0"/>
            </w:tcBorders>
            <w:shd w:val="clear" w:color="auto" w:fill="auto"/>
          </w:tcPr>
          <w:p>
            <w:pPr>
              <w:spacing w:line="360" w:lineRule="auto"/>
              <w:jc w:val="both"/>
              <w:rPr>
                <w:rFonts w:ascii="Book Antiqua" w:hAnsi="Book Antiqua" w:eastAsia="Book Antiqua" w:cs="Book Antiqua"/>
                <w:color w:val="000000"/>
                <w:highlight w:val="none"/>
              </w:rPr>
            </w:pPr>
          </w:p>
        </w:tc>
        <w:tc>
          <w:tcPr>
            <w:tcW w:w="1031" w:type="dxa"/>
            <w:tcBorders>
              <w:top w:val="single" w:color="auto" w:sz="6" w:space="0"/>
            </w:tcBorders>
            <w:shd w:val="clear" w:color="auto" w:fill="auto"/>
          </w:tcPr>
          <w:p>
            <w:pPr>
              <w:spacing w:line="360" w:lineRule="auto"/>
              <w:jc w:val="both"/>
              <w:rPr>
                <w:rFonts w:ascii="Book Antiqua" w:hAnsi="Book Antiqua" w:eastAsia="Book Antiqua" w:cs="Book Antiqua"/>
                <w:color w:val="000000"/>
                <w:highlight w:val="none"/>
              </w:rPr>
            </w:pPr>
          </w:p>
        </w:tc>
        <w:tc>
          <w:tcPr>
            <w:tcW w:w="1167" w:type="dxa"/>
            <w:shd w:val="clear" w:color="auto" w:fill="auto"/>
          </w:tcPr>
          <w:p>
            <w:pPr>
              <w:spacing w:line="360" w:lineRule="auto"/>
              <w:jc w:val="both"/>
              <w:rPr>
                <w:rFonts w:ascii="Book Antiqua" w:hAnsi="Book Antiqua" w:eastAsia="Book Antiqua" w:cs="Book Antiqua"/>
                <w:color w:val="000000"/>
                <w:highlight w:val="none"/>
              </w:rPr>
            </w:pPr>
          </w:p>
        </w:tc>
        <w:tc>
          <w:tcPr>
            <w:tcW w:w="751" w:type="dxa"/>
            <w:shd w:val="clear" w:color="auto" w:fill="auto"/>
          </w:tcPr>
          <w:p>
            <w:pPr>
              <w:spacing w:line="360" w:lineRule="auto"/>
              <w:jc w:val="both"/>
              <w:rPr>
                <w:rFonts w:ascii="Book Antiqua" w:hAnsi="Book Antiqua" w:eastAsia="Book Antiqua" w:cs="Book Antiqua"/>
                <w:color w:val="000000"/>
                <w:highlight w:val="none"/>
              </w:rPr>
            </w:pPr>
          </w:p>
        </w:tc>
      </w:tr>
      <w:tr>
        <w:tblPrEx>
          <w:tblCellMar>
            <w:top w:w="0" w:type="dxa"/>
            <w:left w:w="115" w:type="dxa"/>
            <w:bottom w:w="0" w:type="dxa"/>
            <w:right w:w="115" w:type="dxa"/>
          </w:tblCellMar>
        </w:tblPrEx>
        <w:trPr>
          <w:trHeight w:val="624"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Male, </w:t>
            </w:r>
            <w:r>
              <w:rPr>
                <w:rFonts w:ascii="Book Antiqua" w:hAnsi="Book Antiqua" w:eastAsia="Book Antiqua" w:cs="Book Antiqua"/>
                <w:i/>
                <w:color w:val="000000"/>
                <w:highlight w:val="none"/>
              </w:rPr>
              <w:t>n</w:t>
            </w:r>
            <w:r>
              <w:rPr>
                <w:rFonts w:ascii="Book Antiqua" w:hAnsi="Book Antiqua" w:eastAsia="Book Antiqua" w:cs="Book Antiqua"/>
                <w:color w:val="000000"/>
                <w:highlight w:val="none"/>
              </w:rPr>
              <w:t xml:space="preserve"> (%)</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30 (85.7)</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23 (69.7)</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27 (84.4)</w:t>
            </w:r>
          </w:p>
        </w:tc>
        <w:tc>
          <w:tcPr>
            <w:tcW w:w="1167" w:type="dxa"/>
            <w:vMerge w:val="restart"/>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NS</w:t>
            </w:r>
          </w:p>
        </w:tc>
        <w:tc>
          <w:tcPr>
            <w:tcW w:w="751" w:type="dxa"/>
            <w:shd w:val="clear" w:color="auto" w:fill="auto"/>
          </w:tcPr>
          <w:p>
            <w:pPr>
              <w:spacing w:line="360" w:lineRule="auto"/>
              <w:jc w:val="both"/>
              <w:rPr>
                <w:rFonts w:ascii="Book Antiqua" w:hAnsi="Book Antiqua" w:eastAsia="Book Antiqua" w:cs="Book Antiqua"/>
                <w:color w:val="000000"/>
                <w:highlight w:val="none"/>
              </w:rPr>
            </w:pPr>
          </w:p>
        </w:tc>
      </w:tr>
      <w:tr>
        <w:tblPrEx>
          <w:tblCellMar>
            <w:top w:w="0" w:type="dxa"/>
            <w:left w:w="115" w:type="dxa"/>
            <w:bottom w:w="0" w:type="dxa"/>
            <w:right w:w="115" w:type="dxa"/>
          </w:tblCellMar>
        </w:tblPrEx>
        <w:trPr>
          <w:trHeight w:val="624"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Female, </w:t>
            </w:r>
            <w:r>
              <w:rPr>
                <w:rFonts w:ascii="Book Antiqua" w:hAnsi="Book Antiqua" w:eastAsia="Book Antiqua" w:cs="Book Antiqua"/>
                <w:i/>
                <w:color w:val="000000"/>
                <w:highlight w:val="none"/>
              </w:rPr>
              <w:t>n</w:t>
            </w:r>
            <w:r>
              <w:rPr>
                <w:rFonts w:ascii="Book Antiqua" w:hAnsi="Book Antiqua" w:eastAsia="Book Antiqua" w:cs="Book Antiqua"/>
                <w:color w:val="000000"/>
                <w:highlight w:val="none"/>
              </w:rPr>
              <w:t xml:space="preserve"> (%)</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5 (14.3)</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10 (30.3)</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5 (15.6)</w:t>
            </w:r>
          </w:p>
        </w:tc>
        <w:tc>
          <w:tcPr>
            <w:tcW w:w="1167"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color w:val="000000"/>
                <w:highlight w:val="none"/>
              </w:rPr>
            </w:pPr>
          </w:p>
        </w:tc>
        <w:tc>
          <w:tcPr>
            <w:tcW w:w="751" w:type="dxa"/>
            <w:shd w:val="clear" w:color="auto" w:fill="auto"/>
          </w:tcPr>
          <w:p>
            <w:pPr>
              <w:spacing w:line="360" w:lineRule="auto"/>
              <w:jc w:val="both"/>
              <w:rPr>
                <w:rFonts w:ascii="Book Antiqua" w:hAnsi="Book Antiqua" w:eastAsia="Book Antiqua" w:cs="Book Antiqua"/>
                <w:color w:val="000000"/>
                <w:highlight w:val="none"/>
              </w:rPr>
            </w:pPr>
          </w:p>
        </w:tc>
      </w:tr>
      <w:tr>
        <w:tblPrEx>
          <w:tblCellMar>
            <w:top w:w="0" w:type="dxa"/>
            <w:left w:w="115" w:type="dxa"/>
            <w:bottom w:w="0" w:type="dxa"/>
            <w:right w:w="115" w:type="dxa"/>
          </w:tblCellMar>
        </w:tblPrEx>
        <w:trPr>
          <w:trHeight w:val="312"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Age (yr)</w:t>
            </w:r>
          </w:p>
        </w:tc>
        <w:tc>
          <w:tcPr>
            <w:tcW w:w="998" w:type="dxa"/>
            <w:shd w:val="clear" w:color="auto" w:fill="auto"/>
          </w:tcPr>
          <w:p>
            <w:pPr>
              <w:spacing w:line="360" w:lineRule="auto"/>
              <w:jc w:val="both"/>
              <w:rPr>
                <w:rFonts w:ascii="Book Antiqua" w:hAnsi="Book Antiqua" w:eastAsia="Book Antiqua" w:cs="Book Antiqua"/>
                <w:color w:val="000000"/>
                <w:highlight w:val="none"/>
              </w:rPr>
            </w:pPr>
          </w:p>
        </w:tc>
        <w:tc>
          <w:tcPr>
            <w:tcW w:w="1068" w:type="dxa"/>
            <w:shd w:val="clear" w:color="auto" w:fill="auto"/>
          </w:tcPr>
          <w:p>
            <w:pPr>
              <w:spacing w:line="360" w:lineRule="auto"/>
              <w:jc w:val="both"/>
              <w:rPr>
                <w:rFonts w:ascii="Book Antiqua" w:hAnsi="Book Antiqua" w:eastAsia="Book Antiqua" w:cs="Book Antiqua"/>
                <w:color w:val="000000"/>
                <w:highlight w:val="none"/>
              </w:rPr>
            </w:pPr>
          </w:p>
        </w:tc>
        <w:tc>
          <w:tcPr>
            <w:tcW w:w="1031" w:type="dxa"/>
            <w:shd w:val="clear" w:color="auto" w:fill="auto"/>
          </w:tcPr>
          <w:p>
            <w:pPr>
              <w:spacing w:line="360" w:lineRule="auto"/>
              <w:jc w:val="both"/>
              <w:rPr>
                <w:rFonts w:ascii="Book Antiqua" w:hAnsi="Book Antiqua" w:eastAsia="Book Antiqua" w:cs="Book Antiqua"/>
                <w:color w:val="000000"/>
                <w:highlight w:val="none"/>
              </w:rPr>
            </w:pPr>
          </w:p>
        </w:tc>
        <w:tc>
          <w:tcPr>
            <w:tcW w:w="1167" w:type="dxa"/>
            <w:shd w:val="clear" w:color="auto" w:fill="auto"/>
          </w:tcPr>
          <w:p>
            <w:pPr>
              <w:spacing w:line="360" w:lineRule="auto"/>
              <w:jc w:val="both"/>
              <w:rPr>
                <w:rFonts w:ascii="Book Antiqua" w:hAnsi="Book Antiqua" w:eastAsia="Book Antiqua" w:cs="Book Antiqua"/>
                <w:color w:val="000000"/>
                <w:highlight w:val="none"/>
              </w:rPr>
            </w:pPr>
          </w:p>
        </w:tc>
        <w:tc>
          <w:tcPr>
            <w:tcW w:w="751" w:type="dxa"/>
            <w:shd w:val="clear" w:color="auto" w:fill="auto"/>
          </w:tcPr>
          <w:p>
            <w:pPr>
              <w:spacing w:line="360" w:lineRule="auto"/>
              <w:jc w:val="both"/>
              <w:rPr>
                <w:rFonts w:ascii="Book Antiqua" w:hAnsi="Book Antiqua" w:eastAsia="Book Antiqua" w:cs="Book Antiqua"/>
                <w:color w:val="000000"/>
                <w:highlight w:val="none"/>
              </w:rPr>
            </w:pPr>
          </w:p>
        </w:tc>
      </w:tr>
      <w:tr>
        <w:tblPrEx>
          <w:tblCellMar>
            <w:top w:w="0" w:type="dxa"/>
            <w:left w:w="115" w:type="dxa"/>
            <w:bottom w:w="0" w:type="dxa"/>
            <w:right w:w="115" w:type="dxa"/>
          </w:tblCellMar>
        </w:tblPrEx>
        <w:trPr>
          <w:trHeight w:val="669"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mean ± SD</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55.2 </w:t>
            </w:r>
            <w:r>
              <w:rPr>
                <w:rFonts w:ascii="Book Antiqua" w:hAnsi="Book Antiqua"/>
                <w:color w:val="000000"/>
                <w:highlight w:val="none"/>
              </w:rPr>
              <w:t>±</w:t>
            </w:r>
            <w:r>
              <w:rPr>
                <w:rFonts w:ascii="Book Antiqua" w:hAnsi="Book Antiqua" w:eastAsia="Book Antiqua" w:cs="Book Antiqua"/>
                <w:color w:val="000000"/>
                <w:highlight w:val="none"/>
              </w:rPr>
              <w:t xml:space="preserve"> 5.2</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52.7 </w:t>
            </w:r>
            <w:r>
              <w:rPr>
                <w:rFonts w:ascii="Book Antiqua" w:hAnsi="Book Antiqua"/>
                <w:color w:val="000000"/>
                <w:highlight w:val="none"/>
              </w:rPr>
              <w:t>±</w:t>
            </w:r>
            <w:r>
              <w:rPr>
                <w:rFonts w:ascii="Book Antiqua" w:hAnsi="Book Antiqua" w:eastAsia="Book Antiqua" w:cs="Book Antiqua"/>
                <w:color w:val="000000"/>
                <w:highlight w:val="none"/>
              </w:rPr>
              <w:t xml:space="preserve"> 5.3</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52.8 </w:t>
            </w:r>
            <w:r>
              <w:rPr>
                <w:rFonts w:ascii="Book Antiqua" w:hAnsi="Book Antiqua"/>
                <w:color w:val="000000"/>
                <w:highlight w:val="none"/>
              </w:rPr>
              <w:t>±</w:t>
            </w:r>
            <w:r>
              <w:rPr>
                <w:rFonts w:ascii="Book Antiqua" w:hAnsi="Book Antiqua" w:eastAsia="Book Antiqua" w:cs="Book Antiqua"/>
                <w:color w:val="000000"/>
                <w:highlight w:val="none"/>
              </w:rPr>
              <w:t xml:space="preserve"> 5.6</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NS</w:t>
            </w:r>
          </w:p>
        </w:tc>
        <w:tc>
          <w:tcPr>
            <w:tcW w:w="751" w:type="dxa"/>
            <w:shd w:val="clear" w:color="auto" w:fill="auto"/>
          </w:tcPr>
          <w:p>
            <w:pPr>
              <w:spacing w:line="360" w:lineRule="auto"/>
              <w:jc w:val="both"/>
              <w:rPr>
                <w:rFonts w:ascii="Book Antiqua" w:hAnsi="Book Antiqua" w:eastAsia="Book Antiqua" w:cs="Book Antiqua"/>
                <w:color w:val="000000"/>
                <w:highlight w:val="none"/>
              </w:rPr>
            </w:pPr>
          </w:p>
        </w:tc>
      </w:tr>
      <w:tr>
        <w:tblPrEx>
          <w:tblCellMar>
            <w:top w:w="0" w:type="dxa"/>
            <w:left w:w="115" w:type="dxa"/>
            <w:bottom w:w="0" w:type="dxa"/>
            <w:right w:w="115" w:type="dxa"/>
          </w:tblCellMar>
        </w:tblPrEx>
        <w:trPr>
          <w:trHeight w:val="684"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ALT (IU/L), median (IQR)</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50.0 (35.0</w:t>
            </w:r>
            <w:r>
              <w:rPr>
                <w:rFonts w:ascii="Book Antiqua" w:hAnsi="Book Antiqua"/>
                <w:color w:val="000000"/>
                <w:highlight w:val="none"/>
              </w:rPr>
              <w:t>-</w:t>
            </w:r>
            <w:r>
              <w:rPr>
                <w:rFonts w:ascii="Book Antiqua" w:hAnsi="Book Antiqua" w:eastAsia="Book Antiqua" w:cs="Book Antiqua"/>
                <w:color w:val="000000"/>
                <w:highlight w:val="none"/>
              </w:rPr>
              <w:t>55.0)</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34.0 (28.0</w:t>
            </w:r>
            <w:r>
              <w:rPr>
                <w:rFonts w:ascii="Book Antiqua" w:hAnsi="Book Antiqua"/>
                <w:color w:val="000000"/>
                <w:highlight w:val="none"/>
              </w:rPr>
              <w:t>-</w:t>
            </w:r>
            <w:r>
              <w:rPr>
                <w:rFonts w:ascii="Book Antiqua" w:hAnsi="Book Antiqua" w:eastAsia="Book Antiqua" w:cs="Book Antiqua"/>
                <w:color w:val="000000"/>
                <w:highlight w:val="none"/>
              </w:rPr>
              <w:t>50.0)</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29.7 (23.5</w:t>
            </w:r>
            <w:r>
              <w:rPr>
                <w:rFonts w:ascii="Book Antiqua" w:hAnsi="Book Antiqua"/>
                <w:color w:val="000000"/>
                <w:highlight w:val="none"/>
              </w:rPr>
              <w:t>-</w:t>
            </w:r>
            <w:r>
              <w:rPr>
                <w:rFonts w:ascii="Book Antiqua" w:hAnsi="Book Antiqua" w:eastAsia="Book Antiqua" w:cs="Book Antiqua"/>
                <w:color w:val="000000"/>
                <w:highlight w:val="none"/>
              </w:rPr>
              <w:t>31.7)</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w:t>
            </w:r>
          </w:p>
        </w:tc>
        <w:tc>
          <w:tcPr>
            <w:tcW w:w="75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0.005;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0.003</w:t>
            </w:r>
          </w:p>
        </w:tc>
      </w:tr>
      <w:tr>
        <w:tblPrEx>
          <w:tblCellMar>
            <w:top w:w="0" w:type="dxa"/>
            <w:left w:w="115" w:type="dxa"/>
            <w:bottom w:w="0" w:type="dxa"/>
            <w:right w:w="115" w:type="dxa"/>
          </w:tblCellMar>
        </w:tblPrEx>
        <w:trPr>
          <w:trHeight w:val="654"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AST (IU/L), median (IQR)</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52.0 (39.0-70.0)</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42.0 (32.0-57.0)</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32.8 (30.0-36.0)</w:t>
            </w:r>
          </w:p>
        </w:tc>
        <w:tc>
          <w:tcPr>
            <w:tcW w:w="1167" w:type="dxa"/>
            <w:shd w:val="clear" w:color="auto" w:fill="auto"/>
          </w:tcPr>
          <w:p>
            <w:pPr>
              <w:spacing w:line="360" w:lineRule="auto"/>
              <w:jc w:val="both"/>
              <w:rPr>
                <w:rFonts w:ascii="Book Antiqua" w:hAnsi="Book Antiqua" w:eastAsia="Book Antiqua" w:cs="Book Antiqua"/>
                <w:i/>
                <w:color w:val="000000"/>
                <w:highlight w:val="none"/>
              </w:rPr>
            </w:pPr>
            <w:r>
              <w:rPr>
                <w:rFonts w:ascii="Book Antiqua" w:hAnsi="Book Antiqua" w:eastAsia="Book Antiqua" w:cs="Book Antiqua"/>
                <w:color w:val="000000"/>
                <w:highlight w:val="none"/>
              </w:rPr>
              <w:t>&lt; 0.001</w:t>
            </w:r>
          </w:p>
        </w:tc>
        <w:tc>
          <w:tcPr>
            <w:tcW w:w="751" w:type="dxa"/>
            <w:shd w:val="clear" w:color="auto" w:fill="auto"/>
          </w:tcPr>
          <w:p>
            <w:pPr>
              <w:spacing w:line="360" w:lineRule="auto"/>
              <w:jc w:val="both"/>
              <w:rPr>
                <w:rFonts w:ascii="Book Antiqua" w:hAnsi="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0.060;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w:t>
            </w:r>
          </w:p>
        </w:tc>
      </w:tr>
      <w:tr>
        <w:tblPrEx>
          <w:tblCellMar>
            <w:top w:w="0" w:type="dxa"/>
            <w:left w:w="115" w:type="dxa"/>
            <w:bottom w:w="0" w:type="dxa"/>
            <w:right w:w="115" w:type="dxa"/>
          </w:tblCellMar>
        </w:tblPrEx>
        <w:trPr>
          <w:trHeight w:val="624"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Hb (mg/dL), mean ± SD</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13.1 </w:t>
            </w:r>
            <w:r>
              <w:rPr>
                <w:rFonts w:ascii="Book Antiqua" w:hAnsi="Book Antiqua"/>
                <w:color w:val="000000"/>
                <w:highlight w:val="none"/>
              </w:rPr>
              <w:t>±</w:t>
            </w:r>
            <w:r>
              <w:rPr>
                <w:rFonts w:ascii="Book Antiqua" w:hAnsi="Book Antiqua" w:eastAsia="Book Antiqua" w:cs="Book Antiqua"/>
                <w:color w:val="000000"/>
                <w:highlight w:val="none"/>
              </w:rPr>
              <w:t xml:space="preserve"> 1.7</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12.5 </w:t>
            </w:r>
            <w:r>
              <w:rPr>
                <w:rFonts w:ascii="Book Antiqua" w:hAnsi="Book Antiqua"/>
                <w:color w:val="000000"/>
                <w:highlight w:val="none"/>
              </w:rPr>
              <w:t>±</w:t>
            </w:r>
            <w:r>
              <w:rPr>
                <w:rFonts w:ascii="Book Antiqua" w:hAnsi="Book Antiqua" w:eastAsia="Book Antiqua" w:cs="Book Antiqua"/>
                <w:color w:val="000000"/>
                <w:highlight w:val="none"/>
              </w:rPr>
              <w:t xml:space="preserve"> 1.6</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13.5 </w:t>
            </w:r>
            <w:r>
              <w:rPr>
                <w:rFonts w:ascii="Book Antiqua" w:hAnsi="Book Antiqua"/>
                <w:color w:val="000000"/>
                <w:highlight w:val="none"/>
              </w:rPr>
              <w:t>±</w:t>
            </w:r>
            <w:r>
              <w:rPr>
                <w:rFonts w:ascii="Book Antiqua" w:hAnsi="Book Antiqua" w:eastAsia="Book Antiqua" w:cs="Book Antiqua"/>
                <w:color w:val="000000"/>
                <w:highlight w:val="none"/>
              </w:rPr>
              <w:t xml:space="preserve"> 1.0</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0.025</w:t>
            </w:r>
          </w:p>
        </w:tc>
        <w:tc>
          <w:tcPr>
            <w:tcW w:w="75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0.260;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0.438;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0.019</w:t>
            </w:r>
          </w:p>
        </w:tc>
      </w:tr>
      <w:tr>
        <w:tblPrEx>
          <w:tblCellMar>
            <w:top w:w="0" w:type="dxa"/>
            <w:left w:w="115" w:type="dxa"/>
            <w:bottom w:w="0" w:type="dxa"/>
            <w:right w:w="115" w:type="dxa"/>
          </w:tblCellMar>
        </w:tblPrEx>
        <w:trPr>
          <w:trHeight w:val="1519"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Platelets, (× 10³/μL), median (IQR)</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141.0 (104.5</w:t>
            </w:r>
            <w:r>
              <w:rPr>
                <w:rFonts w:ascii="Book Antiqua" w:hAnsi="Book Antiqua"/>
                <w:color w:val="000000"/>
                <w:highlight w:val="none"/>
              </w:rPr>
              <w:t>-</w:t>
            </w:r>
            <w:r>
              <w:rPr>
                <w:rFonts w:ascii="Book Antiqua" w:hAnsi="Book Antiqua" w:eastAsia="Book Antiqua" w:cs="Book Antiqua"/>
                <w:color w:val="000000"/>
                <w:highlight w:val="none"/>
              </w:rPr>
              <w:t>193.5)</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162.0 (134.0</w:t>
            </w:r>
            <w:r>
              <w:rPr>
                <w:rFonts w:ascii="Book Antiqua" w:hAnsi="Book Antiqua"/>
                <w:color w:val="000000"/>
                <w:highlight w:val="none"/>
              </w:rPr>
              <w:t>-</w:t>
            </w:r>
            <w:r>
              <w:rPr>
                <w:rFonts w:ascii="Book Antiqua" w:hAnsi="Book Antiqua" w:eastAsia="Book Antiqua" w:cs="Book Antiqua"/>
                <w:color w:val="000000"/>
                <w:highlight w:val="none"/>
              </w:rPr>
              <w:t>213.0)</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197.5 (180.5</w:t>
            </w:r>
            <w:r>
              <w:rPr>
                <w:rFonts w:ascii="Book Antiqua" w:hAnsi="Book Antiqua"/>
                <w:color w:val="000000"/>
                <w:highlight w:val="none"/>
              </w:rPr>
              <w:t>-</w:t>
            </w:r>
            <w:r>
              <w:rPr>
                <w:rFonts w:ascii="Book Antiqua" w:hAnsi="Book Antiqua" w:eastAsia="Book Antiqua" w:cs="Book Antiqua"/>
                <w:color w:val="000000"/>
                <w:highlight w:val="none"/>
              </w:rPr>
              <w:t>246.0)</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0.002</w:t>
            </w:r>
          </w:p>
        </w:tc>
        <w:tc>
          <w:tcPr>
            <w:tcW w:w="75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0.225;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0.022</w:t>
            </w:r>
          </w:p>
        </w:tc>
      </w:tr>
      <w:tr>
        <w:tblPrEx>
          <w:tblCellMar>
            <w:top w:w="0" w:type="dxa"/>
            <w:left w:w="115" w:type="dxa"/>
            <w:bottom w:w="0" w:type="dxa"/>
            <w:right w:w="115" w:type="dxa"/>
          </w:tblCellMar>
        </w:tblPrEx>
        <w:trPr>
          <w:trHeight w:val="936"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Serum ALB (g/dL), mean ± SD</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3.6 </w:t>
            </w:r>
            <w:r>
              <w:rPr>
                <w:rFonts w:ascii="Book Antiqua" w:hAnsi="Book Antiqua"/>
                <w:color w:val="000000"/>
                <w:highlight w:val="none"/>
              </w:rPr>
              <w:t>±</w:t>
            </w:r>
            <w:r>
              <w:rPr>
                <w:rFonts w:ascii="Book Antiqua" w:hAnsi="Book Antiqua" w:eastAsia="Book Antiqua" w:cs="Book Antiqua"/>
                <w:color w:val="000000"/>
                <w:highlight w:val="none"/>
              </w:rPr>
              <w:t xml:space="preserve"> 0.7</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3.8 </w:t>
            </w:r>
            <w:r>
              <w:rPr>
                <w:rFonts w:ascii="Book Antiqua" w:hAnsi="Book Antiqua"/>
                <w:color w:val="000000"/>
                <w:highlight w:val="none"/>
              </w:rPr>
              <w:t>±</w:t>
            </w:r>
            <w:r>
              <w:rPr>
                <w:rFonts w:ascii="Book Antiqua" w:hAnsi="Book Antiqua" w:eastAsia="Book Antiqua" w:cs="Book Antiqua"/>
                <w:color w:val="000000"/>
                <w:highlight w:val="none"/>
              </w:rPr>
              <w:t xml:space="preserve"> 0.6</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4.1 </w:t>
            </w:r>
            <w:r>
              <w:rPr>
                <w:rFonts w:ascii="Book Antiqua" w:hAnsi="Book Antiqua"/>
                <w:color w:val="000000"/>
                <w:highlight w:val="none"/>
              </w:rPr>
              <w:t>±</w:t>
            </w:r>
            <w:r>
              <w:rPr>
                <w:rFonts w:ascii="Book Antiqua" w:hAnsi="Book Antiqua" w:eastAsia="Book Antiqua" w:cs="Book Antiqua"/>
                <w:color w:val="000000"/>
                <w:highlight w:val="none"/>
              </w:rPr>
              <w:t xml:space="preserve"> 0.4</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0.001</w:t>
            </w:r>
          </w:p>
        </w:tc>
        <w:tc>
          <w:tcPr>
            <w:tcW w:w="75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0.382;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0.050</w:t>
            </w:r>
          </w:p>
        </w:tc>
      </w:tr>
      <w:tr>
        <w:tblPrEx>
          <w:tblCellMar>
            <w:top w:w="0" w:type="dxa"/>
            <w:left w:w="115" w:type="dxa"/>
            <w:bottom w:w="0" w:type="dxa"/>
            <w:right w:w="115" w:type="dxa"/>
          </w:tblCellMar>
        </w:tblPrEx>
        <w:trPr>
          <w:trHeight w:val="312"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INR, mean ± SD</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 </w:t>
            </w:r>
            <w:r>
              <w:rPr>
                <w:rFonts w:ascii="Book Antiqua" w:hAnsi="Book Antiqua"/>
                <w:color w:val="000000"/>
                <w:highlight w:val="none"/>
              </w:rPr>
              <w:t>±</w:t>
            </w:r>
            <w:r>
              <w:rPr>
                <w:rFonts w:ascii="Book Antiqua" w:hAnsi="Book Antiqua" w:eastAsia="Book Antiqua" w:cs="Book Antiqua"/>
                <w:color w:val="000000"/>
                <w:highlight w:val="none"/>
              </w:rPr>
              <w:t xml:space="preserve"> 0.2</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 </w:t>
            </w:r>
            <w:r>
              <w:rPr>
                <w:rFonts w:ascii="Book Antiqua" w:hAnsi="Book Antiqua"/>
                <w:color w:val="000000"/>
                <w:highlight w:val="none"/>
              </w:rPr>
              <w:t>±</w:t>
            </w:r>
            <w:r>
              <w:rPr>
                <w:rFonts w:ascii="Book Antiqua" w:hAnsi="Book Antiqua" w:eastAsia="Book Antiqua" w:cs="Book Antiqua"/>
                <w:color w:val="000000"/>
                <w:highlight w:val="none"/>
              </w:rPr>
              <w:t xml:space="preserve"> 0.4</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0.8 </w:t>
            </w:r>
            <w:r>
              <w:rPr>
                <w:rFonts w:ascii="Book Antiqua" w:hAnsi="Book Antiqua"/>
                <w:color w:val="000000"/>
                <w:highlight w:val="none"/>
              </w:rPr>
              <w:t>±</w:t>
            </w:r>
            <w:r>
              <w:rPr>
                <w:rFonts w:ascii="Book Antiqua" w:hAnsi="Book Antiqua" w:eastAsia="Book Antiqua" w:cs="Book Antiqua"/>
                <w:color w:val="000000"/>
                <w:highlight w:val="none"/>
              </w:rPr>
              <w:t xml:space="preserve"> 0.2</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&lt; 0.001</w:t>
            </w:r>
          </w:p>
        </w:tc>
        <w:tc>
          <w:tcPr>
            <w:tcW w:w="75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0.002;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0.001</w:t>
            </w:r>
          </w:p>
        </w:tc>
      </w:tr>
      <w:tr>
        <w:tblPrEx>
          <w:tblCellMar>
            <w:top w:w="0" w:type="dxa"/>
            <w:left w:w="115" w:type="dxa"/>
            <w:bottom w:w="0" w:type="dxa"/>
            <w:right w:w="115" w:type="dxa"/>
          </w:tblCellMar>
        </w:tblPrEx>
        <w:trPr>
          <w:trHeight w:val="1248"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α-fetoprotein (ng/mL), median (IQR)</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240.0 (28.2</w:t>
            </w:r>
            <w:r>
              <w:rPr>
                <w:rFonts w:ascii="Book Antiqua" w:hAnsi="Book Antiqua"/>
                <w:color w:val="000000"/>
                <w:highlight w:val="none"/>
              </w:rPr>
              <w:t>-</w:t>
            </w:r>
            <w:r>
              <w:rPr>
                <w:rFonts w:ascii="Book Antiqua" w:hAnsi="Book Antiqua" w:eastAsia="Book Antiqua" w:cs="Book Antiqua"/>
                <w:color w:val="000000"/>
                <w:highlight w:val="none"/>
              </w:rPr>
              <w:t>635.0)</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124.0 (108.9</w:t>
            </w:r>
            <w:r>
              <w:rPr>
                <w:rFonts w:ascii="Book Antiqua" w:hAnsi="Book Antiqua"/>
                <w:color w:val="000000"/>
                <w:highlight w:val="none"/>
              </w:rPr>
              <w:t>-</w:t>
            </w:r>
            <w:r>
              <w:rPr>
                <w:rFonts w:ascii="Book Antiqua" w:hAnsi="Book Antiqua" w:eastAsia="Book Antiqua" w:cs="Book Antiqua"/>
                <w:color w:val="000000"/>
                <w:highlight w:val="none"/>
              </w:rPr>
              <w:t>166.0)</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17.4 (14.0</w:t>
            </w:r>
            <w:r>
              <w:rPr>
                <w:rFonts w:ascii="Book Antiqua" w:hAnsi="Book Antiqua"/>
                <w:color w:val="000000"/>
                <w:highlight w:val="none"/>
              </w:rPr>
              <w:t>-</w:t>
            </w:r>
            <w:r>
              <w:rPr>
                <w:rFonts w:ascii="Book Antiqua" w:hAnsi="Book Antiqua" w:eastAsia="Book Antiqua" w:cs="Book Antiqua"/>
                <w:color w:val="000000"/>
                <w:highlight w:val="none"/>
              </w:rPr>
              <w:t>24.0)</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&lt; 0.001</w:t>
            </w:r>
          </w:p>
        </w:tc>
        <w:tc>
          <w:tcPr>
            <w:tcW w:w="75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0.895;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w:t>
            </w:r>
          </w:p>
        </w:tc>
      </w:tr>
      <w:tr>
        <w:tblPrEx>
          <w:tblCellMar>
            <w:top w:w="0" w:type="dxa"/>
            <w:left w:w="115" w:type="dxa"/>
            <w:bottom w:w="0" w:type="dxa"/>
            <w:right w:w="115" w:type="dxa"/>
          </w:tblCellMar>
        </w:tblPrEx>
        <w:trPr>
          <w:trHeight w:val="1248" w:hRule="atLeast"/>
        </w:trPr>
        <w:tc>
          <w:tcPr>
            <w:tcW w:w="2554" w:type="dxa"/>
            <w:gridSpan w:val="2"/>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Endocan (pg/mL), median (IQR)</w:t>
            </w:r>
          </w:p>
        </w:tc>
        <w:tc>
          <w:tcPr>
            <w:tcW w:w="99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3450.0 (3188.5</w:t>
            </w:r>
            <w:r>
              <w:rPr>
                <w:rFonts w:ascii="Book Antiqua" w:hAnsi="Book Antiqua"/>
                <w:color w:val="000000"/>
                <w:highlight w:val="none"/>
              </w:rPr>
              <w:t>-</w:t>
            </w:r>
            <w:r>
              <w:rPr>
                <w:rFonts w:ascii="Book Antiqua" w:hAnsi="Book Antiqua" w:eastAsia="Book Antiqua" w:cs="Book Antiqua"/>
                <w:color w:val="000000"/>
                <w:highlight w:val="none"/>
              </w:rPr>
              <w:t>4135.0)</w:t>
            </w:r>
          </w:p>
        </w:tc>
        <w:tc>
          <w:tcPr>
            <w:tcW w:w="1068"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1934.0 (1450.0</w:t>
            </w:r>
            <w:r>
              <w:rPr>
                <w:rFonts w:ascii="Book Antiqua" w:hAnsi="Book Antiqua"/>
                <w:color w:val="000000"/>
                <w:highlight w:val="none"/>
              </w:rPr>
              <w:t>-</w:t>
            </w:r>
            <w:r>
              <w:rPr>
                <w:rFonts w:ascii="Book Antiqua" w:hAnsi="Book Antiqua" w:eastAsia="Book Antiqua" w:cs="Book Antiqua"/>
                <w:color w:val="000000"/>
                <w:highlight w:val="none"/>
              </w:rPr>
              <w:t>2257.0)</w:t>
            </w:r>
          </w:p>
        </w:tc>
        <w:tc>
          <w:tcPr>
            <w:tcW w:w="1031"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878.5 (850.0</w:t>
            </w:r>
            <w:r>
              <w:rPr>
                <w:rFonts w:ascii="Book Antiqua" w:hAnsi="Book Antiqua"/>
                <w:color w:val="000000"/>
                <w:highlight w:val="none"/>
              </w:rPr>
              <w:t>-</w:t>
            </w:r>
            <w:r>
              <w:rPr>
                <w:rFonts w:ascii="Book Antiqua" w:hAnsi="Book Antiqua" w:eastAsia="Book Antiqua" w:cs="Book Antiqua"/>
                <w:color w:val="000000"/>
                <w:highlight w:val="none"/>
              </w:rPr>
              <w:t>1188.0)</w:t>
            </w:r>
          </w:p>
        </w:tc>
        <w:tc>
          <w:tcPr>
            <w:tcW w:w="1167" w:type="dxa"/>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&lt; 0.001</w:t>
            </w:r>
          </w:p>
        </w:tc>
        <w:tc>
          <w:tcPr>
            <w:tcW w:w="751" w:type="dxa"/>
            <w:shd w:val="clear" w:color="auto" w:fill="auto"/>
          </w:tcPr>
          <w:p>
            <w:pPr>
              <w:spacing w:line="360" w:lineRule="auto"/>
              <w:jc w:val="both"/>
              <w:rPr>
                <w:rFonts w:ascii="Book Antiqua" w:hAnsi="Book Antiqua" w:eastAsia="Book Antiqua" w:cs="Book Antiqua"/>
                <w:color w:val="000000"/>
                <w:highlight w:val="none"/>
                <w:vertAlign w:val="superscript"/>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0.001</w:t>
            </w:r>
          </w:p>
        </w:tc>
      </w:tr>
      <w:tr>
        <w:tblPrEx>
          <w:tblCellMar>
            <w:top w:w="0" w:type="dxa"/>
            <w:left w:w="115" w:type="dxa"/>
            <w:bottom w:w="0" w:type="dxa"/>
            <w:right w:w="115" w:type="dxa"/>
          </w:tblCellMar>
        </w:tblPrEx>
        <w:trPr>
          <w:trHeight w:val="327" w:hRule="atLeast"/>
        </w:trPr>
        <w:tc>
          <w:tcPr>
            <w:tcW w:w="1841"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microRNA 9-3p, median (IQR)</w:t>
            </w:r>
          </w:p>
        </w:tc>
        <w:tc>
          <w:tcPr>
            <w:tcW w:w="713"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p>
        </w:tc>
        <w:tc>
          <w:tcPr>
            <w:tcW w:w="998"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0.03 (0.02</w:t>
            </w:r>
            <w:r>
              <w:rPr>
                <w:rFonts w:ascii="Book Antiqua" w:hAnsi="Book Antiqua"/>
                <w:color w:val="000000"/>
                <w:highlight w:val="none"/>
              </w:rPr>
              <w:t>-</w:t>
            </w:r>
            <w:r>
              <w:rPr>
                <w:rFonts w:ascii="Book Antiqua" w:hAnsi="Book Antiqua" w:eastAsia="Book Antiqua" w:cs="Book Antiqua"/>
                <w:color w:val="000000"/>
                <w:highlight w:val="none"/>
              </w:rPr>
              <w:t>0.05)</w:t>
            </w:r>
          </w:p>
        </w:tc>
        <w:tc>
          <w:tcPr>
            <w:tcW w:w="1068"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0.42 (0.29</w:t>
            </w:r>
            <w:r>
              <w:rPr>
                <w:rFonts w:ascii="Book Antiqua" w:hAnsi="Book Antiqua"/>
                <w:color w:val="000000"/>
                <w:highlight w:val="none"/>
              </w:rPr>
              <w:t>-</w:t>
            </w:r>
            <w:r>
              <w:rPr>
                <w:rFonts w:ascii="Book Antiqua" w:hAnsi="Book Antiqua" w:eastAsia="Book Antiqua" w:cs="Book Antiqua"/>
                <w:color w:val="000000"/>
                <w:highlight w:val="none"/>
              </w:rPr>
              <w:t>1.35)</w:t>
            </w:r>
          </w:p>
        </w:tc>
        <w:tc>
          <w:tcPr>
            <w:tcW w:w="1031"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1.70 (1.40</w:t>
            </w:r>
            <w:r>
              <w:rPr>
                <w:rFonts w:ascii="Book Antiqua" w:hAnsi="Book Antiqua"/>
                <w:color w:val="000000"/>
                <w:highlight w:val="none"/>
              </w:rPr>
              <w:t>-</w:t>
            </w:r>
            <w:r>
              <w:rPr>
                <w:rFonts w:ascii="Book Antiqua" w:hAnsi="Book Antiqua" w:eastAsia="Book Antiqua" w:cs="Book Antiqua"/>
                <w:color w:val="000000"/>
                <w:highlight w:val="none"/>
              </w:rPr>
              <w:t>2.15)</w:t>
            </w:r>
          </w:p>
        </w:tc>
        <w:tc>
          <w:tcPr>
            <w:tcW w:w="1167"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&lt; 0.001</w:t>
            </w:r>
          </w:p>
        </w:tc>
        <w:tc>
          <w:tcPr>
            <w:tcW w:w="751" w:type="dxa"/>
            <w:tcBorders>
              <w:bottom w:val="single" w:color="000000" w:sz="4" w:space="0"/>
            </w:tcBorders>
            <w:shd w:val="clear" w:color="auto" w:fill="auto"/>
          </w:tcPr>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vertAlign w:val="superscript"/>
              </w:rPr>
              <w:t>a</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b</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 </w:t>
            </w:r>
            <w:r>
              <w:rPr>
                <w:rFonts w:ascii="Book Antiqua" w:hAnsi="Book Antiqua" w:eastAsia="Book Antiqua" w:cs="Book Antiqua"/>
                <w:color w:val="000000"/>
                <w:highlight w:val="none"/>
                <w:vertAlign w:val="superscript"/>
              </w:rPr>
              <w:t>c</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w:t>
            </w:r>
          </w:p>
        </w:tc>
      </w:tr>
    </w:tbl>
    <w:p>
      <w:pPr>
        <w:spacing w:line="360" w:lineRule="auto"/>
        <w:jc w:val="both"/>
        <w:rPr>
          <w:rFonts w:ascii="Book Antiqua" w:hAnsi="Book Antiqua" w:eastAsia="Book Antiqua" w:cs="Book Antiqua"/>
          <w:highlight w:val="none"/>
          <w:vertAlign w:val="superscript"/>
        </w:rPr>
      </w:pPr>
      <w:r>
        <w:rPr>
          <w:rFonts w:ascii="Book Antiqua" w:hAnsi="Book Antiqua" w:eastAsia="Book Antiqua" w:cs="Book Antiqua"/>
          <w:highlight w:val="none"/>
          <w:vertAlign w:val="superscript"/>
        </w:rPr>
        <w:t>a</w:t>
      </w:r>
      <w:r>
        <w:rPr>
          <w:rFonts w:ascii="Book Antiqua" w:hAnsi="Book Antiqua" w:eastAsia="Book Antiqua" w:cs="Book Antiqua"/>
          <w:i/>
          <w:highlight w:val="none"/>
        </w:rPr>
        <w:t>P</w:t>
      </w:r>
      <w:r>
        <w:rPr>
          <w:rFonts w:ascii="Book Antiqua" w:hAnsi="Book Antiqua" w:eastAsia="Book Antiqua" w:cs="Book Antiqua"/>
          <w:highlight w:val="none"/>
        </w:rPr>
        <w:t xml:space="preserve">: </w:t>
      </w:r>
      <w:r>
        <w:rPr>
          <w:rFonts w:ascii="Book Antiqua" w:hAnsi="Book Antiqua" w:eastAsia="Book Antiqua" w:cs="Book Antiqua"/>
          <w:i/>
          <w:highlight w:val="none"/>
        </w:rPr>
        <w:t>P</w:t>
      </w:r>
      <w:r>
        <w:rPr>
          <w:rFonts w:ascii="Book Antiqua" w:hAnsi="Book Antiqua" w:eastAsia="Book Antiqua" w:cs="Book Antiqua"/>
          <w:highlight w:val="none"/>
        </w:rPr>
        <w:t xml:space="preserve"> value for comparing between HCC and </w:t>
      </w:r>
      <w:r>
        <w:rPr>
          <w:rFonts w:ascii="Book Antiqua" w:hAnsi="Book Antiqua" w:eastAsia="Book Antiqua" w:cs="Book Antiqua"/>
          <w:color w:val="000000"/>
          <w:highlight w:val="none"/>
        </w:rPr>
        <w:t>chronic liver disease</w:t>
      </w:r>
      <w:r>
        <w:rPr>
          <w:rFonts w:ascii="Book Antiqua" w:hAnsi="Book Antiqua" w:eastAsia="Book Antiqua" w:cs="Book Antiqua"/>
          <w:highlight w:val="none"/>
        </w:rPr>
        <w:t>.</w:t>
      </w:r>
    </w:p>
    <w:p>
      <w:pPr>
        <w:spacing w:line="360" w:lineRule="auto"/>
        <w:jc w:val="both"/>
        <w:rPr>
          <w:rFonts w:ascii="Book Antiqua" w:hAnsi="Book Antiqua" w:eastAsia="Book Antiqua" w:cs="Book Antiqua"/>
          <w:highlight w:val="none"/>
          <w:vertAlign w:val="superscript"/>
        </w:rPr>
      </w:pPr>
      <w:r>
        <w:rPr>
          <w:rFonts w:ascii="Book Antiqua" w:hAnsi="Book Antiqua" w:eastAsia="Book Antiqua" w:cs="Book Antiqua"/>
          <w:highlight w:val="none"/>
          <w:vertAlign w:val="superscript"/>
        </w:rPr>
        <w:t>b</w:t>
      </w:r>
      <w:r>
        <w:rPr>
          <w:rFonts w:ascii="Book Antiqua" w:hAnsi="Book Antiqua" w:eastAsia="Book Antiqua" w:cs="Book Antiqua"/>
          <w:i/>
          <w:highlight w:val="none"/>
        </w:rPr>
        <w:t>P</w:t>
      </w:r>
      <w:r>
        <w:rPr>
          <w:rFonts w:ascii="Book Antiqua" w:hAnsi="Book Antiqua" w:eastAsia="Book Antiqua" w:cs="Book Antiqua"/>
          <w:highlight w:val="none"/>
        </w:rPr>
        <w:t xml:space="preserve">: </w:t>
      </w:r>
      <w:r>
        <w:rPr>
          <w:rFonts w:ascii="Book Antiqua" w:hAnsi="Book Antiqua" w:eastAsia="Book Antiqua" w:cs="Book Antiqua"/>
          <w:i/>
          <w:highlight w:val="none"/>
        </w:rPr>
        <w:t>P</w:t>
      </w:r>
      <w:r>
        <w:rPr>
          <w:rFonts w:ascii="Book Antiqua" w:hAnsi="Book Antiqua" w:eastAsia="Book Antiqua" w:cs="Book Antiqua"/>
          <w:highlight w:val="none"/>
        </w:rPr>
        <w:t xml:space="preserve"> value for comparing between HCC and control.</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vertAlign w:val="superscript"/>
        </w:rPr>
        <w:t>c</w:t>
      </w:r>
      <w:r>
        <w:rPr>
          <w:rFonts w:ascii="Book Antiqua" w:hAnsi="Book Antiqua" w:eastAsia="Book Antiqua" w:cs="Book Antiqua"/>
          <w:i/>
          <w:highlight w:val="none"/>
        </w:rPr>
        <w:t>P</w:t>
      </w:r>
      <w:r>
        <w:rPr>
          <w:rFonts w:ascii="Book Antiqua" w:hAnsi="Book Antiqua" w:eastAsia="Book Antiqua" w:cs="Book Antiqua"/>
          <w:highlight w:val="none"/>
        </w:rPr>
        <w:t xml:space="preserve">: </w:t>
      </w:r>
      <w:r>
        <w:rPr>
          <w:rFonts w:ascii="Book Antiqua" w:hAnsi="Book Antiqua" w:eastAsia="Book Antiqua" w:cs="Book Antiqua"/>
          <w:i/>
          <w:highlight w:val="none"/>
        </w:rPr>
        <w:t>P</w:t>
      </w:r>
      <w:r>
        <w:rPr>
          <w:rFonts w:ascii="Book Antiqua" w:hAnsi="Book Antiqua" w:eastAsia="Book Antiqua" w:cs="Book Antiqua"/>
          <w:highlight w:val="none"/>
        </w:rPr>
        <w:t xml:space="preserve"> value for comparing between </w:t>
      </w:r>
      <w:r>
        <w:rPr>
          <w:rFonts w:ascii="Book Antiqua" w:hAnsi="Book Antiqua" w:eastAsia="Book Antiqua" w:cs="Book Antiqua"/>
          <w:color w:val="000000"/>
          <w:highlight w:val="none"/>
        </w:rPr>
        <w:t>chronic liver disease</w:t>
      </w:r>
      <w:r>
        <w:rPr>
          <w:rFonts w:ascii="Book Antiqua" w:hAnsi="Book Antiqua" w:eastAsia="Book Antiqua" w:cs="Book Antiqua"/>
          <w:highlight w:val="none"/>
        </w:rPr>
        <w:t xml:space="preserve"> and control. Statistically significant at </w:t>
      </w:r>
      <w:r>
        <w:rPr>
          <w:rFonts w:ascii="Book Antiqua" w:hAnsi="Book Antiqua" w:eastAsia="Book Antiqua" w:cs="Book Antiqua"/>
          <w:i/>
          <w:highlight w:val="none"/>
        </w:rPr>
        <w:t>P</w:t>
      </w:r>
      <w:r>
        <w:rPr>
          <w:rFonts w:ascii="Book Antiqua" w:hAnsi="Book Antiqua" w:eastAsia="Book Antiqua" w:cs="Book Antiqua"/>
          <w:highlight w:val="none"/>
        </w:rPr>
        <w:t xml:space="preserve"> ≤ 0.05. SD: Standard deviation; AST: Aspartate aminotransferase; ALT: Alanine aminotransferase; Hb: Hemoglobin; ALB: Albumin; INR: International normalized ratio; HCC: Hepatocellular carcinoma; NS: Not significant; IQR: Interquartile range. </w:t>
      </w:r>
    </w:p>
    <w:p>
      <w:pPr>
        <w:spacing w:line="360" w:lineRule="auto"/>
        <w:jc w:val="both"/>
        <w:rPr>
          <w:rFonts w:ascii="Book Antiqua" w:hAnsi="Book Antiqua" w:eastAsia="Book Antiqua" w:cs="Book Antiqua"/>
          <w:b/>
          <w:highlight w:val="none"/>
        </w:rPr>
      </w:pPr>
      <w:r>
        <w:rPr>
          <w:rFonts w:ascii="Book Antiqua" w:hAnsi="Book Antiqua"/>
          <w:highlight w:val="none"/>
        </w:rPr>
        <w:br w:type="page"/>
      </w:r>
      <w:r>
        <w:rPr>
          <w:rFonts w:ascii="Book Antiqua" w:hAnsi="Book Antiqua" w:eastAsia="Book Antiqua" w:cs="Book Antiqua"/>
          <w:b/>
          <w:highlight w:val="none"/>
        </w:rPr>
        <w:t xml:space="preserve">Table 2 Clinical characteristics of tumors in the hepatocellular carcinoma group, </w:t>
      </w:r>
      <w:r>
        <w:rPr>
          <w:rFonts w:ascii="Book Antiqua" w:hAnsi="Book Antiqua" w:eastAsia="Book Antiqua" w:cs="Book Antiqua"/>
          <w:b/>
          <w:i/>
          <w:highlight w:val="none"/>
        </w:rPr>
        <w:t>n</w:t>
      </w:r>
      <w:r>
        <w:rPr>
          <w:rFonts w:ascii="Book Antiqua" w:hAnsi="Book Antiqua" w:eastAsia="Book Antiqua" w:cs="Book Antiqua"/>
          <w:b/>
          <w:highlight w:val="none"/>
        </w:rPr>
        <w:t xml:space="preserve"> = 35</w:t>
      </w:r>
    </w:p>
    <w:tbl>
      <w:tblPr>
        <w:tblStyle w:val="16"/>
        <w:tblW w:w="6265"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7"/>
        <w:gridCol w:w="2848"/>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Borders>
              <w:top w:val="single" w:color="auto" w:sz="4" w:space="0"/>
              <w:bottom w:val="single" w:color="000000" w:sz="4" w:space="0"/>
            </w:tcBorders>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Number of the focal lesions</w:t>
            </w:r>
          </w:p>
        </w:tc>
        <w:tc>
          <w:tcPr>
            <w:tcW w:w="2848" w:type="dxa"/>
            <w:tcBorders>
              <w:top w:val="single" w:color="auto" w:sz="4" w:space="0"/>
              <w:bottom w:val="single" w:color="000000" w:sz="4" w:space="0"/>
            </w:tcBorders>
          </w:tcPr>
          <w:p>
            <w:pPr>
              <w:spacing w:line="360" w:lineRule="auto"/>
              <w:jc w:val="both"/>
              <w:rPr>
                <w:rFonts w:ascii="Book Antiqua" w:hAnsi="Book Antiqua" w:eastAsia="Book Antiqua" w:cs="Book Antiqua"/>
                <w:b/>
                <w:highlight w:val="none"/>
              </w:rPr>
            </w:pPr>
            <w:r>
              <w:rPr>
                <w:rFonts w:ascii="Book Antiqua" w:hAnsi="Book Antiqua" w:eastAsia="Book Antiqua" w:cs="Book Antiqua"/>
                <w:b/>
                <w:i/>
                <w:highlight w:val="none"/>
              </w:rPr>
              <w:t xml:space="preserve"> n</w:t>
            </w:r>
            <w:r>
              <w:rPr>
                <w:rFonts w:ascii="Book Antiqua" w:hAnsi="Book Antiqua" w:eastAsia="Book Antiqua" w:cs="Book Antiqua"/>
                <w:b/>
                <w:highlight w:val="none"/>
              </w:rPr>
              <w:t xml:space="preserve">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Borders>
              <w:top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Single</w:t>
            </w:r>
          </w:p>
        </w:tc>
        <w:tc>
          <w:tcPr>
            <w:tcW w:w="2848" w:type="dxa"/>
            <w:tcBorders>
              <w:top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16 (45.7)</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Borders>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Multiple</w:t>
            </w:r>
          </w:p>
        </w:tc>
        <w:tc>
          <w:tcPr>
            <w:tcW w:w="2848" w:type="dxa"/>
            <w:tcBorders>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19 (54.3)</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Tumor size in cm</w:t>
            </w:r>
          </w:p>
        </w:tc>
        <w:tc>
          <w:tcPr>
            <w:tcW w:w="2848" w:type="dxa"/>
            <w:tcBorders>
              <w:top w:val="nil"/>
              <w:bottom w:val="nil"/>
            </w:tcBorders>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Small &lt; 3</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7 (20.0)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Medium 3-5</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15 (42.9)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Large &gt; 5</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13 (37.1)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Location of the focal lesions</w:t>
            </w:r>
          </w:p>
        </w:tc>
        <w:tc>
          <w:tcPr>
            <w:tcW w:w="2848" w:type="dxa"/>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Rt. Lobe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19 (54.3)</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Lt. Lobe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8 (22.9)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Both</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7 (20.0)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Caudate lobe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 (2.9)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BCLC stage</w:t>
            </w:r>
          </w:p>
        </w:tc>
        <w:tc>
          <w:tcPr>
            <w:tcW w:w="2848" w:type="dxa"/>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A</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4 (11.4)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18 (51.4)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13 (37.1)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Vascular invasion</w:t>
            </w:r>
          </w:p>
        </w:tc>
        <w:tc>
          <w:tcPr>
            <w:tcW w:w="2848" w:type="dxa"/>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Negative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25 (71.4)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Positive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10 (28.6)</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LN metastasis</w:t>
            </w:r>
          </w:p>
        </w:tc>
        <w:tc>
          <w:tcPr>
            <w:tcW w:w="2848" w:type="dxa"/>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Negative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28 (80.0)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Positive</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7 (20.0)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Ascites</w:t>
            </w:r>
          </w:p>
        </w:tc>
        <w:tc>
          <w:tcPr>
            <w:tcW w:w="2848" w:type="dxa"/>
          </w:tcPr>
          <w:p>
            <w:pPr>
              <w:bidi/>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No</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25 (73.5)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Mild</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8 (23.5)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3417" w:type="dxa"/>
            <w:tcBorders>
              <w:bottom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Moderate</w:t>
            </w:r>
          </w:p>
        </w:tc>
        <w:tc>
          <w:tcPr>
            <w:tcW w:w="2848" w:type="dxa"/>
            <w:tcBorders>
              <w:bottom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1 (2.9) </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3417" w:type="dxa"/>
            <w:tcBorders>
              <w:top w:val="single" w:color="auto" w:sz="4" w:space="0"/>
              <w:bottom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Child Pugh class</w:t>
            </w: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A</w:t>
            </w:r>
          </w:p>
        </w:tc>
        <w:tc>
          <w:tcPr>
            <w:tcW w:w="2848" w:type="dxa"/>
            <w:tcBorders>
              <w:top w:val="single" w:color="auto" w:sz="4" w:space="0"/>
              <w:bottom w:val="single" w:color="auto" w:sz="4" w:space="0"/>
            </w:tcBorders>
          </w:tcPr>
          <w:p>
            <w:pPr>
              <w:spacing w:line="360" w:lineRule="auto"/>
              <w:jc w:val="both"/>
              <w:rPr>
                <w:rFonts w:ascii="Book Antiqua" w:hAnsi="Book Antiqua" w:eastAsia="Book Antiqua" w:cs="Book Antiqua"/>
                <w:highlight w:val="none"/>
              </w:rPr>
            </w:pPr>
          </w:p>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22 (62.9)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417" w:type="dxa"/>
            <w:tcBorders>
              <w:top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w:t>
            </w:r>
          </w:p>
        </w:tc>
        <w:tc>
          <w:tcPr>
            <w:tcW w:w="2848" w:type="dxa"/>
            <w:tcBorders>
              <w:top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13 (37.1)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 (0)</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Distant metastasis</w:t>
            </w:r>
          </w:p>
        </w:tc>
        <w:tc>
          <w:tcPr>
            <w:tcW w:w="2848" w:type="dxa"/>
          </w:tcPr>
          <w:p>
            <w:pPr>
              <w:bidi/>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3417"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No</w:t>
            </w:r>
          </w:p>
        </w:tc>
        <w:tc>
          <w:tcPr>
            <w:tcW w:w="2848" w:type="dxa"/>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23 (65.7)</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3417" w:type="dxa"/>
            <w:tcBorders>
              <w:bottom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Yes</w:t>
            </w:r>
          </w:p>
        </w:tc>
        <w:tc>
          <w:tcPr>
            <w:tcW w:w="2848" w:type="dxa"/>
            <w:tcBorders>
              <w:bottom w:val="single" w:color="auto" w:sz="4" w:space="0"/>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12 (34.3)</w:t>
            </w:r>
          </w:p>
        </w:tc>
      </w:tr>
    </w:tbl>
    <w:p>
      <w:pPr>
        <w:spacing w:line="360" w:lineRule="auto"/>
        <w:jc w:val="both"/>
        <w:rPr>
          <w:rFonts w:ascii="Book Antiqua" w:hAnsi="Book Antiqua" w:eastAsia="Book Antiqua" w:cs="Book Antiqua"/>
          <w:b/>
          <w:highlight w:val="none"/>
        </w:rPr>
      </w:pPr>
      <w:r>
        <w:rPr>
          <w:rFonts w:ascii="Book Antiqua" w:hAnsi="Book Antiqua" w:eastAsia="Book Antiqua" w:cs="Book Antiqua"/>
          <w:highlight w:val="none"/>
        </w:rPr>
        <w:t>Rt.: Right; Lt.: Left; BCLC: Barcelona Clinic Liver Cancer; LN: Lymph node.</w:t>
      </w:r>
    </w:p>
    <w:p>
      <w:pPr>
        <w:spacing w:line="360" w:lineRule="auto"/>
        <w:jc w:val="both"/>
        <w:rPr>
          <w:rFonts w:ascii="Book Antiqua" w:hAnsi="Book Antiqua" w:eastAsia="Book Antiqua" w:cs="Book Antiqua"/>
          <w:b/>
          <w:highlight w:val="none"/>
        </w:rPr>
      </w:pPr>
      <w:r>
        <w:rPr>
          <w:rFonts w:ascii="Book Antiqua" w:hAnsi="Book Antiqua"/>
          <w:highlight w:val="none"/>
        </w:rPr>
        <w:br w:type="page"/>
      </w:r>
      <w:r>
        <w:rPr>
          <w:rFonts w:ascii="Book Antiqua" w:hAnsi="Book Antiqua" w:eastAsia="Book Antiqua" w:cs="Book Antiqua"/>
          <w:b/>
          <w:highlight w:val="none"/>
        </w:rPr>
        <w:t>Table 3 Correlations between microRNA 9-3p levels and clinical data in hepatocellular carcinoma group</w:t>
      </w:r>
    </w:p>
    <w:tbl>
      <w:tblPr>
        <w:tblStyle w:val="17"/>
        <w:tblW w:w="9248"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920"/>
        <w:gridCol w:w="648"/>
        <w:gridCol w:w="1530"/>
        <w:gridCol w:w="2851"/>
        <w:gridCol w:w="129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single" w:color="auto" w:sz="4" w:space="0"/>
              <w:bottom w:val="nil"/>
            </w:tcBorders>
            <w:vAlign w:val="center"/>
          </w:tcPr>
          <w:p>
            <w:pPr>
              <w:spacing w:line="360" w:lineRule="auto"/>
              <w:jc w:val="both"/>
              <w:rPr>
                <w:rFonts w:ascii="Book Antiqua" w:hAnsi="Book Antiqua" w:eastAsia="Book Antiqua" w:cs="Book Antiqua"/>
                <w:b/>
                <w:highlight w:val="none"/>
              </w:rPr>
            </w:pPr>
          </w:p>
        </w:tc>
        <w:tc>
          <w:tcPr>
            <w:tcW w:w="648" w:type="dxa"/>
            <w:vMerge w:val="restart"/>
            <w:tcBorders>
              <w:top w:val="single" w:color="auto" w:sz="4" w:space="0"/>
            </w:tcBorders>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i/>
                <w:highlight w:val="none"/>
              </w:rPr>
              <w:t>n</w:t>
            </w:r>
          </w:p>
        </w:tc>
        <w:tc>
          <w:tcPr>
            <w:tcW w:w="5680" w:type="dxa"/>
            <w:gridSpan w:val="3"/>
            <w:tcBorders>
              <w:top w:val="single" w:color="auto" w:sz="4" w:space="0"/>
              <w:bottom w:val="single" w:color="000000" w:sz="4" w:space="0"/>
            </w:tcBorders>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microRNA 9-3p</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1" w:hRule="atLeast"/>
        </w:trPr>
        <w:tc>
          <w:tcPr>
            <w:tcW w:w="2920" w:type="dxa"/>
            <w:tcBorders>
              <w:top w:val="nil"/>
              <w:bottom w:val="single" w:color="000000" w:sz="4" w:space="0"/>
            </w:tcBorders>
            <w:vAlign w:val="center"/>
          </w:tcPr>
          <w:p>
            <w:pPr>
              <w:spacing w:line="360" w:lineRule="auto"/>
              <w:jc w:val="both"/>
              <w:rPr>
                <w:rFonts w:ascii="Book Antiqua" w:hAnsi="Book Antiqua" w:eastAsia="Book Antiqua" w:cs="Book Antiqua"/>
                <w:b/>
                <w:highlight w:val="none"/>
              </w:rPr>
            </w:pPr>
          </w:p>
        </w:tc>
        <w:tc>
          <w:tcPr>
            <w:tcW w:w="648"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b/>
                <w:highlight w:val="none"/>
              </w:rPr>
            </w:pPr>
          </w:p>
        </w:tc>
        <w:tc>
          <w:tcPr>
            <w:tcW w:w="4381" w:type="dxa"/>
            <w:gridSpan w:val="2"/>
            <w:tcBorders>
              <w:bottom w:val="single" w:color="000000" w:sz="4" w:space="0"/>
            </w:tcBorders>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Median (IQR)</w:t>
            </w:r>
          </w:p>
        </w:tc>
        <w:tc>
          <w:tcPr>
            <w:tcW w:w="1299" w:type="dxa"/>
            <w:tcBorders>
              <w:bottom w:val="single" w:color="000000" w:sz="4" w:space="0"/>
            </w:tcBorders>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i/>
                <w:highlight w:val="none"/>
              </w:rPr>
              <w:t>P</w:t>
            </w:r>
            <w:r>
              <w:rPr>
                <w:rFonts w:ascii="Book Antiqua" w:hAnsi="Book Antiqua" w:eastAsia="Book Antiqua" w:cs="Book Antiqua"/>
                <w:b/>
                <w:highlight w:val="none"/>
              </w:rPr>
              <w:t xml:space="preserve"> value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single" w:color="000000" w:sz="4" w:space="0"/>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Vascular invasion</w:t>
            </w:r>
          </w:p>
        </w:tc>
        <w:tc>
          <w:tcPr>
            <w:tcW w:w="648" w:type="dxa"/>
            <w:tcBorders>
              <w:top w:val="single" w:color="000000" w:sz="4" w:space="0"/>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single" w:color="000000" w:sz="4" w:space="0"/>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single" w:color="000000" w:sz="4" w:space="0"/>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single" w:color="000000" w:sz="4" w:space="0"/>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Negative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25</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(0.02-0.26)</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0.002</w:t>
            </w:r>
            <w:r>
              <w:rPr>
                <w:rFonts w:ascii="Book Antiqua" w:hAnsi="Book Antiqua" w:eastAsia="Book Antiqua" w:cs="Book Antiqua"/>
                <w:highlight w:val="none"/>
              </w:rPr>
              <w:br w:type="textWrapping"/>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bottom w:val="nil"/>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Positive</w:t>
            </w:r>
          </w:p>
        </w:tc>
        <w:tc>
          <w:tcPr>
            <w:tcW w:w="648" w:type="dxa"/>
            <w:tcBorders>
              <w:bottom w:val="nil"/>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10</w:t>
            </w:r>
          </w:p>
        </w:tc>
        <w:tc>
          <w:tcPr>
            <w:tcW w:w="4381" w:type="dxa"/>
            <w:gridSpan w:val="2"/>
            <w:tcBorders>
              <w:bottom w:val="nil"/>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0.02 (0.02-0.02)</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LN metastasis</w:t>
            </w:r>
          </w:p>
        </w:tc>
        <w:tc>
          <w:tcPr>
            <w:tcW w:w="648"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nil"/>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Negative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28</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(0.02-0.17)</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0.072</w:t>
            </w:r>
            <w:r>
              <w:rPr>
                <w:rFonts w:ascii="Book Antiqua" w:hAnsi="Book Antiqua" w:eastAsia="Book Antiqua" w:cs="Book Antiqua"/>
                <w:highlight w:val="none"/>
              </w:rPr>
              <w:br w:type="textWrapping"/>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Positive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7</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0.02 (0.02-0.03)</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Distant metastasis</w:t>
            </w:r>
          </w:p>
        </w:tc>
        <w:tc>
          <w:tcPr>
            <w:tcW w:w="648"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nil"/>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No</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23</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(0.03-0.26)</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 &lt; 0.001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Yes</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12</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0.02 (0.02-0.02)</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9" w:hRule="atLeast"/>
        </w:trPr>
        <w:tc>
          <w:tcPr>
            <w:tcW w:w="2920"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Child Pugh class</w:t>
            </w:r>
          </w:p>
        </w:tc>
        <w:tc>
          <w:tcPr>
            <w:tcW w:w="648"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nil"/>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A</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22</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0.03 (0.02-0.04)</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 0.389</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13</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(0.02-0.26)</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Tumor number</w:t>
            </w:r>
          </w:p>
        </w:tc>
        <w:tc>
          <w:tcPr>
            <w:tcW w:w="648"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nil"/>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Single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16</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0.03 (0.02-0.17)</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 0.935</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Multiple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19</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0.03 (0.02-0.05)</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Tumor size in cm</w:t>
            </w:r>
          </w:p>
        </w:tc>
        <w:tc>
          <w:tcPr>
            <w:tcW w:w="648"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4381" w:type="dxa"/>
            <w:gridSpan w:val="2"/>
            <w:tcBorders>
              <w:top w:val="nil"/>
            </w:tcBorders>
            <w:vAlign w:val="center"/>
          </w:tcPr>
          <w:p>
            <w:pPr>
              <w:spacing w:line="360" w:lineRule="auto"/>
              <w:jc w:val="both"/>
              <w:rPr>
                <w:rFonts w:ascii="Book Antiqua" w:hAnsi="Book Antiqua" w:eastAsia="Book Antiqua" w:cs="Book Antiqua"/>
                <w:highlight w:val="none"/>
              </w:rPr>
            </w:pPr>
          </w:p>
        </w:tc>
        <w:tc>
          <w:tcPr>
            <w:tcW w:w="1299" w:type="dxa"/>
            <w:tcBorders>
              <w:top w:val="nil"/>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Small &lt; 3</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7</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0.03 (0.02-0.15)</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 xml:space="preserve"> 0.852</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Medium 3-5</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15</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0.03 (0.02-0.06)</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Large &gt; 5</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13</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(0.02-0.04)</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nil"/>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Tumor site</w:t>
            </w:r>
          </w:p>
        </w:tc>
        <w:tc>
          <w:tcPr>
            <w:tcW w:w="648"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nil"/>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nil"/>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Rt lobe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19</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(0.02-0.06)</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0.432</w:t>
            </w:r>
            <w:r>
              <w:rPr>
                <w:rFonts w:ascii="Book Antiqua" w:hAnsi="Book Antiqua" w:eastAsia="Book Antiqua" w:cs="Book Antiqua"/>
                <w:highlight w:val="none"/>
              </w:rPr>
              <w:br w:type="textWrapping"/>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79"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Lt lobe</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8</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(0.03-0.15)</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Both</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7</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0.02 (0.02-0.04)</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bottom w:val="single" w:color="auto" w:sz="4" w:space="0"/>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Caudate lobe</w:t>
            </w:r>
          </w:p>
        </w:tc>
        <w:tc>
          <w:tcPr>
            <w:tcW w:w="648" w:type="dxa"/>
            <w:tcBorders>
              <w:bottom w:val="single" w:color="auto" w:sz="4" w:space="0"/>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w:t>
            </w:r>
          </w:p>
        </w:tc>
        <w:tc>
          <w:tcPr>
            <w:tcW w:w="1530" w:type="dxa"/>
            <w:tcBorders>
              <w:bottom w:val="single" w:color="auto" w:sz="4" w:space="0"/>
            </w:tcBorders>
            <w:vAlign w:val="center"/>
          </w:tcPr>
          <w:p>
            <w:pPr>
              <w:spacing w:line="360" w:lineRule="auto"/>
              <w:jc w:val="both"/>
              <w:rPr>
                <w:rFonts w:ascii="Book Antiqua" w:hAnsi="Book Antiqua" w:eastAsia="Book Antiqua" w:cs="Book Antiqua"/>
                <w:highlight w:val="none"/>
              </w:rPr>
            </w:pPr>
          </w:p>
        </w:tc>
        <w:tc>
          <w:tcPr>
            <w:tcW w:w="2851" w:type="dxa"/>
            <w:tcBorders>
              <w:bottom w:val="single" w:color="auto" w:sz="4" w:space="0"/>
            </w:tcBorders>
            <w:vAlign w:val="center"/>
          </w:tcPr>
          <w:p>
            <w:pPr>
              <w:spacing w:line="360" w:lineRule="auto"/>
              <w:jc w:val="both"/>
              <w:rPr>
                <w:rFonts w:ascii="Book Antiqua" w:hAnsi="Book Antiqua" w:eastAsia="Book Antiqua" w:cs="Book Antiqua"/>
                <w:highlight w:val="none"/>
              </w:rPr>
            </w:pPr>
          </w:p>
        </w:tc>
        <w:tc>
          <w:tcPr>
            <w:tcW w:w="1299" w:type="dxa"/>
            <w:vMerge w:val="continue"/>
            <w:tcBorders>
              <w:bottom w:val="single" w:color="auto"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top w:val="single" w:color="auto" w:sz="4" w:space="0"/>
              <w:bottom w:val="nil"/>
            </w:tcBorders>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BCLC stage</w:t>
            </w:r>
          </w:p>
        </w:tc>
        <w:tc>
          <w:tcPr>
            <w:tcW w:w="648" w:type="dxa"/>
            <w:tcBorders>
              <w:top w:val="single" w:color="auto" w:sz="4" w:space="0"/>
              <w:bottom w:val="nil"/>
            </w:tcBorders>
            <w:vAlign w:val="center"/>
          </w:tcPr>
          <w:p>
            <w:pPr>
              <w:spacing w:line="360" w:lineRule="auto"/>
              <w:jc w:val="both"/>
              <w:rPr>
                <w:rFonts w:ascii="Book Antiqua" w:hAnsi="Book Antiqua" w:eastAsia="Book Antiqua" w:cs="Book Antiqua"/>
                <w:highlight w:val="none"/>
              </w:rPr>
            </w:pPr>
          </w:p>
        </w:tc>
        <w:tc>
          <w:tcPr>
            <w:tcW w:w="1530" w:type="dxa"/>
            <w:tcBorders>
              <w:top w:val="single" w:color="auto" w:sz="4" w:space="0"/>
              <w:bottom w:val="nil"/>
            </w:tcBorders>
            <w:vAlign w:val="center"/>
          </w:tcPr>
          <w:p>
            <w:pPr>
              <w:spacing w:line="360" w:lineRule="auto"/>
              <w:jc w:val="both"/>
              <w:rPr>
                <w:rFonts w:ascii="Book Antiqua" w:hAnsi="Book Antiqua" w:eastAsia="Book Antiqua" w:cs="Book Antiqua"/>
                <w:highlight w:val="none"/>
              </w:rPr>
            </w:pPr>
          </w:p>
        </w:tc>
        <w:tc>
          <w:tcPr>
            <w:tcW w:w="2851" w:type="dxa"/>
            <w:tcBorders>
              <w:top w:val="single" w:color="auto" w:sz="4" w:space="0"/>
              <w:bottom w:val="nil"/>
            </w:tcBorders>
            <w:vAlign w:val="center"/>
          </w:tcPr>
          <w:p>
            <w:pPr>
              <w:spacing w:line="360" w:lineRule="auto"/>
              <w:jc w:val="both"/>
              <w:rPr>
                <w:rFonts w:ascii="Book Antiqua" w:hAnsi="Book Antiqua" w:eastAsia="Book Antiqua" w:cs="Book Antiqua"/>
                <w:highlight w:val="none"/>
              </w:rPr>
            </w:pPr>
          </w:p>
        </w:tc>
        <w:tc>
          <w:tcPr>
            <w:tcW w:w="1299" w:type="dxa"/>
            <w:tcBorders>
              <w:top w:val="single" w:color="auto" w:sz="4" w:space="0"/>
              <w:bottom w:val="nil"/>
            </w:tcBorders>
            <w:vAlign w:val="center"/>
          </w:tcPr>
          <w:p>
            <w:pPr>
              <w:spacing w:line="360" w:lineRule="auto"/>
              <w:jc w:val="both"/>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A</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4</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0.26 (0.17-0.26)</w:t>
            </w:r>
          </w:p>
        </w:tc>
        <w:tc>
          <w:tcPr>
            <w:tcW w:w="1299" w:type="dxa"/>
            <w:vMerge w:val="restart"/>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&lt; 0.001</w:t>
            </w:r>
            <w:r>
              <w:rPr>
                <w:rFonts w:ascii="Book Antiqua" w:hAnsi="Book Antiqua" w:eastAsia="Book Antiqua" w:cs="Book Antiqua"/>
                <w:highlight w:val="none"/>
              </w:rPr>
              <w:br w:type="textWrapping"/>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B</w:t>
            </w:r>
          </w:p>
        </w:tc>
        <w:tc>
          <w:tcPr>
            <w:tcW w:w="648" w:type="dxa"/>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18</w:t>
            </w:r>
          </w:p>
        </w:tc>
        <w:tc>
          <w:tcPr>
            <w:tcW w:w="4381" w:type="dxa"/>
            <w:gridSpan w:val="2"/>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 (0.03-0.05)</w:t>
            </w:r>
          </w:p>
        </w:tc>
        <w:tc>
          <w:tcPr>
            <w:tcW w:w="1299"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28" w:type="dxa"/>
            <w:bottom w:w="0" w:type="dxa"/>
            <w:right w:w="28" w:type="dxa"/>
          </w:tblCellMar>
        </w:tblPrEx>
        <w:trPr>
          <w:trHeight w:val="264" w:hRule="atLeast"/>
        </w:trPr>
        <w:tc>
          <w:tcPr>
            <w:tcW w:w="2920" w:type="dxa"/>
            <w:tcBorders>
              <w:bottom w:val="single" w:color="auto" w:sz="4" w:space="0"/>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C</w:t>
            </w:r>
          </w:p>
        </w:tc>
        <w:tc>
          <w:tcPr>
            <w:tcW w:w="648" w:type="dxa"/>
            <w:tcBorders>
              <w:bottom w:val="single" w:color="auto" w:sz="4" w:space="0"/>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13</w:t>
            </w:r>
          </w:p>
        </w:tc>
        <w:tc>
          <w:tcPr>
            <w:tcW w:w="4381" w:type="dxa"/>
            <w:gridSpan w:val="2"/>
            <w:tcBorders>
              <w:bottom w:val="single" w:color="auto" w:sz="4" w:space="0"/>
            </w:tcBorders>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0.02 (0.02-0.02)</w:t>
            </w:r>
          </w:p>
        </w:tc>
        <w:tc>
          <w:tcPr>
            <w:tcW w:w="1299" w:type="dxa"/>
            <w:vMerge w:val="continue"/>
            <w:tcBorders>
              <w:bottom w:val="single" w:color="auto" w:sz="4" w:space="0"/>
            </w:tcBorders>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highlight w:val="none"/>
              </w:rPr>
            </w:pPr>
          </w:p>
        </w:tc>
      </w:tr>
    </w:tbl>
    <w:p>
      <w:pPr>
        <w:spacing w:line="360" w:lineRule="auto"/>
        <w:jc w:val="both"/>
        <w:rPr>
          <w:rFonts w:ascii="Book Antiqua" w:hAnsi="Book Antiqua" w:eastAsia="Book Antiqua" w:cs="Book Antiqua"/>
          <w:b/>
          <w:highlight w:val="none"/>
        </w:rPr>
      </w:pPr>
      <w:r>
        <w:rPr>
          <w:rFonts w:ascii="Book Antiqua" w:hAnsi="Book Antiqua" w:eastAsia="Book Antiqua" w:cs="Book Antiqua"/>
          <w:highlight w:val="none"/>
        </w:rPr>
        <w:t>Rt.: Right; Lt.: Left; BCLC: Barcelona Clinic Liver Cancer; IQR: Interquartile range; LN: Lymph node.</w:t>
      </w:r>
    </w:p>
    <w:p>
      <w:pPr>
        <w:spacing w:line="360" w:lineRule="auto"/>
        <w:jc w:val="both"/>
        <w:rPr>
          <w:rFonts w:ascii="Book Antiqua" w:hAnsi="Book Antiqua" w:eastAsia="Book Antiqua" w:cs="Book Antiqua"/>
          <w:b/>
          <w:highlight w:val="none"/>
        </w:rPr>
      </w:pPr>
      <w:r>
        <w:rPr>
          <w:rFonts w:ascii="Book Antiqua" w:hAnsi="Book Antiqua"/>
          <w:highlight w:val="none"/>
        </w:rPr>
        <w:br w:type="page"/>
      </w:r>
      <w:r>
        <w:rPr>
          <w:rFonts w:ascii="Book Antiqua" w:hAnsi="Book Antiqua" w:eastAsia="Book Antiqua" w:cs="Book Antiqua"/>
          <w:b/>
          <w:highlight w:val="none"/>
        </w:rPr>
        <w:t>Table 4 Univariate and multivariate regression analyses for the parameters affecting metastasis in hepatocellular carcinoma group</w:t>
      </w:r>
    </w:p>
    <w:tbl>
      <w:tblPr>
        <w:tblStyle w:val="18"/>
        <w:tblW w:w="9838"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51" w:type="dxa"/>
          <w:bottom w:w="0" w:type="dxa"/>
          <w:right w:w="51" w:type="dxa"/>
        </w:tblCellMar>
      </w:tblPr>
      <w:tblGrid>
        <w:gridCol w:w="2835"/>
        <w:gridCol w:w="1134"/>
        <w:gridCol w:w="2466"/>
        <w:gridCol w:w="1134"/>
        <w:gridCol w:w="226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51" w:type="dxa"/>
            <w:bottom w:w="0" w:type="dxa"/>
            <w:right w:w="51" w:type="dxa"/>
          </w:tblCellMar>
        </w:tblPrEx>
        <w:tc>
          <w:tcPr>
            <w:tcW w:w="2835" w:type="dxa"/>
            <w:vMerge w:val="restart"/>
            <w:tcBorders>
              <w:top w:val="single" w:color="auto" w:sz="4" w:space="0"/>
              <w:bottom w:val="single" w:color="auto" w:sz="6" w:space="0"/>
            </w:tcBorders>
            <w:shd w:val="clear" w:color="auto" w:fill="auto"/>
            <w:vAlign w:val="center"/>
          </w:tcPr>
          <w:p>
            <w:pPr>
              <w:spacing w:line="360" w:lineRule="auto"/>
              <w:jc w:val="both"/>
              <w:rPr>
                <w:rFonts w:ascii="Book Antiqua" w:hAnsi="Book Antiqua" w:eastAsia="Book Antiqua" w:cs="Book Antiqua"/>
                <w:highlight w:val="none"/>
              </w:rPr>
            </w:pPr>
          </w:p>
        </w:tc>
        <w:tc>
          <w:tcPr>
            <w:tcW w:w="3600" w:type="dxa"/>
            <w:gridSpan w:val="2"/>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Univariate</w:t>
            </w:r>
          </w:p>
        </w:tc>
        <w:tc>
          <w:tcPr>
            <w:tcW w:w="3403" w:type="dxa"/>
            <w:gridSpan w:val="2"/>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Multivariate</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51" w:type="dxa"/>
            <w:bottom w:w="0" w:type="dxa"/>
            <w:right w:w="51" w:type="dxa"/>
          </w:tblCellMar>
        </w:tblPrEx>
        <w:tc>
          <w:tcPr>
            <w:tcW w:w="2835" w:type="dxa"/>
            <w:vMerge w:val="continue"/>
            <w:tcBorders>
              <w:bottom w:val="single" w:color="auto" w:sz="6" w:space="0"/>
            </w:tcBorders>
            <w:shd w:val="clear" w:color="auto" w:fill="auto"/>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rPr>
                <w:rFonts w:ascii="Book Antiqua" w:hAnsi="Book Antiqua" w:eastAsia="Book Antiqua" w:cs="Book Antiqua"/>
                <w:b/>
                <w:highlight w:val="none"/>
              </w:rPr>
            </w:pPr>
          </w:p>
        </w:tc>
        <w:tc>
          <w:tcPr>
            <w:tcW w:w="1134" w:type="dxa"/>
            <w:tcBorders>
              <w:top w:val="single" w:color="auto" w:sz="4" w:space="0"/>
              <w:bottom w:val="single" w:color="000000" w:sz="4" w:space="0"/>
            </w:tcBorders>
            <w:shd w:val="clear" w:color="auto" w:fill="auto"/>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i/>
                <w:highlight w:val="none"/>
              </w:rPr>
              <w:t>P</w:t>
            </w:r>
            <w:r>
              <w:rPr>
                <w:rFonts w:ascii="Book Antiqua" w:hAnsi="Book Antiqua" w:eastAsia="Book Antiqua" w:cs="Book Antiqua"/>
                <w:b/>
                <w:highlight w:val="none"/>
              </w:rPr>
              <w:t xml:space="preserve"> value</w:t>
            </w:r>
          </w:p>
        </w:tc>
        <w:tc>
          <w:tcPr>
            <w:tcW w:w="2466" w:type="dxa"/>
            <w:tcBorders>
              <w:top w:val="single" w:color="auto" w:sz="4" w:space="0"/>
              <w:bottom w:val="single" w:color="000000" w:sz="4" w:space="0"/>
            </w:tcBorders>
            <w:shd w:val="clear" w:color="auto" w:fill="auto"/>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OR (95%CI)</w:t>
            </w:r>
          </w:p>
        </w:tc>
        <w:tc>
          <w:tcPr>
            <w:tcW w:w="1134" w:type="dxa"/>
            <w:tcBorders>
              <w:top w:val="single" w:color="auto" w:sz="4" w:space="0"/>
              <w:bottom w:val="single" w:color="000000" w:sz="4" w:space="0"/>
            </w:tcBorders>
            <w:shd w:val="clear" w:color="auto" w:fill="auto"/>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i/>
                <w:highlight w:val="none"/>
              </w:rPr>
              <w:t>P</w:t>
            </w:r>
            <w:r>
              <w:rPr>
                <w:rFonts w:ascii="Book Antiqua" w:hAnsi="Book Antiqua" w:eastAsia="Book Antiqua" w:cs="Book Antiqua"/>
                <w:b/>
                <w:highlight w:val="none"/>
              </w:rPr>
              <w:t xml:space="preserve"> value</w:t>
            </w:r>
          </w:p>
        </w:tc>
        <w:tc>
          <w:tcPr>
            <w:tcW w:w="2269" w:type="dxa"/>
            <w:tcBorders>
              <w:top w:val="single" w:color="auto" w:sz="4" w:space="0"/>
              <w:bottom w:val="single" w:color="000000" w:sz="4" w:space="0"/>
            </w:tcBorders>
            <w:shd w:val="clear" w:color="auto" w:fill="auto"/>
            <w:vAlign w:val="center"/>
          </w:tcPr>
          <w:p>
            <w:pPr>
              <w:spacing w:line="360" w:lineRule="auto"/>
              <w:jc w:val="both"/>
              <w:rPr>
                <w:rFonts w:ascii="Book Antiqua" w:hAnsi="Book Antiqua" w:eastAsia="Book Antiqua" w:cs="Book Antiqua"/>
                <w:b/>
                <w:highlight w:val="none"/>
              </w:rPr>
            </w:pPr>
            <w:r>
              <w:rPr>
                <w:rFonts w:ascii="Book Antiqua" w:hAnsi="Book Antiqua" w:eastAsia="Book Antiqua" w:cs="Book Antiqua"/>
                <w:b/>
                <w:highlight w:val="none"/>
              </w:rPr>
              <w:t>OR (95%CI)</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51" w:type="dxa"/>
            <w:bottom w:w="0" w:type="dxa"/>
            <w:right w:w="51" w:type="dxa"/>
          </w:tblCellMar>
        </w:tblPrEx>
        <w:tc>
          <w:tcPr>
            <w:tcW w:w="2835" w:type="dxa"/>
            <w:tcBorders>
              <w:top w:val="single" w:color="auto" w:sz="6" w:space="0"/>
            </w:tcBorders>
            <w:shd w:val="clear" w:color="auto" w:fill="auto"/>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microRNA 9-3p</w:t>
            </w:r>
          </w:p>
        </w:tc>
        <w:tc>
          <w:tcPr>
            <w:tcW w:w="1134" w:type="dxa"/>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0.008</w:t>
            </w:r>
          </w:p>
        </w:tc>
        <w:tc>
          <w:tcPr>
            <w:tcW w:w="2466" w:type="dxa"/>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0.193 (0.057-0.653)</w:t>
            </w:r>
          </w:p>
        </w:tc>
        <w:tc>
          <w:tcPr>
            <w:tcW w:w="1134" w:type="dxa"/>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0.041</w:t>
            </w:r>
          </w:p>
        </w:tc>
        <w:tc>
          <w:tcPr>
            <w:tcW w:w="2269" w:type="dxa"/>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0.291 (0.089-0.951)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51" w:type="dxa"/>
            <w:bottom w:w="0" w:type="dxa"/>
            <w:right w:w="51" w:type="dxa"/>
          </w:tblCellMar>
        </w:tblPrEx>
        <w:tc>
          <w:tcPr>
            <w:tcW w:w="2835" w:type="dxa"/>
            <w:tcBorders>
              <w:bottom w:val="single" w:color="auto" w:sz="4" w:space="0"/>
            </w:tcBorders>
            <w:shd w:val="clear" w:color="auto" w:fill="auto"/>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Endocan</w:t>
            </w:r>
          </w:p>
        </w:tc>
        <w:tc>
          <w:tcPr>
            <w:tcW w:w="1134" w:type="dxa"/>
            <w:tcBorders>
              <w:bottom w:val="single" w:color="auto" w:sz="4" w:space="0"/>
            </w:tcBorders>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0.023</w:t>
            </w:r>
          </w:p>
        </w:tc>
        <w:tc>
          <w:tcPr>
            <w:tcW w:w="2466" w:type="dxa"/>
            <w:tcBorders>
              <w:bottom w:val="single" w:color="auto" w:sz="4" w:space="0"/>
            </w:tcBorders>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1.002 (1.000-1.003)</w:t>
            </w:r>
          </w:p>
        </w:tc>
        <w:tc>
          <w:tcPr>
            <w:tcW w:w="1134" w:type="dxa"/>
            <w:tcBorders>
              <w:bottom w:val="single" w:color="auto" w:sz="4" w:space="0"/>
            </w:tcBorders>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0.358</w:t>
            </w:r>
          </w:p>
        </w:tc>
        <w:tc>
          <w:tcPr>
            <w:tcW w:w="2269" w:type="dxa"/>
            <w:tcBorders>
              <w:bottom w:val="single" w:color="auto" w:sz="4" w:space="0"/>
            </w:tcBorders>
            <w:shd w:val="clear" w:color="auto" w:fill="auto"/>
            <w:vAlign w:val="center"/>
          </w:tcPr>
          <w:p>
            <w:pPr>
              <w:spacing w:line="360" w:lineRule="auto"/>
              <w:jc w:val="both"/>
              <w:rPr>
                <w:rFonts w:ascii="Book Antiqua" w:hAnsi="Book Antiqua" w:eastAsia="Book Antiqua" w:cs="Book Antiqua"/>
                <w:highlight w:val="none"/>
              </w:rPr>
            </w:pPr>
            <w:r>
              <w:rPr>
                <w:rFonts w:ascii="Book Antiqua" w:hAnsi="Book Antiqua" w:eastAsia="Book Antiqua" w:cs="Book Antiqua"/>
                <w:highlight w:val="none"/>
              </w:rPr>
              <w:t>1.001 (0.999-1.002)</w:t>
            </w:r>
          </w:p>
        </w:tc>
      </w:tr>
    </w:tbl>
    <w:p>
      <w:pPr>
        <w:spacing w:line="360" w:lineRule="auto"/>
        <w:jc w:val="both"/>
        <w:rPr>
          <w:rFonts w:ascii="Book Antiqua" w:hAnsi="Book Antiqua" w:eastAsia="Book Antiqua" w:cs="Book Antiqua"/>
          <w:color w:val="231F20"/>
          <w:highlight w:val="none"/>
        </w:rPr>
      </w:pPr>
      <w:r>
        <w:rPr>
          <w:rFonts w:ascii="Book Antiqua" w:hAnsi="Book Antiqua" w:eastAsia="Book Antiqua" w:cs="Book Antiqua"/>
          <w:highlight w:val="none"/>
        </w:rPr>
        <w:t xml:space="preserve">Statistically significant at </w:t>
      </w:r>
      <w:r>
        <w:rPr>
          <w:rFonts w:ascii="Book Antiqua" w:hAnsi="Book Antiqua" w:eastAsia="Book Antiqua" w:cs="Book Antiqua"/>
          <w:i/>
          <w:highlight w:val="none"/>
        </w:rPr>
        <w:t>P</w:t>
      </w:r>
      <w:r>
        <w:rPr>
          <w:rFonts w:ascii="Book Antiqua" w:hAnsi="Book Antiqua" w:eastAsia="Book Antiqua" w:cs="Book Antiqua"/>
          <w:highlight w:val="none"/>
        </w:rPr>
        <w:t xml:space="preserve"> ≤ 0.05. OR: Odds ratio; CI: Confidence interval.</w:t>
      </w:r>
    </w:p>
    <w:p>
      <w:pPr>
        <w:spacing w:line="360" w:lineRule="auto"/>
        <w:jc w:val="both"/>
        <w:rPr>
          <w:rFonts w:ascii="Book Antiqua" w:hAnsi="Book Antiqua" w:eastAsia="Book Antiqua" w:cs="Book Antiqua"/>
          <w:highlight w:val="none"/>
        </w:rPr>
        <w:sectPr>
          <w:pgSz w:w="12240" w:h="15840"/>
          <w:pgMar w:top="1440" w:right="1440" w:bottom="1440" w:left="1440" w:header="720" w:footer="720" w:gutter="0"/>
          <w:cols w:space="720" w:num="1"/>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right"/>
      <w:rPr>
        <w:rFonts w:ascii="Book Antiqua" w:hAnsi="Book Antiqua" w:eastAsia="Book Antiqua" w:cs="Book Antiqua"/>
        <w:color w:val="000000"/>
      </w:rPr>
    </w:pP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PAGE</w:instrText>
    </w:r>
    <w:r>
      <w:rPr>
        <w:rFonts w:ascii="Book Antiqua" w:hAnsi="Book Antiqua" w:eastAsia="Book Antiqua" w:cs="Book Antiqua"/>
        <w:color w:val="000000"/>
      </w:rPr>
      <w:fldChar w:fldCharType="separate"/>
    </w:r>
    <w:r>
      <w:rPr>
        <w:rFonts w:ascii="Book Antiqua" w:hAnsi="Book Antiqua" w:eastAsia="Book Antiqua" w:cs="Book Antiqua"/>
        <w:color w:val="000000"/>
      </w:rPr>
      <w:t>1</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 </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NUMPAGES</w:instrText>
    </w:r>
    <w:r>
      <w:rPr>
        <w:rFonts w:ascii="Book Antiqua" w:hAnsi="Book Antiqua" w:eastAsia="Book Antiqua" w:cs="Book Antiqua"/>
        <w:color w:val="000000"/>
      </w:rPr>
      <w:fldChar w:fldCharType="separate"/>
    </w:r>
    <w:r>
      <w:rPr>
        <w:rFonts w:ascii="Book Antiqua" w:hAnsi="Book Antiqua" w:eastAsia="Book Antiqua" w:cs="Book Antiqua"/>
        <w:color w:val="000000"/>
      </w:rPr>
      <w:t>2</w:t>
    </w:r>
    <w:r>
      <w:rPr>
        <w:rFonts w:ascii="Book Antiqua" w:hAnsi="Book Antiqua" w:eastAsia="Book Antiqua" w:cs="Book Antiqua"/>
        <w:color w:val="00000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F"/>
    <w:rsid w:val="00076F5C"/>
    <w:rsid w:val="000B1C11"/>
    <w:rsid w:val="001C65A9"/>
    <w:rsid w:val="001E5E40"/>
    <w:rsid w:val="00203887"/>
    <w:rsid w:val="00206843"/>
    <w:rsid w:val="002E7371"/>
    <w:rsid w:val="0032451D"/>
    <w:rsid w:val="003775B4"/>
    <w:rsid w:val="004919DF"/>
    <w:rsid w:val="004E296F"/>
    <w:rsid w:val="00526EEF"/>
    <w:rsid w:val="00593210"/>
    <w:rsid w:val="00664EC2"/>
    <w:rsid w:val="006A3DBA"/>
    <w:rsid w:val="006A65AA"/>
    <w:rsid w:val="006B2678"/>
    <w:rsid w:val="00703776"/>
    <w:rsid w:val="0076169A"/>
    <w:rsid w:val="007E5A2D"/>
    <w:rsid w:val="007F038C"/>
    <w:rsid w:val="00870DD9"/>
    <w:rsid w:val="00914A79"/>
    <w:rsid w:val="00921F9F"/>
    <w:rsid w:val="009838D4"/>
    <w:rsid w:val="00A33593"/>
    <w:rsid w:val="00A65E2A"/>
    <w:rsid w:val="00A95189"/>
    <w:rsid w:val="00B01972"/>
    <w:rsid w:val="00BD6AF7"/>
    <w:rsid w:val="00C4797D"/>
    <w:rsid w:val="00C709AA"/>
    <w:rsid w:val="00CC4508"/>
    <w:rsid w:val="00E4636C"/>
    <w:rsid w:val="00E61615"/>
    <w:rsid w:val="00F019C4"/>
    <w:rsid w:val="00FC58B7"/>
    <w:rsid w:val="00FF62A3"/>
    <w:rsid w:val="136B3C00"/>
    <w:rsid w:val="17862359"/>
    <w:rsid w:val="248D7729"/>
    <w:rsid w:val="297D00F2"/>
    <w:rsid w:val="3B7342FB"/>
    <w:rsid w:val="494F613E"/>
    <w:rsid w:val="651D45D3"/>
    <w:rsid w:val="6E6C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0"/>
    <w:unhideWhenUsed/>
    <w:qFormat/>
    <w:uiPriority w:val="99"/>
    <w:pPr>
      <w:tabs>
        <w:tab w:val="center" w:pos="4680"/>
        <w:tab w:val="right" w:pos="9360"/>
      </w:tabs>
    </w:pPr>
  </w:style>
  <w:style w:type="paragraph" w:styleId="9">
    <w:name w:val="header"/>
    <w:basedOn w:val="1"/>
    <w:link w:val="19"/>
    <w:unhideWhenUsed/>
    <w:qFormat/>
    <w:uiPriority w:val="99"/>
    <w:pPr>
      <w:tabs>
        <w:tab w:val="center" w:pos="4680"/>
        <w:tab w:val="right" w:pos="9360"/>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character" w:styleId="14">
    <w:name w:val="Hyperlink"/>
    <w:basedOn w:val="13"/>
    <w:unhideWhenUsed/>
    <w:qFormat/>
    <w:uiPriority w:val="99"/>
    <w:rPr>
      <w:color w:val="0000FF"/>
      <w:u w:val="single"/>
    </w:rPr>
  </w:style>
  <w:style w:type="table" w:customStyle="1" w:styleId="15">
    <w:name w:val="_Style 11"/>
    <w:basedOn w:val="12"/>
    <w:qFormat/>
    <w:uiPriority w:val="0"/>
    <w:tblPr>
      <w:tblCellMar>
        <w:left w:w="115" w:type="dxa"/>
        <w:right w:w="115" w:type="dxa"/>
      </w:tblCellMar>
    </w:tblPr>
  </w:style>
  <w:style w:type="table" w:customStyle="1" w:styleId="16">
    <w:name w:val="_Style 12"/>
    <w:basedOn w:val="12"/>
    <w:qFormat/>
    <w:uiPriority w:val="0"/>
    <w:rPr>
      <w:rFonts w:ascii="Calibri" w:hAnsi="Calibri" w:eastAsia="Calibri" w:cs="Calibri"/>
    </w:rPr>
  </w:style>
  <w:style w:type="table" w:customStyle="1" w:styleId="17">
    <w:name w:val="_Style 13"/>
    <w:basedOn w:val="12"/>
    <w:uiPriority w:val="0"/>
    <w:rPr>
      <w:rFonts w:ascii="Calibri" w:hAnsi="Calibri" w:eastAsia="Calibri" w:cs="Calibri"/>
    </w:rPr>
    <w:tblPr>
      <w:tblCellMar>
        <w:left w:w="28" w:type="dxa"/>
        <w:right w:w="28" w:type="dxa"/>
      </w:tblCellMar>
    </w:tblPr>
  </w:style>
  <w:style w:type="table" w:customStyle="1" w:styleId="18">
    <w:name w:val="_Style 14"/>
    <w:basedOn w:val="12"/>
    <w:qFormat/>
    <w:uiPriority w:val="0"/>
    <w:rPr>
      <w:rFonts w:ascii="Calibri" w:hAnsi="Calibri" w:eastAsia="Calibri" w:cs="Calibri"/>
    </w:rPr>
    <w:tblPr>
      <w:tblCellMar>
        <w:left w:w="51" w:type="dxa"/>
        <w:right w:w="51" w:type="dxa"/>
      </w:tblCellMar>
    </w:tblPr>
  </w:style>
  <w:style w:type="character" w:customStyle="1" w:styleId="19">
    <w:name w:val="页眉 字符"/>
    <w:basedOn w:val="13"/>
    <w:link w:val="9"/>
    <w:qFormat/>
    <w:uiPriority w:val="99"/>
  </w:style>
  <w:style w:type="character" w:customStyle="1" w:styleId="20">
    <w:name w:val="页脚 字符"/>
    <w:basedOn w:val="13"/>
    <w:link w:val="8"/>
    <w:qFormat/>
    <w:uiPriority w:val="99"/>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6339</Words>
  <Characters>36133</Characters>
  <Lines>301</Lines>
  <Paragraphs>84</Paragraphs>
  <TotalTime>0</TotalTime>
  <ScaleCrop>false</ScaleCrop>
  <LinksUpToDate>false</LinksUpToDate>
  <CharactersWithSpaces>42388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2021-09-09T00:51:00Z</dcterms:created>
  <dcterms:modified xsi:type="dcterms:W3CDTF">2021-11-24T02:34:22Z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D22301B9DCC344358BC2791CDD0D8A82</vt:lpwstr>
  </property>
</Properties>
</file>