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482C38"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 xml:space="preserve">Name of Journal: </w:t>
      </w:r>
      <w:r w:rsidRPr="00D41996">
        <w:rPr>
          <w:rFonts w:ascii="Book Antiqua" w:eastAsia="Book Antiqua" w:hAnsi="Book Antiqua" w:cs="Book Antiqua"/>
          <w:i/>
          <w:color w:val="000000"/>
        </w:rPr>
        <w:t>World Journal of Clinical Cases</w:t>
      </w:r>
    </w:p>
    <w:p w14:paraId="70D52BB8"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 xml:space="preserve">Manuscript NO: </w:t>
      </w:r>
      <w:r w:rsidRPr="00D41996">
        <w:rPr>
          <w:rFonts w:ascii="Book Antiqua" w:eastAsia="Book Antiqua" w:hAnsi="Book Antiqua" w:cs="Book Antiqua"/>
          <w:color w:val="000000"/>
        </w:rPr>
        <w:t>67188</w:t>
      </w:r>
    </w:p>
    <w:p w14:paraId="3CFB27B5"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 xml:space="preserve">Manuscript Type: </w:t>
      </w:r>
      <w:r w:rsidRPr="00D41996">
        <w:rPr>
          <w:rFonts w:ascii="Book Antiqua" w:eastAsia="Book Antiqua" w:hAnsi="Book Antiqua" w:cs="Book Antiqua"/>
          <w:color w:val="000000"/>
        </w:rPr>
        <w:t>CASE REPORT</w:t>
      </w:r>
    </w:p>
    <w:p w14:paraId="0A2F19F5" w14:textId="77777777" w:rsidR="00A77B3E" w:rsidRPr="00D41996" w:rsidRDefault="00A77B3E" w:rsidP="00D41996">
      <w:pPr>
        <w:snapToGrid w:val="0"/>
        <w:spacing w:line="360" w:lineRule="auto"/>
        <w:jc w:val="both"/>
        <w:rPr>
          <w:rFonts w:ascii="Book Antiqua" w:hAnsi="Book Antiqua"/>
        </w:rPr>
      </w:pPr>
    </w:p>
    <w:p w14:paraId="4C037F41" w14:textId="6AC211C0" w:rsidR="00A77B3E" w:rsidRPr="00D41996" w:rsidRDefault="00B51EDC" w:rsidP="00D41996">
      <w:pPr>
        <w:snapToGrid w:val="0"/>
        <w:spacing w:line="360" w:lineRule="auto"/>
        <w:jc w:val="both"/>
        <w:rPr>
          <w:rFonts w:ascii="Book Antiqua" w:hAnsi="Book Antiqua"/>
        </w:rPr>
      </w:pPr>
      <w:bookmarkStart w:id="0" w:name="OLE_LINK1"/>
      <w:bookmarkStart w:id="1" w:name="OLE_LINK2"/>
      <w:bookmarkStart w:id="2" w:name="OLE_LINK9"/>
      <w:bookmarkStart w:id="3" w:name="OLE_LINK10"/>
      <w:r w:rsidRPr="00D41996">
        <w:rPr>
          <w:rFonts w:ascii="Book Antiqua" w:eastAsia="Book Antiqua" w:hAnsi="Book Antiqua" w:cs="Book Antiqua"/>
          <w:b/>
          <w:bCs/>
          <w:color w:val="000000"/>
        </w:rPr>
        <w:t xml:space="preserve">Diffuse large B cell lymphoma originating from the maxillary sinus with skin metastases: </w:t>
      </w:r>
      <w:r w:rsidR="001B01C9" w:rsidRPr="00D41996">
        <w:rPr>
          <w:rFonts w:ascii="Book Antiqua" w:eastAsia="Book Antiqua" w:hAnsi="Book Antiqua" w:cs="Book Antiqua"/>
          <w:b/>
          <w:bCs/>
          <w:color w:val="000000"/>
        </w:rPr>
        <w:t xml:space="preserve">A case </w:t>
      </w:r>
      <w:r w:rsidRPr="00D41996">
        <w:rPr>
          <w:rFonts w:ascii="Book Antiqua" w:eastAsia="Book Antiqua" w:hAnsi="Book Antiqua" w:cs="Book Antiqua"/>
          <w:b/>
          <w:bCs/>
          <w:color w:val="000000"/>
        </w:rPr>
        <w:t>report and review of literature</w:t>
      </w:r>
    </w:p>
    <w:bookmarkEnd w:id="0"/>
    <w:bookmarkEnd w:id="1"/>
    <w:p w14:paraId="3D35C3BE" w14:textId="77777777" w:rsidR="00A77B3E" w:rsidRPr="00D41996" w:rsidRDefault="00A77B3E" w:rsidP="00D41996">
      <w:pPr>
        <w:snapToGrid w:val="0"/>
        <w:spacing w:line="360" w:lineRule="auto"/>
        <w:jc w:val="both"/>
        <w:rPr>
          <w:rFonts w:ascii="Book Antiqua" w:hAnsi="Book Antiqua"/>
        </w:rPr>
      </w:pPr>
    </w:p>
    <w:bookmarkEnd w:id="2"/>
    <w:bookmarkEnd w:id="3"/>
    <w:p w14:paraId="52A335C6"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Usuda D </w:t>
      </w:r>
      <w:r w:rsidRPr="00D41996">
        <w:rPr>
          <w:rFonts w:ascii="Book Antiqua" w:eastAsia="Book Antiqua" w:hAnsi="Book Antiqua" w:cs="Book Antiqua"/>
          <w:i/>
          <w:iCs/>
          <w:color w:val="000000"/>
        </w:rPr>
        <w:t>et al</w:t>
      </w:r>
      <w:r w:rsidRPr="00D41996">
        <w:rPr>
          <w:rFonts w:ascii="Book Antiqua" w:eastAsia="Book Antiqua" w:hAnsi="Book Antiqua" w:cs="Book Antiqua"/>
          <w:color w:val="000000"/>
        </w:rPr>
        <w:t xml:space="preserve">. </w:t>
      </w:r>
      <w:bookmarkStart w:id="4" w:name="OLE_LINK11"/>
      <w:bookmarkStart w:id="5" w:name="OLE_LINK12"/>
      <w:r w:rsidRPr="00D41996">
        <w:rPr>
          <w:rFonts w:ascii="Book Antiqua" w:eastAsia="Book Antiqua" w:hAnsi="Book Antiqua" w:cs="Book Antiqua"/>
          <w:color w:val="000000"/>
        </w:rPr>
        <w:t>Maxillary sinus diffuse large B cell lymphoma skin metastasis</w:t>
      </w:r>
      <w:bookmarkEnd w:id="4"/>
      <w:bookmarkEnd w:id="5"/>
    </w:p>
    <w:p w14:paraId="5A52E065" w14:textId="77777777" w:rsidR="00A77B3E" w:rsidRPr="00D41996" w:rsidRDefault="00A77B3E" w:rsidP="00D41996">
      <w:pPr>
        <w:snapToGrid w:val="0"/>
        <w:spacing w:line="360" w:lineRule="auto"/>
        <w:jc w:val="both"/>
        <w:rPr>
          <w:rFonts w:ascii="Book Antiqua" w:hAnsi="Book Antiqua"/>
        </w:rPr>
      </w:pPr>
    </w:p>
    <w:p w14:paraId="38775902"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Daisuke Usuda, Toshihide Izumida, Nao Terada, Ryusho Sangen, Toshihiro Higashikawa, Sayumi Sekiguchi, Risa Tanaka, Makoto Suzuki, Yuta Hotchi, Shintaro Shimozawa, Shungo Tokunaga, Ippei Osugi, Risa Katou, Sakurako Ito, Suguru Asako, Yoshie Takagi, Kentaro Mishima, Akihiko Kondo, Keiko Mizuno, Hiroki Takami, Takayuki Komatsu, Jiro Oba, Tomohisa Nomura, Manabu Sugita, Yuji Kasamaki</w:t>
      </w:r>
    </w:p>
    <w:p w14:paraId="559E8528" w14:textId="77777777" w:rsidR="00A77B3E" w:rsidRPr="00D41996" w:rsidRDefault="00A77B3E" w:rsidP="00D41996">
      <w:pPr>
        <w:snapToGrid w:val="0"/>
        <w:spacing w:line="360" w:lineRule="auto"/>
        <w:jc w:val="both"/>
        <w:rPr>
          <w:rFonts w:ascii="Book Antiqua" w:hAnsi="Book Antiqua"/>
        </w:rPr>
      </w:pPr>
    </w:p>
    <w:p w14:paraId="3D672ACB" w14:textId="42BBABC1"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Daisuke Usuda, Toshihide Izumida, Nao Terada, Ryusho Sangen, Yuji Kasamaki, </w:t>
      </w:r>
      <w:bookmarkStart w:id="6" w:name="OLE_LINK5"/>
      <w:bookmarkStart w:id="7" w:name="OLE_LINK6"/>
      <w:r w:rsidR="00587111" w:rsidRPr="00587111">
        <w:rPr>
          <w:rFonts w:ascii="Book Antiqua" w:eastAsia="Book Antiqua" w:hAnsi="Book Antiqua" w:cs="Book Antiqua"/>
          <w:bCs/>
          <w:color w:val="000000"/>
        </w:rPr>
        <w:t xml:space="preserve">Department of </w:t>
      </w:r>
      <w:r w:rsidRPr="00D41996">
        <w:rPr>
          <w:rFonts w:ascii="Book Antiqua" w:eastAsia="Book Antiqua" w:hAnsi="Book Antiqua" w:cs="Book Antiqua"/>
          <w:color w:val="000000"/>
        </w:rPr>
        <w:t>General Medicine</w:t>
      </w:r>
      <w:bookmarkEnd w:id="6"/>
      <w:bookmarkEnd w:id="7"/>
      <w:r w:rsidRPr="00D41996">
        <w:rPr>
          <w:rFonts w:ascii="Book Antiqua" w:eastAsia="Book Antiqua" w:hAnsi="Book Antiqua" w:cs="Book Antiqua"/>
          <w:color w:val="000000"/>
        </w:rPr>
        <w:t xml:space="preserve">, </w:t>
      </w:r>
      <w:bookmarkStart w:id="8" w:name="OLE_LINK7"/>
      <w:bookmarkStart w:id="9" w:name="OLE_LINK8"/>
      <w:r w:rsidRPr="00D41996">
        <w:rPr>
          <w:rFonts w:ascii="Book Antiqua" w:eastAsia="Book Antiqua" w:hAnsi="Book Antiqua" w:cs="Book Antiqua"/>
          <w:color w:val="000000"/>
        </w:rPr>
        <w:t>Kanazawa Medical University Himi Municipal Hospital</w:t>
      </w:r>
      <w:bookmarkEnd w:id="8"/>
      <w:bookmarkEnd w:id="9"/>
      <w:r w:rsidRPr="00D41996">
        <w:rPr>
          <w:rFonts w:ascii="Book Antiqua" w:eastAsia="Book Antiqua" w:hAnsi="Book Antiqua" w:cs="Book Antiqua"/>
          <w:color w:val="000000"/>
        </w:rPr>
        <w:t>, Himi-shi 935-8531, Toyama-ken, Japan</w:t>
      </w:r>
    </w:p>
    <w:p w14:paraId="39E190BA" w14:textId="77777777" w:rsidR="00A77B3E" w:rsidRPr="00D41996" w:rsidRDefault="00A77B3E" w:rsidP="00D41996">
      <w:pPr>
        <w:snapToGrid w:val="0"/>
        <w:spacing w:line="360" w:lineRule="auto"/>
        <w:jc w:val="both"/>
        <w:rPr>
          <w:rFonts w:ascii="Book Antiqua" w:hAnsi="Book Antiqua"/>
        </w:rPr>
      </w:pPr>
    </w:p>
    <w:p w14:paraId="1D7A0764" w14:textId="1817181B"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Daisuke Usuda, Sayumi Sekiguchi, Risa Tanaka, Makoto Suzuki, Yuta Hotchi, Shintaro Shimozawa, Shungo Tokunaga, Ippei Osugi, Risa Katou, Sakurako Ito, Suguru Asako, Yoshie Takagi, Kentaro Mishima, Akihiko Kondo, Keiko Mizuno, Hiroki Takami, Takayuki Komatsu, Jiro Oba, Tomohisa Nomura, Manabu Sugita, </w:t>
      </w:r>
      <w:r w:rsidR="00587111" w:rsidRPr="00587111">
        <w:rPr>
          <w:rFonts w:ascii="Book Antiqua" w:eastAsia="Book Antiqua" w:hAnsi="Book Antiqua" w:cs="Book Antiqua"/>
          <w:bCs/>
          <w:color w:val="000000"/>
        </w:rPr>
        <w:t xml:space="preserve">Department of </w:t>
      </w:r>
      <w:r w:rsidRPr="00D41996">
        <w:rPr>
          <w:rFonts w:ascii="Book Antiqua" w:eastAsia="Book Antiqua" w:hAnsi="Book Antiqua" w:cs="Book Antiqua"/>
          <w:color w:val="000000"/>
        </w:rPr>
        <w:t>Emergency and Critical Care Medicine, Juntendo University Nerima Hospital, Nerima-ku 177-0035, Tokyo-to, Japan</w:t>
      </w:r>
    </w:p>
    <w:p w14:paraId="1567FD54" w14:textId="6CD42D61" w:rsidR="00A77B3E" w:rsidRDefault="00A77B3E" w:rsidP="00D41996">
      <w:pPr>
        <w:snapToGrid w:val="0"/>
        <w:spacing w:line="360" w:lineRule="auto"/>
        <w:jc w:val="both"/>
        <w:rPr>
          <w:rFonts w:ascii="Book Antiqua" w:hAnsi="Book Antiqua"/>
        </w:rPr>
      </w:pPr>
    </w:p>
    <w:p w14:paraId="4EF4AC3E" w14:textId="49047363" w:rsidR="00F57B4F" w:rsidRPr="006D0AC1" w:rsidRDefault="00F57B4F" w:rsidP="00F57B4F">
      <w:pPr>
        <w:snapToGrid w:val="0"/>
        <w:spacing w:line="360" w:lineRule="auto"/>
        <w:jc w:val="both"/>
        <w:rPr>
          <w:rFonts w:ascii="Book Antiqua" w:hAnsi="Book Antiqua"/>
        </w:rPr>
      </w:pPr>
      <w:r w:rsidRPr="006D0AC1">
        <w:rPr>
          <w:rFonts w:ascii="Book Antiqua" w:eastAsia="Book Antiqua" w:hAnsi="Book Antiqua" w:cs="Book Antiqua"/>
          <w:b/>
          <w:bCs/>
        </w:rPr>
        <w:t xml:space="preserve">Toshihiro Higashikawa, </w:t>
      </w:r>
      <w:r w:rsidR="00587111" w:rsidRPr="00587111">
        <w:rPr>
          <w:rFonts w:ascii="Book Antiqua" w:eastAsia="Book Antiqua" w:hAnsi="Book Antiqua" w:cs="Book Antiqua"/>
          <w:bCs/>
          <w:color w:val="000000"/>
        </w:rPr>
        <w:t xml:space="preserve">Department of </w:t>
      </w:r>
      <w:r w:rsidRPr="006D0AC1">
        <w:rPr>
          <w:rFonts w:ascii="Book Antiqua" w:eastAsia="Book Antiqua" w:hAnsi="Book Antiqua" w:cs="Book Antiqua"/>
        </w:rPr>
        <w:t>Geriatric Medicine, Kanazawa Medical University Himi Municipal Hospital, Himi-shi 935-8531, Toyama-ken, Japan</w:t>
      </w:r>
    </w:p>
    <w:p w14:paraId="22DDC5D2" w14:textId="30FACC34" w:rsidR="00F57B4F" w:rsidRDefault="00F57B4F" w:rsidP="00D41996">
      <w:pPr>
        <w:snapToGrid w:val="0"/>
        <w:spacing w:line="360" w:lineRule="auto"/>
        <w:jc w:val="both"/>
        <w:rPr>
          <w:rFonts w:ascii="Book Antiqua" w:hAnsi="Book Antiqua"/>
        </w:rPr>
      </w:pPr>
    </w:p>
    <w:p w14:paraId="2078A23C" w14:textId="77777777" w:rsidR="00F57B4F" w:rsidRPr="00D41996" w:rsidRDefault="00F57B4F" w:rsidP="00D41996">
      <w:pPr>
        <w:snapToGrid w:val="0"/>
        <w:spacing w:line="360" w:lineRule="auto"/>
        <w:jc w:val="both"/>
        <w:rPr>
          <w:rFonts w:ascii="Book Antiqua" w:hAnsi="Book Antiqua"/>
        </w:rPr>
      </w:pPr>
    </w:p>
    <w:p w14:paraId="516E4533" w14:textId="322FF38E"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Author contributions: </w:t>
      </w:r>
      <w:r w:rsidRPr="00D41996">
        <w:rPr>
          <w:rFonts w:ascii="Book Antiqua" w:eastAsia="Book Antiqua" w:hAnsi="Book Antiqua" w:cs="Book Antiqua"/>
          <w:color w:val="000000"/>
        </w:rPr>
        <w:t>Usuda D wrote the manuscript; Izumida T, Terada N, Sangen R, Higashikawa T, Sekiguchi S, Tanaka R, Suzuki M, Hotchi Y, Shimozawa S, Tokunaga S, Osugi I, Katou R, Ito S, Asako S, Mishima K, Kondo A, Mizuno K, Takami H, Komatsu T, Oba J, Nomura T, Sugita M, and Kasamaki Y proofread and revised the manuscript; All authors approved the final version to be published.</w:t>
      </w:r>
    </w:p>
    <w:p w14:paraId="0E618C86" w14:textId="77777777" w:rsidR="00A77B3E" w:rsidRPr="00D41996" w:rsidRDefault="00A77B3E" w:rsidP="00D41996">
      <w:pPr>
        <w:snapToGrid w:val="0"/>
        <w:spacing w:line="360" w:lineRule="auto"/>
        <w:jc w:val="both"/>
        <w:rPr>
          <w:rFonts w:ascii="Book Antiqua" w:hAnsi="Book Antiqua"/>
        </w:rPr>
      </w:pPr>
    </w:p>
    <w:p w14:paraId="4F589FBC" w14:textId="6DA066F9"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Corresponding author: Daisuke Usuda, MD, MSc, PhD, Doctor, Lecturer, </w:t>
      </w:r>
      <w:r w:rsidR="00456762" w:rsidRPr="00587111">
        <w:rPr>
          <w:rFonts w:ascii="Book Antiqua" w:eastAsia="Book Antiqua" w:hAnsi="Book Antiqua" w:cs="Book Antiqua"/>
          <w:bCs/>
          <w:color w:val="000000"/>
        </w:rPr>
        <w:t xml:space="preserve">Department of </w:t>
      </w:r>
      <w:r w:rsidRPr="00D41996">
        <w:rPr>
          <w:rFonts w:ascii="Book Antiqua" w:eastAsia="Book Antiqua" w:hAnsi="Book Antiqua" w:cs="Book Antiqua"/>
          <w:color w:val="000000"/>
        </w:rPr>
        <w:t>General Medicine, Kanazawa Medical University Himi Municipal Hospital, 1130 Kurakawa, Himi-shi 935-8531, Toyama-ken, Japan. d.usuda.qa@juntendo.ac.jp</w:t>
      </w:r>
    </w:p>
    <w:p w14:paraId="15F4CBD6" w14:textId="77777777" w:rsidR="00A77B3E" w:rsidRPr="00D41996" w:rsidRDefault="00A77B3E" w:rsidP="00D41996">
      <w:pPr>
        <w:snapToGrid w:val="0"/>
        <w:spacing w:line="360" w:lineRule="auto"/>
        <w:jc w:val="both"/>
        <w:rPr>
          <w:rFonts w:ascii="Book Antiqua" w:hAnsi="Book Antiqua"/>
        </w:rPr>
      </w:pPr>
    </w:p>
    <w:p w14:paraId="6B3C90BB"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Received: </w:t>
      </w:r>
      <w:r w:rsidRPr="00D41996">
        <w:rPr>
          <w:rFonts w:ascii="Book Antiqua" w:eastAsia="Book Antiqua" w:hAnsi="Book Antiqua" w:cs="Book Antiqua"/>
          <w:color w:val="000000"/>
        </w:rPr>
        <w:t>April 17, 2021</w:t>
      </w:r>
    </w:p>
    <w:p w14:paraId="0D89346C"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Revised: </w:t>
      </w:r>
      <w:r w:rsidRPr="00D41996">
        <w:rPr>
          <w:rFonts w:ascii="Book Antiqua" w:eastAsia="Book Antiqua" w:hAnsi="Book Antiqua" w:cs="Book Antiqua"/>
          <w:color w:val="000000"/>
        </w:rPr>
        <w:t>May 12, 2021</w:t>
      </w:r>
    </w:p>
    <w:p w14:paraId="63ACC8A8" w14:textId="5295C858"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Accepted: </w:t>
      </w:r>
      <w:r w:rsidR="007A630B" w:rsidRPr="007A630B">
        <w:rPr>
          <w:rFonts w:ascii="Book Antiqua" w:eastAsia="Book Antiqua" w:hAnsi="Book Antiqua" w:cs="Book Antiqua"/>
          <w:bCs/>
          <w:color w:val="000000"/>
        </w:rPr>
        <w:t>June 25, 2021</w:t>
      </w:r>
    </w:p>
    <w:p w14:paraId="769AC26C" w14:textId="2A9BCC83"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Published online: </w:t>
      </w:r>
      <w:r w:rsidR="00A73E55" w:rsidRPr="0004738B">
        <w:rPr>
          <w:rFonts w:ascii="Book Antiqua" w:eastAsia="Book Antiqua" w:hAnsi="Book Antiqua"/>
          <w:bCs/>
        </w:rPr>
        <w:t>August 16, 2021</w:t>
      </w:r>
    </w:p>
    <w:p w14:paraId="2A21B0EE" w14:textId="77777777" w:rsidR="00A77B3E" w:rsidRPr="00D41996" w:rsidRDefault="00A77B3E" w:rsidP="00D41996">
      <w:pPr>
        <w:snapToGrid w:val="0"/>
        <w:spacing w:line="360" w:lineRule="auto"/>
        <w:jc w:val="both"/>
        <w:rPr>
          <w:rFonts w:ascii="Book Antiqua" w:hAnsi="Book Antiqua"/>
        </w:rPr>
        <w:sectPr w:rsidR="00A77B3E" w:rsidRPr="00D41996" w:rsidSect="001B01C9">
          <w:footerReference w:type="default" r:id="rId7"/>
          <w:pgSz w:w="12240" w:h="15840"/>
          <w:pgMar w:top="1440" w:right="1800" w:bottom="1440" w:left="1800" w:header="720" w:footer="720" w:gutter="0"/>
          <w:cols w:space="720"/>
          <w:docGrid w:linePitch="360"/>
        </w:sectPr>
      </w:pPr>
    </w:p>
    <w:p w14:paraId="698D7280"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lastRenderedPageBreak/>
        <w:t>Abstract</w:t>
      </w:r>
    </w:p>
    <w:p w14:paraId="726E82BF"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BACKGROUND</w:t>
      </w:r>
    </w:p>
    <w:p w14:paraId="149AC8F5" w14:textId="1751E48E"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Diffuse large B-cell lymphoma (DLBCL) is the most common type of malignant lymphoma (ML), accounting for 30%</w:t>
      </w:r>
      <w:r w:rsidR="000B7321">
        <w:rPr>
          <w:rFonts w:ascii="Book Antiqua" w:eastAsia="Book Antiqua" w:hAnsi="Book Antiqua" w:cs="Book Antiqua"/>
          <w:color w:val="000000"/>
        </w:rPr>
        <w:t>-</w:t>
      </w:r>
      <w:r w:rsidRPr="00D41996">
        <w:rPr>
          <w:rFonts w:ascii="Book Antiqua" w:eastAsia="Book Antiqua" w:hAnsi="Book Antiqua" w:cs="Book Antiqua"/>
          <w:color w:val="000000"/>
        </w:rPr>
        <w:t>40% of cases of non-Hodgkin’s lymphoma (NHL) in adults. Primary paranasal sinus lymphoma is a rare presentation of extranodal NHL that accounts for only 0.17% of all lymphomas. ML from the maxillary sinus (MS) is a particularly rare presentation, and is thus often difficult to diagnose. We have reported the first known case of DLBCL originating from the MS with rapidly occurrent multiple skin metastasis.</w:t>
      </w:r>
    </w:p>
    <w:p w14:paraId="111C2451" w14:textId="77777777" w:rsidR="00A77B3E" w:rsidRPr="00D41996" w:rsidRDefault="00A77B3E" w:rsidP="00D41996">
      <w:pPr>
        <w:snapToGrid w:val="0"/>
        <w:spacing w:line="360" w:lineRule="auto"/>
        <w:jc w:val="both"/>
        <w:rPr>
          <w:rFonts w:ascii="Book Antiqua" w:hAnsi="Book Antiqua"/>
        </w:rPr>
      </w:pPr>
    </w:p>
    <w:p w14:paraId="7FA9EB93"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CASE SUMMARY</w:t>
      </w:r>
    </w:p>
    <w:p w14:paraId="34BF506D" w14:textId="4020081A"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An 81-year-old Japanese man visited our hospital due to continuous pain for </w:t>
      </w:r>
      <w:r w:rsidR="00DE489B">
        <w:rPr>
          <w:rFonts w:ascii="Book Antiqua" w:eastAsia="Book Antiqua" w:hAnsi="Book Antiqua" w:cs="Book Antiqua"/>
          <w:color w:val="000000"/>
        </w:rPr>
        <w:t>12 d</w:t>
      </w:r>
      <w:r w:rsidRPr="00D41996">
        <w:rPr>
          <w:rFonts w:ascii="Book Antiqua" w:eastAsia="Book Antiqua" w:hAnsi="Book Antiqua" w:cs="Book Antiqua"/>
          <w:color w:val="000000"/>
        </w:rPr>
        <w:t xml:space="preserve"> in the left maxillary nerve area. His medical history included splenectomy due to a traffic injury, an old right cerebral infarction from when he was 74</w:t>
      </w:r>
      <w:r w:rsidR="00DE489B">
        <w:rPr>
          <w:rFonts w:ascii="Book Antiqua" w:eastAsia="Book Antiqua" w:hAnsi="Book Antiqua" w:cs="Book Antiqua"/>
          <w:color w:val="000000"/>
        </w:rPr>
        <w:t>-</w:t>
      </w:r>
      <w:r w:rsidRPr="00D41996">
        <w:rPr>
          <w:rFonts w:ascii="Book Antiqua" w:eastAsia="Book Antiqua" w:hAnsi="Book Antiqua" w:cs="Book Antiqua"/>
          <w:color w:val="000000"/>
        </w:rPr>
        <w:t>years</w:t>
      </w:r>
      <w:r w:rsidR="00DE489B">
        <w:rPr>
          <w:rFonts w:ascii="Book Antiqua" w:eastAsia="Book Antiqua" w:hAnsi="Book Antiqua" w:cs="Book Antiqua"/>
          <w:color w:val="000000"/>
        </w:rPr>
        <w:t>-</w:t>
      </w:r>
      <w:r w:rsidRPr="00D41996">
        <w:rPr>
          <w:rFonts w:ascii="Book Antiqua" w:eastAsia="Book Antiqua" w:hAnsi="Book Antiqua" w:cs="Book Antiqua"/>
          <w:color w:val="000000"/>
        </w:rPr>
        <w:t>old, hypertension, and type 2 diabetes mellitus. A plain head computed tomography (CT) scan revealed a 3</w:t>
      </w:r>
      <w:r w:rsidR="001B01C9" w:rsidRPr="00D41996">
        <w:rPr>
          <w:rFonts w:ascii="Book Antiqua" w:eastAsia="Book Antiqua" w:hAnsi="Book Antiqua" w:cs="Book Antiqua"/>
          <w:color w:val="000000"/>
        </w:rPr>
        <w:t xml:space="preserve"> cm</w:t>
      </w:r>
      <w:r w:rsidRPr="00D41996">
        <w:rPr>
          <w:rFonts w:ascii="Book Antiqua" w:eastAsia="Book Antiqua" w:hAnsi="Book Antiqua" w:cs="Book Antiqua"/>
          <w:color w:val="000000"/>
        </w:rPr>
        <w:t xml:space="preserve"> × 3.1</w:t>
      </w:r>
      <w:r w:rsidR="001B01C9" w:rsidRPr="00D41996">
        <w:rPr>
          <w:rFonts w:ascii="Book Antiqua" w:eastAsia="Book Antiqua" w:hAnsi="Book Antiqua" w:cs="Book Antiqua"/>
          <w:color w:val="000000"/>
        </w:rPr>
        <w:t xml:space="preserve"> cm</w:t>
      </w:r>
      <w:r w:rsidRPr="00D41996">
        <w:rPr>
          <w:rFonts w:ascii="Book Antiqua" w:eastAsia="Book Antiqua" w:hAnsi="Book Antiqua" w:cs="Book Antiqua"/>
          <w:color w:val="000000"/>
        </w:rPr>
        <w:t xml:space="preserve"> × 3 cm sized left MS. </w:t>
      </w:r>
      <w:r w:rsidR="00723566">
        <w:rPr>
          <w:rFonts w:ascii="Book Antiqua" w:eastAsia="Book Antiqua" w:hAnsi="Book Antiqua" w:cs="Book Antiqua"/>
          <w:color w:val="000000"/>
        </w:rPr>
        <w:t xml:space="preserve">On day 25, </w:t>
      </w:r>
      <w:r w:rsidRPr="00D41996">
        <w:rPr>
          <w:rFonts w:ascii="Book Antiqua" w:eastAsia="Book Antiqua" w:hAnsi="Book Antiqua" w:cs="Book Antiqua"/>
          <w:color w:val="000000"/>
        </w:rPr>
        <w:t xml:space="preserve">left diplopia and ptosis occurred, and a follow-up CT on day 31 revealed the growth of the left MS mass. Based on an MS biopsy on day 50, we established a definitive diagnosis of DLBCL, non-germinal center B-cell-like originating from the left MS. </w:t>
      </w:r>
      <w:r w:rsidR="00723566">
        <w:rPr>
          <w:rFonts w:ascii="Book Antiqua" w:eastAsia="Book Antiqua" w:hAnsi="Book Antiqua" w:cs="Book Antiqua"/>
          <w:color w:val="000000"/>
        </w:rPr>
        <w:t>T</w:t>
      </w:r>
      <w:r w:rsidRPr="00D41996">
        <w:rPr>
          <w:rFonts w:ascii="Book Antiqua" w:eastAsia="Book Antiqua" w:hAnsi="Book Antiqua" w:cs="Book Antiqua"/>
          <w:color w:val="000000"/>
        </w:rPr>
        <w:t xml:space="preserve">he patient was admitted on day 62 due to rapid deterioration of his condition, and a plain CT scan revealed the further growth of the left MS mass, </w:t>
      </w:r>
      <w:r w:rsidR="00723566">
        <w:rPr>
          <w:rFonts w:ascii="Book Antiqua" w:eastAsia="Book Antiqua" w:hAnsi="Book Antiqua" w:cs="Book Antiqua"/>
          <w:color w:val="000000"/>
        </w:rPr>
        <w:t xml:space="preserve">as well as </w:t>
      </w:r>
      <w:r w:rsidRPr="00D41996">
        <w:rPr>
          <w:rFonts w:ascii="Book Antiqua" w:eastAsia="Book Antiqua" w:hAnsi="Book Antiqua" w:cs="Book Antiqua"/>
          <w:color w:val="000000"/>
        </w:rPr>
        <w:t>multiple systemic metastasis, including of the skin. A skin biopsy on day 70 was found to be the same as that of the left MS mass. We notified the patient and his family of the disease, and they opted for palliative care, considering on his condition and age. The patient died on day 80.</w:t>
      </w:r>
    </w:p>
    <w:p w14:paraId="2A7D4056" w14:textId="77777777" w:rsidR="00A77B3E" w:rsidRPr="00D41996" w:rsidRDefault="00A77B3E" w:rsidP="00D41996">
      <w:pPr>
        <w:snapToGrid w:val="0"/>
        <w:spacing w:line="360" w:lineRule="auto"/>
        <w:jc w:val="both"/>
        <w:rPr>
          <w:rFonts w:ascii="Book Antiqua" w:hAnsi="Book Antiqua"/>
        </w:rPr>
      </w:pPr>
    </w:p>
    <w:p w14:paraId="2219FBCF"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CONCLUSION</w:t>
      </w:r>
    </w:p>
    <w:p w14:paraId="59DE027F"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This case suggests the need for careful, detailed examination, and for careful follow-up, when encountering patients presenting with a mass.</w:t>
      </w:r>
    </w:p>
    <w:p w14:paraId="3512BB39" w14:textId="77777777" w:rsidR="00A77B3E" w:rsidRPr="00D41996" w:rsidRDefault="00A77B3E" w:rsidP="00D41996">
      <w:pPr>
        <w:snapToGrid w:val="0"/>
        <w:spacing w:line="360" w:lineRule="auto"/>
        <w:jc w:val="both"/>
        <w:rPr>
          <w:rFonts w:ascii="Book Antiqua" w:hAnsi="Book Antiqua"/>
        </w:rPr>
      </w:pPr>
    </w:p>
    <w:p w14:paraId="2AA54191"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Key Words: </w:t>
      </w:r>
      <w:r w:rsidRPr="00D41996">
        <w:rPr>
          <w:rFonts w:ascii="Book Antiqua" w:eastAsia="Book Antiqua" w:hAnsi="Book Antiqua" w:cs="Book Antiqua"/>
          <w:color w:val="000000"/>
        </w:rPr>
        <w:t>Diffuse large B cell lymphoma; Non-germinal center B-cell-like lymphoma; Malignant lymphoma; Maxillary sinus; Skin metastasis; Case report</w:t>
      </w:r>
    </w:p>
    <w:p w14:paraId="3491B30F" w14:textId="77777777" w:rsidR="00641105" w:rsidRDefault="00641105" w:rsidP="00641105">
      <w:pPr>
        <w:spacing w:line="360" w:lineRule="auto"/>
        <w:jc w:val="both"/>
        <w:rPr>
          <w:lang w:eastAsia="zh-CN"/>
        </w:rPr>
      </w:pPr>
      <w:bookmarkStart w:id="10" w:name="OLE_LINK3"/>
      <w:bookmarkStart w:id="11" w:name="OLE_LINK4"/>
    </w:p>
    <w:p w14:paraId="548F0B15" w14:textId="77777777" w:rsidR="00641105" w:rsidRDefault="00641105" w:rsidP="00641105">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2021. </w:t>
      </w:r>
      <w:r>
        <w:rPr>
          <w:rFonts w:ascii="Book Antiqua" w:eastAsia="Book Antiqua" w:hAnsi="Book Antiqua" w:cs="Book Antiqua"/>
          <w:color w:val="000000"/>
        </w:rPr>
        <w:t xml:space="preserve">Published by Baishideng Publishing Group Inc. All rights reserved. </w:t>
      </w:r>
    </w:p>
    <w:p w14:paraId="0EA90D28" w14:textId="77777777" w:rsidR="00641105" w:rsidRDefault="00641105" w:rsidP="00641105">
      <w:pPr>
        <w:spacing w:line="360" w:lineRule="auto"/>
        <w:jc w:val="both"/>
        <w:rPr>
          <w:lang w:eastAsia="zh-CN"/>
        </w:rPr>
      </w:pPr>
    </w:p>
    <w:p w14:paraId="41A54F5E" w14:textId="7205F8C1" w:rsidR="00817AED" w:rsidRDefault="00641105" w:rsidP="00641105">
      <w:pPr>
        <w:snapToGrid w:val="0"/>
        <w:spacing w:line="360" w:lineRule="auto"/>
        <w:jc w:val="both"/>
        <w:rPr>
          <w:rFonts w:ascii="Book Antiqua" w:eastAsia="Book Antiqua" w:hAnsi="Book Antiqua" w:cs="Book Antiqua"/>
          <w:color w:val="000000"/>
        </w:rPr>
      </w:pPr>
      <w:r>
        <w:rPr>
          <w:rFonts w:ascii="Book Antiqua" w:hAnsi="Book Antiqua" w:cs="Book Antiqua"/>
          <w:b/>
          <w:color w:val="000000"/>
          <w:lang w:eastAsia="zh-CN"/>
        </w:rPr>
        <w:t>Citation:</w:t>
      </w:r>
      <w:r>
        <w:rPr>
          <w:rFonts w:ascii="Book Antiqua" w:hAnsi="Book Antiqua" w:cs="Book Antiqua"/>
          <w:color w:val="000000"/>
          <w:lang w:eastAsia="zh-CN"/>
        </w:rPr>
        <w:t xml:space="preserve"> </w:t>
      </w:r>
      <w:r w:rsidR="00B51EDC" w:rsidRPr="00D41996">
        <w:rPr>
          <w:rFonts w:ascii="Book Antiqua" w:eastAsia="Book Antiqua" w:hAnsi="Book Antiqua" w:cs="Book Antiqua"/>
          <w:color w:val="000000"/>
        </w:rPr>
        <w:t xml:space="preserve">Usuda D, Izumida T, Terada N, Sangen R, Higashikawa T, Sekiguchi S, Tanaka R, Suzuki M, Hotchi Y, Shimozawa S, Tokunaga S, Osugi I, Katou R, Ito S, Asako S, Takagi Y, Mishima K, Kondo A, Mizuno K, Takami H, Komatsu T, Oba J, Nomura T, Sugita M, Kasamaki Y. Diffuse large B cell lymphoma originating from the maxillary sinus with skin metastases: </w:t>
      </w:r>
      <w:r w:rsidR="001B01C9" w:rsidRPr="00D41996">
        <w:rPr>
          <w:rFonts w:ascii="Book Antiqua" w:eastAsia="Book Antiqua" w:hAnsi="Book Antiqua" w:cs="Book Antiqua"/>
          <w:color w:val="000000"/>
        </w:rPr>
        <w:t xml:space="preserve">A case </w:t>
      </w:r>
      <w:r w:rsidR="00B51EDC" w:rsidRPr="00D41996">
        <w:rPr>
          <w:rFonts w:ascii="Book Antiqua" w:eastAsia="Book Antiqua" w:hAnsi="Book Antiqua" w:cs="Book Antiqua"/>
          <w:color w:val="000000"/>
        </w:rPr>
        <w:t xml:space="preserve">report and review of literature. </w:t>
      </w:r>
      <w:r w:rsidR="00B51EDC" w:rsidRPr="00D41996">
        <w:rPr>
          <w:rFonts w:ascii="Book Antiqua" w:eastAsia="Book Antiqua" w:hAnsi="Book Antiqua" w:cs="Book Antiqua"/>
          <w:i/>
          <w:iCs/>
          <w:color w:val="000000"/>
        </w:rPr>
        <w:t>World J Clin Cases</w:t>
      </w:r>
      <w:r w:rsidR="00B51EDC" w:rsidRPr="00D41996">
        <w:rPr>
          <w:rFonts w:ascii="Book Antiqua" w:eastAsia="Book Antiqua" w:hAnsi="Book Antiqua" w:cs="Book Antiqua"/>
          <w:color w:val="000000"/>
        </w:rPr>
        <w:t xml:space="preserve"> 2021; </w:t>
      </w:r>
      <w:r w:rsidR="00A73E55" w:rsidRPr="00A73E55">
        <w:rPr>
          <w:rFonts w:ascii="Book Antiqua" w:eastAsia="Book Antiqua" w:hAnsi="Book Antiqua" w:cs="Book Antiqua"/>
          <w:color w:val="000000"/>
        </w:rPr>
        <w:t xml:space="preserve">9(23): </w:t>
      </w:r>
      <w:r w:rsidR="00817AED" w:rsidRPr="00817AED">
        <w:rPr>
          <w:rFonts w:ascii="Book Antiqua" w:eastAsia="Book Antiqua" w:hAnsi="Book Antiqua" w:cs="Book Antiqua"/>
          <w:color w:val="000000"/>
        </w:rPr>
        <w:t>6886-6899</w:t>
      </w:r>
      <w:r w:rsidR="00A73E55" w:rsidRPr="00A73E55">
        <w:rPr>
          <w:rFonts w:ascii="Book Antiqua" w:eastAsia="Book Antiqua" w:hAnsi="Book Antiqua" w:cs="Book Antiqua"/>
          <w:color w:val="000000"/>
        </w:rPr>
        <w:t xml:space="preserve"> </w:t>
      </w:r>
    </w:p>
    <w:p w14:paraId="7C23239A" w14:textId="52929FAF" w:rsidR="00817AED" w:rsidRDefault="00A73E55" w:rsidP="00641105">
      <w:pPr>
        <w:snapToGrid w:val="0"/>
        <w:spacing w:line="360" w:lineRule="auto"/>
        <w:jc w:val="both"/>
        <w:rPr>
          <w:rFonts w:ascii="Book Antiqua" w:eastAsia="Book Antiqua" w:hAnsi="Book Antiqua" w:cs="Book Antiqua"/>
          <w:color w:val="000000"/>
        </w:rPr>
      </w:pPr>
      <w:r w:rsidRPr="00A73E55">
        <w:rPr>
          <w:rFonts w:ascii="Book Antiqua" w:eastAsia="Book Antiqua" w:hAnsi="Book Antiqua" w:cs="Book Antiqua"/>
          <w:color w:val="000000"/>
        </w:rPr>
        <w:t>URL: https://www.wjgnet.com/2307-8960/full/v9/i23/</w:t>
      </w:r>
      <w:r w:rsidR="00817AED" w:rsidRPr="00817AED">
        <w:rPr>
          <w:rFonts w:ascii="Book Antiqua" w:eastAsia="Book Antiqua" w:hAnsi="Book Antiqua" w:cs="Book Antiqua"/>
          <w:color w:val="000000"/>
        </w:rPr>
        <w:t>6886</w:t>
      </w:r>
      <w:r w:rsidRPr="00A73E55">
        <w:rPr>
          <w:rFonts w:ascii="Book Antiqua" w:eastAsia="Book Antiqua" w:hAnsi="Book Antiqua" w:cs="Book Antiqua"/>
          <w:color w:val="000000"/>
        </w:rPr>
        <w:t xml:space="preserve">.htm </w:t>
      </w:r>
    </w:p>
    <w:p w14:paraId="0FC23C0A" w14:textId="4CB9FE2E" w:rsidR="00A77B3E" w:rsidRPr="00D41996" w:rsidRDefault="00A73E55" w:rsidP="00641105">
      <w:pPr>
        <w:snapToGrid w:val="0"/>
        <w:spacing w:line="360" w:lineRule="auto"/>
        <w:jc w:val="both"/>
        <w:rPr>
          <w:rFonts w:ascii="Book Antiqua" w:hAnsi="Book Antiqua"/>
        </w:rPr>
      </w:pPr>
      <w:r w:rsidRPr="00A73E55">
        <w:rPr>
          <w:rFonts w:ascii="Book Antiqua" w:eastAsia="Book Antiqua" w:hAnsi="Book Antiqua" w:cs="Book Antiqua"/>
          <w:color w:val="000000"/>
        </w:rPr>
        <w:t>DOI: https://dx.doi.org/10.12998/wjcc.v9.i23.</w:t>
      </w:r>
      <w:r w:rsidR="00817AED" w:rsidRPr="00817AED">
        <w:rPr>
          <w:rFonts w:ascii="Book Antiqua" w:eastAsia="Book Antiqua" w:hAnsi="Book Antiqua" w:cs="Book Antiqua"/>
          <w:color w:val="000000"/>
        </w:rPr>
        <w:t>6886</w:t>
      </w:r>
    </w:p>
    <w:bookmarkEnd w:id="10"/>
    <w:bookmarkEnd w:id="11"/>
    <w:p w14:paraId="29860CAC" w14:textId="77777777" w:rsidR="00A77B3E" w:rsidRPr="00D41996" w:rsidRDefault="00A77B3E" w:rsidP="00D41996">
      <w:pPr>
        <w:snapToGrid w:val="0"/>
        <w:spacing w:line="360" w:lineRule="auto"/>
        <w:jc w:val="both"/>
        <w:rPr>
          <w:rFonts w:ascii="Book Antiqua" w:hAnsi="Book Antiqua"/>
        </w:rPr>
      </w:pPr>
    </w:p>
    <w:p w14:paraId="16A0EF70" w14:textId="524DD8DC"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Core Tip: </w:t>
      </w:r>
      <w:r w:rsidRPr="00D41996">
        <w:rPr>
          <w:rFonts w:ascii="Book Antiqua" w:eastAsia="Book Antiqua" w:hAnsi="Book Antiqua" w:cs="Book Antiqua"/>
          <w:color w:val="000000"/>
        </w:rPr>
        <w:t>Diffuse large B-cell lymphoma (DLBCL) is the most common type of malignant lymphoma (ML), accounting for 30%</w:t>
      </w:r>
      <w:r w:rsidR="000B7321">
        <w:rPr>
          <w:rFonts w:ascii="Book Antiqua" w:eastAsia="Book Antiqua" w:hAnsi="Book Antiqua" w:cs="Book Antiqua"/>
          <w:color w:val="000000"/>
        </w:rPr>
        <w:t>-</w:t>
      </w:r>
      <w:r w:rsidRPr="00D41996">
        <w:rPr>
          <w:rFonts w:ascii="Book Antiqua" w:eastAsia="Book Antiqua" w:hAnsi="Book Antiqua" w:cs="Book Antiqua"/>
          <w:color w:val="000000"/>
        </w:rPr>
        <w:t>40% of cases of non-Hodgkin’s lymphoma (NHL) in adults. Primary paranasal sinus lymphoma is a rare presentation of extranodal NHL that accounts for only 0.17% of all lymphomas. ML from the maxillary sinus (MS) is rarely encountered as a presentation, and is thus often difficult to diagnose. We have reported the first known case of DLBCL originating from the MS with rapidly occurrent multiple skin metastases; this case suggests that there is a need for careful, detailed examination, and careful follow-up, when encountering patients presenting with a mass.</w:t>
      </w:r>
    </w:p>
    <w:p w14:paraId="370E6412" w14:textId="77777777" w:rsidR="00A77B3E" w:rsidRPr="00D41996" w:rsidRDefault="00A77B3E" w:rsidP="00D41996">
      <w:pPr>
        <w:snapToGrid w:val="0"/>
        <w:spacing w:line="360" w:lineRule="auto"/>
        <w:jc w:val="both"/>
        <w:rPr>
          <w:rFonts w:ascii="Book Antiqua" w:hAnsi="Book Antiqua"/>
        </w:rPr>
      </w:pPr>
    </w:p>
    <w:p w14:paraId="3E21CBD9" w14:textId="3473F0EE" w:rsidR="00A77B3E" w:rsidRPr="00D41996" w:rsidRDefault="00747628" w:rsidP="00D41996">
      <w:pPr>
        <w:snapToGrid w:val="0"/>
        <w:spacing w:line="360" w:lineRule="auto"/>
        <w:jc w:val="both"/>
        <w:rPr>
          <w:rFonts w:ascii="Book Antiqua" w:hAnsi="Book Antiqua"/>
        </w:rPr>
      </w:pPr>
      <w:r w:rsidRPr="00D41996">
        <w:rPr>
          <w:rFonts w:ascii="Book Antiqua" w:eastAsia="Book Antiqua" w:hAnsi="Book Antiqua" w:cs="Book Antiqua"/>
          <w:b/>
          <w:caps/>
          <w:color w:val="000000"/>
          <w:u w:val="single"/>
        </w:rPr>
        <w:br w:type="page"/>
      </w:r>
      <w:r w:rsidR="00B51EDC" w:rsidRPr="00D41996">
        <w:rPr>
          <w:rFonts w:ascii="Book Antiqua" w:eastAsia="Book Antiqua" w:hAnsi="Book Antiqua" w:cs="Book Antiqua"/>
          <w:b/>
          <w:caps/>
          <w:color w:val="000000"/>
          <w:u w:val="single"/>
        </w:rPr>
        <w:lastRenderedPageBreak/>
        <w:t>INTRODUCTION</w:t>
      </w:r>
    </w:p>
    <w:p w14:paraId="31961E59"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Non-Hodgkin’s lymphoma (NHL) refers to a category of neoplasms originating in lymphoreticular system cells; these malignancies are extremely diverse, and frequently tend to affect organs and tissues that would ordinarily contain no lymphoid cells</w:t>
      </w:r>
      <w:r w:rsidRPr="00D41996">
        <w:rPr>
          <w:rFonts w:ascii="Book Antiqua" w:eastAsia="Book Antiqua" w:hAnsi="Book Antiqua" w:cs="Book Antiqua"/>
          <w:color w:val="000000"/>
          <w:vertAlign w:val="superscript"/>
        </w:rPr>
        <w:t>[1,2]</w:t>
      </w:r>
      <w:r w:rsidRPr="00D41996">
        <w:rPr>
          <w:rFonts w:ascii="Book Antiqua" w:eastAsia="Book Antiqua" w:hAnsi="Book Antiqua" w:cs="Book Antiqua"/>
          <w:color w:val="000000"/>
        </w:rPr>
        <w:t>. Some 40% of NHL cases develop in extranodal sites, and the stomach, liver, soft tissue, dura, bone, intestine, and bone marrow are among the most common primary extranodal lymphoma sites</w:t>
      </w:r>
      <w:r w:rsidRPr="00D41996">
        <w:rPr>
          <w:rFonts w:ascii="Book Antiqua" w:eastAsia="Book Antiqua" w:hAnsi="Book Antiqua" w:cs="Book Antiqua"/>
          <w:color w:val="000000"/>
          <w:vertAlign w:val="superscript"/>
        </w:rPr>
        <w:t>[1]</w:t>
      </w:r>
      <w:r w:rsidRPr="00D41996">
        <w:rPr>
          <w:rFonts w:ascii="Book Antiqua" w:eastAsia="Book Antiqua" w:hAnsi="Book Antiqua" w:cs="Book Antiqua"/>
          <w:color w:val="000000"/>
        </w:rPr>
        <w:t>. However, primary NHL has been found to rarely affect the nasal cavities or the paranasal sinuses</w:t>
      </w:r>
      <w:r w:rsidRPr="00D41996">
        <w:rPr>
          <w:rFonts w:ascii="Book Antiqua" w:eastAsia="Book Antiqua" w:hAnsi="Book Antiqua" w:cs="Book Antiqua"/>
          <w:color w:val="000000"/>
          <w:vertAlign w:val="superscript"/>
        </w:rPr>
        <w:t>[1]</w:t>
      </w:r>
      <w:r w:rsidRPr="00D41996">
        <w:rPr>
          <w:rFonts w:ascii="Book Antiqua" w:eastAsia="Book Antiqua" w:hAnsi="Book Antiqua" w:cs="Book Antiqua"/>
          <w:color w:val="000000"/>
        </w:rPr>
        <w:t>.</w:t>
      </w:r>
    </w:p>
    <w:p w14:paraId="6716FFFD" w14:textId="114E916D"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The most common variety of malignant lymphoma (ML) originating from the germinal center is diffuse large B-cell lymphoma (DLBCL), which accounts for some 30%</w:t>
      </w:r>
      <w:r w:rsidR="000B7321">
        <w:rPr>
          <w:rFonts w:ascii="Book Antiqua" w:eastAsia="Book Antiqua" w:hAnsi="Book Antiqua" w:cs="Book Antiqua"/>
          <w:color w:val="000000"/>
        </w:rPr>
        <w:t>-</w:t>
      </w:r>
      <w:r w:rsidRPr="00D41996">
        <w:rPr>
          <w:rFonts w:ascii="Book Antiqua" w:eastAsia="Book Antiqua" w:hAnsi="Book Antiqua" w:cs="Book Antiqua"/>
          <w:color w:val="000000"/>
        </w:rPr>
        <w:t>40% of adult NHL cases worldwide</w:t>
      </w:r>
      <w:r w:rsidR="00723566">
        <w:rPr>
          <w:rFonts w:ascii="Book Antiqua" w:eastAsia="Book Antiqua" w:hAnsi="Book Antiqua" w:cs="Book Antiqua"/>
          <w:color w:val="000000"/>
        </w:rPr>
        <w:t>.</w:t>
      </w:r>
      <w:r w:rsidR="00723566" w:rsidRPr="00D41996">
        <w:rPr>
          <w:rFonts w:ascii="Book Antiqua" w:eastAsia="Book Antiqua" w:hAnsi="Book Antiqua" w:cs="Book Antiqua"/>
          <w:color w:val="000000"/>
        </w:rPr>
        <w:t xml:space="preserve"> </w:t>
      </w:r>
      <w:r w:rsidR="00723566">
        <w:rPr>
          <w:rFonts w:ascii="Book Antiqua" w:eastAsia="Book Antiqua" w:hAnsi="Book Antiqua" w:cs="Book Antiqua"/>
          <w:color w:val="000000"/>
        </w:rPr>
        <w:t>T</w:t>
      </w:r>
      <w:r w:rsidR="00723566" w:rsidRPr="00D41996">
        <w:rPr>
          <w:rFonts w:ascii="Book Antiqua" w:eastAsia="Book Antiqua" w:hAnsi="Book Antiqua" w:cs="Book Antiqua"/>
          <w:color w:val="000000"/>
        </w:rPr>
        <w:t xml:space="preserve">his </w:t>
      </w:r>
      <w:r w:rsidRPr="00D41996">
        <w:rPr>
          <w:rFonts w:ascii="Book Antiqua" w:eastAsia="Book Antiqua" w:hAnsi="Book Antiqua" w:cs="Book Antiqua"/>
          <w:color w:val="000000"/>
        </w:rPr>
        <w:t>group of diseases is heterogeneous, with variable outcomes that are differentially characterized through clinical features, cell of origin (COO), molecular features, and, of late, frequently recurring mutations</w:t>
      </w:r>
      <w:r w:rsidRPr="00D41996">
        <w:rPr>
          <w:rFonts w:ascii="Book Antiqua" w:eastAsia="Book Antiqua" w:hAnsi="Book Antiqua" w:cs="Book Antiqua"/>
          <w:color w:val="000000"/>
          <w:vertAlign w:val="superscript"/>
        </w:rPr>
        <w:t>[3-8]</w:t>
      </w:r>
      <w:r w:rsidRPr="00D41996">
        <w:rPr>
          <w:rFonts w:ascii="Book Antiqua" w:eastAsia="Book Antiqua" w:hAnsi="Book Antiqua" w:cs="Book Antiqua"/>
          <w:color w:val="000000"/>
        </w:rPr>
        <w:t>. One particular type of NHL, primary paranasal sinus lymphoma (PPSL), is a rare presentation of extranodal NHL: It accounts for just 0.17% of all lymphomas, and has a distinct natural history unlike other lymphomas, and can frequently be difficult to diagnose</w:t>
      </w:r>
      <w:r w:rsidRPr="00D41996">
        <w:rPr>
          <w:rFonts w:ascii="Book Antiqua" w:eastAsia="Book Antiqua" w:hAnsi="Book Antiqua" w:cs="Book Antiqua"/>
          <w:color w:val="000000"/>
          <w:vertAlign w:val="superscript"/>
        </w:rPr>
        <w:t>[3,9]</w:t>
      </w:r>
      <w:r w:rsidRPr="00D41996">
        <w:rPr>
          <w:rFonts w:ascii="Book Antiqua" w:eastAsia="Book Antiqua" w:hAnsi="Book Antiqua" w:cs="Book Antiqua"/>
          <w:color w:val="000000"/>
        </w:rPr>
        <w:t>. This rare presentation of lymphoma is typified by bulky local tumors; ML of the maxillary sinus (MS) is likewise very rare, but it is also the most common site of origin for PPSL</w:t>
      </w:r>
      <w:r w:rsidRPr="00D41996">
        <w:rPr>
          <w:rFonts w:ascii="Book Antiqua" w:eastAsia="Book Antiqua" w:hAnsi="Book Antiqua" w:cs="Book Antiqua"/>
          <w:color w:val="000000"/>
          <w:vertAlign w:val="superscript"/>
        </w:rPr>
        <w:t>[3,10-16]</w:t>
      </w:r>
      <w:r w:rsidRPr="00D41996">
        <w:rPr>
          <w:rFonts w:ascii="Book Antiqua" w:eastAsia="Book Antiqua" w:hAnsi="Book Antiqua" w:cs="Book Antiqua"/>
          <w:color w:val="000000"/>
        </w:rPr>
        <w:t>. In one study of DLBCL originating from the sinonasal tract, a significant difference (</w:t>
      </w:r>
      <w:r w:rsidRPr="00D41996">
        <w:rPr>
          <w:rFonts w:ascii="Book Antiqua" w:eastAsia="Book Antiqua" w:hAnsi="Book Antiqua" w:cs="Book Antiqua"/>
          <w:i/>
          <w:iCs/>
          <w:color w:val="000000"/>
        </w:rPr>
        <w:t>P</w:t>
      </w:r>
      <w:r w:rsidRPr="00D41996">
        <w:rPr>
          <w:rFonts w:ascii="Book Antiqua" w:eastAsia="Book Antiqua" w:hAnsi="Book Antiqua" w:cs="Book Antiqua"/>
          <w:color w:val="000000"/>
        </w:rPr>
        <w:t xml:space="preserve"> &lt; 0.01) was found in the age at time of diagnosis between men (65.3</w:t>
      </w:r>
      <w:r w:rsidR="00DE489B">
        <w:rPr>
          <w:rFonts w:ascii="Book Antiqua" w:eastAsia="Book Antiqua" w:hAnsi="Book Antiqua" w:cs="Book Antiqua"/>
          <w:color w:val="000000"/>
        </w:rPr>
        <w:t>-</w:t>
      </w:r>
      <w:r w:rsidR="00723566">
        <w:rPr>
          <w:rFonts w:ascii="Book Antiqua" w:eastAsia="Book Antiqua" w:hAnsi="Book Antiqua" w:cs="Book Antiqua"/>
          <w:color w:val="000000"/>
        </w:rPr>
        <w:t>years-old</w:t>
      </w:r>
      <w:r w:rsidRPr="00D41996">
        <w:rPr>
          <w:rFonts w:ascii="Book Antiqua" w:eastAsia="Book Antiqua" w:hAnsi="Book Antiqua" w:cs="Book Antiqua"/>
          <w:color w:val="000000"/>
        </w:rPr>
        <w:t>) and women (71.1</w:t>
      </w:r>
      <w:r w:rsidR="00DE489B">
        <w:rPr>
          <w:rFonts w:ascii="Book Antiqua" w:eastAsia="Book Antiqua" w:hAnsi="Book Antiqua" w:cs="Book Antiqua"/>
          <w:color w:val="000000"/>
        </w:rPr>
        <w:t>-</w:t>
      </w:r>
      <w:r w:rsidR="00723566">
        <w:rPr>
          <w:rFonts w:ascii="Book Antiqua" w:eastAsia="Book Antiqua" w:hAnsi="Book Antiqua" w:cs="Book Antiqua"/>
          <w:color w:val="000000"/>
        </w:rPr>
        <w:t>years-old</w:t>
      </w:r>
      <w:r w:rsidRPr="00D41996">
        <w:rPr>
          <w:rFonts w:ascii="Book Antiqua" w:eastAsia="Book Antiqua" w:hAnsi="Book Antiqua" w:cs="Book Antiqua"/>
          <w:color w:val="000000"/>
        </w:rPr>
        <w:t>)</w:t>
      </w:r>
      <w:r w:rsidRPr="00D41996">
        <w:rPr>
          <w:rFonts w:ascii="Book Antiqua" w:eastAsia="Book Antiqua" w:hAnsi="Book Antiqua" w:cs="Book Antiqua"/>
          <w:color w:val="000000"/>
          <w:vertAlign w:val="superscript"/>
        </w:rPr>
        <w:t>[17]</w:t>
      </w:r>
      <w:r w:rsidRPr="00D41996">
        <w:rPr>
          <w:rFonts w:ascii="Book Antiqua" w:eastAsia="Book Antiqua" w:hAnsi="Book Antiqua" w:cs="Book Antiqua"/>
          <w:color w:val="000000"/>
        </w:rPr>
        <w:t>. In addition, the most common DLBCL primary sites were the MS (36.1%) and the nasal cavity (34.5%), with the nasal cavity being more common as a primary site in Asian/Pacific Islander patients (43.4%), and the MS being more common in patients of Caucasian (36.3%) and African (42.1%) descent</w:t>
      </w:r>
      <w:r w:rsidRPr="00D41996">
        <w:rPr>
          <w:rFonts w:ascii="Book Antiqua" w:eastAsia="Book Antiqua" w:hAnsi="Book Antiqua" w:cs="Book Antiqua"/>
          <w:color w:val="000000"/>
          <w:vertAlign w:val="superscript"/>
        </w:rPr>
        <w:t>[17]</w:t>
      </w:r>
      <w:r w:rsidRPr="00D41996">
        <w:rPr>
          <w:rFonts w:ascii="Book Antiqua" w:eastAsia="Book Antiqua" w:hAnsi="Book Antiqua" w:cs="Book Antiqua"/>
          <w:color w:val="000000"/>
        </w:rPr>
        <w:t>. Primary immunodeficiency diseases, a group of uncommon gene defects with various manifestations, demonstrate a high risk of malignancy</w:t>
      </w:r>
      <w:r w:rsidRPr="00D41996">
        <w:rPr>
          <w:rFonts w:ascii="Book Antiqua" w:eastAsia="Book Antiqua" w:hAnsi="Book Antiqua" w:cs="Book Antiqua"/>
          <w:color w:val="000000"/>
          <w:vertAlign w:val="superscript"/>
        </w:rPr>
        <w:t>[13]</w:t>
      </w:r>
      <w:r w:rsidRPr="00D41996">
        <w:rPr>
          <w:rFonts w:ascii="Book Antiqua" w:eastAsia="Book Antiqua" w:hAnsi="Book Antiqua" w:cs="Book Antiqua"/>
          <w:color w:val="000000"/>
        </w:rPr>
        <w:t xml:space="preserve">. It is extremely rare for </w:t>
      </w:r>
      <w:r w:rsidRPr="00D41996">
        <w:rPr>
          <w:rFonts w:ascii="Book Antiqua" w:eastAsia="Book Antiqua" w:hAnsi="Book Antiqua" w:cs="Book Antiqua"/>
          <w:color w:val="000000"/>
        </w:rPr>
        <w:lastRenderedPageBreak/>
        <w:t>DLBCL metastasize to the skin: there have been only known two case reports, with one originating from the lungs and the other from the testis</w:t>
      </w:r>
      <w:r w:rsidRPr="00D41996">
        <w:rPr>
          <w:rFonts w:ascii="Book Antiqua" w:eastAsia="Book Antiqua" w:hAnsi="Book Antiqua" w:cs="Book Antiqua"/>
          <w:color w:val="000000"/>
          <w:vertAlign w:val="superscript"/>
        </w:rPr>
        <w:t>[4,18]</w:t>
      </w:r>
      <w:r w:rsidRPr="00D41996">
        <w:rPr>
          <w:rFonts w:ascii="Book Antiqua" w:eastAsia="Book Antiqua" w:hAnsi="Book Antiqua" w:cs="Book Antiqua"/>
          <w:color w:val="000000"/>
        </w:rPr>
        <w:t>.</w:t>
      </w:r>
    </w:p>
    <w:p w14:paraId="78678DEF" w14:textId="77777777"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To date, there have not been any reports of DLBCL originating from the MS with skin metastasis; therefore, we have reported the first such case, together with a brief review of the literature.</w:t>
      </w:r>
    </w:p>
    <w:p w14:paraId="37BD01C9" w14:textId="77777777" w:rsidR="00A77B3E" w:rsidRPr="00D41996" w:rsidRDefault="00A77B3E" w:rsidP="00D41996">
      <w:pPr>
        <w:snapToGrid w:val="0"/>
        <w:spacing w:line="360" w:lineRule="auto"/>
        <w:ind w:firstLine="480"/>
        <w:jc w:val="both"/>
        <w:rPr>
          <w:rFonts w:ascii="Book Antiqua" w:hAnsi="Book Antiqua"/>
        </w:rPr>
      </w:pPr>
    </w:p>
    <w:p w14:paraId="68FA4E83"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aps/>
          <w:color w:val="000000"/>
          <w:u w:val="single"/>
        </w:rPr>
        <w:t>CASE PRESENTATION</w:t>
      </w:r>
    </w:p>
    <w:p w14:paraId="65A2F744"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i/>
          <w:color w:val="000000"/>
        </w:rPr>
        <w:t>Chief complaints</w:t>
      </w:r>
    </w:p>
    <w:p w14:paraId="37F4D953" w14:textId="4EF1AB65"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An 81-year-old Japanese man visited our hospital due to pain in the left maxillary nerve area (We defined the day of this visit as day 1).</w:t>
      </w:r>
    </w:p>
    <w:p w14:paraId="47421507" w14:textId="77777777" w:rsidR="00A77B3E" w:rsidRPr="00D41996" w:rsidRDefault="00A77B3E" w:rsidP="00D41996">
      <w:pPr>
        <w:snapToGrid w:val="0"/>
        <w:spacing w:line="360" w:lineRule="auto"/>
        <w:jc w:val="both"/>
        <w:rPr>
          <w:rFonts w:ascii="Book Antiqua" w:hAnsi="Book Antiqua"/>
        </w:rPr>
      </w:pPr>
    </w:p>
    <w:p w14:paraId="4D2D7925"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i/>
          <w:color w:val="000000"/>
        </w:rPr>
        <w:t>History of present illness</w:t>
      </w:r>
    </w:p>
    <w:p w14:paraId="648D64D8" w14:textId="0E2DBFD1"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The symptom had first occurred </w:t>
      </w:r>
      <w:r w:rsidR="00DE489B">
        <w:rPr>
          <w:rFonts w:ascii="Book Antiqua" w:eastAsia="Book Antiqua" w:hAnsi="Book Antiqua" w:cs="Book Antiqua"/>
          <w:color w:val="000000"/>
        </w:rPr>
        <w:t>12 d</w:t>
      </w:r>
      <w:r w:rsidRPr="00D41996">
        <w:rPr>
          <w:rFonts w:ascii="Book Antiqua" w:eastAsia="Book Antiqua" w:hAnsi="Book Antiqua" w:cs="Book Antiqua"/>
          <w:color w:val="000000"/>
        </w:rPr>
        <w:t xml:space="preserve"> prior, and it was continuous, prickly, and persistent. He tried to keep the affected part cooled, but the symptom did not improve. On the other hand, he had no recent loss of appetite or body weight, nor night sweats.</w:t>
      </w:r>
    </w:p>
    <w:p w14:paraId="1F629B98" w14:textId="77777777" w:rsidR="00A77B3E" w:rsidRPr="00D41996" w:rsidRDefault="00A77B3E" w:rsidP="00D41996">
      <w:pPr>
        <w:snapToGrid w:val="0"/>
        <w:spacing w:line="360" w:lineRule="auto"/>
        <w:jc w:val="both"/>
        <w:rPr>
          <w:rFonts w:ascii="Book Antiqua" w:hAnsi="Book Antiqua"/>
        </w:rPr>
      </w:pPr>
    </w:p>
    <w:p w14:paraId="24F7E9FE"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i/>
          <w:color w:val="000000"/>
        </w:rPr>
        <w:t>History of past illness</w:t>
      </w:r>
    </w:p>
    <w:p w14:paraId="55D86B98" w14:textId="6E134E93"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The patient’s medical history included a splenectomy due to traffic injury, an old right cerebral infarction from when he was 74</w:t>
      </w:r>
      <w:r w:rsidR="00DE489B">
        <w:rPr>
          <w:rFonts w:ascii="Book Antiqua" w:eastAsia="Book Antiqua" w:hAnsi="Book Antiqua" w:cs="Book Antiqua"/>
          <w:color w:val="000000"/>
        </w:rPr>
        <w:t>-</w:t>
      </w:r>
      <w:r w:rsidRPr="00D41996">
        <w:rPr>
          <w:rFonts w:ascii="Book Antiqua" w:eastAsia="Book Antiqua" w:hAnsi="Book Antiqua" w:cs="Book Antiqua"/>
          <w:color w:val="000000"/>
        </w:rPr>
        <w:t>years</w:t>
      </w:r>
      <w:r w:rsidR="00DE489B">
        <w:rPr>
          <w:rFonts w:ascii="Book Antiqua" w:eastAsia="Book Antiqua" w:hAnsi="Book Antiqua" w:cs="Book Antiqua"/>
          <w:color w:val="000000"/>
        </w:rPr>
        <w:t>-</w:t>
      </w:r>
      <w:r w:rsidRPr="00D41996">
        <w:rPr>
          <w:rFonts w:ascii="Book Antiqua" w:eastAsia="Book Antiqua" w:hAnsi="Book Antiqua" w:cs="Book Antiqua"/>
          <w:color w:val="000000"/>
        </w:rPr>
        <w:t>old, hypertension, type 2 diabetes mellitus, and constipation. He was given 15 mg of mosapride, 75 mg of clopidogrel, 20 mg of esomeprazole magnesium, 4 mg of benidipine, 5 mg of linagliptin, 1500 mg of metformin, and 24 µg of lubiprostone on a regular basis.</w:t>
      </w:r>
    </w:p>
    <w:p w14:paraId="6AA49A81" w14:textId="77777777" w:rsidR="00A77B3E" w:rsidRPr="00D41996" w:rsidRDefault="00A77B3E" w:rsidP="00D41996">
      <w:pPr>
        <w:snapToGrid w:val="0"/>
        <w:spacing w:line="360" w:lineRule="auto"/>
        <w:jc w:val="both"/>
        <w:rPr>
          <w:rFonts w:ascii="Book Antiqua" w:hAnsi="Book Antiqua"/>
        </w:rPr>
      </w:pPr>
    </w:p>
    <w:p w14:paraId="47C84378"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i/>
          <w:color w:val="000000"/>
        </w:rPr>
        <w:t>Personal and family history</w:t>
      </w:r>
    </w:p>
    <w:p w14:paraId="68D12F0E"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The patient had no history of smoking or drinking alcohol. He did not undergo regular medical exams. The patient had previously been a carpenter, but was no longer employed. He had no food or drug allergies. He did not need any </w:t>
      </w:r>
      <w:r w:rsidRPr="00D41996">
        <w:rPr>
          <w:rFonts w:ascii="Book Antiqua" w:eastAsia="Book Antiqua" w:hAnsi="Book Antiqua" w:cs="Book Antiqua"/>
          <w:color w:val="000000"/>
        </w:rPr>
        <w:lastRenderedPageBreak/>
        <w:t>assistance for everyday life activities. He had a family of six, and presented no family history of malignant disease.</w:t>
      </w:r>
    </w:p>
    <w:p w14:paraId="3C070B78" w14:textId="77777777" w:rsidR="00A77B3E" w:rsidRPr="00D41996" w:rsidRDefault="00A77B3E" w:rsidP="00D41996">
      <w:pPr>
        <w:snapToGrid w:val="0"/>
        <w:spacing w:line="360" w:lineRule="auto"/>
        <w:jc w:val="both"/>
        <w:rPr>
          <w:rFonts w:ascii="Book Antiqua" w:hAnsi="Book Antiqua"/>
        </w:rPr>
      </w:pPr>
    </w:p>
    <w:p w14:paraId="754FDD32"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i/>
          <w:color w:val="000000"/>
        </w:rPr>
        <w:t>Physical examination</w:t>
      </w:r>
    </w:p>
    <w:p w14:paraId="13E5C8DE"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The patient was 165 cm tall and weighed 60 kg. His vital signs were normal, with blood pressure of 137/82 mmHg, heart rate of 75 regular beats/min, body temperature of 36.1 °C, oxygen saturation of 98% in ambient air, and respiratory rate of 16/min; his Glasgow Coma Scale score was 15 points (E4V5M6). Nothing else abnormal was detected upon physical examination, including skin or neurological findings.</w:t>
      </w:r>
    </w:p>
    <w:p w14:paraId="7157B04E" w14:textId="77777777" w:rsidR="00A77B3E" w:rsidRPr="00D41996" w:rsidRDefault="00A77B3E" w:rsidP="00D41996">
      <w:pPr>
        <w:snapToGrid w:val="0"/>
        <w:spacing w:line="360" w:lineRule="auto"/>
        <w:jc w:val="both"/>
        <w:rPr>
          <w:rFonts w:ascii="Book Antiqua" w:hAnsi="Book Antiqua"/>
        </w:rPr>
      </w:pPr>
    </w:p>
    <w:p w14:paraId="4C13A15D"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i/>
          <w:color w:val="000000"/>
        </w:rPr>
        <w:t>Laboratory examinations</w:t>
      </w:r>
    </w:p>
    <w:p w14:paraId="28223E89"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A routine laboratory examination revealed increased values for white blood cells, proportions of monocyte and basophil, calcium, lactate dehydrogenase, plasma glucose, glycated hemoglobin, C-reactive protein, erythropoietin, immunoglobulin G, immunoglobulin A, fibrinogen, d-dimer and decreased values of red blood cells, hemoglobin, hematocrit, proportion of neutrophil, lymphocyte, eosinophil, platelets, sodium, albumin, high-density lipoprotein cholesterol, zinc, thyroid stimulating hormone, free triiodothyronine, and free thyroxine. On the other hand, other tests had normal results, including biochemistry, urine qualitative and sediment, and two fecal occult blood tests (Table 1).</w:t>
      </w:r>
    </w:p>
    <w:p w14:paraId="44C5C7C4" w14:textId="77777777" w:rsidR="00A77B3E" w:rsidRPr="00D41996" w:rsidRDefault="00A77B3E" w:rsidP="00D41996">
      <w:pPr>
        <w:snapToGrid w:val="0"/>
        <w:spacing w:line="360" w:lineRule="auto"/>
        <w:jc w:val="both"/>
        <w:rPr>
          <w:rFonts w:ascii="Book Antiqua" w:hAnsi="Book Antiqua"/>
        </w:rPr>
      </w:pPr>
    </w:p>
    <w:p w14:paraId="728D744E"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i/>
          <w:color w:val="000000"/>
        </w:rPr>
        <w:t>Imaging examinations</w:t>
      </w:r>
    </w:p>
    <w:p w14:paraId="37B3C6D4" w14:textId="25409F45" w:rsidR="00A77B3E" w:rsidRPr="00D41996" w:rsidRDefault="00B51EDC" w:rsidP="00D41996">
      <w:pPr>
        <w:snapToGrid w:val="0"/>
        <w:spacing w:line="360" w:lineRule="auto"/>
        <w:jc w:val="both"/>
        <w:rPr>
          <w:rFonts w:ascii="Book Antiqua" w:hAnsi="Book Antiqua"/>
        </w:rPr>
      </w:pPr>
      <w:bookmarkStart w:id="12" w:name="OLE_LINK13"/>
      <w:bookmarkStart w:id="13" w:name="OLE_LINK14"/>
      <w:r w:rsidRPr="00D41996">
        <w:rPr>
          <w:rFonts w:ascii="Book Antiqua" w:eastAsia="Book Antiqua" w:hAnsi="Book Antiqua" w:cs="Book Antiqua"/>
          <w:color w:val="000000"/>
        </w:rPr>
        <w:t>A plain head computed tomography (CT) scan revealed a 3</w:t>
      </w:r>
      <w:r w:rsidR="001B01C9" w:rsidRPr="00D41996">
        <w:rPr>
          <w:rFonts w:ascii="Book Antiqua" w:eastAsia="Book Antiqua" w:hAnsi="Book Antiqua" w:cs="Book Antiqua"/>
          <w:color w:val="000000"/>
        </w:rPr>
        <w:t xml:space="preserve"> cm </w:t>
      </w:r>
      <w:r w:rsidRPr="00D41996">
        <w:rPr>
          <w:rFonts w:ascii="Book Antiqua" w:eastAsia="Book Antiqua" w:hAnsi="Book Antiqua" w:cs="Book Antiqua"/>
          <w:color w:val="000000"/>
        </w:rPr>
        <w:t>× 3.1</w:t>
      </w:r>
      <w:r w:rsidR="001B01C9" w:rsidRPr="00D41996">
        <w:rPr>
          <w:rFonts w:ascii="Book Antiqua" w:eastAsia="Book Antiqua" w:hAnsi="Book Antiqua" w:cs="Book Antiqua"/>
          <w:color w:val="000000"/>
        </w:rPr>
        <w:t xml:space="preserve"> cm</w:t>
      </w:r>
      <w:r w:rsidRPr="00D41996">
        <w:rPr>
          <w:rFonts w:ascii="Book Antiqua" w:eastAsia="Book Antiqua" w:hAnsi="Book Antiqua" w:cs="Book Antiqua"/>
          <w:color w:val="000000"/>
        </w:rPr>
        <w:t xml:space="preserve"> × 3 cm sized left MS in the patient, completely filled with mass, with a partially high-density area confirmed inside (Figure 1).</w:t>
      </w:r>
    </w:p>
    <w:bookmarkEnd w:id="12"/>
    <w:bookmarkEnd w:id="13"/>
    <w:p w14:paraId="06DF7B7A" w14:textId="77777777" w:rsidR="00A77B3E" w:rsidRPr="00D41996" w:rsidRDefault="00A77B3E" w:rsidP="00D41996">
      <w:pPr>
        <w:snapToGrid w:val="0"/>
        <w:spacing w:line="360" w:lineRule="auto"/>
        <w:jc w:val="both"/>
        <w:rPr>
          <w:rFonts w:ascii="Book Antiqua" w:hAnsi="Book Antiqua"/>
        </w:rPr>
      </w:pPr>
    </w:p>
    <w:p w14:paraId="46909D3C" w14:textId="7DA968E8" w:rsidR="00A77B3E" w:rsidRPr="00D41996" w:rsidRDefault="001B01C9" w:rsidP="00D41996">
      <w:pPr>
        <w:snapToGrid w:val="0"/>
        <w:spacing w:line="360" w:lineRule="auto"/>
        <w:jc w:val="both"/>
        <w:rPr>
          <w:rFonts w:ascii="Book Antiqua" w:hAnsi="Book Antiqua"/>
        </w:rPr>
      </w:pPr>
      <w:r w:rsidRPr="00D41996">
        <w:rPr>
          <w:rFonts w:ascii="Book Antiqua" w:eastAsia="Book Antiqua" w:hAnsi="Book Antiqua" w:cs="Book Antiqua"/>
          <w:b/>
          <w:bCs/>
          <w:i/>
          <w:color w:val="000000"/>
        </w:rPr>
        <w:t>Further diagnostic work-up</w:t>
      </w:r>
    </w:p>
    <w:p w14:paraId="34ECDD31" w14:textId="4634D444"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lastRenderedPageBreak/>
        <w:t xml:space="preserve">The patient was referred to an otolaryngologist. At this point, the otolaryngologist suspected a diagnosis of malignant melanoma. On the other hand, she also considered a biopsy under general anesthesia to be very risky due to the patient’s advanced age. Therefore, she made an appointment for a follow-up CT </w:t>
      </w:r>
      <w:r w:rsidR="00DE489B">
        <w:rPr>
          <w:rFonts w:ascii="Book Antiqua" w:eastAsia="Book Antiqua" w:hAnsi="Book Antiqua" w:cs="Book Antiqua"/>
          <w:color w:val="000000"/>
        </w:rPr>
        <w:t>2 mo</w:t>
      </w:r>
      <w:r w:rsidRPr="00D41996">
        <w:rPr>
          <w:rFonts w:ascii="Book Antiqua" w:eastAsia="Book Antiqua" w:hAnsi="Book Antiqua" w:cs="Book Antiqua"/>
          <w:color w:val="000000"/>
        </w:rPr>
        <w:t xml:space="preserve"> later. Following this, left diplopia and ptosis occurred on day 25, and they persisted, so the patient visited our hospital on day 31. A physical examination confirmed left ptosis (Figure 2A). Additionally, when we opened his eyes passively, hyperexophoria of the left eye was confirmed (Figure 2B). A follow-up CT performed on the same day revealed the growth of the left MS mass, together with oppression and involvement of the orbital base, and the destruction of the anterior, internal, and external walls. An MS biopsy was performed on day 50, after a </w:t>
      </w:r>
      <w:r w:rsidR="00DE489B">
        <w:rPr>
          <w:rFonts w:ascii="Book Antiqua" w:eastAsia="Book Antiqua" w:hAnsi="Book Antiqua" w:cs="Book Antiqua"/>
          <w:color w:val="000000"/>
        </w:rPr>
        <w:t>7</w:t>
      </w:r>
      <w:r w:rsidRPr="00D41996">
        <w:rPr>
          <w:rFonts w:ascii="Book Antiqua" w:eastAsia="Book Antiqua" w:hAnsi="Book Antiqua" w:cs="Book Antiqua"/>
          <w:color w:val="000000"/>
        </w:rPr>
        <w:t xml:space="preserve">-d washout period. The hematoxylin and eosin stain pathological findings revealed the following: </w:t>
      </w:r>
      <w:r w:rsidR="009F1022">
        <w:rPr>
          <w:rFonts w:ascii="Book Antiqua" w:eastAsia="Book Antiqua" w:hAnsi="Book Antiqua" w:cs="Book Antiqua"/>
          <w:color w:val="000000"/>
        </w:rPr>
        <w:t xml:space="preserve">(1) </w:t>
      </w:r>
      <w:r w:rsidRPr="00D41996">
        <w:rPr>
          <w:rFonts w:ascii="Book Antiqua" w:eastAsia="Book Antiqua" w:hAnsi="Book Antiqua" w:cs="Book Antiqua"/>
          <w:color w:val="000000"/>
        </w:rPr>
        <w:t xml:space="preserve">Aggregates of large, atypical lymphocytes with irregular nuclei with uneven chromatin, and small to large nucleoli evident in a necrotic background; </w:t>
      </w:r>
      <w:r w:rsidR="009F1022">
        <w:rPr>
          <w:rFonts w:ascii="Book Antiqua" w:eastAsia="Book Antiqua" w:hAnsi="Book Antiqua" w:cs="Book Antiqua"/>
          <w:color w:val="000000"/>
        </w:rPr>
        <w:t xml:space="preserve">(2) </w:t>
      </w:r>
      <w:r w:rsidRPr="00D41996">
        <w:rPr>
          <w:rFonts w:ascii="Book Antiqua" w:eastAsia="Book Antiqua" w:hAnsi="Book Antiqua" w:cs="Book Antiqua"/>
          <w:color w:val="000000"/>
        </w:rPr>
        <w:t xml:space="preserve">some cells showed multilobulated nuclei; and </w:t>
      </w:r>
      <w:r w:rsidR="009F1022">
        <w:rPr>
          <w:rFonts w:ascii="Book Antiqua" w:eastAsia="Book Antiqua" w:hAnsi="Book Antiqua" w:cs="Book Antiqua"/>
          <w:color w:val="000000"/>
        </w:rPr>
        <w:t xml:space="preserve">(3) </w:t>
      </w:r>
      <w:r w:rsidRPr="00D41996">
        <w:rPr>
          <w:rFonts w:ascii="Book Antiqua" w:eastAsia="Book Antiqua" w:hAnsi="Book Antiqua" w:cs="Book Antiqua"/>
          <w:color w:val="000000"/>
        </w:rPr>
        <w:t>mitosis and apoptotic bodies were conspicuous (Figure 3A). Immunohistochemical staining revealed positive results for cluster of differentiation (CD) 20-positive cells, bcl-6-positive cells, and MU</w:t>
      </w:r>
      <w:r w:rsidR="001B01C9" w:rsidRPr="00D41996">
        <w:rPr>
          <w:rFonts w:ascii="Book Antiqua" w:eastAsia="Book Antiqua" w:hAnsi="Book Antiqua" w:cs="Book Antiqua"/>
          <w:color w:val="000000"/>
        </w:rPr>
        <w:t>M1-positive cells (Figures 3B-</w:t>
      </w:r>
      <w:r w:rsidRPr="00D41996">
        <w:rPr>
          <w:rFonts w:ascii="Book Antiqua" w:eastAsia="Book Antiqua" w:hAnsi="Book Antiqua" w:cs="Book Antiqua"/>
          <w:color w:val="000000"/>
        </w:rPr>
        <w:t xml:space="preserve">D, respectively). It also revealed negative results for </w:t>
      </w:r>
      <w:r w:rsidR="009F1022">
        <w:rPr>
          <w:rFonts w:ascii="Book Antiqua" w:eastAsia="Book Antiqua" w:hAnsi="Book Antiqua" w:cs="Book Antiqua"/>
          <w:color w:val="000000"/>
        </w:rPr>
        <w:t xml:space="preserve">the </w:t>
      </w:r>
      <w:r w:rsidRPr="00D41996">
        <w:rPr>
          <w:rFonts w:ascii="Book Antiqua" w:eastAsia="Book Antiqua" w:hAnsi="Book Antiqua" w:cs="Book Antiqua"/>
          <w:color w:val="000000"/>
        </w:rPr>
        <w:t>T cell marker</w:t>
      </w:r>
      <w:r w:rsidR="009F1022">
        <w:rPr>
          <w:rFonts w:ascii="Book Antiqua" w:eastAsia="Book Antiqua" w:hAnsi="Book Antiqua" w:cs="Book Antiqua"/>
          <w:color w:val="000000"/>
        </w:rPr>
        <w:t>s</w:t>
      </w:r>
      <w:r w:rsidR="009F1022" w:rsidRPr="00D41996">
        <w:rPr>
          <w:rFonts w:ascii="Book Antiqua" w:eastAsia="Book Antiqua" w:hAnsi="Book Antiqua" w:cs="Book Antiqua"/>
          <w:color w:val="000000"/>
        </w:rPr>
        <w:t xml:space="preserve"> </w:t>
      </w:r>
      <w:r w:rsidRPr="00D41996">
        <w:rPr>
          <w:rFonts w:ascii="Book Antiqua" w:eastAsia="Book Antiqua" w:hAnsi="Book Antiqua" w:cs="Book Antiqua"/>
          <w:color w:val="000000"/>
        </w:rPr>
        <w:t xml:space="preserve">CD3, CD7, and CD45RO. </w:t>
      </w:r>
      <w:r w:rsidR="009F1022">
        <w:rPr>
          <w:rFonts w:ascii="Book Antiqua" w:eastAsia="Book Antiqua" w:hAnsi="Book Antiqua" w:cs="Book Antiqua"/>
          <w:color w:val="000000"/>
        </w:rPr>
        <w:t>A g</w:t>
      </w:r>
      <w:r w:rsidRPr="00D41996">
        <w:rPr>
          <w:rFonts w:ascii="Book Antiqua" w:eastAsia="Book Antiqua" w:hAnsi="Book Antiqua" w:cs="Book Antiqua"/>
          <w:color w:val="000000"/>
        </w:rPr>
        <w:t>enetic test was not performed. Here, we excluded the possibility for T cell origin</w:t>
      </w:r>
      <w:r w:rsidR="009F1022">
        <w:rPr>
          <w:rFonts w:ascii="Book Antiqua" w:eastAsia="Book Antiqua" w:hAnsi="Book Antiqua" w:cs="Book Antiqua"/>
          <w:color w:val="000000"/>
        </w:rPr>
        <w:t>,</w:t>
      </w:r>
      <w:r w:rsidRPr="00D41996">
        <w:rPr>
          <w:rFonts w:ascii="Book Antiqua" w:eastAsia="Book Antiqua" w:hAnsi="Book Antiqua" w:cs="Book Antiqua"/>
          <w:color w:val="000000"/>
        </w:rPr>
        <w:t xml:space="preserve"> as well as for the sinus/nasal origin</w:t>
      </w:r>
      <w:r w:rsidR="009F1022">
        <w:rPr>
          <w:rFonts w:ascii="Book Antiqua" w:eastAsia="Book Antiqua" w:hAnsi="Book Antiqua" w:cs="Book Antiqua"/>
          <w:color w:val="000000"/>
        </w:rPr>
        <w:t>,</w:t>
      </w:r>
      <w:r w:rsidRPr="00D41996">
        <w:rPr>
          <w:rFonts w:ascii="Book Antiqua" w:eastAsia="Book Antiqua" w:hAnsi="Book Antiqua" w:cs="Book Antiqua"/>
          <w:color w:val="000000"/>
        </w:rPr>
        <w:t xml:space="preserve"> and established a definitive diagnosis of DLBCL, non-germinal center B-cell-like (GCB) originating from the left MS.</w:t>
      </w:r>
    </w:p>
    <w:p w14:paraId="7DEE64D5" w14:textId="12DB8995"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We prepared systemic chemotherapy with rituximab plus cyclophosphamide, doxorubicin, vincristine, and prednisone (R-CHOP), but the patient was admitted on day 62 due to rapid deterioration of his condition. During the physical examination, he could not open his left eye due to the circumocular swelling (Figure 2C). In addition, multiple skin tumors were confirmed on the chest and abdomen</w:t>
      </w:r>
      <w:r w:rsidR="001B01C9" w:rsidRPr="00D41996">
        <w:rPr>
          <w:rFonts w:ascii="Book Antiqua" w:eastAsia="Book Antiqua" w:hAnsi="Book Antiqua" w:cs="Book Antiqua"/>
          <w:color w:val="000000"/>
        </w:rPr>
        <w:t xml:space="preserve"> of the patient (Figure 2D and </w:t>
      </w:r>
      <w:r w:rsidRPr="00D41996">
        <w:rPr>
          <w:rFonts w:ascii="Book Antiqua" w:eastAsia="Book Antiqua" w:hAnsi="Book Antiqua" w:cs="Book Antiqua"/>
          <w:color w:val="000000"/>
        </w:rPr>
        <w:t xml:space="preserve">E, respectively). A plain CT </w:t>
      </w:r>
      <w:r w:rsidRPr="00D41996">
        <w:rPr>
          <w:rFonts w:ascii="Book Antiqua" w:eastAsia="Book Antiqua" w:hAnsi="Book Antiqua" w:cs="Book Antiqua"/>
          <w:color w:val="000000"/>
        </w:rPr>
        <w:lastRenderedPageBreak/>
        <w:t>scan revealed the following: growth of the left MS mass, together with oppression and involvement of the orbital base, destruction of the anterior, internal, and external walls, and protuberance outside (Figure 4A); multiple tumors (0.5</w:t>
      </w:r>
      <w:r w:rsidR="000B7321">
        <w:rPr>
          <w:rFonts w:ascii="Book Antiqua" w:eastAsia="Book Antiqua" w:hAnsi="Book Antiqua" w:cs="Book Antiqua"/>
          <w:color w:val="000000"/>
        </w:rPr>
        <w:t>-</w:t>
      </w:r>
      <w:r w:rsidRPr="00D41996">
        <w:rPr>
          <w:rFonts w:ascii="Book Antiqua" w:eastAsia="Book Antiqua" w:hAnsi="Book Antiqua" w:cs="Book Antiqua"/>
          <w:color w:val="000000"/>
        </w:rPr>
        <w:t>1.5 cm in size) in both lungs (Figure 4B); multiple subcutaneous tumors and chest wall tumors (Figure 4C); abdominal paraaortic lymph node swelling (3 cm in size) and left kidney nodule (1</w:t>
      </w:r>
      <w:r w:rsidR="000B7321">
        <w:rPr>
          <w:rFonts w:ascii="Book Antiqua" w:eastAsia="Book Antiqua" w:hAnsi="Book Antiqua" w:cs="Book Antiqua"/>
          <w:color w:val="000000"/>
        </w:rPr>
        <w:t>-</w:t>
      </w:r>
      <w:r w:rsidRPr="00D41996">
        <w:rPr>
          <w:rFonts w:ascii="Book Antiqua" w:eastAsia="Book Antiqua" w:hAnsi="Book Antiqua" w:cs="Book Antiqua"/>
          <w:color w:val="000000"/>
        </w:rPr>
        <w:t>2 cm in size) (Figure 4D). He was referred to a dermatologist on the same day, and a skin biopsy was later performed on day 70. The histopathological images of the biopsy specimen from the skin mass were found to be the same as those of the left MS mass (Figures 5A</w:t>
      </w:r>
      <w:r w:rsidR="001B01C9" w:rsidRPr="00D41996">
        <w:rPr>
          <w:rFonts w:ascii="Book Antiqua" w:eastAsia="Book Antiqua" w:hAnsi="Book Antiqua" w:cs="Book Antiqua"/>
          <w:color w:val="000000"/>
        </w:rPr>
        <w:t>-</w:t>
      </w:r>
      <w:r w:rsidRPr="00D41996">
        <w:rPr>
          <w:rFonts w:ascii="Book Antiqua" w:eastAsia="Book Antiqua" w:hAnsi="Book Antiqua" w:cs="Book Antiqua"/>
          <w:color w:val="000000"/>
        </w:rPr>
        <w:t>C). The measured value of the soluble interle</w:t>
      </w:r>
      <w:r w:rsidR="001B01C9" w:rsidRPr="00D41996">
        <w:rPr>
          <w:rFonts w:ascii="Book Antiqua" w:eastAsia="Book Antiqua" w:hAnsi="Book Antiqua" w:cs="Book Antiqua"/>
          <w:color w:val="000000"/>
        </w:rPr>
        <w:t>ukin-2 receptor on day 77 was 8</w:t>
      </w:r>
      <w:r w:rsidRPr="00D41996">
        <w:rPr>
          <w:rFonts w:ascii="Book Antiqua" w:eastAsia="Book Antiqua" w:hAnsi="Book Antiqua" w:cs="Book Antiqua"/>
          <w:color w:val="000000"/>
        </w:rPr>
        <w:t>063 U/mL, and BRAFV600E mutation was negative.</w:t>
      </w:r>
    </w:p>
    <w:p w14:paraId="3D9F3CE2" w14:textId="77777777" w:rsidR="00A77B3E" w:rsidRPr="00D41996" w:rsidRDefault="00A77B3E" w:rsidP="00CF235A">
      <w:pPr>
        <w:snapToGrid w:val="0"/>
        <w:spacing w:line="360" w:lineRule="auto"/>
        <w:jc w:val="both"/>
        <w:rPr>
          <w:rFonts w:ascii="Book Antiqua" w:hAnsi="Book Antiqua"/>
        </w:rPr>
      </w:pPr>
    </w:p>
    <w:p w14:paraId="20EF8D89"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aps/>
          <w:color w:val="000000"/>
          <w:u w:val="single"/>
        </w:rPr>
        <w:t>FINAL DIAGNOSIS</w:t>
      </w:r>
    </w:p>
    <w:p w14:paraId="211575AC"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We established a definitive diagnosis of DLBCL, non-GCB, originating from the left MS, with rapidly occurrent multiple skin, left kidney, and abdominal paraaortic lymph node metastasis.</w:t>
      </w:r>
    </w:p>
    <w:p w14:paraId="4F50041A" w14:textId="77777777" w:rsidR="00A77B3E" w:rsidRPr="00D41996" w:rsidRDefault="00A77B3E" w:rsidP="00D41996">
      <w:pPr>
        <w:snapToGrid w:val="0"/>
        <w:spacing w:line="360" w:lineRule="auto"/>
        <w:jc w:val="both"/>
        <w:rPr>
          <w:rFonts w:ascii="Book Antiqua" w:hAnsi="Book Antiqua"/>
        </w:rPr>
      </w:pPr>
    </w:p>
    <w:p w14:paraId="4BBA3143"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aps/>
          <w:color w:val="000000"/>
          <w:u w:val="single"/>
        </w:rPr>
        <w:t>TREATMENT</w:t>
      </w:r>
    </w:p>
    <w:p w14:paraId="4100ACAF"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We notified the patient and his family of the disease, and they opted for palliative care, considering his condition and age.</w:t>
      </w:r>
    </w:p>
    <w:p w14:paraId="51ED8B24" w14:textId="77777777" w:rsidR="00A77B3E" w:rsidRPr="00D41996" w:rsidRDefault="00A77B3E" w:rsidP="00D41996">
      <w:pPr>
        <w:snapToGrid w:val="0"/>
        <w:spacing w:line="360" w:lineRule="auto"/>
        <w:jc w:val="both"/>
        <w:rPr>
          <w:rFonts w:ascii="Book Antiqua" w:hAnsi="Book Antiqua"/>
        </w:rPr>
      </w:pPr>
    </w:p>
    <w:p w14:paraId="20FFCE8E"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aps/>
          <w:color w:val="000000"/>
          <w:u w:val="single"/>
        </w:rPr>
        <w:t>OUTCOME AND FOLLOW-UP</w:t>
      </w:r>
    </w:p>
    <w:p w14:paraId="10A3D556"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The patient died on day 80. An autopsy CT was performed to confirm the cause of death, and it revealed the same findings as on day 62. However, the tumors on the skin had decreased in size. The clinical course of the patient is shown in Figure 6.</w:t>
      </w:r>
    </w:p>
    <w:p w14:paraId="783BFD1C" w14:textId="77777777" w:rsidR="00A77B3E" w:rsidRPr="00D41996" w:rsidRDefault="00A77B3E" w:rsidP="00D41996">
      <w:pPr>
        <w:snapToGrid w:val="0"/>
        <w:spacing w:line="360" w:lineRule="auto"/>
        <w:jc w:val="both"/>
        <w:rPr>
          <w:rFonts w:ascii="Book Antiqua" w:hAnsi="Book Antiqua"/>
        </w:rPr>
      </w:pPr>
    </w:p>
    <w:p w14:paraId="306A1635"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aps/>
          <w:color w:val="000000"/>
          <w:u w:val="single"/>
        </w:rPr>
        <w:t>DISCUSSION</w:t>
      </w:r>
    </w:p>
    <w:p w14:paraId="70E2AC9E" w14:textId="73BFFF0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lastRenderedPageBreak/>
        <w:t xml:space="preserve">We have presented the first known case of DLBCL originating from the MS with rapidly occurrent multiple skin metastases. Another interesting finding was that the tumor progressed very rapidly, disseminating to the patient’s entire body, including the skin, and the patient died only </w:t>
      </w:r>
      <w:r w:rsidR="00DE489B">
        <w:rPr>
          <w:rFonts w:ascii="Book Antiqua" w:eastAsia="Book Antiqua" w:hAnsi="Book Antiqua" w:cs="Book Antiqua"/>
          <w:color w:val="000000"/>
        </w:rPr>
        <w:t>3 mo</w:t>
      </w:r>
      <w:r w:rsidRPr="00D41996">
        <w:rPr>
          <w:rFonts w:ascii="Book Antiqua" w:eastAsia="Book Antiqua" w:hAnsi="Book Antiqua" w:cs="Book Antiqua"/>
          <w:color w:val="000000"/>
        </w:rPr>
        <w:t xml:space="preserve"> after the first appearance of symptoms. This type of rapidly progressive DLBCL case is very rare, and there is value in reporting this event.</w:t>
      </w:r>
    </w:p>
    <w:p w14:paraId="43052089" w14:textId="77777777"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DLBCL is remarkably heterogeneous at the clinical, genetic, and molecular levels, and the heterogeneous subtypes it contains have a variety of molecular dysregulations at the genetic, protein, and microRNA levels</w:t>
      </w:r>
      <w:r w:rsidRPr="00D41996">
        <w:rPr>
          <w:rFonts w:ascii="Book Antiqua" w:eastAsia="Book Antiqua" w:hAnsi="Book Antiqua" w:cs="Book Antiqua"/>
          <w:color w:val="000000"/>
          <w:vertAlign w:val="superscript"/>
        </w:rPr>
        <w:t>[6,19]</w:t>
      </w:r>
      <w:r w:rsidRPr="00D41996">
        <w:rPr>
          <w:rFonts w:ascii="Book Antiqua" w:eastAsia="Book Antiqua" w:hAnsi="Book Antiqua" w:cs="Book Antiqua"/>
          <w:color w:val="000000"/>
        </w:rPr>
        <w:t>. The clinical presentation of the patient is a particularly important feature, as it can help serve to differentiate inflammatory processes or other etiologies from neoplastic processes in the bones</w:t>
      </w:r>
      <w:r w:rsidRPr="00D41996">
        <w:rPr>
          <w:rFonts w:ascii="Book Antiqua" w:eastAsia="Book Antiqua" w:hAnsi="Book Antiqua" w:cs="Book Antiqua"/>
          <w:color w:val="000000"/>
          <w:vertAlign w:val="superscript"/>
        </w:rPr>
        <w:t>[20]</w:t>
      </w:r>
      <w:r w:rsidRPr="00D41996">
        <w:rPr>
          <w:rFonts w:ascii="Book Antiqua" w:eastAsia="Book Antiqua" w:hAnsi="Book Antiqua" w:cs="Book Antiqua"/>
          <w:color w:val="000000"/>
        </w:rPr>
        <w:t>. For DLBCL originating from the MS, the most common presenting symptoms are a mildly painful swelling of the unilateral maxilla, nasal obstruction, stuffiness, pain, mucopurulent rhinorrhea, recurrent epistaxis, diplopia, and rapidly enlarging masses, often with both local and systemic symptoms (such as fever, recurrent night sweats, or weight loss)</w:t>
      </w:r>
      <w:r w:rsidRPr="00D41996">
        <w:rPr>
          <w:rFonts w:ascii="Book Antiqua" w:eastAsia="Book Antiqua" w:hAnsi="Book Antiqua" w:cs="Book Antiqua"/>
          <w:color w:val="000000"/>
          <w:vertAlign w:val="superscript"/>
        </w:rPr>
        <w:t>[1,11,13,21,22]</w:t>
      </w:r>
      <w:r w:rsidRPr="00D41996">
        <w:rPr>
          <w:rFonts w:ascii="Book Antiqua" w:eastAsia="Book Antiqua" w:hAnsi="Book Antiqua" w:cs="Book Antiqua"/>
          <w:color w:val="000000"/>
        </w:rPr>
        <w:t>. Other, less commonly reported symptoms include palatal ulcer, chronic periodontal abscess, and persistent toothache</w:t>
      </w:r>
      <w:r w:rsidRPr="00D41996">
        <w:rPr>
          <w:rFonts w:ascii="Book Antiqua" w:eastAsia="Book Antiqua" w:hAnsi="Book Antiqua" w:cs="Book Antiqua"/>
          <w:color w:val="000000"/>
          <w:vertAlign w:val="superscript"/>
        </w:rPr>
        <w:t>[23,24]</w:t>
      </w:r>
      <w:r w:rsidRPr="00D41996">
        <w:rPr>
          <w:rFonts w:ascii="Book Antiqua" w:eastAsia="Book Antiqua" w:hAnsi="Book Antiqua" w:cs="Book Antiqua"/>
          <w:color w:val="000000"/>
        </w:rPr>
        <w:t>. Additionally, according to a radiographic imaging study of DLBCL originating from the MS, common findings included a discrete mass (59%), sinus opacification (53%), and/or bony erosion (35%)</w:t>
      </w:r>
      <w:r w:rsidRPr="00D41996">
        <w:rPr>
          <w:rFonts w:ascii="Book Antiqua" w:eastAsia="Book Antiqua" w:hAnsi="Book Antiqua" w:cs="Book Antiqua"/>
          <w:color w:val="000000"/>
          <w:vertAlign w:val="superscript"/>
        </w:rPr>
        <w:t>[11]</w:t>
      </w:r>
      <w:r w:rsidRPr="00D41996">
        <w:rPr>
          <w:rFonts w:ascii="Book Antiqua" w:eastAsia="Book Antiqua" w:hAnsi="Book Antiqua" w:cs="Book Antiqua"/>
          <w:color w:val="000000"/>
        </w:rPr>
        <w:t>. Regarding symptoms and CT findings, our case is comparable to DLBCL originating from the MS. On the other hand, we should have included soluble interleukin-2 receptor as a routine laboratory examination on first visit, and repeated that examination. Had we done so, we might have reached the DLBCL diagnosis and started treatment without delay.</w:t>
      </w:r>
    </w:p>
    <w:p w14:paraId="36BDFA6B" w14:textId="77777777"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DLBCL can be divided into GCB and non-GCB phenotypes, based on CD10, bcl-</w:t>
      </w:r>
      <w:r w:rsidRPr="00D41996">
        <w:rPr>
          <w:rFonts w:ascii="Book Antiqua" w:eastAsia="Book Antiqua" w:hAnsi="Book Antiqua" w:cs="Book Antiqua"/>
          <w:i/>
          <w:iCs/>
          <w:color w:val="000000"/>
        </w:rPr>
        <w:t>6</w:t>
      </w:r>
      <w:r w:rsidRPr="00D41996">
        <w:rPr>
          <w:rFonts w:ascii="Book Antiqua" w:eastAsia="Book Antiqua" w:hAnsi="Book Antiqua" w:cs="Book Antiqua"/>
          <w:color w:val="000000"/>
        </w:rPr>
        <w:t>, and MUM1 gene expression</w:t>
      </w:r>
      <w:r w:rsidRPr="00D41996">
        <w:rPr>
          <w:rFonts w:ascii="Book Antiqua" w:eastAsia="Book Antiqua" w:hAnsi="Book Antiqua" w:cs="Book Antiqua"/>
          <w:color w:val="000000"/>
          <w:vertAlign w:val="superscript"/>
        </w:rPr>
        <w:t>[19,25,26]</w:t>
      </w:r>
      <w:r w:rsidRPr="00D41996">
        <w:rPr>
          <w:rFonts w:ascii="Book Antiqua" w:eastAsia="Book Antiqua" w:hAnsi="Book Antiqua" w:cs="Book Antiqua"/>
          <w:color w:val="000000"/>
        </w:rPr>
        <w:t>. Because the Hans algorithm is highly concordant with the results of gene expression profiling, DLBCL is divided into GCB and non-GCB groups, based on the Hans algorithm</w:t>
      </w:r>
      <w:r w:rsidRPr="00D41996">
        <w:rPr>
          <w:rFonts w:ascii="Book Antiqua" w:eastAsia="Book Antiqua" w:hAnsi="Book Antiqua" w:cs="Book Antiqua"/>
          <w:color w:val="000000"/>
          <w:vertAlign w:val="superscript"/>
        </w:rPr>
        <w:t>[8]</w:t>
      </w:r>
      <w:r w:rsidRPr="00D41996">
        <w:rPr>
          <w:rFonts w:ascii="Book Antiqua" w:eastAsia="Book Antiqua" w:hAnsi="Book Antiqua" w:cs="Book Antiqua"/>
          <w:color w:val="000000"/>
        </w:rPr>
        <w:t>. The non-</w:t>
      </w:r>
      <w:r w:rsidRPr="00D41996">
        <w:rPr>
          <w:rFonts w:ascii="Book Antiqua" w:eastAsia="Book Antiqua" w:hAnsi="Book Antiqua" w:cs="Book Antiqua"/>
          <w:color w:val="000000"/>
        </w:rPr>
        <w:lastRenderedPageBreak/>
        <w:t>GCB/activated B cell-like subtype demonstrates frequent progression compared to the GCB subtype, despite standard immunochemotherapy</w:t>
      </w:r>
      <w:r w:rsidRPr="00D41996">
        <w:rPr>
          <w:rFonts w:ascii="Book Antiqua" w:eastAsia="Book Antiqua" w:hAnsi="Book Antiqua" w:cs="Book Antiqua"/>
          <w:color w:val="000000"/>
          <w:vertAlign w:val="superscript"/>
        </w:rPr>
        <w:t>[5,6]</w:t>
      </w:r>
      <w:r w:rsidRPr="00D41996">
        <w:rPr>
          <w:rFonts w:ascii="Book Antiqua" w:eastAsia="Book Antiqua" w:hAnsi="Book Antiqua" w:cs="Book Antiqua"/>
          <w:color w:val="000000"/>
        </w:rPr>
        <w:t>.</w:t>
      </w:r>
    </w:p>
    <w:p w14:paraId="313C9BC3" w14:textId="7A292236"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Accurate COO-based staging should be incorporated into bone marrow (BM) examinations for DLBCL</w:t>
      </w:r>
      <w:r w:rsidRPr="00D41996">
        <w:rPr>
          <w:rFonts w:ascii="Book Antiqua" w:eastAsia="Book Antiqua" w:hAnsi="Book Antiqua" w:cs="Book Antiqua"/>
          <w:color w:val="000000"/>
          <w:vertAlign w:val="superscript"/>
        </w:rPr>
        <w:t>[27]</w:t>
      </w:r>
      <w:r w:rsidRPr="00D41996">
        <w:rPr>
          <w:rFonts w:ascii="Book Antiqua" w:eastAsia="Book Antiqua" w:hAnsi="Book Antiqua" w:cs="Book Antiqua"/>
          <w:color w:val="000000"/>
        </w:rPr>
        <w:t>. In addition, any organ may potentially be involved; ideally, DLBCL is diagnosed through an excisional biopsy of a suspicious lymph node, which will show sheets of large cells disrupting the integrity of the underlying follicle center structure, and will stain positive for CD20, CD79a, and other pan-B-cell antigens</w:t>
      </w:r>
      <w:r w:rsidRPr="00D41996">
        <w:rPr>
          <w:rFonts w:ascii="Book Antiqua" w:eastAsia="Book Antiqua" w:hAnsi="Book Antiqua" w:cs="Book Antiqua"/>
          <w:color w:val="000000"/>
          <w:vertAlign w:val="superscript"/>
        </w:rPr>
        <w:t>[4,5]</w:t>
      </w:r>
      <w:r w:rsidRPr="00D41996">
        <w:rPr>
          <w:rFonts w:ascii="Book Antiqua" w:eastAsia="Book Antiqua" w:hAnsi="Book Antiqua" w:cs="Book Antiqua"/>
          <w:color w:val="000000"/>
        </w:rPr>
        <w:t>. COO is found through histopathology and immunohistochemical stains, while molecular features such as double- or triple-hit diseases are found using fluorescent in situ hybridization analysis</w:t>
      </w:r>
      <w:r w:rsidRPr="00D41996">
        <w:rPr>
          <w:rFonts w:ascii="Book Antiqua" w:eastAsia="Book Antiqua" w:hAnsi="Book Antiqua" w:cs="Book Antiqua"/>
          <w:color w:val="000000"/>
          <w:vertAlign w:val="superscript"/>
        </w:rPr>
        <w:t>[5]</w:t>
      </w:r>
      <w:r w:rsidRPr="00D41996">
        <w:rPr>
          <w:rFonts w:ascii="Book Antiqua" w:eastAsia="Book Antiqua" w:hAnsi="Book Antiqua" w:cs="Book Antiqua"/>
          <w:color w:val="000000"/>
        </w:rPr>
        <w:t>. DLBCL’s immunophenotype classification has a close relationship to local lymph node metastasis, and has been found to possess prognostic significance</w:t>
      </w:r>
      <w:r w:rsidR="00690511">
        <w:rPr>
          <w:rFonts w:ascii="Book Antiqua" w:eastAsia="Book Antiqua" w:hAnsi="Book Antiqua" w:cs="Book Antiqua"/>
          <w:color w:val="000000"/>
        </w:rPr>
        <w:t>.</w:t>
      </w:r>
      <w:r w:rsidR="00690511" w:rsidRPr="00D41996">
        <w:rPr>
          <w:rFonts w:ascii="Book Antiqua" w:eastAsia="Book Antiqua" w:hAnsi="Book Antiqua" w:cs="Book Antiqua"/>
          <w:color w:val="000000"/>
        </w:rPr>
        <w:t xml:space="preserve"> </w:t>
      </w:r>
      <w:r w:rsidR="00690511">
        <w:rPr>
          <w:rFonts w:ascii="Book Antiqua" w:eastAsia="Book Antiqua" w:hAnsi="Book Antiqua" w:cs="Book Antiqua"/>
          <w:color w:val="000000"/>
        </w:rPr>
        <w:t>I</w:t>
      </w:r>
      <w:r w:rsidR="00690511" w:rsidRPr="00D41996">
        <w:rPr>
          <w:rFonts w:ascii="Book Antiqua" w:eastAsia="Book Antiqua" w:hAnsi="Book Antiqua" w:cs="Book Antiqua"/>
          <w:color w:val="000000"/>
        </w:rPr>
        <w:t xml:space="preserve">mmunophenotype </w:t>
      </w:r>
      <w:r w:rsidRPr="00D41996">
        <w:rPr>
          <w:rFonts w:ascii="Book Antiqua" w:eastAsia="Book Antiqua" w:hAnsi="Book Antiqua" w:cs="Book Antiqua"/>
          <w:color w:val="000000"/>
        </w:rPr>
        <w:t>classification has also proven useful for chemotherapy protocol selection</w:t>
      </w:r>
      <w:r w:rsidRPr="00D41996">
        <w:rPr>
          <w:rFonts w:ascii="Book Antiqua" w:eastAsia="Book Antiqua" w:hAnsi="Book Antiqua" w:cs="Book Antiqua"/>
          <w:color w:val="000000"/>
          <w:vertAlign w:val="superscript"/>
        </w:rPr>
        <w:t>[4,26]</w:t>
      </w:r>
      <w:r w:rsidRPr="00D41996">
        <w:rPr>
          <w:rFonts w:ascii="Book Antiqua" w:eastAsia="Book Antiqua" w:hAnsi="Book Antiqua" w:cs="Book Antiqua"/>
          <w:color w:val="000000"/>
        </w:rPr>
        <w:t>. On the other hand, commercial tests for frequently recurring mutations are still not in routine use as a way to inform treatment</w:t>
      </w:r>
      <w:r w:rsidRPr="00D41996">
        <w:rPr>
          <w:rFonts w:ascii="Book Antiqua" w:eastAsia="Book Antiqua" w:hAnsi="Book Antiqua" w:cs="Book Antiqua"/>
          <w:color w:val="000000"/>
          <w:vertAlign w:val="superscript"/>
        </w:rPr>
        <w:t>[5]</w:t>
      </w:r>
      <w:r w:rsidRPr="00D41996">
        <w:rPr>
          <w:rFonts w:ascii="Book Antiqua" w:eastAsia="Book Antiqua" w:hAnsi="Book Antiqua" w:cs="Book Antiqua"/>
          <w:color w:val="000000"/>
        </w:rPr>
        <w:t>. Additionally, imprint cytology may potentially help in detecting DLBCL’s characteristic morphological features</w:t>
      </w:r>
      <w:r w:rsidRPr="00D41996">
        <w:rPr>
          <w:rFonts w:ascii="Book Antiqua" w:eastAsia="Book Antiqua" w:hAnsi="Book Antiqua" w:cs="Book Antiqua"/>
          <w:color w:val="000000"/>
          <w:vertAlign w:val="superscript"/>
        </w:rPr>
        <w:t>[28]</w:t>
      </w:r>
      <w:r w:rsidRPr="00D41996">
        <w:rPr>
          <w:rFonts w:ascii="Book Antiqua" w:eastAsia="Book Antiqua" w:hAnsi="Book Antiqua" w:cs="Book Antiqua"/>
          <w:color w:val="000000"/>
        </w:rPr>
        <w:t>.</w:t>
      </w:r>
    </w:p>
    <w:p w14:paraId="7D3046DA" w14:textId="1037A618"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Though timely diagnosis is critical, misdiagnoses of this disease as being more common reactive or inflammatory lesions, such as infections, are not unusual, with the majority of patients (68%) having an advanced tumor at the time of diagnosis (stage IV of the Ann Arbor classification)</w:t>
      </w:r>
      <w:r w:rsidRPr="00D41996">
        <w:rPr>
          <w:rFonts w:ascii="Book Antiqua" w:eastAsia="Book Antiqua" w:hAnsi="Book Antiqua" w:cs="Book Antiqua"/>
          <w:color w:val="000000"/>
          <w:vertAlign w:val="superscript"/>
        </w:rPr>
        <w:t>[20-23,29]</w:t>
      </w:r>
      <w:r w:rsidRPr="00D41996">
        <w:rPr>
          <w:rFonts w:ascii="Book Antiqua" w:eastAsia="Book Antiqua" w:hAnsi="Book Antiqua" w:cs="Book Antiqua"/>
          <w:color w:val="000000"/>
        </w:rPr>
        <w:t>. Likewise, in this case, by the time of the definitive diagnosis, the patient was already at stage IV of the Ann Arbor classification</w:t>
      </w:r>
      <w:r w:rsidR="00690511">
        <w:rPr>
          <w:rFonts w:ascii="Book Antiqua" w:eastAsia="Book Antiqua" w:hAnsi="Book Antiqua" w:cs="Book Antiqua"/>
          <w:color w:val="000000"/>
        </w:rPr>
        <w:t xml:space="preserve"> </w:t>
      </w:r>
      <w:r w:rsidRPr="00D41996">
        <w:rPr>
          <w:rFonts w:ascii="Book Antiqua" w:eastAsia="Book Antiqua" w:hAnsi="Book Antiqua" w:cs="Book Antiqua"/>
          <w:color w:val="000000"/>
        </w:rPr>
        <w:t>-</w:t>
      </w:r>
      <w:r w:rsidR="00690511">
        <w:rPr>
          <w:rFonts w:ascii="Book Antiqua" w:eastAsia="Book Antiqua" w:hAnsi="Book Antiqua" w:cs="Book Antiqua"/>
          <w:color w:val="000000"/>
        </w:rPr>
        <w:t xml:space="preserve"> </w:t>
      </w:r>
      <w:r w:rsidRPr="00D41996">
        <w:rPr>
          <w:rFonts w:ascii="Book Antiqua" w:eastAsia="Book Antiqua" w:hAnsi="Book Antiqua" w:cs="Book Antiqua"/>
          <w:color w:val="000000"/>
        </w:rPr>
        <w:t>a reminder of the vital importance of timely diagnoses.</w:t>
      </w:r>
    </w:p>
    <w:p w14:paraId="401B102F" w14:textId="77777777"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DLBCL is an aggressive lymphoma that should receive prompt immunochemotherapy; spontaneous tumor regression in patients is seen only rarely before treatment is initiated</w:t>
      </w:r>
      <w:r w:rsidRPr="00D41996">
        <w:rPr>
          <w:rFonts w:ascii="Book Antiqua" w:eastAsia="Book Antiqua" w:hAnsi="Book Antiqua" w:cs="Book Antiqua"/>
          <w:color w:val="000000"/>
          <w:vertAlign w:val="superscript"/>
        </w:rPr>
        <w:t>[30]</w:t>
      </w:r>
      <w:r w:rsidRPr="00D41996">
        <w:rPr>
          <w:rFonts w:ascii="Book Antiqua" w:eastAsia="Book Antiqua" w:hAnsi="Book Antiqua" w:cs="Book Antiqua"/>
          <w:color w:val="000000"/>
        </w:rPr>
        <w:t>. The mainstay of DLBCL treatment should continue to be combination chemoradiation, though other situational treatment options include monotherapy using chemotherapy or radiotherapy</w:t>
      </w:r>
      <w:r w:rsidRPr="00D41996">
        <w:rPr>
          <w:rFonts w:ascii="Book Antiqua" w:eastAsia="Book Antiqua" w:hAnsi="Book Antiqua" w:cs="Book Antiqua"/>
          <w:color w:val="000000"/>
          <w:vertAlign w:val="superscript"/>
        </w:rPr>
        <w:t>[11,17]</w:t>
      </w:r>
      <w:r w:rsidRPr="00D41996">
        <w:rPr>
          <w:rFonts w:ascii="Book Antiqua" w:eastAsia="Book Antiqua" w:hAnsi="Book Antiqua" w:cs="Book Antiqua"/>
          <w:color w:val="000000"/>
        </w:rPr>
        <w:t xml:space="preserve">. The overwhelming majority of localized disease patients can be cured using </w:t>
      </w:r>
      <w:r w:rsidRPr="00D41996">
        <w:rPr>
          <w:rFonts w:ascii="Book Antiqua" w:eastAsia="Book Antiqua" w:hAnsi="Book Antiqua" w:cs="Book Antiqua"/>
          <w:color w:val="000000"/>
        </w:rPr>
        <w:lastRenderedPageBreak/>
        <w:t>combined modality therapy or combination chemotherapy on its own</w:t>
      </w:r>
      <w:r w:rsidRPr="00D41996">
        <w:rPr>
          <w:rFonts w:ascii="Book Antiqua" w:eastAsia="Book Antiqua" w:hAnsi="Book Antiqua" w:cs="Book Antiqua"/>
          <w:color w:val="000000"/>
          <w:vertAlign w:val="superscript"/>
        </w:rPr>
        <w:t>[1]</w:t>
      </w:r>
      <w:r w:rsidRPr="00D41996">
        <w:rPr>
          <w:rFonts w:ascii="Book Antiqua" w:eastAsia="Book Antiqua" w:hAnsi="Book Antiqua" w:cs="Book Antiqua"/>
          <w:color w:val="000000"/>
        </w:rPr>
        <w:t>. Approximately 50% of patients can be cured using doxorubicin-based combination chemotherapy and rituximab</w:t>
      </w:r>
      <w:r w:rsidRPr="00D41996">
        <w:rPr>
          <w:rFonts w:ascii="Book Antiqua" w:eastAsia="Book Antiqua" w:hAnsi="Book Antiqua" w:cs="Book Antiqua"/>
          <w:color w:val="000000"/>
          <w:vertAlign w:val="superscript"/>
        </w:rPr>
        <w:t>[1]</w:t>
      </w:r>
      <w:r w:rsidRPr="00D41996">
        <w:rPr>
          <w:rFonts w:ascii="Book Antiqua" w:eastAsia="Book Antiqua" w:hAnsi="Book Antiqua" w:cs="Book Antiqua"/>
          <w:color w:val="000000"/>
        </w:rPr>
        <w:t>. Rituximab has been found to significantly improve patient survival of DLBCL, especially for non-GCB subtype patients</w:t>
      </w:r>
      <w:r w:rsidRPr="00D41996">
        <w:rPr>
          <w:rFonts w:ascii="Book Antiqua" w:eastAsia="Book Antiqua" w:hAnsi="Book Antiqua" w:cs="Book Antiqua"/>
          <w:color w:val="000000"/>
          <w:vertAlign w:val="superscript"/>
        </w:rPr>
        <w:t>[31,32]</w:t>
      </w:r>
      <w:r w:rsidRPr="00D41996">
        <w:rPr>
          <w:rFonts w:ascii="Book Antiqua" w:eastAsia="Book Antiqua" w:hAnsi="Book Antiqua" w:cs="Book Antiqua"/>
          <w:color w:val="000000"/>
        </w:rPr>
        <w:t>. Regarding this last point, in this case, it might have been worth trying systemic chemotherapy, including rituximab, as a treatment to improve the patient’s condition, as well as his prognosis.</w:t>
      </w:r>
    </w:p>
    <w:p w14:paraId="69489FA2" w14:textId="77777777"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According to a recent study, a new potential treatment option for non-GCB DLBCL, with the synergistic antitumor effect of oridonin and the PI3K/ mammalian target of rapamycin (mTOR) inhibitor NVP-BEZ235 was found to show promise, though the underlying mechanism may be multifunctional, involving apoptosis, threonine kinase/mTOR and NF-kB inactivation, and reactive oxygen species-mediated deoxyribonucleic acid damage response</w:t>
      </w:r>
      <w:r w:rsidRPr="00D41996">
        <w:rPr>
          <w:rFonts w:ascii="Book Antiqua" w:eastAsia="Book Antiqua" w:hAnsi="Book Antiqua" w:cs="Book Antiqua"/>
          <w:color w:val="000000"/>
          <w:vertAlign w:val="superscript"/>
        </w:rPr>
        <w:t>[33]</w:t>
      </w:r>
      <w:r w:rsidRPr="00D41996">
        <w:rPr>
          <w:rFonts w:ascii="Book Antiqua" w:eastAsia="Book Antiqua" w:hAnsi="Book Antiqua" w:cs="Book Antiqua"/>
          <w:color w:val="000000"/>
        </w:rPr>
        <w:t>. In addition, the Hans algorithm could be regarded as a theragnostic biomarker for the section of young DLBCL patients who could benefit from an immunochemotherapy regimen of intensified dose-intensive rituximab, doxorubicin, cyclophosphamide, vindesine, bleomycin, and prednisone (also known as “R-ACVBP”)</w:t>
      </w:r>
      <w:r w:rsidRPr="00D41996">
        <w:rPr>
          <w:rFonts w:ascii="Book Antiqua" w:eastAsia="Book Antiqua" w:hAnsi="Book Antiqua" w:cs="Book Antiqua"/>
          <w:color w:val="000000"/>
          <w:vertAlign w:val="superscript"/>
        </w:rPr>
        <w:t>[34]</w:t>
      </w:r>
      <w:r w:rsidRPr="00D41996">
        <w:rPr>
          <w:rFonts w:ascii="Book Antiqua" w:eastAsia="Book Antiqua" w:hAnsi="Book Antiqua" w:cs="Book Antiqua"/>
          <w:color w:val="000000"/>
        </w:rPr>
        <w:t>. On the other hand a regimen of rituximab, cyclophosphamide, doxorubicin, and prednisone with bortezomib (also known as “VR-CAP”) was not seen to demonstrate improved efficacy compared to R-CHOP in non-GCB DLBCL</w:t>
      </w:r>
      <w:r w:rsidRPr="00D41996">
        <w:rPr>
          <w:rFonts w:ascii="Book Antiqua" w:eastAsia="Book Antiqua" w:hAnsi="Book Antiqua" w:cs="Book Antiqua"/>
          <w:color w:val="000000"/>
          <w:vertAlign w:val="superscript"/>
        </w:rPr>
        <w:t>[35]</w:t>
      </w:r>
      <w:r w:rsidRPr="00D41996">
        <w:rPr>
          <w:rFonts w:ascii="Book Antiqua" w:eastAsia="Book Antiqua" w:hAnsi="Book Antiqua" w:cs="Book Antiqua"/>
          <w:color w:val="000000"/>
        </w:rPr>
        <w:t>.</w:t>
      </w:r>
    </w:p>
    <w:p w14:paraId="2220EB69" w14:textId="36EDB655"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The prognosis is variable</w:t>
      </w:r>
      <w:r w:rsidRPr="00D41996">
        <w:rPr>
          <w:rFonts w:ascii="Book Antiqua" w:eastAsia="Book Antiqua" w:hAnsi="Book Antiqua" w:cs="Book Antiqua"/>
          <w:color w:val="000000"/>
          <w:vertAlign w:val="superscript"/>
        </w:rPr>
        <w:t>[13]</w:t>
      </w:r>
      <w:r w:rsidRPr="00D41996">
        <w:rPr>
          <w:rFonts w:ascii="Book Antiqua" w:eastAsia="Book Antiqua" w:hAnsi="Book Antiqua" w:cs="Book Antiqua"/>
          <w:color w:val="000000"/>
        </w:rPr>
        <w:t>. It is crucial to pay early attention to the patient’s manifestation, select suitable treatment, and monitor manifestations</w:t>
      </w:r>
      <w:r w:rsidRPr="00D41996">
        <w:rPr>
          <w:rFonts w:ascii="Book Antiqua" w:eastAsia="Book Antiqua" w:hAnsi="Book Antiqua" w:cs="Book Antiqua"/>
          <w:color w:val="000000"/>
          <w:vertAlign w:val="superscript"/>
        </w:rPr>
        <w:t>[13]</w:t>
      </w:r>
      <w:r w:rsidRPr="00D41996">
        <w:rPr>
          <w:rFonts w:ascii="Book Antiqua" w:eastAsia="Book Antiqua" w:hAnsi="Book Antiqua" w:cs="Book Antiqua"/>
          <w:color w:val="000000"/>
        </w:rPr>
        <w:t>. Despite large advances in DLBCL treatment, approximately one patient in three has been found to progress or die, suggesting that there may also be other oncogenic events</w:t>
      </w:r>
      <w:r w:rsidRPr="00D41996">
        <w:rPr>
          <w:rFonts w:ascii="Book Antiqua" w:eastAsia="Book Antiqua" w:hAnsi="Book Antiqua" w:cs="Book Antiqua"/>
          <w:color w:val="000000"/>
          <w:vertAlign w:val="superscript"/>
        </w:rPr>
        <w:t>[36]</w:t>
      </w:r>
      <w:r w:rsidRPr="00D41996">
        <w:rPr>
          <w:rFonts w:ascii="Book Antiqua" w:eastAsia="Book Antiqua" w:hAnsi="Book Antiqua" w:cs="Book Antiqua"/>
          <w:color w:val="000000"/>
        </w:rPr>
        <w:t xml:space="preserve">. One study found a </w:t>
      </w:r>
      <w:r w:rsidR="00DE489B">
        <w:rPr>
          <w:rFonts w:ascii="Book Antiqua" w:eastAsia="Book Antiqua" w:hAnsi="Book Antiqua" w:cs="Book Antiqua"/>
          <w:color w:val="000000"/>
        </w:rPr>
        <w:t>5</w:t>
      </w:r>
      <w:r w:rsidRPr="00D41996">
        <w:rPr>
          <w:rFonts w:ascii="Book Antiqua" w:eastAsia="Book Antiqua" w:hAnsi="Book Antiqua" w:cs="Book Antiqua"/>
          <w:color w:val="000000"/>
        </w:rPr>
        <w:t>-year survival rate of 80%, suggesting a relatively positive prognosis for primary lymphoma of the MS</w:t>
      </w:r>
      <w:r w:rsidRPr="00D41996">
        <w:rPr>
          <w:rFonts w:ascii="Book Antiqua" w:eastAsia="Book Antiqua" w:hAnsi="Book Antiqua" w:cs="Book Antiqua"/>
          <w:color w:val="000000"/>
          <w:vertAlign w:val="superscript"/>
        </w:rPr>
        <w:t>[16]</w:t>
      </w:r>
      <w:r w:rsidRPr="00D41996">
        <w:rPr>
          <w:rFonts w:ascii="Book Antiqua" w:eastAsia="Book Antiqua" w:hAnsi="Book Antiqua" w:cs="Book Antiqua"/>
          <w:color w:val="000000"/>
        </w:rPr>
        <w:t xml:space="preserve">. The use of chemotherapy and radiotherapy have been found to significantly improve patient survival, whereas there is a significant association between Ann Arbor staging and </w:t>
      </w:r>
      <w:r w:rsidRPr="00D41996">
        <w:rPr>
          <w:rFonts w:ascii="Book Antiqua" w:eastAsia="Book Antiqua" w:hAnsi="Book Antiqua" w:cs="Book Antiqua"/>
          <w:color w:val="000000"/>
        </w:rPr>
        <w:lastRenderedPageBreak/>
        <w:t>comparatively poor outcomes</w:t>
      </w:r>
      <w:r w:rsidRPr="00D41996">
        <w:rPr>
          <w:rFonts w:ascii="Book Antiqua" w:eastAsia="Book Antiqua" w:hAnsi="Book Antiqua" w:cs="Book Antiqua"/>
          <w:color w:val="000000"/>
          <w:vertAlign w:val="superscript"/>
        </w:rPr>
        <w:t>[3,17]</w:t>
      </w:r>
      <w:r w:rsidRPr="00D41996">
        <w:rPr>
          <w:rFonts w:ascii="Book Antiqua" w:eastAsia="Book Antiqua" w:hAnsi="Book Antiqua" w:cs="Book Antiqua"/>
          <w:color w:val="000000"/>
        </w:rPr>
        <w:t xml:space="preserve">. On the other hand, one case report of DLBCL that developed in the left MS states that it relapsed as a left frontal brain mass after the disease was in remission for </w:t>
      </w:r>
      <w:r w:rsidR="00DE489B">
        <w:rPr>
          <w:rFonts w:ascii="Book Antiqua" w:eastAsia="Book Antiqua" w:hAnsi="Book Antiqua" w:cs="Book Antiqua"/>
          <w:color w:val="000000"/>
        </w:rPr>
        <w:t>4</w:t>
      </w:r>
      <w:r w:rsidR="00DE489B" w:rsidRPr="00D41996">
        <w:rPr>
          <w:rFonts w:ascii="Book Antiqua" w:eastAsia="Book Antiqua" w:hAnsi="Book Antiqua" w:cs="Book Antiqua"/>
          <w:color w:val="000000"/>
        </w:rPr>
        <w:t xml:space="preserve"> </w:t>
      </w:r>
      <w:r w:rsidRPr="00D41996">
        <w:rPr>
          <w:rFonts w:ascii="Book Antiqua" w:eastAsia="Book Antiqua" w:hAnsi="Book Antiqua" w:cs="Book Antiqua"/>
          <w:color w:val="000000"/>
        </w:rPr>
        <w:t>years; this indicates the need to carefully perform long-term follow-up, even in the event of a complete remission</w:t>
      </w:r>
      <w:r w:rsidRPr="00D41996">
        <w:rPr>
          <w:rFonts w:ascii="Book Antiqua" w:eastAsia="Book Antiqua" w:hAnsi="Book Antiqua" w:cs="Book Antiqua"/>
          <w:color w:val="000000"/>
          <w:vertAlign w:val="superscript"/>
        </w:rPr>
        <w:t>[14]</w:t>
      </w:r>
      <w:r w:rsidRPr="00D41996">
        <w:rPr>
          <w:rFonts w:ascii="Book Antiqua" w:eastAsia="Book Antiqua" w:hAnsi="Book Antiqua" w:cs="Book Antiqua"/>
          <w:color w:val="000000"/>
        </w:rPr>
        <w:t>.</w:t>
      </w:r>
    </w:p>
    <w:p w14:paraId="63F3E1A6" w14:textId="77777777"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Clinical DLBCL prognostic systems, such as the rituximab international prognostic index (IPI), age-adjusted IPI, and National Comprehensive Cancer Network IPI, use clinical factors to stratify patient risk; however, treatment approach is not affected by this</w:t>
      </w:r>
      <w:r w:rsidRPr="00D41996">
        <w:rPr>
          <w:rFonts w:ascii="Book Antiqua" w:eastAsia="Book Antiqua" w:hAnsi="Book Antiqua" w:cs="Book Antiqua"/>
          <w:color w:val="000000"/>
          <w:vertAlign w:val="superscript"/>
        </w:rPr>
        <w:t>[5]</w:t>
      </w:r>
      <w:r w:rsidRPr="00D41996">
        <w:rPr>
          <w:rFonts w:ascii="Book Antiqua" w:eastAsia="Book Antiqua" w:hAnsi="Book Antiqua" w:cs="Book Antiqua"/>
          <w:color w:val="000000"/>
        </w:rPr>
        <w:t>. IPI serves as an independent prognosticator for patients with DLBCL, and significant survival improvements were seen with the addition of rituximab</w:t>
      </w:r>
      <w:r w:rsidRPr="00D41996">
        <w:rPr>
          <w:rFonts w:ascii="Book Antiqua" w:eastAsia="Book Antiqua" w:hAnsi="Book Antiqua" w:cs="Book Antiqua"/>
          <w:color w:val="000000"/>
          <w:vertAlign w:val="superscript"/>
        </w:rPr>
        <w:t>[36]</w:t>
      </w:r>
      <w:r w:rsidRPr="00D41996">
        <w:rPr>
          <w:rFonts w:ascii="Book Antiqua" w:eastAsia="Book Antiqua" w:hAnsi="Book Antiqua" w:cs="Book Antiqua"/>
          <w:color w:val="000000"/>
        </w:rPr>
        <w:t>. In general, prognoses are relatively poor for non-GCB DLBCL, and it has been reported that there is a difference between the prognostic significances for GCB and non-GCB DLBCL</w:t>
      </w:r>
      <w:r w:rsidRPr="00D41996">
        <w:rPr>
          <w:rFonts w:ascii="Book Antiqua" w:eastAsia="Book Antiqua" w:hAnsi="Book Antiqua" w:cs="Book Antiqua"/>
          <w:color w:val="000000"/>
          <w:vertAlign w:val="superscript"/>
        </w:rPr>
        <w:t>[25,27]</w:t>
      </w:r>
      <w:r w:rsidRPr="00D41996">
        <w:rPr>
          <w:rFonts w:ascii="Book Antiqua" w:eastAsia="Book Antiqua" w:hAnsi="Book Antiqua" w:cs="Book Antiqua"/>
          <w:color w:val="000000"/>
        </w:rPr>
        <w:t>. In one study, the non-GCB type served as an independent predictor of both progression-free survival (</w:t>
      </w:r>
      <w:r w:rsidRPr="00D41996">
        <w:rPr>
          <w:rFonts w:ascii="Book Antiqua" w:eastAsia="Book Antiqua" w:hAnsi="Book Antiqua" w:cs="Book Antiqua"/>
          <w:i/>
          <w:iCs/>
          <w:color w:val="000000"/>
        </w:rPr>
        <w:t>P</w:t>
      </w:r>
      <w:r w:rsidRPr="00D41996">
        <w:rPr>
          <w:rFonts w:ascii="Book Antiqua" w:eastAsia="Book Antiqua" w:hAnsi="Book Antiqua" w:cs="Book Antiqua"/>
          <w:color w:val="000000"/>
        </w:rPr>
        <w:t xml:space="preserve"> &lt; 0.004) and overall survival (</w:t>
      </w:r>
      <w:r w:rsidRPr="00D41996">
        <w:rPr>
          <w:rFonts w:ascii="Book Antiqua" w:eastAsia="Book Antiqua" w:hAnsi="Book Antiqua" w:cs="Book Antiqua"/>
          <w:i/>
          <w:iCs/>
          <w:color w:val="000000"/>
        </w:rPr>
        <w:t>P</w:t>
      </w:r>
      <w:r w:rsidRPr="00D41996">
        <w:rPr>
          <w:rFonts w:ascii="Book Antiqua" w:eastAsia="Book Antiqua" w:hAnsi="Book Antiqua" w:cs="Book Antiqua"/>
          <w:color w:val="000000"/>
        </w:rPr>
        <w:t xml:space="preserve"> = 0.042), whereas the GCB type was not found to serve as a prognostic factor independent of IPI score</w:t>
      </w:r>
      <w:r w:rsidRPr="00D41996">
        <w:rPr>
          <w:rFonts w:ascii="Book Antiqua" w:eastAsia="Book Antiqua" w:hAnsi="Book Antiqua" w:cs="Book Antiqua"/>
          <w:color w:val="000000"/>
          <w:vertAlign w:val="superscript"/>
        </w:rPr>
        <w:t>[27]</w:t>
      </w:r>
      <w:r w:rsidRPr="00D41996">
        <w:rPr>
          <w:rFonts w:ascii="Book Antiqua" w:eastAsia="Book Antiqua" w:hAnsi="Book Antiqua" w:cs="Book Antiqua"/>
          <w:color w:val="000000"/>
        </w:rPr>
        <w:t>. Using the COO of BM involvement for further prognostication can be a useful progression-free survival indicator, independent of IPI score</w:t>
      </w:r>
      <w:r w:rsidRPr="00D41996">
        <w:rPr>
          <w:rFonts w:ascii="Book Antiqua" w:eastAsia="Book Antiqua" w:hAnsi="Book Antiqua" w:cs="Book Antiqua"/>
          <w:color w:val="000000"/>
          <w:vertAlign w:val="superscript"/>
        </w:rPr>
        <w:t>[27]</w:t>
      </w:r>
      <w:r w:rsidRPr="00D41996">
        <w:rPr>
          <w:rFonts w:ascii="Book Antiqua" w:eastAsia="Book Antiqua" w:hAnsi="Book Antiqua" w:cs="Book Antiqua"/>
          <w:color w:val="000000"/>
        </w:rPr>
        <w:t>. Patients with c-myc-altered disease on its own, as well as in combination with bcl2 and/or bcl6 translocations (particularly when immunoglobulin serves as the myc translocation partner), have been found to demonstrate a poor response to up-front chemoimmunotherapy and salvage autologous stem cell transplant in the event of a relapse</w:t>
      </w:r>
      <w:r w:rsidRPr="00D41996">
        <w:rPr>
          <w:rFonts w:ascii="Book Antiqua" w:eastAsia="Book Antiqua" w:hAnsi="Book Antiqua" w:cs="Book Antiqua"/>
          <w:color w:val="000000"/>
          <w:vertAlign w:val="superscript"/>
        </w:rPr>
        <w:t>[5]</w:t>
      </w:r>
      <w:r w:rsidRPr="00D41996">
        <w:rPr>
          <w:rFonts w:ascii="Book Antiqua" w:eastAsia="Book Antiqua" w:hAnsi="Book Antiqua" w:cs="Book Antiqua"/>
          <w:color w:val="000000"/>
        </w:rPr>
        <w:t>.</w:t>
      </w:r>
    </w:p>
    <w:p w14:paraId="1E249A96" w14:textId="74AF720C"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One novel finding regarded programmed cell death-ligand 1 (PD-L1), a member of the B7 family (also known as B7-H1) that serves as an inhibitory ligand, which is expressed on the surfaces of macrophages, dendritic cells, fibroblasts, and T cells</w:t>
      </w:r>
      <w:r w:rsidRPr="00D41996">
        <w:rPr>
          <w:rFonts w:ascii="Book Antiqua" w:eastAsia="Book Antiqua" w:hAnsi="Book Antiqua" w:cs="Book Antiqua"/>
          <w:color w:val="000000"/>
          <w:vertAlign w:val="superscript"/>
        </w:rPr>
        <w:t>[7]</w:t>
      </w:r>
      <w:r w:rsidRPr="00D41996">
        <w:rPr>
          <w:rFonts w:ascii="Book Antiqua" w:eastAsia="Book Antiqua" w:hAnsi="Book Antiqua" w:cs="Book Antiqua"/>
          <w:color w:val="000000"/>
        </w:rPr>
        <w:t xml:space="preserve">. It has been found to be more commonly expressed in the non-GCB subtype than in the GCB subtype, and there is a negative correlation between its expression in a tumor microenvironment and </w:t>
      </w:r>
      <w:r w:rsidRPr="00D41996">
        <w:rPr>
          <w:rFonts w:ascii="Book Antiqua" w:eastAsia="Book Antiqua" w:hAnsi="Book Antiqua" w:cs="Book Antiqua"/>
          <w:i/>
          <w:iCs/>
          <w:color w:val="000000"/>
        </w:rPr>
        <w:t>c-myc</w:t>
      </w:r>
      <w:r w:rsidR="000A082C">
        <w:rPr>
          <w:rFonts w:ascii="Book Antiqua" w:eastAsia="Book Antiqua" w:hAnsi="Book Antiqua" w:cs="Book Antiqua"/>
          <w:color w:val="000000"/>
        </w:rPr>
        <w:t>. A</w:t>
      </w:r>
      <w:r w:rsidRPr="00D41996">
        <w:rPr>
          <w:rFonts w:ascii="Book Antiqua" w:eastAsia="Book Antiqua" w:hAnsi="Book Antiqua" w:cs="Book Antiqua"/>
          <w:color w:val="000000"/>
        </w:rPr>
        <w:t>dditionally, PD-L1 positivity predicts short DLBCL patient survival</w:t>
      </w:r>
      <w:r w:rsidRPr="00D41996">
        <w:rPr>
          <w:rFonts w:ascii="Book Antiqua" w:eastAsia="Book Antiqua" w:hAnsi="Book Antiqua" w:cs="Book Antiqua"/>
          <w:color w:val="000000"/>
          <w:vertAlign w:val="superscript"/>
        </w:rPr>
        <w:t>[7]</w:t>
      </w:r>
      <w:r w:rsidRPr="00D41996">
        <w:rPr>
          <w:rFonts w:ascii="Book Antiqua" w:eastAsia="Book Antiqua" w:hAnsi="Book Antiqua" w:cs="Book Antiqua"/>
          <w:color w:val="000000"/>
        </w:rPr>
        <w:t xml:space="preserve">. </w:t>
      </w:r>
      <w:r w:rsidRPr="00D41996">
        <w:rPr>
          <w:rFonts w:ascii="Book Antiqua" w:eastAsia="Book Antiqua" w:hAnsi="Book Antiqua" w:cs="Book Antiqua"/>
          <w:color w:val="000000"/>
        </w:rPr>
        <w:lastRenderedPageBreak/>
        <w:t>Therefore, strategies such as anti-PD-L1</w:t>
      </w:r>
      <w:r w:rsidRPr="00D41996">
        <w:rPr>
          <w:rFonts w:ascii="Book Antiqua" w:eastAsia="Book Antiqua" w:hAnsi="Book Antiqua" w:cs="Book Antiqua"/>
          <w:i/>
          <w:iCs/>
          <w:color w:val="000000"/>
        </w:rPr>
        <w:t xml:space="preserve"> </w:t>
      </w:r>
      <w:r w:rsidRPr="00D41996">
        <w:rPr>
          <w:rFonts w:ascii="Book Antiqua" w:eastAsia="Book Antiqua" w:hAnsi="Book Antiqua" w:cs="Book Antiqua"/>
          <w:color w:val="000000"/>
        </w:rPr>
        <w:t>antibody treatment should be recommended more often for patients found to have PD-L1 expression</w:t>
      </w:r>
      <w:r w:rsidRPr="00D41996">
        <w:rPr>
          <w:rFonts w:ascii="Book Antiqua" w:eastAsia="Book Antiqua" w:hAnsi="Book Antiqua" w:cs="Book Antiqua"/>
          <w:color w:val="000000"/>
          <w:vertAlign w:val="superscript"/>
        </w:rPr>
        <w:t>[7]</w:t>
      </w:r>
      <w:r w:rsidRPr="00D41996">
        <w:rPr>
          <w:rFonts w:ascii="Book Antiqua" w:eastAsia="Book Antiqua" w:hAnsi="Book Antiqua" w:cs="Book Antiqua"/>
          <w:color w:val="000000"/>
        </w:rPr>
        <w:t>. Another novel finding was that NF-κB/p65 expression has prognostic value for cases of high-risk non-GCB DLBCL, and it is considered a target suited to new therapy development</w:t>
      </w:r>
      <w:r w:rsidRPr="00D41996">
        <w:rPr>
          <w:rFonts w:ascii="Book Antiqua" w:eastAsia="Book Antiqua" w:hAnsi="Book Antiqua" w:cs="Book Antiqua"/>
          <w:color w:val="000000"/>
          <w:vertAlign w:val="superscript"/>
        </w:rPr>
        <w:t>[37]</w:t>
      </w:r>
      <w:r w:rsidRPr="00D41996">
        <w:rPr>
          <w:rFonts w:ascii="Book Antiqua" w:eastAsia="Book Antiqua" w:hAnsi="Book Antiqua" w:cs="Book Antiqua"/>
          <w:color w:val="000000"/>
        </w:rPr>
        <w:t>. Cases of non-GCB DLBCL that have negative FOXP3 are associated with favorable DLBCL prognostic parameters</w:t>
      </w:r>
      <w:r w:rsidRPr="00D41996">
        <w:rPr>
          <w:rFonts w:ascii="Book Antiqua" w:eastAsia="Book Antiqua" w:hAnsi="Book Antiqua" w:cs="Book Antiqua"/>
          <w:color w:val="000000"/>
          <w:vertAlign w:val="superscript"/>
        </w:rPr>
        <w:t>[8]</w:t>
      </w:r>
      <w:r w:rsidRPr="00D41996">
        <w:rPr>
          <w:rFonts w:ascii="Book Antiqua" w:eastAsia="Book Antiqua" w:hAnsi="Book Antiqua" w:cs="Book Antiqua"/>
          <w:color w:val="000000"/>
        </w:rPr>
        <w:t>. Serum neuron-specific enolase level may serve as an independent prognostic factor for non-GCB subtype patients; it may additionally serve as a novel disease aggressiveness marker and as a prognostic factor for non-GCB DLBCL in the era of rituximab</w:t>
      </w:r>
      <w:r w:rsidRPr="00D41996">
        <w:rPr>
          <w:rFonts w:ascii="Book Antiqua" w:eastAsia="Book Antiqua" w:hAnsi="Book Antiqua" w:cs="Book Antiqua"/>
          <w:color w:val="000000"/>
          <w:vertAlign w:val="superscript"/>
        </w:rPr>
        <w:t>[38]</w:t>
      </w:r>
      <w:r w:rsidRPr="00D41996">
        <w:rPr>
          <w:rFonts w:ascii="Book Antiqua" w:eastAsia="Book Antiqua" w:hAnsi="Book Antiqua" w:cs="Book Antiqua"/>
          <w:color w:val="000000"/>
        </w:rPr>
        <w:t>. A high Ki-67 Labeling index is considered a poor OS risk factor in the late-elderly age group and in non-GCB DLBCL patients treated with R-CHOP</w:t>
      </w:r>
      <w:r w:rsidRPr="00D41996">
        <w:rPr>
          <w:rFonts w:ascii="Book Antiqua" w:eastAsia="Book Antiqua" w:hAnsi="Book Antiqua" w:cs="Book Antiqua"/>
          <w:color w:val="000000"/>
          <w:vertAlign w:val="superscript"/>
        </w:rPr>
        <w:t>[32,39]</w:t>
      </w:r>
      <w:r w:rsidRPr="00D41996">
        <w:rPr>
          <w:rFonts w:ascii="Book Antiqua" w:eastAsia="Book Antiqua" w:hAnsi="Book Antiqua" w:cs="Book Antiqua"/>
          <w:color w:val="000000"/>
        </w:rPr>
        <w:t>.</w:t>
      </w:r>
    </w:p>
    <w:p w14:paraId="7D4B3AF0" w14:textId="77777777"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t xml:space="preserve">Finally, this case led to the interesting autopsy CT finding that the skin tumors had decreased in size. Related to this phenomenon, there is a report of a case of spontaneous regression of DLBCL of the MS in the setting of concurrent pneumonia and </w:t>
      </w:r>
      <w:r w:rsidRPr="00DB50A1">
        <w:rPr>
          <w:rFonts w:ascii="Book Antiqua" w:eastAsia="Book Antiqua" w:hAnsi="Book Antiqua" w:cs="Book Antiqua"/>
          <w:i/>
          <w:iCs/>
          <w:color w:val="000000"/>
        </w:rPr>
        <w:t>Clostridioides difficile</w:t>
      </w:r>
      <w:r w:rsidRPr="00D41996">
        <w:rPr>
          <w:rFonts w:ascii="Book Antiqua" w:eastAsia="Book Antiqua" w:hAnsi="Book Antiqua" w:cs="Book Antiqua"/>
          <w:color w:val="000000"/>
        </w:rPr>
        <w:t xml:space="preserve"> colitis</w:t>
      </w:r>
      <w:r w:rsidRPr="00D41996">
        <w:rPr>
          <w:rFonts w:ascii="Book Antiqua" w:eastAsia="Book Antiqua" w:hAnsi="Book Antiqua" w:cs="Book Antiqua"/>
          <w:color w:val="000000"/>
          <w:vertAlign w:val="superscript"/>
        </w:rPr>
        <w:t>[30]</w:t>
      </w:r>
      <w:r w:rsidRPr="00D41996">
        <w:rPr>
          <w:rFonts w:ascii="Book Antiqua" w:eastAsia="Book Antiqua" w:hAnsi="Book Antiqua" w:cs="Book Antiqua"/>
          <w:color w:val="000000"/>
        </w:rPr>
        <w:t>. Furthermore, another case report of DLBCL encountered as a choroidal mass indicated ocular lesion resolution after fine-needle aspiration biopsy, possibly due to a mechanism of immune response</w:t>
      </w:r>
      <w:r w:rsidRPr="00D41996">
        <w:rPr>
          <w:rFonts w:ascii="Book Antiqua" w:eastAsia="Book Antiqua" w:hAnsi="Book Antiqua" w:cs="Book Antiqua"/>
          <w:color w:val="000000"/>
          <w:vertAlign w:val="superscript"/>
        </w:rPr>
        <w:t>[40]</w:t>
      </w:r>
      <w:r w:rsidRPr="00D41996">
        <w:rPr>
          <w:rFonts w:ascii="Book Antiqua" w:eastAsia="Book Antiqua" w:hAnsi="Book Antiqua" w:cs="Book Antiqua"/>
          <w:color w:val="000000"/>
        </w:rPr>
        <w:t>. While it has been proposed that the location of the tumor may be a major factor, and likewise proposed that an antitumor immune response may be a likely cause of spontaneous remission, the specific mechanisms underlying DLBCL tumor regression remain unknown</w:t>
      </w:r>
      <w:r w:rsidRPr="00D41996">
        <w:rPr>
          <w:rFonts w:ascii="Book Antiqua" w:eastAsia="Book Antiqua" w:hAnsi="Book Antiqua" w:cs="Book Antiqua"/>
          <w:color w:val="000000"/>
          <w:vertAlign w:val="superscript"/>
        </w:rPr>
        <w:t>[30]</w:t>
      </w:r>
      <w:r w:rsidRPr="00D41996">
        <w:rPr>
          <w:rFonts w:ascii="Book Antiqua" w:eastAsia="Book Antiqua" w:hAnsi="Book Antiqua" w:cs="Book Antiqua"/>
          <w:color w:val="000000"/>
        </w:rPr>
        <w:t>. Based on these reports, the tumor location and/or antitumor immune response might be important factors and/or the proposed cause of spontaneous tumor remission, but the detailed mechanism is unknown. Further basic and clinical research is warranted to elucidate this mechanism. Additionally, several of these cases occurred in concurrent infection settings</w:t>
      </w:r>
      <w:r w:rsidRPr="00D41996">
        <w:rPr>
          <w:rFonts w:ascii="Book Antiqua" w:eastAsia="Book Antiqua" w:hAnsi="Book Antiqua" w:cs="Book Antiqua"/>
          <w:color w:val="000000"/>
          <w:vertAlign w:val="superscript"/>
        </w:rPr>
        <w:t>[30]</w:t>
      </w:r>
      <w:r w:rsidRPr="00D41996">
        <w:rPr>
          <w:rFonts w:ascii="Book Antiqua" w:eastAsia="Book Antiqua" w:hAnsi="Book Antiqua" w:cs="Book Antiqua"/>
          <w:color w:val="000000"/>
        </w:rPr>
        <w:t>. Data and knowledge from carefully investigating this phenomenon could potentially lead to a more thorough understanding of the biology of DLBCL, as well as more effective immune-mediated therapies</w:t>
      </w:r>
      <w:r w:rsidRPr="00D41996">
        <w:rPr>
          <w:rFonts w:ascii="Book Antiqua" w:eastAsia="Book Antiqua" w:hAnsi="Book Antiqua" w:cs="Book Antiqua"/>
          <w:color w:val="000000"/>
          <w:vertAlign w:val="superscript"/>
        </w:rPr>
        <w:t>[30]</w:t>
      </w:r>
      <w:r w:rsidRPr="00D41996">
        <w:rPr>
          <w:rFonts w:ascii="Book Antiqua" w:eastAsia="Book Antiqua" w:hAnsi="Book Antiqua" w:cs="Book Antiqua"/>
          <w:color w:val="000000"/>
        </w:rPr>
        <w:t>.</w:t>
      </w:r>
    </w:p>
    <w:p w14:paraId="4A211035" w14:textId="71F720E7" w:rsidR="00A77B3E" w:rsidRPr="00D41996" w:rsidRDefault="00B51EDC" w:rsidP="00D41996">
      <w:pPr>
        <w:snapToGrid w:val="0"/>
        <w:spacing w:line="360" w:lineRule="auto"/>
        <w:ind w:firstLineChars="100" w:firstLine="240"/>
        <w:jc w:val="both"/>
        <w:rPr>
          <w:rFonts w:ascii="Book Antiqua" w:hAnsi="Book Antiqua"/>
        </w:rPr>
      </w:pPr>
      <w:r w:rsidRPr="00D41996">
        <w:rPr>
          <w:rFonts w:ascii="Book Antiqua" w:eastAsia="Book Antiqua" w:hAnsi="Book Antiqua" w:cs="Book Antiqua"/>
          <w:color w:val="000000"/>
        </w:rPr>
        <w:lastRenderedPageBreak/>
        <w:t>This case study has several limitations: this article only reviews a single case report and case series of DLBCL originating from the MS. Therefore, the actual situation and nature of the disease may differ from the results of our literature review, as a result of reporting bias. In addition, it was a primary lymphoma in the nasal sinus</w:t>
      </w:r>
      <w:r w:rsidR="000A082C">
        <w:rPr>
          <w:rFonts w:ascii="Book Antiqua" w:eastAsia="Book Antiqua" w:hAnsi="Book Antiqua" w:cs="Book Antiqua"/>
          <w:color w:val="000000"/>
        </w:rPr>
        <w:t>,</w:t>
      </w:r>
      <w:r w:rsidRPr="00D41996">
        <w:rPr>
          <w:rFonts w:ascii="Book Antiqua" w:eastAsia="Book Antiqua" w:hAnsi="Book Antiqua" w:cs="Book Antiqua"/>
          <w:color w:val="000000"/>
        </w:rPr>
        <w:t xml:space="preserve"> and this patient had prior splenectomy, therefore we should have considered post splenectomy secondary malignancies. In </w:t>
      </w:r>
      <w:r w:rsidR="000A082C">
        <w:rPr>
          <w:rFonts w:ascii="Book Antiqua" w:eastAsia="Book Antiqua" w:hAnsi="Book Antiqua" w:cs="Book Antiqua"/>
          <w:color w:val="000000"/>
        </w:rPr>
        <w:t xml:space="preserve">a </w:t>
      </w:r>
      <w:r w:rsidRPr="00D41996">
        <w:rPr>
          <w:rFonts w:ascii="Book Antiqua" w:eastAsia="Book Antiqua" w:hAnsi="Book Antiqua" w:cs="Book Antiqua"/>
          <w:color w:val="000000"/>
        </w:rPr>
        <w:t>previous report, splenectomized patients had an increased risk of being hospitalized for hematologic malignancies including of NHL, Hodgkin lymphoma, multiple myeloma, acute myeloid leukemia, chronic lymphocytic leukemia, chronic myeloid leukemia, and an</w:t>
      </w:r>
      <w:r w:rsidR="00E55CC9" w:rsidRPr="00D41996">
        <w:rPr>
          <w:rFonts w:ascii="Book Antiqua" w:eastAsia="Book Antiqua" w:hAnsi="Book Antiqua" w:cs="Book Antiqua"/>
          <w:color w:val="000000"/>
        </w:rPr>
        <w:t>y leukemia (rate ratios = 1.8-</w:t>
      </w:r>
      <w:r w:rsidRPr="00D41996">
        <w:rPr>
          <w:rFonts w:ascii="Book Antiqua" w:eastAsia="Book Antiqua" w:hAnsi="Book Antiqua" w:cs="Book Antiqua"/>
          <w:color w:val="000000"/>
        </w:rPr>
        <w:t>6.0). They also had an increased risk of death due to any cancer including of NHL, Hodgkin lymphoma, and an</w:t>
      </w:r>
      <w:r w:rsidR="00E55CC9" w:rsidRPr="00D41996">
        <w:rPr>
          <w:rFonts w:ascii="Book Antiqua" w:eastAsia="Book Antiqua" w:hAnsi="Book Antiqua" w:cs="Book Antiqua"/>
          <w:color w:val="000000"/>
        </w:rPr>
        <w:t>y leukemia (rate ratios = 1.3-</w:t>
      </w:r>
      <w:r w:rsidRPr="00D41996">
        <w:rPr>
          <w:rFonts w:ascii="Book Antiqua" w:eastAsia="Book Antiqua" w:hAnsi="Book Antiqua" w:cs="Book Antiqua"/>
          <w:color w:val="000000"/>
        </w:rPr>
        <w:t>4.7). These observed risks were increased more than 10 years after splenectomy. On the other hand, we could not get information of histology about the removed spleen.</w:t>
      </w:r>
    </w:p>
    <w:p w14:paraId="7177A761" w14:textId="77777777" w:rsidR="00A77B3E" w:rsidRPr="00D41996" w:rsidRDefault="00A77B3E" w:rsidP="00D41996">
      <w:pPr>
        <w:snapToGrid w:val="0"/>
        <w:spacing w:line="360" w:lineRule="auto"/>
        <w:ind w:firstLine="480"/>
        <w:jc w:val="both"/>
        <w:rPr>
          <w:rFonts w:ascii="Book Antiqua" w:hAnsi="Book Antiqua"/>
        </w:rPr>
      </w:pPr>
    </w:p>
    <w:p w14:paraId="165D242F"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aps/>
          <w:color w:val="000000"/>
          <w:u w:val="single"/>
        </w:rPr>
        <w:t>CONCLUSION</w:t>
      </w:r>
    </w:p>
    <w:p w14:paraId="0E41E0F1" w14:textId="51FD635B" w:rsidR="00A77B3E" w:rsidRPr="00D41996" w:rsidRDefault="000A082C" w:rsidP="00D41996">
      <w:pPr>
        <w:snapToGrid w:val="0"/>
        <w:spacing w:line="360" w:lineRule="auto"/>
        <w:jc w:val="both"/>
        <w:rPr>
          <w:rFonts w:ascii="Book Antiqua" w:hAnsi="Book Antiqua"/>
        </w:rPr>
      </w:pPr>
      <w:r>
        <w:rPr>
          <w:rFonts w:ascii="Book Antiqua" w:eastAsia="Book Antiqua" w:hAnsi="Book Antiqua" w:cs="Book Antiqua"/>
          <w:color w:val="000000"/>
        </w:rPr>
        <w:t>W</w:t>
      </w:r>
      <w:r w:rsidR="00B51EDC" w:rsidRPr="00D41996">
        <w:rPr>
          <w:rFonts w:ascii="Book Antiqua" w:eastAsia="Book Antiqua" w:hAnsi="Book Antiqua" w:cs="Book Antiqua"/>
          <w:color w:val="000000"/>
        </w:rPr>
        <w:t xml:space="preserve">e have presented the first case of DCBCL originating from the MS with multiple rapidly occurrent skin metastases. This case suggests the need for careful, detailed examinations when encountering patients presenting with a mass: when a neoplastic lesion is confirmed through image inspection, we should investigate thoroughly, including further image investigations and pathologic examination. </w:t>
      </w:r>
      <w:r>
        <w:rPr>
          <w:rFonts w:ascii="Book Antiqua" w:eastAsia="Book Antiqua" w:hAnsi="Book Antiqua" w:cs="Book Antiqua"/>
          <w:color w:val="000000"/>
        </w:rPr>
        <w:t>C</w:t>
      </w:r>
      <w:r w:rsidR="00B51EDC" w:rsidRPr="00D41996">
        <w:rPr>
          <w:rFonts w:ascii="Book Antiqua" w:eastAsia="Book Antiqua" w:hAnsi="Book Antiqua" w:cs="Book Antiqua"/>
          <w:color w:val="000000"/>
        </w:rPr>
        <w:t>areful follow-up is also necessary.</w:t>
      </w:r>
    </w:p>
    <w:p w14:paraId="105F2411" w14:textId="77777777" w:rsidR="00A77B3E" w:rsidRPr="00D41996" w:rsidRDefault="00A77B3E" w:rsidP="00D41996">
      <w:pPr>
        <w:snapToGrid w:val="0"/>
        <w:spacing w:line="360" w:lineRule="auto"/>
        <w:jc w:val="both"/>
        <w:rPr>
          <w:rFonts w:ascii="Book Antiqua" w:hAnsi="Book Antiqua"/>
        </w:rPr>
      </w:pPr>
    </w:p>
    <w:p w14:paraId="2CF76197"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aps/>
          <w:color w:val="000000"/>
          <w:u w:val="single"/>
        </w:rPr>
        <w:t>ACKNOWLEDGEMENTS</w:t>
      </w:r>
    </w:p>
    <w:p w14:paraId="2967A749"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We thank Dr. Sohsuke Yamada for pathological diagnosis for this case.</w:t>
      </w:r>
    </w:p>
    <w:p w14:paraId="088975A9" w14:textId="77777777" w:rsidR="00A77B3E" w:rsidRPr="00D41996" w:rsidRDefault="00A77B3E" w:rsidP="00D41996">
      <w:pPr>
        <w:snapToGrid w:val="0"/>
        <w:spacing w:line="360" w:lineRule="auto"/>
        <w:jc w:val="both"/>
        <w:rPr>
          <w:rFonts w:ascii="Book Antiqua" w:hAnsi="Book Antiqua"/>
        </w:rPr>
      </w:pPr>
    </w:p>
    <w:p w14:paraId="1C739B94"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REFERENCES</w:t>
      </w:r>
    </w:p>
    <w:p w14:paraId="1A2445AC"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lastRenderedPageBreak/>
        <w:t xml:space="preserve">1 </w:t>
      </w:r>
      <w:r w:rsidRPr="00D41996">
        <w:rPr>
          <w:rFonts w:ascii="Book Antiqua" w:eastAsia="Book Antiqua" w:hAnsi="Book Antiqua" w:cs="Book Antiqua"/>
          <w:b/>
          <w:bCs/>
          <w:color w:val="000000"/>
        </w:rPr>
        <w:t>Adwani DG</w:t>
      </w:r>
      <w:r w:rsidRPr="00D41996">
        <w:rPr>
          <w:rFonts w:ascii="Book Antiqua" w:eastAsia="Book Antiqua" w:hAnsi="Book Antiqua" w:cs="Book Antiqua"/>
          <w:color w:val="000000"/>
        </w:rPr>
        <w:t xml:space="preserve">, Arora RS, Bhattacharya A, Bhagat B. Non-Hodgkin's lymphoma of maxillary sinus: An unusual presentation. </w:t>
      </w:r>
      <w:r w:rsidRPr="00D41996">
        <w:rPr>
          <w:rFonts w:ascii="Book Antiqua" w:eastAsia="Book Antiqua" w:hAnsi="Book Antiqua" w:cs="Book Antiqua"/>
          <w:i/>
          <w:iCs/>
          <w:color w:val="000000"/>
        </w:rPr>
        <w:t>Ann Maxillofac Surg</w:t>
      </w:r>
      <w:r w:rsidRPr="00D41996">
        <w:rPr>
          <w:rFonts w:ascii="Book Antiqua" w:eastAsia="Book Antiqua" w:hAnsi="Book Antiqua" w:cs="Book Antiqua"/>
          <w:color w:val="000000"/>
        </w:rPr>
        <w:t xml:space="preserve"> 2013; </w:t>
      </w:r>
      <w:r w:rsidRPr="00D41996">
        <w:rPr>
          <w:rFonts w:ascii="Book Antiqua" w:eastAsia="Book Antiqua" w:hAnsi="Book Antiqua" w:cs="Book Antiqua"/>
          <w:b/>
          <w:bCs/>
          <w:color w:val="000000"/>
        </w:rPr>
        <w:t>3</w:t>
      </w:r>
      <w:r w:rsidRPr="00D41996">
        <w:rPr>
          <w:rFonts w:ascii="Book Antiqua" w:eastAsia="Book Antiqua" w:hAnsi="Book Antiqua" w:cs="Book Antiqua"/>
          <w:color w:val="000000"/>
        </w:rPr>
        <w:t>: 95-97 [PMID: 23662270 DOI: 10.4103/2231-0746.110079]</w:t>
      </w:r>
    </w:p>
    <w:p w14:paraId="7C91A734"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 </w:t>
      </w:r>
      <w:r w:rsidRPr="00D41996">
        <w:rPr>
          <w:rFonts w:ascii="Book Antiqua" w:eastAsia="Book Antiqua" w:hAnsi="Book Antiqua" w:cs="Book Antiqua"/>
          <w:b/>
          <w:bCs/>
          <w:color w:val="000000"/>
        </w:rPr>
        <w:t>Nadendla LK</w:t>
      </w:r>
      <w:r w:rsidRPr="00D41996">
        <w:rPr>
          <w:rFonts w:ascii="Book Antiqua" w:eastAsia="Book Antiqua" w:hAnsi="Book Antiqua" w:cs="Book Antiqua"/>
          <w:color w:val="000000"/>
        </w:rPr>
        <w:t xml:space="preserve">, Meduri V, Paramkusam G. Imaging characteristics of diffuse large cell extra nodal non-Hodgkin's lymphoma involving the palate and maxillary sinus: a case report. </w:t>
      </w:r>
      <w:r w:rsidRPr="00D41996">
        <w:rPr>
          <w:rFonts w:ascii="Book Antiqua" w:eastAsia="Book Antiqua" w:hAnsi="Book Antiqua" w:cs="Book Antiqua"/>
          <w:i/>
          <w:iCs/>
          <w:color w:val="000000"/>
        </w:rPr>
        <w:t>Imaging Sci Dent</w:t>
      </w:r>
      <w:r w:rsidRPr="00D41996">
        <w:rPr>
          <w:rFonts w:ascii="Book Antiqua" w:eastAsia="Book Antiqua" w:hAnsi="Book Antiqua" w:cs="Book Antiqua"/>
          <w:color w:val="000000"/>
        </w:rPr>
        <w:t xml:space="preserve"> 2012; </w:t>
      </w:r>
      <w:r w:rsidRPr="00D41996">
        <w:rPr>
          <w:rFonts w:ascii="Book Antiqua" w:eastAsia="Book Antiqua" w:hAnsi="Book Antiqua" w:cs="Book Antiqua"/>
          <w:b/>
          <w:bCs/>
          <w:color w:val="000000"/>
        </w:rPr>
        <w:t>42</w:t>
      </w:r>
      <w:r w:rsidRPr="00D41996">
        <w:rPr>
          <w:rFonts w:ascii="Book Antiqua" w:eastAsia="Book Antiqua" w:hAnsi="Book Antiqua" w:cs="Book Antiqua"/>
          <w:color w:val="000000"/>
        </w:rPr>
        <w:t>: 111-114 [PMID: 22783481 DOI: 10.5624/isd.2012.42.2.111]</w:t>
      </w:r>
    </w:p>
    <w:p w14:paraId="7AC88048"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 </w:t>
      </w:r>
      <w:r w:rsidRPr="00D41996">
        <w:rPr>
          <w:rFonts w:ascii="Book Antiqua" w:eastAsia="Book Antiqua" w:hAnsi="Book Antiqua" w:cs="Book Antiqua"/>
          <w:b/>
          <w:bCs/>
          <w:color w:val="000000"/>
        </w:rPr>
        <w:t>Su ZY</w:t>
      </w:r>
      <w:r w:rsidRPr="00D41996">
        <w:rPr>
          <w:rFonts w:ascii="Book Antiqua" w:eastAsia="Book Antiqua" w:hAnsi="Book Antiqua" w:cs="Book Antiqua"/>
          <w:color w:val="000000"/>
        </w:rPr>
        <w:t xml:space="preserve">, Zhang DS, Zhu MQ, Shi YX, Jiang WQ. [Primary non-Hodgkin's lymphoma of the paranasal sinuses: a report of 14 cases]. </w:t>
      </w:r>
      <w:r w:rsidRPr="00D41996">
        <w:rPr>
          <w:rFonts w:ascii="Book Antiqua" w:eastAsia="Book Antiqua" w:hAnsi="Book Antiqua" w:cs="Book Antiqua"/>
          <w:i/>
          <w:iCs/>
          <w:color w:val="000000"/>
        </w:rPr>
        <w:t>Ai Zheng</w:t>
      </w:r>
      <w:r w:rsidRPr="00D41996">
        <w:rPr>
          <w:rFonts w:ascii="Book Antiqua" w:eastAsia="Book Antiqua" w:hAnsi="Book Antiqua" w:cs="Book Antiqua"/>
          <w:color w:val="000000"/>
        </w:rPr>
        <w:t xml:space="preserve"> 2007; </w:t>
      </w:r>
      <w:r w:rsidRPr="00D41996">
        <w:rPr>
          <w:rFonts w:ascii="Book Antiqua" w:eastAsia="Book Antiqua" w:hAnsi="Book Antiqua" w:cs="Book Antiqua"/>
          <w:b/>
          <w:bCs/>
          <w:color w:val="000000"/>
        </w:rPr>
        <w:t>26</w:t>
      </w:r>
      <w:r w:rsidRPr="00D41996">
        <w:rPr>
          <w:rFonts w:ascii="Book Antiqua" w:eastAsia="Book Antiqua" w:hAnsi="Book Antiqua" w:cs="Book Antiqua"/>
          <w:color w:val="000000"/>
        </w:rPr>
        <w:t>: 919-922 [PMID: 17697560]</w:t>
      </w:r>
    </w:p>
    <w:p w14:paraId="78EE36E0"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4 </w:t>
      </w:r>
      <w:r w:rsidRPr="00D41996">
        <w:rPr>
          <w:rFonts w:ascii="Book Antiqua" w:eastAsia="Book Antiqua" w:hAnsi="Book Antiqua" w:cs="Book Antiqua"/>
          <w:b/>
          <w:bCs/>
          <w:color w:val="000000"/>
        </w:rPr>
        <w:t>Latif Moini A</w:t>
      </w:r>
      <w:r w:rsidRPr="00D41996">
        <w:rPr>
          <w:rFonts w:ascii="Book Antiqua" w:eastAsia="Book Antiqua" w:hAnsi="Book Antiqua" w:cs="Book Antiqua"/>
          <w:color w:val="000000"/>
        </w:rPr>
        <w:t xml:space="preserve">, Farbod Ara T, Fazeli Mosleh Abadi M. Primary pulmonary lymphoma and cutaneous metastasis: a case report. </w:t>
      </w:r>
      <w:r w:rsidRPr="00D41996">
        <w:rPr>
          <w:rFonts w:ascii="Book Antiqua" w:eastAsia="Book Antiqua" w:hAnsi="Book Antiqua" w:cs="Book Antiqua"/>
          <w:i/>
          <w:iCs/>
          <w:color w:val="000000"/>
        </w:rPr>
        <w:t>Iran J Radiol</w:t>
      </w:r>
      <w:r w:rsidRPr="00D41996">
        <w:rPr>
          <w:rFonts w:ascii="Book Antiqua" w:eastAsia="Book Antiqua" w:hAnsi="Book Antiqua" w:cs="Book Antiqua"/>
          <w:color w:val="000000"/>
        </w:rPr>
        <w:t xml:space="preserve"> 2014; </w:t>
      </w:r>
      <w:r w:rsidRPr="00D41996">
        <w:rPr>
          <w:rFonts w:ascii="Book Antiqua" w:eastAsia="Book Antiqua" w:hAnsi="Book Antiqua" w:cs="Book Antiqua"/>
          <w:b/>
          <w:bCs/>
          <w:color w:val="000000"/>
        </w:rPr>
        <w:t>11</w:t>
      </w:r>
      <w:r w:rsidRPr="00D41996">
        <w:rPr>
          <w:rFonts w:ascii="Book Antiqua" w:eastAsia="Book Antiqua" w:hAnsi="Book Antiqua" w:cs="Book Antiqua"/>
          <w:color w:val="000000"/>
        </w:rPr>
        <w:t>: e15574 [PMID: 25763075 DOI: 10.5812/iranjradiol.15574]</w:t>
      </w:r>
    </w:p>
    <w:p w14:paraId="65BC1ECB"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5 </w:t>
      </w:r>
      <w:r w:rsidRPr="00D41996">
        <w:rPr>
          <w:rFonts w:ascii="Book Antiqua" w:eastAsia="Book Antiqua" w:hAnsi="Book Antiqua" w:cs="Book Antiqua"/>
          <w:b/>
          <w:bCs/>
          <w:color w:val="000000"/>
        </w:rPr>
        <w:t>Liu Y</w:t>
      </w:r>
      <w:r w:rsidRPr="00D41996">
        <w:rPr>
          <w:rFonts w:ascii="Book Antiqua" w:eastAsia="Book Antiqua" w:hAnsi="Book Antiqua" w:cs="Book Antiqua"/>
          <w:color w:val="000000"/>
        </w:rPr>
        <w:t xml:space="preserve">, Barta SK. Diffuse large B-cell lymphoma: 2019 update on diagnosis, risk stratification, and treatment. </w:t>
      </w:r>
      <w:r w:rsidRPr="00D41996">
        <w:rPr>
          <w:rFonts w:ascii="Book Antiqua" w:eastAsia="Book Antiqua" w:hAnsi="Book Antiqua" w:cs="Book Antiqua"/>
          <w:i/>
          <w:iCs/>
          <w:color w:val="000000"/>
        </w:rPr>
        <w:t>Am J Hematol</w:t>
      </w:r>
      <w:r w:rsidRPr="00D41996">
        <w:rPr>
          <w:rFonts w:ascii="Book Antiqua" w:eastAsia="Book Antiqua" w:hAnsi="Book Antiqua" w:cs="Book Antiqua"/>
          <w:color w:val="000000"/>
        </w:rPr>
        <w:t xml:space="preserve"> 2019; </w:t>
      </w:r>
      <w:r w:rsidRPr="00D41996">
        <w:rPr>
          <w:rFonts w:ascii="Book Antiqua" w:eastAsia="Book Antiqua" w:hAnsi="Book Antiqua" w:cs="Book Antiqua"/>
          <w:b/>
          <w:bCs/>
          <w:color w:val="000000"/>
        </w:rPr>
        <w:t>94</w:t>
      </w:r>
      <w:r w:rsidRPr="00D41996">
        <w:rPr>
          <w:rFonts w:ascii="Book Antiqua" w:eastAsia="Book Antiqua" w:hAnsi="Book Antiqua" w:cs="Book Antiqua"/>
          <w:color w:val="000000"/>
        </w:rPr>
        <w:t>: 604-616 [PMID: 30859597 DOI: 10.1002/ajh.25460]</w:t>
      </w:r>
    </w:p>
    <w:p w14:paraId="7CF62F7A"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6 </w:t>
      </w:r>
      <w:r w:rsidRPr="00D41996">
        <w:rPr>
          <w:rFonts w:ascii="Book Antiqua" w:eastAsia="Book Antiqua" w:hAnsi="Book Antiqua" w:cs="Book Antiqua"/>
          <w:b/>
          <w:bCs/>
          <w:color w:val="000000"/>
        </w:rPr>
        <w:t>Yang JM</w:t>
      </w:r>
      <w:r w:rsidRPr="00D41996">
        <w:rPr>
          <w:rFonts w:ascii="Book Antiqua" w:eastAsia="Book Antiqua" w:hAnsi="Book Antiqua" w:cs="Book Antiqua"/>
          <w:color w:val="000000"/>
        </w:rPr>
        <w:t xml:space="preserve">, Jang JY, Jeon YK, Paik JH. Clinicopathologic implication of microRNA-197 in diffuse large B cell lymphoma. </w:t>
      </w:r>
      <w:r w:rsidRPr="00D41996">
        <w:rPr>
          <w:rFonts w:ascii="Book Antiqua" w:eastAsia="Book Antiqua" w:hAnsi="Book Antiqua" w:cs="Book Antiqua"/>
          <w:i/>
          <w:iCs/>
          <w:color w:val="000000"/>
        </w:rPr>
        <w:t>J Transl Med</w:t>
      </w:r>
      <w:r w:rsidRPr="00D41996">
        <w:rPr>
          <w:rFonts w:ascii="Book Antiqua" w:eastAsia="Book Antiqua" w:hAnsi="Book Antiqua" w:cs="Book Antiqua"/>
          <w:color w:val="000000"/>
        </w:rPr>
        <w:t xml:space="preserve"> 2018; </w:t>
      </w:r>
      <w:r w:rsidRPr="00D41996">
        <w:rPr>
          <w:rFonts w:ascii="Book Antiqua" w:eastAsia="Book Antiqua" w:hAnsi="Book Antiqua" w:cs="Book Antiqua"/>
          <w:b/>
          <w:bCs/>
          <w:color w:val="000000"/>
        </w:rPr>
        <w:t>16</w:t>
      </w:r>
      <w:r w:rsidRPr="00D41996">
        <w:rPr>
          <w:rFonts w:ascii="Book Antiqua" w:eastAsia="Book Antiqua" w:hAnsi="Book Antiqua" w:cs="Book Antiqua"/>
          <w:color w:val="000000"/>
        </w:rPr>
        <w:t>: 162 [PMID: 29890998 DOI: 10.1186/s12967-018-1537-0]</w:t>
      </w:r>
    </w:p>
    <w:p w14:paraId="0B886471"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7 </w:t>
      </w:r>
      <w:r w:rsidRPr="00D41996">
        <w:rPr>
          <w:rFonts w:ascii="Book Antiqua" w:eastAsia="Book Antiqua" w:hAnsi="Book Antiqua" w:cs="Book Antiqua"/>
          <w:b/>
          <w:bCs/>
          <w:color w:val="000000"/>
        </w:rPr>
        <w:t>Hu LY</w:t>
      </w:r>
      <w:r w:rsidRPr="00D41996">
        <w:rPr>
          <w:rFonts w:ascii="Book Antiqua" w:eastAsia="Book Antiqua" w:hAnsi="Book Antiqua" w:cs="Book Antiqua"/>
          <w:color w:val="000000"/>
        </w:rPr>
        <w:t xml:space="preserve">, Xu XL, Rao HL, Chen J, Lai RC, Huang HQ, Jiang WQ, Lin TY, Xia ZJ, Cai QQ. Expression and clinical value of programmed cell death-ligand 1 (PD-L1) in diffuse large B cell lymphoma: a retrospective study. </w:t>
      </w:r>
      <w:r w:rsidRPr="00D41996">
        <w:rPr>
          <w:rFonts w:ascii="Book Antiqua" w:eastAsia="Book Antiqua" w:hAnsi="Book Antiqua" w:cs="Book Antiqua"/>
          <w:i/>
          <w:iCs/>
          <w:color w:val="000000"/>
        </w:rPr>
        <w:t>Chin J Cancer</w:t>
      </w:r>
      <w:r w:rsidRPr="00D41996">
        <w:rPr>
          <w:rFonts w:ascii="Book Antiqua" w:eastAsia="Book Antiqua" w:hAnsi="Book Antiqua" w:cs="Book Antiqua"/>
          <w:color w:val="000000"/>
        </w:rPr>
        <w:t xml:space="preserve"> 2017; </w:t>
      </w:r>
      <w:r w:rsidRPr="00D41996">
        <w:rPr>
          <w:rFonts w:ascii="Book Antiqua" w:eastAsia="Book Antiqua" w:hAnsi="Book Antiqua" w:cs="Book Antiqua"/>
          <w:b/>
          <w:bCs/>
          <w:color w:val="000000"/>
        </w:rPr>
        <w:t>36</w:t>
      </w:r>
      <w:r w:rsidRPr="00D41996">
        <w:rPr>
          <w:rFonts w:ascii="Book Antiqua" w:eastAsia="Book Antiqua" w:hAnsi="Book Antiqua" w:cs="Book Antiqua"/>
          <w:color w:val="000000"/>
        </w:rPr>
        <w:t>: 94 [PMID: 29246182 DOI: 10.1186/s40880-017-0262-z]</w:t>
      </w:r>
    </w:p>
    <w:p w14:paraId="0A82061D"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8 </w:t>
      </w:r>
      <w:r w:rsidRPr="00D41996">
        <w:rPr>
          <w:rFonts w:ascii="Book Antiqua" w:eastAsia="Book Antiqua" w:hAnsi="Book Antiqua" w:cs="Book Antiqua"/>
          <w:b/>
          <w:bCs/>
          <w:color w:val="000000"/>
        </w:rPr>
        <w:t>Serag El-Dien MM</w:t>
      </w:r>
      <w:r w:rsidRPr="00D41996">
        <w:rPr>
          <w:rFonts w:ascii="Book Antiqua" w:eastAsia="Book Antiqua" w:hAnsi="Book Antiqua" w:cs="Book Antiqua"/>
          <w:color w:val="000000"/>
        </w:rPr>
        <w:t xml:space="preserve">, Abdou AG, Asaad NY, Abd El-Wahed MM, Kora MAEM. Intratumoral FOXP3+ Regulatory T Cells in Diffuse Large B-Cell Lymphoma. </w:t>
      </w:r>
      <w:r w:rsidRPr="00D41996">
        <w:rPr>
          <w:rFonts w:ascii="Book Antiqua" w:eastAsia="Book Antiqua" w:hAnsi="Book Antiqua" w:cs="Book Antiqua"/>
          <w:i/>
          <w:iCs/>
          <w:color w:val="000000"/>
        </w:rPr>
        <w:t>Appl Immunohistochem Mol Morphol</w:t>
      </w:r>
      <w:r w:rsidRPr="00D41996">
        <w:rPr>
          <w:rFonts w:ascii="Book Antiqua" w:eastAsia="Book Antiqua" w:hAnsi="Book Antiqua" w:cs="Book Antiqua"/>
          <w:color w:val="000000"/>
        </w:rPr>
        <w:t xml:space="preserve"> 2017; </w:t>
      </w:r>
      <w:r w:rsidRPr="00D41996">
        <w:rPr>
          <w:rFonts w:ascii="Book Antiqua" w:eastAsia="Book Antiqua" w:hAnsi="Book Antiqua" w:cs="Book Antiqua"/>
          <w:b/>
          <w:bCs/>
          <w:color w:val="000000"/>
        </w:rPr>
        <w:t>25</w:t>
      </w:r>
      <w:r w:rsidRPr="00D41996">
        <w:rPr>
          <w:rFonts w:ascii="Book Antiqua" w:eastAsia="Book Antiqua" w:hAnsi="Book Antiqua" w:cs="Book Antiqua"/>
          <w:color w:val="000000"/>
        </w:rPr>
        <w:t>: 534-542 [PMID: 26862953 DOI: 10.1097/PAI.0000000000000335]</w:t>
      </w:r>
    </w:p>
    <w:p w14:paraId="39314FD1"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lastRenderedPageBreak/>
        <w:t xml:space="preserve">9 </w:t>
      </w:r>
      <w:r w:rsidRPr="00D41996">
        <w:rPr>
          <w:rFonts w:ascii="Book Antiqua" w:eastAsia="Book Antiqua" w:hAnsi="Book Antiqua" w:cs="Book Antiqua"/>
          <w:b/>
          <w:bCs/>
          <w:color w:val="000000"/>
        </w:rPr>
        <w:t>Catalfamo L</w:t>
      </w:r>
      <w:r w:rsidRPr="00D41996">
        <w:rPr>
          <w:rFonts w:ascii="Book Antiqua" w:eastAsia="Book Antiqua" w:hAnsi="Book Antiqua" w:cs="Book Antiqua"/>
          <w:color w:val="000000"/>
        </w:rPr>
        <w:t xml:space="preserve">, Nava C, Matyasova J, De Ponte FS. Primary diffuse large B-cell lymphoma of the ethmoido-orbital region. </w:t>
      </w:r>
      <w:r w:rsidRPr="00D41996">
        <w:rPr>
          <w:rFonts w:ascii="Book Antiqua" w:eastAsia="Book Antiqua" w:hAnsi="Book Antiqua" w:cs="Book Antiqua"/>
          <w:i/>
          <w:iCs/>
          <w:color w:val="000000"/>
        </w:rPr>
        <w:t>J Craniofac Surg</w:t>
      </w:r>
      <w:r w:rsidRPr="00D41996">
        <w:rPr>
          <w:rFonts w:ascii="Book Antiqua" w:eastAsia="Book Antiqua" w:hAnsi="Book Antiqua" w:cs="Book Antiqua"/>
          <w:color w:val="000000"/>
        </w:rPr>
        <w:t xml:space="preserve"> 2013; </w:t>
      </w:r>
      <w:r w:rsidRPr="00D41996">
        <w:rPr>
          <w:rFonts w:ascii="Book Antiqua" w:eastAsia="Book Antiqua" w:hAnsi="Book Antiqua" w:cs="Book Antiqua"/>
          <w:b/>
          <w:bCs/>
          <w:color w:val="000000"/>
        </w:rPr>
        <w:t>24</w:t>
      </w:r>
      <w:r w:rsidRPr="00D41996">
        <w:rPr>
          <w:rFonts w:ascii="Book Antiqua" w:eastAsia="Book Antiqua" w:hAnsi="Book Antiqua" w:cs="Book Antiqua"/>
          <w:color w:val="000000"/>
        </w:rPr>
        <w:t>: e602-e604 [PMID: 24220479 DOI: 10.1097/SCS.0b013e3182a28b99]</w:t>
      </w:r>
    </w:p>
    <w:p w14:paraId="33CFD121"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10 </w:t>
      </w:r>
      <w:r w:rsidRPr="00D41996">
        <w:rPr>
          <w:rFonts w:ascii="Book Antiqua" w:eastAsia="Book Antiqua" w:hAnsi="Book Antiqua" w:cs="Book Antiqua"/>
          <w:b/>
          <w:bCs/>
          <w:color w:val="000000"/>
        </w:rPr>
        <w:t>Lee H</w:t>
      </w:r>
      <w:r w:rsidRPr="00D41996">
        <w:rPr>
          <w:rFonts w:ascii="Book Antiqua" w:eastAsia="Book Antiqua" w:hAnsi="Book Antiqua" w:cs="Book Antiqua"/>
          <w:color w:val="000000"/>
        </w:rPr>
        <w:t xml:space="preserve">, Choi KE, Park M, Lee SH, Baek S. Primary diffuse large B-cell non-Hodgkin lymphoma of the paranasal sinuses presenting as cavernous sinus syndrome. </w:t>
      </w:r>
      <w:r w:rsidRPr="00D41996">
        <w:rPr>
          <w:rFonts w:ascii="Book Antiqua" w:eastAsia="Book Antiqua" w:hAnsi="Book Antiqua" w:cs="Book Antiqua"/>
          <w:i/>
          <w:iCs/>
          <w:color w:val="000000"/>
        </w:rPr>
        <w:t>J Craniofac Surg</w:t>
      </w:r>
      <w:r w:rsidRPr="00D41996">
        <w:rPr>
          <w:rFonts w:ascii="Book Antiqua" w:eastAsia="Book Antiqua" w:hAnsi="Book Antiqua" w:cs="Book Antiqua"/>
          <w:color w:val="000000"/>
        </w:rPr>
        <w:t xml:space="preserve"> 2014; </w:t>
      </w:r>
      <w:r w:rsidRPr="00D41996">
        <w:rPr>
          <w:rFonts w:ascii="Book Antiqua" w:eastAsia="Book Antiqua" w:hAnsi="Book Antiqua" w:cs="Book Antiqua"/>
          <w:b/>
          <w:bCs/>
          <w:color w:val="000000"/>
        </w:rPr>
        <w:t>25</w:t>
      </w:r>
      <w:r w:rsidRPr="00D41996">
        <w:rPr>
          <w:rFonts w:ascii="Book Antiqua" w:eastAsia="Book Antiqua" w:hAnsi="Book Antiqua" w:cs="Book Antiqua"/>
          <w:color w:val="000000"/>
        </w:rPr>
        <w:t>: e338-e339 [PMID: 25006937 DOI: 10.1097/SCS.0000000000000597]</w:t>
      </w:r>
    </w:p>
    <w:p w14:paraId="4696AE6A"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11 </w:t>
      </w:r>
      <w:r w:rsidRPr="00D41996">
        <w:rPr>
          <w:rFonts w:ascii="Book Antiqua" w:eastAsia="Book Antiqua" w:hAnsi="Book Antiqua" w:cs="Book Antiqua"/>
          <w:b/>
          <w:bCs/>
          <w:color w:val="000000"/>
        </w:rPr>
        <w:t>Peng KA</w:t>
      </w:r>
      <w:r w:rsidRPr="00D41996">
        <w:rPr>
          <w:rFonts w:ascii="Book Antiqua" w:eastAsia="Book Antiqua" w:hAnsi="Book Antiqua" w:cs="Book Antiqua"/>
          <w:color w:val="000000"/>
        </w:rPr>
        <w:t xml:space="preserve">, Kita AE, Suh JD, Bhuta SM, Wang MB. Sinonasal lymphoma: case series and review of the literature. </w:t>
      </w:r>
      <w:r w:rsidRPr="00D41996">
        <w:rPr>
          <w:rFonts w:ascii="Book Antiqua" w:eastAsia="Book Antiqua" w:hAnsi="Book Antiqua" w:cs="Book Antiqua"/>
          <w:i/>
          <w:iCs/>
          <w:color w:val="000000"/>
        </w:rPr>
        <w:t>Int Forum Allergy Rhinol</w:t>
      </w:r>
      <w:r w:rsidRPr="00D41996">
        <w:rPr>
          <w:rFonts w:ascii="Book Antiqua" w:eastAsia="Book Antiqua" w:hAnsi="Book Antiqua" w:cs="Book Antiqua"/>
          <w:color w:val="000000"/>
        </w:rPr>
        <w:t xml:space="preserve"> 2014; </w:t>
      </w:r>
      <w:r w:rsidRPr="00D41996">
        <w:rPr>
          <w:rFonts w:ascii="Book Antiqua" w:eastAsia="Book Antiqua" w:hAnsi="Book Antiqua" w:cs="Book Antiqua"/>
          <w:b/>
          <w:bCs/>
          <w:color w:val="000000"/>
        </w:rPr>
        <w:t>4</w:t>
      </w:r>
      <w:r w:rsidRPr="00D41996">
        <w:rPr>
          <w:rFonts w:ascii="Book Antiqua" w:eastAsia="Book Antiqua" w:hAnsi="Book Antiqua" w:cs="Book Antiqua"/>
          <w:color w:val="000000"/>
        </w:rPr>
        <w:t>: 670-674 [PMID: 24760602 DOI: 10.1002/alr.21337]</w:t>
      </w:r>
    </w:p>
    <w:p w14:paraId="1DADE0AB"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12 </w:t>
      </w:r>
      <w:r w:rsidRPr="00D41996">
        <w:rPr>
          <w:rFonts w:ascii="Book Antiqua" w:eastAsia="Book Antiqua" w:hAnsi="Book Antiqua" w:cs="Book Antiqua"/>
          <w:b/>
          <w:bCs/>
          <w:color w:val="000000"/>
        </w:rPr>
        <w:t>Shan Y</w:t>
      </w:r>
      <w:r w:rsidRPr="00D41996">
        <w:rPr>
          <w:rFonts w:ascii="Book Antiqua" w:eastAsia="Book Antiqua" w:hAnsi="Book Antiqua" w:cs="Book Antiqua"/>
          <w:color w:val="000000"/>
        </w:rPr>
        <w:t xml:space="preserve">, Cui J, Zheng J. [One case of primary malignant lymphoma of the maxillary sinus]. </w:t>
      </w:r>
      <w:r w:rsidRPr="00D41996">
        <w:rPr>
          <w:rFonts w:ascii="Book Antiqua" w:eastAsia="Book Antiqua" w:hAnsi="Book Antiqua" w:cs="Book Antiqua"/>
          <w:i/>
          <w:iCs/>
          <w:color w:val="000000"/>
        </w:rPr>
        <w:t>Lin Chung Er Bi Yan Hou Tou Jing Wai Ke Za Zhi</w:t>
      </w:r>
      <w:r w:rsidRPr="00D41996">
        <w:rPr>
          <w:rFonts w:ascii="Book Antiqua" w:eastAsia="Book Antiqua" w:hAnsi="Book Antiqua" w:cs="Book Antiqua"/>
          <w:color w:val="000000"/>
        </w:rPr>
        <w:t xml:space="preserve"> 2014; </w:t>
      </w:r>
      <w:r w:rsidRPr="00D41996">
        <w:rPr>
          <w:rFonts w:ascii="Book Antiqua" w:eastAsia="Book Antiqua" w:hAnsi="Book Antiqua" w:cs="Book Antiqua"/>
          <w:b/>
          <w:bCs/>
          <w:color w:val="000000"/>
        </w:rPr>
        <w:t>28</w:t>
      </w:r>
      <w:r w:rsidRPr="00D41996">
        <w:rPr>
          <w:rFonts w:ascii="Book Antiqua" w:eastAsia="Book Antiqua" w:hAnsi="Book Antiqua" w:cs="Book Antiqua"/>
          <w:color w:val="000000"/>
        </w:rPr>
        <w:t>: 137-138 [PMID: 24738323]</w:t>
      </w:r>
    </w:p>
    <w:p w14:paraId="3290B087"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13 </w:t>
      </w:r>
      <w:r w:rsidRPr="00D41996">
        <w:rPr>
          <w:rFonts w:ascii="Book Antiqua" w:eastAsia="Book Antiqua" w:hAnsi="Book Antiqua" w:cs="Book Antiqua"/>
          <w:b/>
          <w:bCs/>
          <w:color w:val="000000"/>
        </w:rPr>
        <w:t>Ashrafi F</w:t>
      </w:r>
      <w:r w:rsidRPr="00D41996">
        <w:rPr>
          <w:rFonts w:ascii="Book Antiqua" w:eastAsia="Book Antiqua" w:hAnsi="Book Antiqua" w:cs="Book Antiqua"/>
          <w:color w:val="000000"/>
        </w:rPr>
        <w:t xml:space="preserve">, Klein C, Poorpooneh M, Sherkat R, Khoshnevisan R. A case report of sinusoidal diffuse large B-cell lymphoma in a STK4 deficient patient. </w:t>
      </w:r>
      <w:r w:rsidRPr="00D41996">
        <w:rPr>
          <w:rFonts w:ascii="Book Antiqua" w:eastAsia="Book Antiqua" w:hAnsi="Book Antiqua" w:cs="Book Antiqua"/>
          <w:i/>
          <w:iCs/>
          <w:color w:val="000000"/>
        </w:rPr>
        <w:t>Medicine (Baltimore)</w:t>
      </w:r>
      <w:r w:rsidRPr="00D41996">
        <w:rPr>
          <w:rFonts w:ascii="Book Antiqua" w:eastAsia="Book Antiqua" w:hAnsi="Book Antiqua" w:cs="Book Antiqua"/>
          <w:color w:val="000000"/>
        </w:rPr>
        <w:t xml:space="preserve"> 2020; </w:t>
      </w:r>
      <w:r w:rsidRPr="00D41996">
        <w:rPr>
          <w:rFonts w:ascii="Book Antiqua" w:eastAsia="Book Antiqua" w:hAnsi="Book Antiqua" w:cs="Book Antiqua"/>
          <w:b/>
          <w:bCs/>
          <w:color w:val="000000"/>
        </w:rPr>
        <w:t>99</w:t>
      </w:r>
      <w:r w:rsidRPr="00D41996">
        <w:rPr>
          <w:rFonts w:ascii="Book Antiqua" w:eastAsia="Book Antiqua" w:hAnsi="Book Antiqua" w:cs="Book Antiqua"/>
          <w:color w:val="000000"/>
        </w:rPr>
        <w:t>: e18601 [PMID: 32118703 DOI: 10.1097/MD.0000000000018601]</w:t>
      </w:r>
    </w:p>
    <w:p w14:paraId="73D0EB8E"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14 </w:t>
      </w:r>
      <w:r w:rsidRPr="00D41996">
        <w:rPr>
          <w:rFonts w:ascii="Book Antiqua" w:eastAsia="Book Antiqua" w:hAnsi="Book Antiqua" w:cs="Book Antiqua"/>
          <w:b/>
          <w:bCs/>
          <w:color w:val="000000"/>
        </w:rPr>
        <w:t>Kewan T</w:t>
      </w:r>
      <w:r w:rsidRPr="00D41996">
        <w:rPr>
          <w:rFonts w:ascii="Book Antiqua" w:eastAsia="Book Antiqua" w:hAnsi="Book Antiqua" w:cs="Book Antiqua"/>
          <w:color w:val="000000"/>
        </w:rPr>
        <w:t xml:space="preserve">, Awada H, Covut F, Haddad A, Daw H. Late Central Nervous System Relapse in a Patient with Maxillary Sinus Lymphoma. </w:t>
      </w:r>
      <w:r w:rsidRPr="00D41996">
        <w:rPr>
          <w:rFonts w:ascii="Book Antiqua" w:eastAsia="Book Antiqua" w:hAnsi="Book Antiqua" w:cs="Book Antiqua"/>
          <w:i/>
          <w:iCs/>
          <w:color w:val="000000"/>
        </w:rPr>
        <w:t>Cureus</w:t>
      </w:r>
      <w:r w:rsidRPr="00D41996">
        <w:rPr>
          <w:rFonts w:ascii="Book Antiqua" w:eastAsia="Book Antiqua" w:hAnsi="Book Antiqua" w:cs="Book Antiqua"/>
          <w:color w:val="000000"/>
        </w:rPr>
        <w:t xml:space="preserve"> 2018; </w:t>
      </w:r>
      <w:r w:rsidRPr="00D41996">
        <w:rPr>
          <w:rFonts w:ascii="Book Antiqua" w:eastAsia="Book Antiqua" w:hAnsi="Book Antiqua" w:cs="Book Antiqua"/>
          <w:b/>
          <w:bCs/>
          <w:color w:val="000000"/>
        </w:rPr>
        <w:t>10</w:t>
      </w:r>
      <w:r w:rsidRPr="00D41996">
        <w:rPr>
          <w:rFonts w:ascii="Book Antiqua" w:eastAsia="Book Antiqua" w:hAnsi="Book Antiqua" w:cs="Book Antiqua"/>
          <w:color w:val="000000"/>
        </w:rPr>
        <w:t>: e3745 [PMID: 30820366 DOI: 10.7759/cureus.3745]</w:t>
      </w:r>
    </w:p>
    <w:p w14:paraId="30E98F7D"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15 </w:t>
      </w:r>
      <w:r w:rsidRPr="00D41996">
        <w:rPr>
          <w:rFonts w:ascii="Book Antiqua" w:eastAsia="Book Antiqua" w:hAnsi="Book Antiqua" w:cs="Book Antiqua"/>
          <w:b/>
          <w:bCs/>
          <w:color w:val="000000"/>
        </w:rPr>
        <w:t>Nakamura K</w:t>
      </w:r>
      <w:r w:rsidRPr="00D41996">
        <w:rPr>
          <w:rFonts w:ascii="Book Antiqua" w:eastAsia="Book Antiqua" w:hAnsi="Book Antiqua" w:cs="Book Antiqua"/>
          <w:color w:val="000000"/>
        </w:rPr>
        <w:t xml:space="preserve">, Uehara S, Omagari J, Kunitake N, Jingu K, Masuda K. Primary non-Hodgkin's lymphoma of the maxillary sinus. </w:t>
      </w:r>
      <w:r w:rsidRPr="00D41996">
        <w:rPr>
          <w:rFonts w:ascii="Book Antiqua" w:eastAsia="Book Antiqua" w:hAnsi="Book Antiqua" w:cs="Book Antiqua"/>
          <w:i/>
          <w:iCs/>
          <w:color w:val="000000"/>
        </w:rPr>
        <w:t>Am J Clin Oncol</w:t>
      </w:r>
      <w:r w:rsidRPr="00D41996">
        <w:rPr>
          <w:rFonts w:ascii="Book Antiqua" w:eastAsia="Book Antiqua" w:hAnsi="Book Antiqua" w:cs="Book Antiqua"/>
          <w:color w:val="000000"/>
        </w:rPr>
        <w:t xml:space="preserve"> 1997; </w:t>
      </w:r>
      <w:r w:rsidRPr="00D41996">
        <w:rPr>
          <w:rFonts w:ascii="Book Antiqua" w:eastAsia="Book Antiqua" w:hAnsi="Book Antiqua" w:cs="Book Antiqua"/>
          <w:b/>
          <w:bCs/>
          <w:color w:val="000000"/>
        </w:rPr>
        <w:t>20</w:t>
      </w:r>
      <w:r w:rsidRPr="00D41996">
        <w:rPr>
          <w:rFonts w:ascii="Book Antiqua" w:eastAsia="Book Antiqua" w:hAnsi="Book Antiqua" w:cs="Book Antiqua"/>
          <w:color w:val="000000"/>
        </w:rPr>
        <w:t>: 272-275 [PMID: 9167752 DOI: 10.1097/00000421-199706000-00013]</w:t>
      </w:r>
    </w:p>
    <w:p w14:paraId="0B326D47"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16 </w:t>
      </w:r>
      <w:r w:rsidRPr="00D41996">
        <w:rPr>
          <w:rFonts w:ascii="Book Antiqua" w:eastAsia="Book Antiqua" w:hAnsi="Book Antiqua" w:cs="Book Antiqua"/>
          <w:b/>
          <w:bCs/>
          <w:color w:val="000000"/>
        </w:rPr>
        <w:t>Varelas AN</w:t>
      </w:r>
      <w:r w:rsidRPr="00D41996">
        <w:rPr>
          <w:rFonts w:ascii="Book Antiqua" w:eastAsia="Book Antiqua" w:hAnsi="Book Antiqua" w:cs="Book Antiqua"/>
          <w:color w:val="000000"/>
        </w:rPr>
        <w:t xml:space="preserve">, Eggerstedt M, Ganti A, Tajudeen BA. Epidemiologic, prognostic, and treatment factors in sinonasal diffuse large B -cell lymphoma. </w:t>
      </w:r>
      <w:r w:rsidRPr="00D41996">
        <w:rPr>
          <w:rFonts w:ascii="Book Antiqua" w:eastAsia="Book Antiqua" w:hAnsi="Book Antiqua" w:cs="Book Antiqua"/>
          <w:i/>
          <w:iCs/>
          <w:color w:val="000000"/>
        </w:rPr>
        <w:t>Laryngoscope</w:t>
      </w:r>
      <w:r w:rsidRPr="00D41996">
        <w:rPr>
          <w:rFonts w:ascii="Book Antiqua" w:eastAsia="Book Antiqua" w:hAnsi="Book Antiqua" w:cs="Book Antiqua"/>
          <w:color w:val="000000"/>
        </w:rPr>
        <w:t xml:space="preserve"> 2019; </w:t>
      </w:r>
      <w:r w:rsidRPr="00D41996">
        <w:rPr>
          <w:rFonts w:ascii="Book Antiqua" w:eastAsia="Book Antiqua" w:hAnsi="Book Antiqua" w:cs="Book Antiqua"/>
          <w:b/>
          <w:bCs/>
          <w:color w:val="000000"/>
        </w:rPr>
        <w:t>129</w:t>
      </w:r>
      <w:r w:rsidRPr="00D41996">
        <w:rPr>
          <w:rFonts w:ascii="Book Antiqua" w:eastAsia="Book Antiqua" w:hAnsi="Book Antiqua" w:cs="Book Antiqua"/>
          <w:color w:val="000000"/>
        </w:rPr>
        <w:t>: 1259-1264 [PMID: 30570148 DOI: 10.1002/Lary.27639]</w:t>
      </w:r>
    </w:p>
    <w:p w14:paraId="2896FF7B"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17 </w:t>
      </w:r>
      <w:r w:rsidRPr="00D41996">
        <w:rPr>
          <w:rFonts w:ascii="Book Antiqua" w:eastAsia="Book Antiqua" w:hAnsi="Book Antiqua" w:cs="Book Antiqua"/>
          <w:b/>
          <w:bCs/>
          <w:color w:val="000000"/>
        </w:rPr>
        <w:t>Goel S</w:t>
      </w:r>
      <w:r w:rsidRPr="00D41996">
        <w:rPr>
          <w:rFonts w:ascii="Book Antiqua" w:eastAsia="Book Antiqua" w:hAnsi="Book Antiqua" w:cs="Book Antiqua"/>
          <w:color w:val="000000"/>
        </w:rPr>
        <w:t xml:space="preserve">, Sachdev R, Mohapatra I, Gajendra S, Gupta S. Unusually Aggressive Primary Testicular Diffuse Large B Cell Lymphoma with Post Therapy Extensive </w:t>
      </w:r>
      <w:r w:rsidRPr="00D41996">
        <w:rPr>
          <w:rFonts w:ascii="Book Antiqua" w:eastAsia="Book Antiqua" w:hAnsi="Book Antiqua" w:cs="Book Antiqua"/>
          <w:color w:val="000000"/>
        </w:rPr>
        <w:lastRenderedPageBreak/>
        <w:t xml:space="preserve">Metastasis. </w:t>
      </w:r>
      <w:r w:rsidRPr="00D41996">
        <w:rPr>
          <w:rFonts w:ascii="Book Antiqua" w:eastAsia="Book Antiqua" w:hAnsi="Book Antiqua" w:cs="Book Antiqua"/>
          <w:i/>
          <w:iCs/>
          <w:color w:val="000000"/>
        </w:rPr>
        <w:t>J Clin Diagn Res</w:t>
      </w:r>
      <w:r w:rsidRPr="00D41996">
        <w:rPr>
          <w:rFonts w:ascii="Book Antiqua" w:eastAsia="Book Antiqua" w:hAnsi="Book Antiqua" w:cs="Book Antiqua"/>
          <w:color w:val="000000"/>
        </w:rPr>
        <w:t xml:space="preserve"> 2016; </w:t>
      </w:r>
      <w:r w:rsidRPr="00D41996">
        <w:rPr>
          <w:rFonts w:ascii="Book Antiqua" w:eastAsia="Book Antiqua" w:hAnsi="Book Antiqua" w:cs="Book Antiqua"/>
          <w:b/>
          <w:bCs/>
          <w:color w:val="000000"/>
        </w:rPr>
        <w:t>10</w:t>
      </w:r>
      <w:r w:rsidRPr="00D41996">
        <w:rPr>
          <w:rFonts w:ascii="Book Antiqua" w:eastAsia="Book Antiqua" w:hAnsi="Book Antiqua" w:cs="Book Antiqua"/>
          <w:color w:val="000000"/>
        </w:rPr>
        <w:t>: ED01-ED02 [PMID: 27630854 DOI: 10.7860/JCDR/2016/17441.8074]</w:t>
      </w:r>
    </w:p>
    <w:p w14:paraId="43D3DE7C"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18 </w:t>
      </w:r>
      <w:r w:rsidRPr="00D41996">
        <w:rPr>
          <w:rFonts w:ascii="Book Antiqua" w:eastAsia="Book Antiqua" w:hAnsi="Book Antiqua" w:cs="Book Antiqua"/>
          <w:b/>
          <w:bCs/>
          <w:color w:val="000000"/>
        </w:rPr>
        <w:t>Guo Y</w:t>
      </w:r>
      <w:r w:rsidRPr="00D41996">
        <w:rPr>
          <w:rFonts w:ascii="Book Antiqua" w:eastAsia="Book Antiqua" w:hAnsi="Book Antiqua" w:cs="Book Antiqua"/>
          <w:color w:val="000000"/>
        </w:rPr>
        <w:t xml:space="preserve">, Takeuchi I, Karnan S, Miyata T, Ohshima K, Seto M. Array-comparative genomic hybridization profiling of immunohistochemical subgroups of diffuse large B-cell lymphoma shows distinct genomic alterations. </w:t>
      </w:r>
      <w:r w:rsidRPr="00D41996">
        <w:rPr>
          <w:rFonts w:ascii="Book Antiqua" w:eastAsia="Book Antiqua" w:hAnsi="Book Antiqua" w:cs="Book Antiqua"/>
          <w:i/>
          <w:iCs/>
          <w:color w:val="000000"/>
        </w:rPr>
        <w:t>Cancer Sci</w:t>
      </w:r>
      <w:r w:rsidRPr="00D41996">
        <w:rPr>
          <w:rFonts w:ascii="Book Antiqua" w:eastAsia="Book Antiqua" w:hAnsi="Book Antiqua" w:cs="Book Antiqua"/>
          <w:color w:val="000000"/>
        </w:rPr>
        <w:t xml:space="preserve"> 2014; </w:t>
      </w:r>
      <w:r w:rsidRPr="00D41996">
        <w:rPr>
          <w:rFonts w:ascii="Book Antiqua" w:eastAsia="Book Antiqua" w:hAnsi="Book Antiqua" w:cs="Book Antiqua"/>
          <w:b/>
          <w:bCs/>
          <w:color w:val="000000"/>
        </w:rPr>
        <w:t>105</w:t>
      </w:r>
      <w:r w:rsidRPr="00D41996">
        <w:rPr>
          <w:rFonts w:ascii="Book Antiqua" w:eastAsia="Book Antiqua" w:hAnsi="Book Antiqua" w:cs="Book Antiqua"/>
          <w:color w:val="000000"/>
        </w:rPr>
        <w:t>: 481-489 [PMID: 24843885 DOI: 10.1111/cas.12378]</w:t>
      </w:r>
    </w:p>
    <w:p w14:paraId="320B1BDB"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19 </w:t>
      </w:r>
      <w:r w:rsidRPr="00D41996">
        <w:rPr>
          <w:rFonts w:ascii="Book Antiqua" w:eastAsia="Book Antiqua" w:hAnsi="Book Antiqua" w:cs="Book Antiqua"/>
          <w:b/>
          <w:bCs/>
          <w:color w:val="000000"/>
        </w:rPr>
        <w:t>Chain JR</w:t>
      </w:r>
      <w:r w:rsidRPr="00D41996">
        <w:rPr>
          <w:rFonts w:ascii="Book Antiqua" w:eastAsia="Book Antiqua" w:hAnsi="Book Antiqua" w:cs="Book Antiqua"/>
          <w:color w:val="000000"/>
        </w:rPr>
        <w:t xml:space="preserve">, Kingdom TT. Non-Hodgkin's lymphoma of the frontal sinus presenting as osteomyelitis. </w:t>
      </w:r>
      <w:r w:rsidRPr="00D41996">
        <w:rPr>
          <w:rFonts w:ascii="Book Antiqua" w:eastAsia="Book Antiqua" w:hAnsi="Book Antiqua" w:cs="Book Antiqua"/>
          <w:i/>
          <w:iCs/>
          <w:color w:val="000000"/>
        </w:rPr>
        <w:t>Am J Otolaryngol</w:t>
      </w:r>
      <w:r w:rsidRPr="00D41996">
        <w:rPr>
          <w:rFonts w:ascii="Book Antiqua" w:eastAsia="Book Antiqua" w:hAnsi="Book Antiqua" w:cs="Book Antiqua"/>
          <w:color w:val="000000"/>
        </w:rPr>
        <w:t xml:space="preserve"> 2007; </w:t>
      </w:r>
      <w:r w:rsidRPr="00D41996">
        <w:rPr>
          <w:rFonts w:ascii="Book Antiqua" w:eastAsia="Book Antiqua" w:hAnsi="Book Antiqua" w:cs="Book Antiqua"/>
          <w:b/>
          <w:bCs/>
          <w:color w:val="000000"/>
        </w:rPr>
        <w:t>28</w:t>
      </w:r>
      <w:r w:rsidRPr="00D41996">
        <w:rPr>
          <w:rFonts w:ascii="Book Antiqua" w:eastAsia="Book Antiqua" w:hAnsi="Book Antiqua" w:cs="Book Antiqua"/>
          <w:color w:val="000000"/>
        </w:rPr>
        <w:t>: 42-45 [PMID: 17162131 DOI: 10.1016/j.amjoto.2006.06.010]</w:t>
      </w:r>
    </w:p>
    <w:p w14:paraId="6F386E1B"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20 </w:t>
      </w:r>
      <w:r w:rsidRPr="00D41996">
        <w:rPr>
          <w:rFonts w:ascii="Book Antiqua" w:eastAsia="Book Antiqua" w:hAnsi="Book Antiqua" w:cs="Book Antiqua"/>
          <w:b/>
          <w:bCs/>
          <w:color w:val="000000"/>
        </w:rPr>
        <w:t>Lombard M</w:t>
      </w:r>
      <w:r w:rsidRPr="00D41996">
        <w:rPr>
          <w:rFonts w:ascii="Book Antiqua" w:eastAsia="Book Antiqua" w:hAnsi="Book Antiqua" w:cs="Book Antiqua"/>
          <w:color w:val="000000"/>
        </w:rPr>
        <w:t xml:space="preserve">, Michel G, Rives P, Moreau A, Espitalier F, Malard O. Extranodal non-Hodgkin lymphoma of the sinonasal cavities: A 22-case report. </w:t>
      </w:r>
      <w:r w:rsidRPr="00D41996">
        <w:rPr>
          <w:rFonts w:ascii="Book Antiqua" w:eastAsia="Book Antiqua" w:hAnsi="Book Antiqua" w:cs="Book Antiqua"/>
          <w:i/>
          <w:iCs/>
          <w:color w:val="000000"/>
        </w:rPr>
        <w:t>Eur Ann Otorhinolaryngol Head Neck Dis</w:t>
      </w:r>
      <w:r w:rsidRPr="00D41996">
        <w:rPr>
          <w:rFonts w:ascii="Book Antiqua" w:eastAsia="Book Antiqua" w:hAnsi="Book Antiqua" w:cs="Book Antiqua"/>
          <w:color w:val="000000"/>
        </w:rPr>
        <w:t xml:space="preserve"> 2015; </w:t>
      </w:r>
      <w:r w:rsidRPr="00D41996">
        <w:rPr>
          <w:rFonts w:ascii="Book Antiqua" w:eastAsia="Book Antiqua" w:hAnsi="Book Antiqua" w:cs="Book Antiqua"/>
          <w:b/>
          <w:bCs/>
          <w:color w:val="000000"/>
        </w:rPr>
        <w:t>132</w:t>
      </w:r>
      <w:r w:rsidRPr="00D41996">
        <w:rPr>
          <w:rFonts w:ascii="Book Antiqua" w:eastAsia="Book Antiqua" w:hAnsi="Book Antiqua" w:cs="Book Antiqua"/>
          <w:color w:val="000000"/>
        </w:rPr>
        <w:t>: 271-274 [PMID: 26363601 DOI: 10.1016/j.anorl.2015.08.015]</w:t>
      </w:r>
    </w:p>
    <w:p w14:paraId="62E501EF"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21 </w:t>
      </w:r>
      <w:r w:rsidRPr="00D41996">
        <w:rPr>
          <w:rFonts w:ascii="Book Antiqua" w:eastAsia="Book Antiqua" w:hAnsi="Book Antiqua" w:cs="Book Antiqua"/>
          <w:b/>
          <w:bCs/>
          <w:color w:val="000000"/>
        </w:rPr>
        <w:t>O'Connor RM</w:t>
      </w:r>
      <w:r w:rsidRPr="00D41996">
        <w:rPr>
          <w:rFonts w:ascii="Book Antiqua" w:eastAsia="Book Antiqua" w:hAnsi="Book Antiqua" w:cs="Book Antiqua"/>
          <w:color w:val="000000"/>
        </w:rPr>
        <w:t xml:space="preserve">, Vasey M, Smith JC. Diffuse large B-cell lymphoma of the maxillary sinus. </w:t>
      </w:r>
      <w:r w:rsidRPr="00D41996">
        <w:rPr>
          <w:rFonts w:ascii="Book Antiqua" w:eastAsia="Book Antiqua" w:hAnsi="Book Antiqua" w:cs="Book Antiqua"/>
          <w:i/>
          <w:iCs/>
          <w:color w:val="000000"/>
        </w:rPr>
        <w:t>Ear Nose Throat J</w:t>
      </w:r>
      <w:r w:rsidRPr="00D41996">
        <w:rPr>
          <w:rFonts w:ascii="Book Antiqua" w:eastAsia="Book Antiqua" w:hAnsi="Book Antiqua" w:cs="Book Antiqua"/>
          <w:color w:val="000000"/>
        </w:rPr>
        <w:t xml:space="preserve"> 2010; </w:t>
      </w:r>
      <w:r w:rsidRPr="00D41996">
        <w:rPr>
          <w:rFonts w:ascii="Book Antiqua" w:eastAsia="Book Antiqua" w:hAnsi="Book Antiqua" w:cs="Book Antiqua"/>
          <w:b/>
          <w:bCs/>
          <w:color w:val="000000"/>
        </w:rPr>
        <w:t>89</w:t>
      </w:r>
      <w:r w:rsidRPr="00D41996">
        <w:rPr>
          <w:rFonts w:ascii="Book Antiqua" w:eastAsia="Book Antiqua" w:hAnsi="Book Antiqua" w:cs="Book Antiqua"/>
          <w:color w:val="000000"/>
        </w:rPr>
        <w:t>: E8-10 [PMID: 20556730]</w:t>
      </w:r>
    </w:p>
    <w:p w14:paraId="06881F0B"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22 </w:t>
      </w:r>
      <w:r w:rsidRPr="00D41996">
        <w:rPr>
          <w:rFonts w:ascii="Book Antiqua" w:eastAsia="Book Antiqua" w:hAnsi="Book Antiqua" w:cs="Book Antiqua"/>
          <w:b/>
          <w:bCs/>
          <w:color w:val="000000"/>
        </w:rPr>
        <w:t>Janardhanan M</w:t>
      </w:r>
      <w:r w:rsidRPr="00D41996">
        <w:rPr>
          <w:rFonts w:ascii="Book Antiqua" w:eastAsia="Book Antiqua" w:hAnsi="Book Antiqua" w:cs="Book Antiqua"/>
          <w:color w:val="000000"/>
        </w:rPr>
        <w:t xml:space="preserve">, Suresh R, Savithri V, Veeraraghavan R. Extranodal diffuse large B cell lymphoma of maxillary sinus presenting as a palatal ulcer. </w:t>
      </w:r>
      <w:r w:rsidRPr="00D41996">
        <w:rPr>
          <w:rFonts w:ascii="Book Antiqua" w:eastAsia="Book Antiqua" w:hAnsi="Book Antiqua" w:cs="Book Antiqua"/>
          <w:i/>
          <w:iCs/>
          <w:color w:val="000000"/>
        </w:rPr>
        <w:t>BMJ Case Rep</w:t>
      </w:r>
      <w:r w:rsidRPr="00D41996">
        <w:rPr>
          <w:rFonts w:ascii="Book Antiqua" w:eastAsia="Book Antiqua" w:hAnsi="Book Antiqua" w:cs="Book Antiqua"/>
          <w:color w:val="000000"/>
        </w:rPr>
        <w:t xml:space="preserve"> 2019; </w:t>
      </w:r>
      <w:r w:rsidRPr="00D41996">
        <w:rPr>
          <w:rFonts w:ascii="Book Antiqua" w:eastAsia="Book Antiqua" w:hAnsi="Book Antiqua" w:cs="Book Antiqua"/>
          <w:b/>
          <w:bCs/>
          <w:color w:val="000000"/>
        </w:rPr>
        <w:t>12</w:t>
      </w:r>
      <w:r w:rsidRPr="00D41996">
        <w:rPr>
          <w:rFonts w:ascii="Book Antiqua" w:eastAsia="Book Antiqua" w:hAnsi="Book Antiqua" w:cs="Book Antiqua"/>
          <w:color w:val="000000"/>
        </w:rPr>
        <w:t xml:space="preserve"> [PMID: 30739092 DOI: 10.1136/bcr-2018-228605]</w:t>
      </w:r>
    </w:p>
    <w:p w14:paraId="2F1BAE15"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23 </w:t>
      </w:r>
      <w:r w:rsidRPr="00D41996">
        <w:rPr>
          <w:rFonts w:ascii="Book Antiqua" w:eastAsia="Book Antiqua" w:hAnsi="Book Antiqua" w:cs="Book Antiqua"/>
          <w:b/>
          <w:bCs/>
          <w:color w:val="000000"/>
        </w:rPr>
        <w:t>Yoon JH</w:t>
      </w:r>
      <w:r w:rsidRPr="00D41996">
        <w:rPr>
          <w:rFonts w:ascii="Book Antiqua" w:eastAsia="Book Antiqua" w:hAnsi="Book Antiqua" w:cs="Book Antiqua"/>
          <w:color w:val="000000"/>
        </w:rPr>
        <w:t xml:space="preserve">, Chun YC, Park SY, Yook JI, Yang WI, Lee SJ, Kim J. Malignant lymphoma of the maxillary sinus manifesting as a persistent toothache. </w:t>
      </w:r>
      <w:r w:rsidRPr="00D41996">
        <w:rPr>
          <w:rFonts w:ascii="Book Antiqua" w:eastAsia="Book Antiqua" w:hAnsi="Book Antiqua" w:cs="Book Antiqua"/>
          <w:i/>
          <w:iCs/>
          <w:color w:val="000000"/>
        </w:rPr>
        <w:t>J Endod</w:t>
      </w:r>
      <w:r w:rsidRPr="00D41996">
        <w:rPr>
          <w:rFonts w:ascii="Book Antiqua" w:eastAsia="Book Antiqua" w:hAnsi="Book Antiqua" w:cs="Book Antiqua"/>
          <w:color w:val="000000"/>
        </w:rPr>
        <w:t xml:space="preserve"> 2001; </w:t>
      </w:r>
      <w:r w:rsidRPr="00D41996">
        <w:rPr>
          <w:rFonts w:ascii="Book Antiqua" w:eastAsia="Book Antiqua" w:hAnsi="Book Antiqua" w:cs="Book Antiqua"/>
          <w:b/>
          <w:bCs/>
          <w:color w:val="000000"/>
        </w:rPr>
        <w:t>27</w:t>
      </w:r>
      <w:r w:rsidRPr="00D41996">
        <w:rPr>
          <w:rFonts w:ascii="Book Antiqua" w:eastAsia="Book Antiqua" w:hAnsi="Book Antiqua" w:cs="Book Antiqua"/>
          <w:color w:val="000000"/>
        </w:rPr>
        <w:t>: 800-802 [PMID: 11771596 DOI: 10.1097/00004770-200112000-00023]</w:t>
      </w:r>
    </w:p>
    <w:p w14:paraId="53F2213D"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24 </w:t>
      </w:r>
      <w:r w:rsidRPr="00D41996">
        <w:rPr>
          <w:rFonts w:ascii="Book Antiqua" w:eastAsia="Book Antiqua" w:hAnsi="Book Antiqua" w:cs="Book Antiqua"/>
          <w:b/>
          <w:bCs/>
          <w:color w:val="000000"/>
        </w:rPr>
        <w:t>Toda H</w:t>
      </w:r>
      <w:r w:rsidRPr="00D41996">
        <w:rPr>
          <w:rFonts w:ascii="Book Antiqua" w:eastAsia="Book Antiqua" w:hAnsi="Book Antiqua" w:cs="Book Antiqua"/>
          <w:color w:val="000000"/>
        </w:rPr>
        <w:t xml:space="preserve">, Sato Y, Takata K, Orita Y, Asano N, Yoshino T. Clinicopathologic analysis of localized nasal/paranasal diffuse large B-cell lymphoma. </w:t>
      </w:r>
      <w:r w:rsidRPr="00D41996">
        <w:rPr>
          <w:rFonts w:ascii="Book Antiqua" w:eastAsia="Book Antiqua" w:hAnsi="Book Antiqua" w:cs="Book Antiqua"/>
          <w:i/>
          <w:iCs/>
          <w:color w:val="000000"/>
        </w:rPr>
        <w:t>PLoS One</w:t>
      </w:r>
      <w:r w:rsidRPr="00D41996">
        <w:rPr>
          <w:rFonts w:ascii="Book Antiqua" w:eastAsia="Book Antiqua" w:hAnsi="Book Antiqua" w:cs="Book Antiqua"/>
          <w:color w:val="000000"/>
        </w:rPr>
        <w:t xml:space="preserve"> 2013; </w:t>
      </w:r>
      <w:r w:rsidRPr="00D41996">
        <w:rPr>
          <w:rFonts w:ascii="Book Antiqua" w:eastAsia="Book Antiqua" w:hAnsi="Book Antiqua" w:cs="Book Antiqua"/>
          <w:b/>
          <w:bCs/>
          <w:color w:val="000000"/>
        </w:rPr>
        <w:t>8</w:t>
      </w:r>
      <w:r w:rsidRPr="00D41996">
        <w:rPr>
          <w:rFonts w:ascii="Book Antiqua" w:eastAsia="Book Antiqua" w:hAnsi="Book Antiqua" w:cs="Book Antiqua"/>
          <w:color w:val="000000"/>
        </w:rPr>
        <w:t>: e57677 [PMID: 23469048 DOI: 10.1371/journal.pone.0057677]</w:t>
      </w:r>
    </w:p>
    <w:p w14:paraId="0AF1F130"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25 </w:t>
      </w:r>
      <w:r w:rsidRPr="00D41996">
        <w:rPr>
          <w:rFonts w:ascii="Book Antiqua" w:eastAsia="Book Antiqua" w:hAnsi="Book Antiqua" w:cs="Book Antiqua"/>
          <w:b/>
          <w:bCs/>
          <w:color w:val="000000"/>
        </w:rPr>
        <w:t>Zhang Z</w:t>
      </w:r>
      <w:r w:rsidRPr="00D41996">
        <w:rPr>
          <w:rFonts w:ascii="Book Antiqua" w:eastAsia="Book Antiqua" w:hAnsi="Book Antiqua" w:cs="Book Antiqua"/>
          <w:color w:val="000000"/>
        </w:rPr>
        <w:t xml:space="preserve">, Shen Y, Shen D, Ni X. Immunophenotype classification and therapeutic outcomes of Chinese primary gastrointestinal diffuse large B-cell lymphoma. </w:t>
      </w:r>
      <w:r w:rsidRPr="00D41996">
        <w:rPr>
          <w:rFonts w:ascii="Book Antiqua" w:eastAsia="Book Antiqua" w:hAnsi="Book Antiqua" w:cs="Book Antiqua"/>
          <w:i/>
          <w:iCs/>
          <w:color w:val="000000"/>
        </w:rPr>
        <w:t>BMC Gastroenterol</w:t>
      </w:r>
      <w:r w:rsidRPr="00D41996">
        <w:rPr>
          <w:rFonts w:ascii="Book Antiqua" w:eastAsia="Book Antiqua" w:hAnsi="Book Antiqua" w:cs="Book Antiqua"/>
          <w:color w:val="000000"/>
        </w:rPr>
        <w:t xml:space="preserve"> 2012; </w:t>
      </w:r>
      <w:r w:rsidRPr="00D41996">
        <w:rPr>
          <w:rFonts w:ascii="Book Antiqua" w:eastAsia="Book Antiqua" w:hAnsi="Book Antiqua" w:cs="Book Antiqua"/>
          <w:b/>
          <w:bCs/>
          <w:color w:val="000000"/>
        </w:rPr>
        <w:t>12</w:t>
      </w:r>
      <w:r w:rsidRPr="00D41996">
        <w:rPr>
          <w:rFonts w:ascii="Book Antiqua" w:eastAsia="Book Antiqua" w:hAnsi="Book Antiqua" w:cs="Book Antiqua"/>
          <w:color w:val="000000"/>
        </w:rPr>
        <w:t>: 77 [PMID: 22726454 DOI: 10.1186/1471-230X-12-77]</w:t>
      </w:r>
    </w:p>
    <w:p w14:paraId="7EBE719C"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lastRenderedPageBreak/>
        <w:t xml:space="preserve">26 </w:t>
      </w:r>
      <w:r w:rsidRPr="00D41996">
        <w:rPr>
          <w:rFonts w:ascii="Book Antiqua" w:eastAsia="Book Antiqua" w:hAnsi="Book Antiqua" w:cs="Book Antiqua"/>
          <w:b/>
          <w:bCs/>
          <w:color w:val="000000"/>
        </w:rPr>
        <w:t>Cho MC</w:t>
      </w:r>
      <w:r w:rsidRPr="00D41996">
        <w:rPr>
          <w:rFonts w:ascii="Book Antiqua" w:eastAsia="Book Antiqua" w:hAnsi="Book Antiqua" w:cs="Book Antiqua"/>
          <w:color w:val="000000"/>
        </w:rPr>
        <w:t xml:space="preserve">, Chung Y, Jang S, Park CJ, Chi HS, Huh J, Suh C, Shim H. Prognostic impact of germinal center B-cell-like and non-germinal center B-cell-like subtypes of bone marrow involvement in patients with diffuse large B-cell lymphoma treated with R-CHOP. </w:t>
      </w:r>
      <w:r w:rsidRPr="00D41996">
        <w:rPr>
          <w:rFonts w:ascii="Book Antiqua" w:eastAsia="Book Antiqua" w:hAnsi="Book Antiqua" w:cs="Book Antiqua"/>
          <w:i/>
          <w:iCs/>
          <w:color w:val="000000"/>
        </w:rPr>
        <w:t>Medicine (Baltimore)</w:t>
      </w:r>
      <w:r w:rsidRPr="00D41996">
        <w:rPr>
          <w:rFonts w:ascii="Book Antiqua" w:eastAsia="Book Antiqua" w:hAnsi="Book Antiqua" w:cs="Book Antiqua"/>
          <w:color w:val="000000"/>
        </w:rPr>
        <w:t xml:space="preserve"> 2018; </w:t>
      </w:r>
      <w:r w:rsidRPr="00D41996">
        <w:rPr>
          <w:rFonts w:ascii="Book Antiqua" w:eastAsia="Book Antiqua" w:hAnsi="Book Antiqua" w:cs="Book Antiqua"/>
          <w:b/>
          <w:bCs/>
          <w:color w:val="000000"/>
        </w:rPr>
        <w:t>97</w:t>
      </w:r>
      <w:r w:rsidRPr="00D41996">
        <w:rPr>
          <w:rFonts w:ascii="Book Antiqua" w:eastAsia="Book Antiqua" w:hAnsi="Book Antiqua" w:cs="Book Antiqua"/>
          <w:color w:val="000000"/>
        </w:rPr>
        <w:t>: e13046 [PMID: 30407302 DOI: 10.1097/MD.0000000000013046]</w:t>
      </w:r>
    </w:p>
    <w:p w14:paraId="6B197032"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27 </w:t>
      </w:r>
      <w:r w:rsidRPr="00D41996">
        <w:rPr>
          <w:rFonts w:ascii="Book Antiqua" w:eastAsia="Book Antiqua" w:hAnsi="Book Antiqua" w:cs="Book Antiqua"/>
          <w:b/>
          <w:bCs/>
          <w:color w:val="000000"/>
        </w:rPr>
        <w:t>Kim HS</w:t>
      </w:r>
      <w:r w:rsidRPr="00D41996">
        <w:rPr>
          <w:rFonts w:ascii="Book Antiqua" w:eastAsia="Book Antiqua" w:hAnsi="Book Antiqua" w:cs="Book Antiqua"/>
          <w:color w:val="000000"/>
        </w:rPr>
        <w:t xml:space="preserve">. Primary testicular diffuse large B-cell lymphoma: A case report focusing on touch imprint cytology and a non-germinal center B-cell-like phenotype. </w:t>
      </w:r>
      <w:r w:rsidRPr="00D41996">
        <w:rPr>
          <w:rFonts w:ascii="Book Antiqua" w:eastAsia="Book Antiqua" w:hAnsi="Book Antiqua" w:cs="Book Antiqua"/>
          <w:i/>
          <w:iCs/>
          <w:color w:val="000000"/>
        </w:rPr>
        <w:t>Exp Ther Med</w:t>
      </w:r>
      <w:r w:rsidRPr="00D41996">
        <w:rPr>
          <w:rFonts w:ascii="Book Antiqua" w:eastAsia="Book Antiqua" w:hAnsi="Book Antiqua" w:cs="Book Antiqua"/>
          <w:color w:val="000000"/>
        </w:rPr>
        <w:t xml:space="preserve"> 2013; </w:t>
      </w:r>
      <w:r w:rsidRPr="00D41996">
        <w:rPr>
          <w:rFonts w:ascii="Book Antiqua" w:eastAsia="Book Antiqua" w:hAnsi="Book Antiqua" w:cs="Book Antiqua"/>
          <w:b/>
          <w:bCs/>
          <w:color w:val="000000"/>
        </w:rPr>
        <w:t>6</w:t>
      </w:r>
      <w:r w:rsidRPr="00D41996">
        <w:rPr>
          <w:rFonts w:ascii="Book Antiqua" w:eastAsia="Book Antiqua" w:hAnsi="Book Antiqua" w:cs="Book Antiqua"/>
          <w:color w:val="000000"/>
        </w:rPr>
        <w:t>: 33-36 [PMID: 23935714 DOI: 10.3892/etm.2013.1091]</w:t>
      </w:r>
    </w:p>
    <w:p w14:paraId="49F21830"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28 </w:t>
      </w:r>
      <w:r w:rsidRPr="00D41996">
        <w:rPr>
          <w:rFonts w:ascii="Book Antiqua" w:eastAsia="Book Antiqua" w:hAnsi="Book Antiqua" w:cs="Book Antiqua"/>
          <w:b/>
          <w:bCs/>
          <w:color w:val="000000"/>
        </w:rPr>
        <w:t>de Castro MS</w:t>
      </w:r>
      <w:r w:rsidRPr="00D41996">
        <w:rPr>
          <w:rFonts w:ascii="Book Antiqua" w:eastAsia="Book Antiqua" w:hAnsi="Book Antiqua" w:cs="Book Antiqua"/>
          <w:color w:val="000000"/>
        </w:rPr>
        <w:t xml:space="preserve">, Ribeiro CM, de Carli ML, Pereira AAC, Sperandio FF, de Almeida OP, Hanemann JAC. Fatal primary diffuse large B-cell lymphoma of the maxillary sinus initially treated as an infectious disease in an elderly patient: A clinicopathologic report. </w:t>
      </w:r>
      <w:r w:rsidRPr="00D41996">
        <w:rPr>
          <w:rFonts w:ascii="Book Antiqua" w:eastAsia="Book Antiqua" w:hAnsi="Book Antiqua" w:cs="Book Antiqua"/>
          <w:i/>
          <w:iCs/>
          <w:color w:val="000000"/>
        </w:rPr>
        <w:t>Gerodontology</w:t>
      </w:r>
      <w:r w:rsidRPr="00D41996">
        <w:rPr>
          <w:rFonts w:ascii="Book Antiqua" w:eastAsia="Book Antiqua" w:hAnsi="Book Antiqua" w:cs="Book Antiqua"/>
          <w:color w:val="000000"/>
        </w:rPr>
        <w:t xml:space="preserve"> 2018; </w:t>
      </w:r>
      <w:r w:rsidRPr="00D41996">
        <w:rPr>
          <w:rFonts w:ascii="Book Antiqua" w:eastAsia="Book Antiqua" w:hAnsi="Book Antiqua" w:cs="Book Antiqua"/>
          <w:b/>
          <w:bCs/>
          <w:color w:val="000000"/>
        </w:rPr>
        <w:t>35</w:t>
      </w:r>
      <w:r w:rsidRPr="00D41996">
        <w:rPr>
          <w:rFonts w:ascii="Book Antiqua" w:eastAsia="Book Antiqua" w:hAnsi="Book Antiqua" w:cs="Book Antiqua"/>
          <w:color w:val="000000"/>
        </w:rPr>
        <w:t>: 59-62 [PMID: 29392788 DOI: 10.1111/ger.12308]</w:t>
      </w:r>
    </w:p>
    <w:p w14:paraId="6796C42C"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29 </w:t>
      </w:r>
      <w:r w:rsidRPr="00D41996">
        <w:rPr>
          <w:rFonts w:ascii="Book Antiqua" w:eastAsia="Book Antiqua" w:hAnsi="Book Antiqua" w:cs="Book Antiqua"/>
          <w:b/>
          <w:bCs/>
          <w:color w:val="000000"/>
        </w:rPr>
        <w:t>Buckner TW</w:t>
      </w:r>
      <w:r w:rsidRPr="00D41996">
        <w:rPr>
          <w:rFonts w:ascii="Book Antiqua" w:eastAsia="Book Antiqua" w:hAnsi="Book Antiqua" w:cs="Book Antiqua"/>
          <w:color w:val="000000"/>
        </w:rPr>
        <w:t xml:space="preserve">, Dunphy C, Fedoriw YD, van Deventer HW, Foster MC, Richards KL, Park SI. Complete spontaneous remission of diffuse large B-cell lymphoma of the maxillary sinus after concurrent infections. </w:t>
      </w:r>
      <w:r w:rsidRPr="00D41996">
        <w:rPr>
          <w:rFonts w:ascii="Book Antiqua" w:eastAsia="Book Antiqua" w:hAnsi="Book Antiqua" w:cs="Book Antiqua"/>
          <w:i/>
          <w:iCs/>
          <w:color w:val="000000"/>
        </w:rPr>
        <w:t>Clin Lymphoma Myeloma Leuk</w:t>
      </w:r>
      <w:r w:rsidRPr="00D41996">
        <w:rPr>
          <w:rFonts w:ascii="Book Antiqua" w:eastAsia="Book Antiqua" w:hAnsi="Book Antiqua" w:cs="Book Antiqua"/>
          <w:color w:val="000000"/>
        </w:rPr>
        <w:t xml:space="preserve"> 2012; </w:t>
      </w:r>
      <w:r w:rsidRPr="00D41996">
        <w:rPr>
          <w:rFonts w:ascii="Book Antiqua" w:eastAsia="Book Antiqua" w:hAnsi="Book Antiqua" w:cs="Book Antiqua"/>
          <w:b/>
          <w:bCs/>
          <w:color w:val="000000"/>
        </w:rPr>
        <w:t>12</w:t>
      </w:r>
      <w:r w:rsidRPr="00D41996">
        <w:rPr>
          <w:rFonts w:ascii="Book Antiqua" w:eastAsia="Book Antiqua" w:hAnsi="Book Antiqua" w:cs="Book Antiqua"/>
          <w:color w:val="000000"/>
        </w:rPr>
        <w:t>: 455-458 [PMID: 23025990 DOI: 10.1016/j.clml.2012.06.007]</w:t>
      </w:r>
    </w:p>
    <w:p w14:paraId="1DF0CAEA"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30 </w:t>
      </w:r>
      <w:r w:rsidRPr="00D41996">
        <w:rPr>
          <w:rFonts w:ascii="Book Antiqua" w:eastAsia="Book Antiqua" w:hAnsi="Book Antiqua" w:cs="Book Antiqua"/>
          <w:b/>
          <w:bCs/>
          <w:color w:val="000000"/>
        </w:rPr>
        <w:t>Leonard JP</w:t>
      </w:r>
      <w:r w:rsidRPr="00D41996">
        <w:rPr>
          <w:rFonts w:ascii="Book Antiqua" w:eastAsia="Book Antiqua" w:hAnsi="Book Antiqua" w:cs="Book Antiqua"/>
          <w:color w:val="000000"/>
        </w:rPr>
        <w:t xml:space="preserve">, Kolibaba KS, Reeves JA, Tulpule A, Flinn IW, Kolevska T, Robles R, Flowers CR, Collins R, DiBella NJ, Papish SW, Venugopal P, Horodner A, Tabatabai A, Hajdenberg J, Park J, Neuwirth R, Mulligan G, Suryanarayan K, Esseltine DL, de Vos S. Randomized Phase II Study of R-CHOP With or Without Bortezomib in Previously Untreated Patients With Non-Germinal Center B-Cell-Like Diffuse Large B-Cell Lymphoma. </w:t>
      </w:r>
      <w:r w:rsidRPr="00D41996">
        <w:rPr>
          <w:rFonts w:ascii="Book Antiqua" w:eastAsia="Book Antiqua" w:hAnsi="Book Antiqua" w:cs="Book Antiqua"/>
          <w:i/>
          <w:iCs/>
          <w:color w:val="000000"/>
        </w:rPr>
        <w:t>J Clin Oncol</w:t>
      </w:r>
      <w:r w:rsidRPr="00D41996">
        <w:rPr>
          <w:rFonts w:ascii="Book Antiqua" w:eastAsia="Book Antiqua" w:hAnsi="Book Antiqua" w:cs="Book Antiqua"/>
          <w:color w:val="000000"/>
        </w:rPr>
        <w:t xml:space="preserve"> 2017; </w:t>
      </w:r>
      <w:r w:rsidRPr="00D41996">
        <w:rPr>
          <w:rFonts w:ascii="Book Antiqua" w:eastAsia="Book Antiqua" w:hAnsi="Book Antiqua" w:cs="Book Antiqua"/>
          <w:b/>
          <w:bCs/>
          <w:color w:val="000000"/>
        </w:rPr>
        <w:t>35</w:t>
      </w:r>
      <w:r w:rsidRPr="00D41996">
        <w:rPr>
          <w:rFonts w:ascii="Book Antiqua" w:eastAsia="Book Antiqua" w:hAnsi="Book Antiqua" w:cs="Book Antiqua"/>
          <w:color w:val="000000"/>
        </w:rPr>
        <w:t>: 3538-3546 [PMID: 28862883 DOI: 10.1200/JCO.2017.73.2784]</w:t>
      </w:r>
    </w:p>
    <w:p w14:paraId="39A5414F"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31 </w:t>
      </w:r>
      <w:r w:rsidRPr="00D41996">
        <w:rPr>
          <w:rFonts w:ascii="Book Antiqua" w:eastAsia="Book Antiqua" w:hAnsi="Book Antiqua" w:cs="Book Antiqua"/>
          <w:b/>
          <w:bCs/>
          <w:color w:val="000000"/>
        </w:rPr>
        <w:t>Li ZM</w:t>
      </w:r>
      <w:r w:rsidRPr="00D41996">
        <w:rPr>
          <w:rFonts w:ascii="Book Antiqua" w:eastAsia="Book Antiqua" w:hAnsi="Book Antiqua" w:cs="Book Antiqua"/>
          <w:color w:val="000000"/>
        </w:rPr>
        <w:t>, Huang JJ, Xia Y, Zhu YJ, Zhao W, Wei WX, Jiang WQ, Lin TY, Huang HQ, Guan ZZ. High Ki-67 expression in diffuse large B-cell lymphoma patients with non-germinal center subtype indicates limited survival benefit from R-</w:t>
      </w:r>
      <w:r w:rsidRPr="00D41996">
        <w:rPr>
          <w:rFonts w:ascii="Book Antiqua" w:eastAsia="Book Antiqua" w:hAnsi="Book Antiqua" w:cs="Book Antiqua"/>
          <w:color w:val="000000"/>
        </w:rPr>
        <w:lastRenderedPageBreak/>
        <w:t xml:space="preserve">CHOP therapy. </w:t>
      </w:r>
      <w:r w:rsidRPr="00D41996">
        <w:rPr>
          <w:rFonts w:ascii="Book Antiqua" w:eastAsia="Book Antiqua" w:hAnsi="Book Antiqua" w:cs="Book Antiqua"/>
          <w:i/>
          <w:iCs/>
          <w:color w:val="000000"/>
        </w:rPr>
        <w:t>Eur J Haematol</w:t>
      </w:r>
      <w:r w:rsidRPr="00D41996">
        <w:rPr>
          <w:rFonts w:ascii="Book Antiqua" w:eastAsia="Book Antiqua" w:hAnsi="Book Antiqua" w:cs="Book Antiqua"/>
          <w:color w:val="000000"/>
        </w:rPr>
        <w:t xml:space="preserve"> 2012; </w:t>
      </w:r>
      <w:r w:rsidRPr="00D41996">
        <w:rPr>
          <w:rFonts w:ascii="Book Antiqua" w:eastAsia="Book Antiqua" w:hAnsi="Book Antiqua" w:cs="Book Antiqua"/>
          <w:b/>
          <w:bCs/>
          <w:color w:val="000000"/>
        </w:rPr>
        <w:t>88</w:t>
      </w:r>
      <w:r w:rsidRPr="00D41996">
        <w:rPr>
          <w:rFonts w:ascii="Book Antiqua" w:eastAsia="Book Antiqua" w:hAnsi="Book Antiqua" w:cs="Book Antiqua"/>
          <w:color w:val="000000"/>
        </w:rPr>
        <w:t>: 510-517 [PMID: 22413767 DOI: 10.1111/j.1600-0609.2012.01778.x]</w:t>
      </w:r>
    </w:p>
    <w:p w14:paraId="13C7466C"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32 </w:t>
      </w:r>
      <w:r w:rsidRPr="00D41996">
        <w:rPr>
          <w:rFonts w:ascii="Book Antiqua" w:eastAsia="Book Antiqua" w:hAnsi="Book Antiqua" w:cs="Book Antiqua"/>
          <w:b/>
          <w:bCs/>
          <w:color w:val="000000"/>
        </w:rPr>
        <w:t>Qing K</w:t>
      </w:r>
      <w:r w:rsidRPr="00D41996">
        <w:rPr>
          <w:rFonts w:ascii="Book Antiqua" w:eastAsia="Book Antiqua" w:hAnsi="Book Antiqua" w:cs="Book Antiqua"/>
          <w:color w:val="000000"/>
        </w:rPr>
        <w:t xml:space="preserve">, Jin Z, Fu W, Wang W, Liu Z, Li X, Xu Z, Li J. Synergistic effect of oridonin and a PI3K/mTOR inhibitor on the non-germinal center B cell-like subtype of diffuse large B cell lymphoma. </w:t>
      </w:r>
      <w:r w:rsidRPr="00D41996">
        <w:rPr>
          <w:rFonts w:ascii="Book Antiqua" w:eastAsia="Book Antiqua" w:hAnsi="Book Antiqua" w:cs="Book Antiqua"/>
          <w:i/>
          <w:iCs/>
          <w:color w:val="000000"/>
        </w:rPr>
        <w:t>J Hematol Oncol</w:t>
      </w:r>
      <w:r w:rsidRPr="00D41996">
        <w:rPr>
          <w:rFonts w:ascii="Book Antiqua" w:eastAsia="Book Antiqua" w:hAnsi="Book Antiqua" w:cs="Book Antiqua"/>
          <w:color w:val="000000"/>
        </w:rPr>
        <w:t xml:space="preserve"> 2016; </w:t>
      </w:r>
      <w:r w:rsidRPr="00D41996">
        <w:rPr>
          <w:rFonts w:ascii="Book Antiqua" w:eastAsia="Book Antiqua" w:hAnsi="Book Antiqua" w:cs="Book Antiqua"/>
          <w:b/>
          <w:bCs/>
          <w:color w:val="000000"/>
        </w:rPr>
        <w:t>9</w:t>
      </w:r>
      <w:r w:rsidRPr="00D41996">
        <w:rPr>
          <w:rFonts w:ascii="Book Antiqua" w:eastAsia="Book Antiqua" w:hAnsi="Book Antiqua" w:cs="Book Antiqua"/>
          <w:color w:val="000000"/>
        </w:rPr>
        <w:t>: 72 [PMID: 27554093 DOI: 10.1186/s13045-016-0303-0]</w:t>
      </w:r>
    </w:p>
    <w:p w14:paraId="5EE56517"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33 </w:t>
      </w:r>
      <w:r w:rsidRPr="00D41996">
        <w:rPr>
          <w:rFonts w:ascii="Book Antiqua" w:eastAsia="Book Antiqua" w:hAnsi="Book Antiqua" w:cs="Book Antiqua"/>
          <w:b/>
          <w:bCs/>
          <w:color w:val="000000"/>
        </w:rPr>
        <w:t>Molina TJ</w:t>
      </w:r>
      <w:r w:rsidRPr="00D41996">
        <w:rPr>
          <w:rFonts w:ascii="Book Antiqua" w:eastAsia="Book Antiqua" w:hAnsi="Book Antiqua" w:cs="Book Antiqua"/>
          <w:color w:val="000000"/>
        </w:rPr>
        <w:t xml:space="preserve">, Canioni D, Copie-Bergman C, Recher C, Brière J, Haioun C, Berger F, Fermé C, Copin MC, Casasnovas O, Thieblemont C, Petrella T, Leroy K, Salles G, Fabiani B, Morschauser F, Mounier N, Coiffier B, Jardin F, Gaulard P, Jais JP, Tilly H. Young patients with non-germinal center B-cell-like diffuse large B-cell lymphoma benefit from intensified chemotherapy with ACVBP plus rituximab compared with CHOP plus rituximab: analysis of data from the Groupe d'Etudes des Lymphomes de l'Adulte/Lymphoma study association phase III trial LNH 03-2B. </w:t>
      </w:r>
      <w:r w:rsidRPr="00D41996">
        <w:rPr>
          <w:rFonts w:ascii="Book Antiqua" w:eastAsia="Book Antiqua" w:hAnsi="Book Antiqua" w:cs="Book Antiqua"/>
          <w:i/>
          <w:iCs/>
          <w:color w:val="000000"/>
        </w:rPr>
        <w:t>J Clin Oncol</w:t>
      </w:r>
      <w:r w:rsidRPr="00D41996">
        <w:rPr>
          <w:rFonts w:ascii="Book Antiqua" w:eastAsia="Book Antiqua" w:hAnsi="Book Antiqua" w:cs="Book Antiqua"/>
          <w:color w:val="000000"/>
        </w:rPr>
        <w:t xml:space="preserve"> 2014; </w:t>
      </w:r>
      <w:r w:rsidRPr="00D41996">
        <w:rPr>
          <w:rFonts w:ascii="Book Antiqua" w:eastAsia="Book Antiqua" w:hAnsi="Book Antiqua" w:cs="Book Antiqua"/>
          <w:b/>
          <w:bCs/>
          <w:color w:val="000000"/>
        </w:rPr>
        <w:t>32</w:t>
      </w:r>
      <w:r w:rsidRPr="00D41996">
        <w:rPr>
          <w:rFonts w:ascii="Book Antiqua" w:eastAsia="Book Antiqua" w:hAnsi="Book Antiqua" w:cs="Book Antiqua"/>
          <w:color w:val="000000"/>
        </w:rPr>
        <w:t>: 3996-4003 [PMID: 25385729 DOI: 10.1200/JCO.2013.54.9493]</w:t>
      </w:r>
    </w:p>
    <w:p w14:paraId="2164049D"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34 </w:t>
      </w:r>
      <w:r w:rsidRPr="00D41996">
        <w:rPr>
          <w:rFonts w:ascii="Book Antiqua" w:eastAsia="Book Antiqua" w:hAnsi="Book Antiqua" w:cs="Book Antiqua"/>
          <w:b/>
          <w:bCs/>
          <w:color w:val="000000"/>
        </w:rPr>
        <w:t>Offner F</w:t>
      </w:r>
      <w:r w:rsidRPr="00D41996">
        <w:rPr>
          <w:rFonts w:ascii="Book Antiqua" w:eastAsia="Book Antiqua" w:hAnsi="Book Antiqua" w:cs="Book Antiqua"/>
          <w:color w:val="000000"/>
        </w:rPr>
        <w:t xml:space="preserve">, Samoilova O, Osmanov E, Eom HS, Topp MS, Raposo J, Pavlov V, Ricci D, Chaturvedi S, Zhu E, van de Velde H, Enny C, Rizo A, Ferhanoglu B. Frontline rituximab, cyclophosphamide, doxorubicin, and prednisone with bortezomib (VR-CAP) or vincristine (R-CHOP) for non-GCB DLBCL. </w:t>
      </w:r>
      <w:r w:rsidRPr="00D41996">
        <w:rPr>
          <w:rFonts w:ascii="Book Antiqua" w:eastAsia="Book Antiqua" w:hAnsi="Book Antiqua" w:cs="Book Antiqua"/>
          <w:i/>
          <w:iCs/>
          <w:color w:val="000000"/>
        </w:rPr>
        <w:t>Blood</w:t>
      </w:r>
      <w:r w:rsidRPr="00D41996">
        <w:rPr>
          <w:rFonts w:ascii="Book Antiqua" w:eastAsia="Book Antiqua" w:hAnsi="Book Antiqua" w:cs="Book Antiqua"/>
          <w:color w:val="000000"/>
        </w:rPr>
        <w:t xml:space="preserve"> 2015; </w:t>
      </w:r>
      <w:r w:rsidRPr="00D41996">
        <w:rPr>
          <w:rFonts w:ascii="Book Antiqua" w:eastAsia="Book Antiqua" w:hAnsi="Book Antiqua" w:cs="Book Antiqua"/>
          <w:b/>
          <w:bCs/>
          <w:color w:val="000000"/>
        </w:rPr>
        <w:t>126</w:t>
      </w:r>
      <w:r w:rsidRPr="00D41996">
        <w:rPr>
          <w:rFonts w:ascii="Book Antiqua" w:eastAsia="Book Antiqua" w:hAnsi="Book Antiqua" w:cs="Book Antiqua"/>
          <w:color w:val="000000"/>
        </w:rPr>
        <w:t>: 1893-1901 [PMID: 26232170 DOI: 10.1182/blood-2015-03-632430]</w:t>
      </w:r>
    </w:p>
    <w:p w14:paraId="1511CC09"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35 </w:t>
      </w:r>
      <w:r w:rsidRPr="00D41996">
        <w:rPr>
          <w:rFonts w:ascii="Book Antiqua" w:eastAsia="Book Antiqua" w:hAnsi="Book Antiqua" w:cs="Book Antiqua"/>
          <w:b/>
          <w:bCs/>
          <w:color w:val="000000"/>
        </w:rPr>
        <w:t>Jovanovic MP</w:t>
      </w:r>
      <w:r w:rsidRPr="00D41996">
        <w:rPr>
          <w:rFonts w:ascii="Book Antiqua" w:eastAsia="Book Antiqua" w:hAnsi="Book Antiqua" w:cs="Book Antiqua"/>
          <w:color w:val="000000"/>
        </w:rPr>
        <w:t xml:space="preserve">, Mihaljevic B, Jakovic L, Martinovic VC, Fekete MD, Andjelic B, Antic D, Bogdanovic A, Boricic N, Terzic T, Jelicic J, Milenkovic S. BCL2 positive and BCL6 negative diffuse large B cell lymphoma patients benefit from R-CHOP therapy irrespective of germinal and non germinal center B cell like subtypes. </w:t>
      </w:r>
      <w:r w:rsidRPr="00D41996">
        <w:rPr>
          <w:rFonts w:ascii="Book Antiqua" w:eastAsia="Book Antiqua" w:hAnsi="Book Antiqua" w:cs="Book Antiqua"/>
          <w:i/>
          <w:iCs/>
          <w:color w:val="000000"/>
        </w:rPr>
        <w:t>J BUON</w:t>
      </w:r>
      <w:r w:rsidRPr="00D41996">
        <w:rPr>
          <w:rFonts w:ascii="Book Antiqua" w:eastAsia="Book Antiqua" w:hAnsi="Book Antiqua" w:cs="Book Antiqua"/>
          <w:color w:val="000000"/>
        </w:rPr>
        <w:t xml:space="preserve"> 2015; </w:t>
      </w:r>
      <w:r w:rsidRPr="00D41996">
        <w:rPr>
          <w:rFonts w:ascii="Book Antiqua" w:eastAsia="Book Antiqua" w:hAnsi="Book Antiqua" w:cs="Book Antiqua"/>
          <w:b/>
          <w:bCs/>
          <w:color w:val="000000"/>
        </w:rPr>
        <w:t>20</w:t>
      </w:r>
      <w:r w:rsidRPr="00D41996">
        <w:rPr>
          <w:rFonts w:ascii="Book Antiqua" w:eastAsia="Book Antiqua" w:hAnsi="Book Antiqua" w:cs="Book Antiqua"/>
          <w:color w:val="000000"/>
        </w:rPr>
        <w:t>: 820-828 [PMID: 26214636]</w:t>
      </w:r>
    </w:p>
    <w:p w14:paraId="66CD364E"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36 </w:t>
      </w:r>
      <w:r w:rsidRPr="00D41996">
        <w:rPr>
          <w:rFonts w:ascii="Book Antiqua" w:eastAsia="Book Antiqua" w:hAnsi="Book Antiqua" w:cs="Book Antiqua"/>
          <w:b/>
          <w:bCs/>
          <w:color w:val="000000"/>
        </w:rPr>
        <w:t>Wang J</w:t>
      </w:r>
      <w:r w:rsidRPr="00D41996">
        <w:rPr>
          <w:rFonts w:ascii="Book Antiqua" w:eastAsia="Book Antiqua" w:hAnsi="Book Antiqua" w:cs="Book Antiqua"/>
          <w:color w:val="000000"/>
        </w:rPr>
        <w:t xml:space="preserve">, Zhou M, Zhang QG, Xu J, Lin T, Zhou RF, Li J, Yang YG, Chen B, Ouyang J. Prognostic value of expression of nuclear factor kappa-B/p65 in non-GCB DLBCL patients. </w:t>
      </w:r>
      <w:r w:rsidRPr="00D41996">
        <w:rPr>
          <w:rFonts w:ascii="Book Antiqua" w:eastAsia="Book Antiqua" w:hAnsi="Book Antiqua" w:cs="Book Antiqua"/>
          <w:i/>
          <w:iCs/>
          <w:color w:val="000000"/>
        </w:rPr>
        <w:t>Oncotarget</w:t>
      </w:r>
      <w:r w:rsidRPr="00D41996">
        <w:rPr>
          <w:rFonts w:ascii="Book Antiqua" w:eastAsia="Book Antiqua" w:hAnsi="Book Antiqua" w:cs="Book Antiqua"/>
          <w:color w:val="000000"/>
        </w:rPr>
        <w:t xml:space="preserve"> 2017; </w:t>
      </w:r>
      <w:r w:rsidRPr="00D41996">
        <w:rPr>
          <w:rFonts w:ascii="Book Antiqua" w:eastAsia="Book Antiqua" w:hAnsi="Book Antiqua" w:cs="Book Antiqua"/>
          <w:b/>
          <w:bCs/>
          <w:color w:val="000000"/>
        </w:rPr>
        <w:t>8</w:t>
      </w:r>
      <w:r w:rsidRPr="00D41996">
        <w:rPr>
          <w:rFonts w:ascii="Book Antiqua" w:eastAsia="Book Antiqua" w:hAnsi="Book Antiqua" w:cs="Book Antiqua"/>
          <w:color w:val="000000"/>
        </w:rPr>
        <w:t>: 9708-9716 [PMID: 28039454 DOI: 10.18632/oncotarget.14182]</w:t>
      </w:r>
    </w:p>
    <w:p w14:paraId="69A941A6"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lastRenderedPageBreak/>
        <w:t xml:space="preserve">37 </w:t>
      </w:r>
      <w:r w:rsidRPr="00D41996">
        <w:rPr>
          <w:rFonts w:ascii="Book Antiqua" w:eastAsia="Book Antiqua" w:hAnsi="Book Antiqua" w:cs="Book Antiqua"/>
          <w:b/>
          <w:bCs/>
          <w:color w:val="000000"/>
        </w:rPr>
        <w:t>Wang L</w:t>
      </w:r>
      <w:r w:rsidRPr="00D41996">
        <w:rPr>
          <w:rFonts w:ascii="Book Antiqua" w:eastAsia="Book Antiqua" w:hAnsi="Book Antiqua" w:cs="Book Antiqua"/>
          <w:color w:val="000000"/>
        </w:rPr>
        <w:t xml:space="preserve">, Liu P, Chen X, Geng Q, Lu Y. Serum neuron-specific enolase is correlated with clinical outcome of patients with non-germinal center B cell-like subtype of diffuse large B-cell lymphoma treated with rituximab-based immunochemotherapy. </w:t>
      </w:r>
      <w:r w:rsidRPr="00D41996">
        <w:rPr>
          <w:rFonts w:ascii="Book Antiqua" w:eastAsia="Book Antiqua" w:hAnsi="Book Antiqua" w:cs="Book Antiqua"/>
          <w:i/>
          <w:iCs/>
          <w:color w:val="000000"/>
        </w:rPr>
        <w:t>Med Oncol</w:t>
      </w:r>
      <w:r w:rsidRPr="00D41996">
        <w:rPr>
          <w:rFonts w:ascii="Book Antiqua" w:eastAsia="Book Antiqua" w:hAnsi="Book Antiqua" w:cs="Book Antiqua"/>
          <w:color w:val="000000"/>
        </w:rPr>
        <w:t xml:space="preserve"> 2012; </w:t>
      </w:r>
      <w:r w:rsidRPr="00D41996">
        <w:rPr>
          <w:rFonts w:ascii="Book Antiqua" w:eastAsia="Book Antiqua" w:hAnsi="Book Antiqua" w:cs="Book Antiqua"/>
          <w:b/>
          <w:bCs/>
          <w:color w:val="000000"/>
        </w:rPr>
        <w:t>29</w:t>
      </w:r>
      <w:r w:rsidRPr="00D41996">
        <w:rPr>
          <w:rFonts w:ascii="Book Antiqua" w:eastAsia="Book Antiqua" w:hAnsi="Book Antiqua" w:cs="Book Antiqua"/>
          <w:color w:val="000000"/>
        </w:rPr>
        <w:t>: 2153-2158 [PMID: 21877195 DOI: 10.1007/s12032-011-0049-z]</w:t>
      </w:r>
    </w:p>
    <w:p w14:paraId="1D486C0D"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38 </w:t>
      </w:r>
      <w:r w:rsidRPr="00D41996">
        <w:rPr>
          <w:rFonts w:ascii="Book Antiqua" w:eastAsia="Book Antiqua" w:hAnsi="Book Antiqua" w:cs="Book Antiqua"/>
          <w:b/>
          <w:bCs/>
          <w:color w:val="000000"/>
        </w:rPr>
        <w:t>Koh YW</w:t>
      </w:r>
      <w:r w:rsidRPr="00D41996">
        <w:rPr>
          <w:rFonts w:ascii="Book Antiqua" w:eastAsia="Book Antiqua" w:hAnsi="Book Antiqua" w:cs="Book Antiqua"/>
          <w:color w:val="000000"/>
        </w:rPr>
        <w:t xml:space="preserve">, Hwang HS, Park CS, Yoon DH, Suh C, Huh J. Prognostic effect of Ki-67 expression in rituximab, cyclophosphamide, doxorubicin, vincristine and prednisone-treated diffuse large B-cell lymphoma is limited to non-germinal center B-cell-like subtype in late-elderly patients. </w:t>
      </w:r>
      <w:r w:rsidRPr="00D41996">
        <w:rPr>
          <w:rFonts w:ascii="Book Antiqua" w:eastAsia="Book Antiqua" w:hAnsi="Book Antiqua" w:cs="Book Antiqua"/>
          <w:i/>
          <w:iCs/>
          <w:color w:val="000000"/>
        </w:rPr>
        <w:t>Leuk Lymphoma</w:t>
      </w:r>
      <w:r w:rsidRPr="00D41996">
        <w:rPr>
          <w:rFonts w:ascii="Book Antiqua" w:eastAsia="Book Antiqua" w:hAnsi="Book Antiqua" w:cs="Book Antiqua"/>
          <w:color w:val="000000"/>
        </w:rPr>
        <w:t xml:space="preserve"> 2015; </w:t>
      </w:r>
      <w:r w:rsidRPr="00D41996">
        <w:rPr>
          <w:rFonts w:ascii="Book Antiqua" w:eastAsia="Book Antiqua" w:hAnsi="Book Antiqua" w:cs="Book Antiqua"/>
          <w:b/>
          <w:bCs/>
          <w:color w:val="000000"/>
        </w:rPr>
        <w:t>56</w:t>
      </w:r>
      <w:r w:rsidRPr="00D41996">
        <w:rPr>
          <w:rFonts w:ascii="Book Antiqua" w:eastAsia="Book Antiqua" w:hAnsi="Book Antiqua" w:cs="Book Antiqua"/>
          <w:color w:val="000000"/>
        </w:rPr>
        <w:t>: 2630-2636 [PMID: 25573205 DOI: 10.3109/10428194.2015.1004169]</w:t>
      </w:r>
    </w:p>
    <w:p w14:paraId="7E65F407"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39 </w:t>
      </w:r>
      <w:r w:rsidRPr="00D41996">
        <w:rPr>
          <w:rFonts w:ascii="Book Antiqua" w:eastAsia="Book Antiqua" w:hAnsi="Book Antiqua" w:cs="Book Antiqua"/>
          <w:b/>
          <w:bCs/>
          <w:color w:val="000000"/>
        </w:rPr>
        <w:t>Apte RS</w:t>
      </w:r>
      <w:r w:rsidRPr="00D41996">
        <w:rPr>
          <w:rFonts w:ascii="Book Antiqua" w:eastAsia="Book Antiqua" w:hAnsi="Book Antiqua" w:cs="Book Antiqua"/>
          <w:color w:val="000000"/>
        </w:rPr>
        <w:t xml:space="preserve">, Al-Abdulla NA, Green WR, Schachat AP, DeJong MR, DiBernardo C, Handa JT. Systemic non-Hodgkin B-cell lymphoma encountered as a vanishing choroidal mass. </w:t>
      </w:r>
      <w:r w:rsidRPr="00D41996">
        <w:rPr>
          <w:rFonts w:ascii="Book Antiqua" w:eastAsia="Book Antiqua" w:hAnsi="Book Antiqua" w:cs="Book Antiqua"/>
          <w:i/>
          <w:iCs/>
          <w:color w:val="000000"/>
        </w:rPr>
        <w:t>Arch Ophthalmol</w:t>
      </w:r>
      <w:r w:rsidRPr="00D41996">
        <w:rPr>
          <w:rFonts w:ascii="Book Antiqua" w:eastAsia="Book Antiqua" w:hAnsi="Book Antiqua" w:cs="Book Antiqua"/>
          <w:color w:val="000000"/>
        </w:rPr>
        <w:t xml:space="preserve"> 2005; </w:t>
      </w:r>
      <w:r w:rsidRPr="00D41996">
        <w:rPr>
          <w:rFonts w:ascii="Book Antiqua" w:eastAsia="Book Antiqua" w:hAnsi="Book Antiqua" w:cs="Book Antiqua"/>
          <w:b/>
          <w:bCs/>
          <w:color w:val="000000"/>
        </w:rPr>
        <w:t>123</w:t>
      </w:r>
      <w:r w:rsidRPr="00D41996">
        <w:rPr>
          <w:rFonts w:ascii="Book Antiqua" w:eastAsia="Book Antiqua" w:hAnsi="Book Antiqua" w:cs="Book Antiqua"/>
          <w:color w:val="000000"/>
        </w:rPr>
        <w:t>: 105-109 [PMID: 15642822 DOI: 10.1001/archopht.123.1.105]</w:t>
      </w:r>
    </w:p>
    <w:p w14:paraId="284FB16C"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 xml:space="preserve">40 </w:t>
      </w:r>
      <w:r w:rsidRPr="00D41996">
        <w:rPr>
          <w:rFonts w:ascii="Book Antiqua" w:eastAsia="Book Antiqua" w:hAnsi="Book Antiqua" w:cs="Book Antiqua"/>
          <w:b/>
          <w:bCs/>
          <w:color w:val="000000"/>
        </w:rPr>
        <w:t>Kristinsson SY</w:t>
      </w:r>
      <w:r w:rsidRPr="00D41996">
        <w:rPr>
          <w:rFonts w:ascii="Book Antiqua" w:eastAsia="Book Antiqua" w:hAnsi="Book Antiqua" w:cs="Book Antiqua"/>
          <w:color w:val="000000"/>
        </w:rPr>
        <w:t xml:space="preserve">, Gridley G, Hoover RN, Check D, Landgren O. Long-term risks after splenectomy among 8,149 cancer-free American veterans: a cohort study with up to 27 years follow-up. </w:t>
      </w:r>
      <w:r w:rsidRPr="00D41996">
        <w:rPr>
          <w:rFonts w:ascii="Book Antiqua" w:eastAsia="Book Antiqua" w:hAnsi="Book Antiqua" w:cs="Book Antiqua"/>
          <w:i/>
          <w:iCs/>
          <w:color w:val="000000"/>
        </w:rPr>
        <w:t>Haematologica</w:t>
      </w:r>
      <w:r w:rsidRPr="00D41996">
        <w:rPr>
          <w:rFonts w:ascii="Book Antiqua" w:eastAsia="Book Antiqua" w:hAnsi="Book Antiqua" w:cs="Book Antiqua"/>
          <w:color w:val="000000"/>
        </w:rPr>
        <w:t xml:space="preserve"> 2014; </w:t>
      </w:r>
      <w:r w:rsidRPr="00D41996">
        <w:rPr>
          <w:rFonts w:ascii="Book Antiqua" w:eastAsia="Book Antiqua" w:hAnsi="Book Antiqua" w:cs="Book Antiqua"/>
          <w:b/>
          <w:bCs/>
          <w:color w:val="000000"/>
        </w:rPr>
        <w:t>99</w:t>
      </w:r>
      <w:r w:rsidRPr="00D41996">
        <w:rPr>
          <w:rFonts w:ascii="Book Antiqua" w:eastAsia="Book Antiqua" w:hAnsi="Book Antiqua" w:cs="Book Antiqua"/>
          <w:color w:val="000000"/>
        </w:rPr>
        <w:t>: 392-398 [PMID: 24056815 DOI: 10.3324/haematol.2013.092460]</w:t>
      </w:r>
    </w:p>
    <w:p w14:paraId="14563FE6" w14:textId="77777777" w:rsidR="00A77B3E" w:rsidRPr="00D41996" w:rsidRDefault="00A77B3E" w:rsidP="00D41996">
      <w:pPr>
        <w:snapToGrid w:val="0"/>
        <w:spacing w:line="360" w:lineRule="auto"/>
        <w:jc w:val="both"/>
        <w:rPr>
          <w:rFonts w:ascii="Book Antiqua" w:hAnsi="Book Antiqua"/>
        </w:rPr>
        <w:sectPr w:rsidR="00A77B3E" w:rsidRPr="00D41996" w:rsidSect="001B01C9">
          <w:pgSz w:w="12240" w:h="15840"/>
          <w:pgMar w:top="1440" w:right="1800" w:bottom="1440" w:left="1800" w:header="720" w:footer="720" w:gutter="0"/>
          <w:cols w:space="720"/>
          <w:docGrid w:linePitch="360"/>
        </w:sectPr>
      </w:pPr>
    </w:p>
    <w:p w14:paraId="4BDE0EDB"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lastRenderedPageBreak/>
        <w:t>Footnotes</w:t>
      </w:r>
    </w:p>
    <w:p w14:paraId="20ECB928"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Informed consent statement: </w:t>
      </w:r>
      <w:r w:rsidRPr="00D41996">
        <w:rPr>
          <w:rFonts w:ascii="Book Antiqua" w:eastAsia="Book Antiqua" w:hAnsi="Book Antiqua" w:cs="Book Antiqua"/>
          <w:color w:val="000000"/>
        </w:rPr>
        <w:t>Written informed consent was obtained from the patient and his family for publication of this case report and any accompanying images. Both written and verbal informed consent were obtained from the patient and his family for publication of this case report and any accompanying images.</w:t>
      </w:r>
    </w:p>
    <w:p w14:paraId="348805F4" w14:textId="77777777" w:rsidR="00A77B3E" w:rsidRPr="00D41996" w:rsidRDefault="00A77B3E" w:rsidP="00D41996">
      <w:pPr>
        <w:snapToGrid w:val="0"/>
        <w:spacing w:line="360" w:lineRule="auto"/>
        <w:jc w:val="both"/>
        <w:rPr>
          <w:rFonts w:ascii="Book Antiqua" w:hAnsi="Book Antiqua"/>
        </w:rPr>
      </w:pPr>
    </w:p>
    <w:p w14:paraId="615933FC"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Conflict-of-interest statement: </w:t>
      </w:r>
      <w:r w:rsidRPr="00D41996">
        <w:rPr>
          <w:rFonts w:ascii="Book Antiqua" w:eastAsia="Book Antiqua" w:hAnsi="Book Antiqua" w:cs="Book Antiqua"/>
          <w:color w:val="000000"/>
        </w:rPr>
        <w:t xml:space="preserve">The authors declare that they have no conflict of interest. </w:t>
      </w:r>
    </w:p>
    <w:p w14:paraId="362C3C4A" w14:textId="77777777" w:rsidR="00A77B3E" w:rsidRPr="00D41996" w:rsidRDefault="00A77B3E" w:rsidP="00D41996">
      <w:pPr>
        <w:snapToGrid w:val="0"/>
        <w:spacing w:line="360" w:lineRule="auto"/>
        <w:jc w:val="both"/>
        <w:rPr>
          <w:rFonts w:ascii="Book Antiqua" w:hAnsi="Book Antiqua"/>
        </w:rPr>
      </w:pPr>
    </w:p>
    <w:p w14:paraId="5A11B261"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CARE Checklist (2016) statement: </w:t>
      </w:r>
      <w:r w:rsidRPr="00D41996">
        <w:rPr>
          <w:rFonts w:ascii="Book Antiqua" w:eastAsia="Book Antiqua" w:hAnsi="Book Antiqua" w:cs="Book Antiqua"/>
          <w:color w:val="000000"/>
        </w:rPr>
        <w:t>The authors have read the CARE Checklist (2016), and the manuscript was prepared and revised according to the CARE Checklist (2016).</w:t>
      </w:r>
    </w:p>
    <w:p w14:paraId="73F528B9" w14:textId="77777777" w:rsidR="00A77B3E" w:rsidRPr="00D41996" w:rsidRDefault="00A77B3E" w:rsidP="00D41996">
      <w:pPr>
        <w:snapToGrid w:val="0"/>
        <w:spacing w:line="360" w:lineRule="auto"/>
        <w:jc w:val="both"/>
        <w:rPr>
          <w:rFonts w:ascii="Book Antiqua" w:hAnsi="Book Antiqua"/>
        </w:rPr>
      </w:pPr>
    </w:p>
    <w:p w14:paraId="1F283A38"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 xml:space="preserve">Open-Access: </w:t>
      </w:r>
      <w:r w:rsidRPr="00D41996">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654E374E" w14:textId="77777777" w:rsidR="00A77B3E" w:rsidRPr="00D41996" w:rsidRDefault="00A77B3E" w:rsidP="00D41996">
      <w:pPr>
        <w:snapToGrid w:val="0"/>
        <w:spacing w:line="360" w:lineRule="auto"/>
        <w:jc w:val="both"/>
        <w:rPr>
          <w:rFonts w:ascii="Book Antiqua" w:hAnsi="Book Antiqua"/>
        </w:rPr>
      </w:pPr>
    </w:p>
    <w:p w14:paraId="04AC97B0" w14:textId="6E9E6D9D"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 xml:space="preserve">Manuscript source: </w:t>
      </w:r>
      <w:r w:rsidRPr="00D41996">
        <w:rPr>
          <w:rFonts w:ascii="Book Antiqua" w:eastAsia="Book Antiqua" w:hAnsi="Book Antiqua" w:cs="Book Antiqua"/>
          <w:color w:val="000000"/>
        </w:rPr>
        <w:t xml:space="preserve">Unsolicited </w:t>
      </w:r>
      <w:r w:rsidR="00E55CC9" w:rsidRPr="00D41996">
        <w:rPr>
          <w:rFonts w:ascii="Book Antiqua" w:eastAsia="Book Antiqua" w:hAnsi="Book Antiqua" w:cs="Book Antiqua"/>
          <w:color w:val="000000"/>
        </w:rPr>
        <w:t>manuscript</w:t>
      </w:r>
    </w:p>
    <w:p w14:paraId="6C43E113" w14:textId="77777777" w:rsidR="00A77B3E" w:rsidRPr="00D41996" w:rsidRDefault="00A77B3E" w:rsidP="00D41996">
      <w:pPr>
        <w:snapToGrid w:val="0"/>
        <w:spacing w:line="360" w:lineRule="auto"/>
        <w:jc w:val="both"/>
        <w:rPr>
          <w:rFonts w:ascii="Book Antiqua" w:hAnsi="Book Antiqua"/>
        </w:rPr>
      </w:pPr>
    </w:p>
    <w:p w14:paraId="031E8134"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 xml:space="preserve">Peer-review started: </w:t>
      </w:r>
      <w:r w:rsidRPr="00D41996">
        <w:rPr>
          <w:rFonts w:ascii="Book Antiqua" w:eastAsia="Book Antiqua" w:hAnsi="Book Antiqua" w:cs="Book Antiqua"/>
          <w:color w:val="000000"/>
        </w:rPr>
        <w:t>April 17, 2021</w:t>
      </w:r>
    </w:p>
    <w:p w14:paraId="444F5F90"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 xml:space="preserve">First decision: </w:t>
      </w:r>
      <w:r w:rsidRPr="00D41996">
        <w:rPr>
          <w:rFonts w:ascii="Book Antiqua" w:eastAsia="Book Antiqua" w:hAnsi="Book Antiqua" w:cs="Book Antiqua"/>
          <w:color w:val="000000"/>
        </w:rPr>
        <w:t>May 10, 2021</w:t>
      </w:r>
    </w:p>
    <w:p w14:paraId="3411EF95" w14:textId="48AD6960"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 xml:space="preserve">Article in press: </w:t>
      </w:r>
      <w:r w:rsidR="00A73E55" w:rsidRPr="007A630B">
        <w:rPr>
          <w:rFonts w:ascii="Book Antiqua" w:eastAsia="Book Antiqua" w:hAnsi="Book Antiqua" w:cs="Book Antiqua"/>
          <w:bCs/>
          <w:color w:val="000000"/>
        </w:rPr>
        <w:t>June 25, 2021</w:t>
      </w:r>
    </w:p>
    <w:p w14:paraId="2F20F08F" w14:textId="77777777" w:rsidR="00A77B3E" w:rsidRPr="00D41996" w:rsidRDefault="00A77B3E" w:rsidP="00D41996">
      <w:pPr>
        <w:snapToGrid w:val="0"/>
        <w:spacing w:line="360" w:lineRule="auto"/>
        <w:jc w:val="both"/>
        <w:rPr>
          <w:rFonts w:ascii="Book Antiqua" w:hAnsi="Book Antiqua"/>
        </w:rPr>
      </w:pPr>
    </w:p>
    <w:p w14:paraId="1DB97817"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 xml:space="preserve">Specialty type: </w:t>
      </w:r>
      <w:r w:rsidRPr="00D41996">
        <w:rPr>
          <w:rFonts w:ascii="Book Antiqua" w:eastAsia="Book Antiqua" w:hAnsi="Book Antiqua" w:cs="Book Antiqua"/>
          <w:color w:val="000000"/>
        </w:rPr>
        <w:t>Hematology</w:t>
      </w:r>
    </w:p>
    <w:p w14:paraId="6F40D189"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lastRenderedPageBreak/>
        <w:t xml:space="preserve">Country/Territory of origin: </w:t>
      </w:r>
      <w:r w:rsidRPr="00D41996">
        <w:rPr>
          <w:rFonts w:ascii="Book Antiqua" w:eastAsia="Book Antiqua" w:hAnsi="Book Antiqua" w:cs="Book Antiqua"/>
          <w:color w:val="000000"/>
        </w:rPr>
        <w:t>Japan</w:t>
      </w:r>
    </w:p>
    <w:p w14:paraId="24B3640A"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color w:val="000000"/>
        </w:rPr>
        <w:t>Peer-review report’s scientific quality classification</w:t>
      </w:r>
    </w:p>
    <w:p w14:paraId="1111A36F"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Grade A (Excellent): 0</w:t>
      </w:r>
    </w:p>
    <w:p w14:paraId="6CB79DF5"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Grade B (Very good): 0</w:t>
      </w:r>
    </w:p>
    <w:p w14:paraId="5B33A887"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Grade C (Good): C, C, C, C</w:t>
      </w:r>
    </w:p>
    <w:p w14:paraId="67D52BDE"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Grade D (Fair): 0</w:t>
      </w:r>
    </w:p>
    <w:p w14:paraId="7800C1E8" w14:textId="77777777"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color w:val="000000"/>
        </w:rPr>
        <w:t>Grade E (Poor): 0</w:t>
      </w:r>
    </w:p>
    <w:p w14:paraId="501BCE73" w14:textId="77777777" w:rsidR="00A77B3E" w:rsidRPr="00D41996" w:rsidRDefault="00A77B3E" w:rsidP="00D41996">
      <w:pPr>
        <w:snapToGrid w:val="0"/>
        <w:spacing w:line="360" w:lineRule="auto"/>
        <w:jc w:val="both"/>
        <w:rPr>
          <w:rFonts w:ascii="Book Antiqua" w:hAnsi="Book Antiqua"/>
        </w:rPr>
      </w:pPr>
    </w:p>
    <w:p w14:paraId="55CC04A4" w14:textId="50A67EC8" w:rsidR="00A77B3E" w:rsidRPr="00A73E55" w:rsidRDefault="00B51EDC" w:rsidP="00D41996">
      <w:pPr>
        <w:snapToGrid w:val="0"/>
        <w:spacing w:line="360" w:lineRule="auto"/>
        <w:jc w:val="both"/>
        <w:rPr>
          <w:rFonts w:ascii="Book Antiqua" w:eastAsia="Book Antiqua" w:hAnsi="Book Antiqua" w:cs="Book Antiqua"/>
          <w:color w:val="000000"/>
        </w:rPr>
      </w:pPr>
      <w:r w:rsidRPr="00D41996">
        <w:rPr>
          <w:rFonts w:ascii="Book Antiqua" w:eastAsia="Book Antiqua" w:hAnsi="Book Antiqua" w:cs="Book Antiqua"/>
          <w:b/>
          <w:color w:val="000000"/>
        </w:rPr>
        <w:t xml:space="preserve">P-Reviewer: </w:t>
      </w:r>
      <w:r w:rsidR="00E55CC9" w:rsidRPr="00D41996">
        <w:rPr>
          <w:rFonts w:ascii="Book Antiqua" w:eastAsia="Book Antiqua" w:hAnsi="Book Antiqua" w:cs="Book Antiqua"/>
          <w:color w:val="000000"/>
        </w:rPr>
        <w:t>Huang AHC, Viswanath Y,</w:t>
      </w:r>
      <w:r w:rsidR="008856E9">
        <w:rPr>
          <w:rFonts w:ascii="Book Antiqua" w:eastAsia="Book Antiqua" w:hAnsi="Book Antiqua" w:cs="Book Antiqua"/>
          <w:color w:val="000000"/>
        </w:rPr>
        <w:t xml:space="preserve"> </w:t>
      </w:r>
      <w:r w:rsidRPr="00D41996">
        <w:rPr>
          <w:rFonts w:ascii="Book Antiqua" w:eastAsia="Book Antiqua" w:hAnsi="Book Antiqua" w:cs="Book Antiqua"/>
          <w:color w:val="000000"/>
        </w:rPr>
        <w:t>Wang XJ, Yi XL</w:t>
      </w:r>
      <w:r w:rsidRPr="00D41996">
        <w:rPr>
          <w:rFonts w:ascii="Book Antiqua" w:eastAsia="Book Antiqua" w:hAnsi="Book Antiqua" w:cs="Book Antiqua"/>
          <w:b/>
          <w:color w:val="000000"/>
        </w:rPr>
        <w:t xml:space="preserve"> S-Editor: </w:t>
      </w:r>
      <w:r w:rsidRPr="00D41996">
        <w:rPr>
          <w:rFonts w:ascii="Book Antiqua" w:eastAsia="Book Antiqua" w:hAnsi="Book Antiqua" w:cs="Book Antiqua"/>
          <w:color w:val="000000"/>
        </w:rPr>
        <w:t>Zhang L</w:t>
      </w:r>
      <w:r w:rsidR="00E55CC9" w:rsidRPr="00D41996">
        <w:rPr>
          <w:rFonts w:ascii="Book Antiqua" w:eastAsia="Book Antiqua" w:hAnsi="Book Antiqua" w:cs="Book Antiqua"/>
          <w:b/>
          <w:color w:val="000000"/>
        </w:rPr>
        <w:t xml:space="preserve"> L-Editor: </w:t>
      </w:r>
      <w:r w:rsidR="00AE2AC5">
        <w:rPr>
          <w:rFonts w:ascii="Book Antiqua" w:eastAsia="Book Antiqua" w:hAnsi="Book Antiqua" w:cs="Book Antiqua"/>
          <w:bCs/>
          <w:color w:val="000000"/>
        </w:rPr>
        <w:t xml:space="preserve">Filipodia </w:t>
      </w:r>
      <w:r w:rsidRPr="00D41996">
        <w:rPr>
          <w:rFonts w:ascii="Book Antiqua" w:eastAsia="Book Antiqua" w:hAnsi="Book Antiqua" w:cs="Book Antiqua"/>
          <w:b/>
          <w:color w:val="000000"/>
        </w:rPr>
        <w:t xml:space="preserve">P-Editor: </w:t>
      </w:r>
      <w:r w:rsidR="00A73E55" w:rsidRPr="00A73E55">
        <w:rPr>
          <w:rFonts w:ascii="Book Antiqua" w:eastAsia="Book Antiqua" w:hAnsi="Book Antiqua" w:cs="Book Antiqua"/>
          <w:color w:val="000000"/>
        </w:rPr>
        <w:t>Xing YX</w:t>
      </w:r>
    </w:p>
    <w:p w14:paraId="4EE01D8A" w14:textId="77777777" w:rsidR="00E55CC9" w:rsidRPr="00D41996" w:rsidRDefault="00E55CC9" w:rsidP="00D41996">
      <w:pPr>
        <w:snapToGrid w:val="0"/>
        <w:spacing w:line="360" w:lineRule="auto"/>
        <w:jc w:val="both"/>
        <w:rPr>
          <w:rFonts w:ascii="Book Antiqua" w:hAnsi="Book Antiqua"/>
        </w:rPr>
        <w:sectPr w:rsidR="00E55CC9" w:rsidRPr="00D41996" w:rsidSect="001B01C9">
          <w:pgSz w:w="12240" w:h="15840"/>
          <w:pgMar w:top="1440" w:right="1800" w:bottom="1440" w:left="1800" w:header="720" w:footer="720" w:gutter="0"/>
          <w:cols w:space="720"/>
          <w:docGrid w:linePitch="360"/>
        </w:sectPr>
      </w:pPr>
    </w:p>
    <w:p w14:paraId="0EDAF2E1" w14:textId="761EC236" w:rsidR="00A77B3E" w:rsidRPr="00D41996" w:rsidRDefault="00B51EDC" w:rsidP="00D41996">
      <w:pPr>
        <w:snapToGrid w:val="0"/>
        <w:spacing w:line="360" w:lineRule="auto"/>
        <w:jc w:val="both"/>
        <w:rPr>
          <w:rFonts w:ascii="Book Antiqua" w:eastAsia="Book Antiqua" w:hAnsi="Book Antiqua" w:cs="Book Antiqua"/>
          <w:b/>
          <w:color w:val="000000"/>
        </w:rPr>
      </w:pPr>
      <w:r w:rsidRPr="00D41996">
        <w:rPr>
          <w:rFonts w:ascii="Book Antiqua" w:eastAsia="Book Antiqua" w:hAnsi="Book Antiqua" w:cs="Book Antiqua"/>
          <w:b/>
          <w:color w:val="000000"/>
        </w:rPr>
        <w:lastRenderedPageBreak/>
        <w:t>Figure Legends</w:t>
      </w:r>
    </w:p>
    <w:p w14:paraId="150D87A2" w14:textId="49E0EA62" w:rsidR="002D242D" w:rsidRPr="00D41996" w:rsidRDefault="002D242D" w:rsidP="00D41996">
      <w:pPr>
        <w:snapToGrid w:val="0"/>
        <w:spacing w:line="360" w:lineRule="auto"/>
        <w:jc w:val="both"/>
        <w:rPr>
          <w:rFonts w:ascii="Book Antiqua" w:hAnsi="Book Antiqua"/>
        </w:rPr>
      </w:pPr>
      <w:r w:rsidRPr="00D41996">
        <w:rPr>
          <w:rFonts w:ascii="Book Antiqua" w:hAnsi="Book Antiqua"/>
          <w:noProof/>
          <w:lang w:eastAsia="zh-CN"/>
        </w:rPr>
        <w:drawing>
          <wp:inline distT="0" distB="0" distL="0" distR="0" wp14:anchorId="548C82BF" wp14:editId="4F656AEB">
            <wp:extent cx="2584174" cy="2663687"/>
            <wp:effectExtent l="0" t="0" r="6985" b="3810"/>
            <wp:docPr id="1" name="图片 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8">
                      <a:extLst>
                        <a:ext uri="{28A0092B-C50C-407E-A947-70E740481C1C}">
                          <a14:useLocalDpi xmlns:a14="http://schemas.microsoft.com/office/drawing/2010/main" val="0"/>
                        </a:ext>
                      </a:extLst>
                    </a:blip>
                    <a:stretch>
                      <a:fillRect/>
                    </a:stretch>
                  </pic:blipFill>
                  <pic:spPr>
                    <a:xfrm>
                      <a:off x="0" y="0"/>
                      <a:ext cx="2593472" cy="2673271"/>
                    </a:xfrm>
                    <a:prstGeom prst="rect">
                      <a:avLst/>
                    </a:prstGeom>
                  </pic:spPr>
                </pic:pic>
              </a:graphicData>
            </a:graphic>
          </wp:inline>
        </w:drawing>
      </w:r>
    </w:p>
    <w:p w14:paraId="00A4596A" w14:textId="3D5A6571" w:rsidR="00A77B3E" w:rsidRPr="00D41996" w:rsidRDefault="00B51EDC" w:rsidP="00D41996">
      <w:pPr>
        <w:snapToGrid w:val="0"/>
        <w:spacing w:line="360" w:lineRule="auto"/>
        <w:jc w:val="both"/>
        <w:rPr>
          <w:rFonts w:ascii="Book Antiqua" w:hAnsi="Book Antiqua"/>
        </w:rPr>
      </w:pPr>
      <w:bookmarkStart w:id="14" w:name="OLE_LINK15"/>
      <w:r w:rsidRPr="00D41996">
        <w:rPr>
          <w:rFonts w:ascii="Book Antiqua" w:eastAsia="Book Antiqua" w:hAnsi="Book Antiqua" w:cs="Book Antiqua"/>
          <w:b/>
          <w:bCs/>
          <w:color w:val="000000"/>
        </w:rPr>
        <w:t>Figure 1 A plain computed tomography scan on day 1.</w:t>
      </w:r>
      <w:r w:rsidRPr="00D41996">
        <w:rPr>
          <w:rFonts w:ascii="Book Antiqua" w:eastAsia="Book Antiqua" w:hAnsi="Book Antiqua" w:cs="Book Antiqua"/>
          <w:color w:val="000000"/>
        </w:rPr>
        <w:t xml:space="preserve"> The 3</w:t>
      </w:r>
      <w:r w:rsidR="00E55CC9" w:rsidRPr="00D41996">
        <w:rPr>
          <w:rFonts w:ascii="Book Antiqua" w:eastAsia="Book Antiqua" w:hAnsi="Book Antiqua" w:cs="Book Antiqua"/>
          <w:color w:val="000000"/>
        </w:rPr>
        <w:t xml:space="preserve"> cm</w:t>
      </w:r>
      <w:r w:rsidRPr="00D41996">
        <w:rPr>
          <w:rFonts w:ascii="Book Antiqua" w:eastAsia="Book Antiqua" w:hAnsi="Book Antiqua" w:cs="Book Antiqua"/>
          <w:color w:val="000000"/>
        </w:rPr>
        <w:t xml:space="preserve"> × 3.1</w:t>
      </w:r>
      <w:r w:rsidR="00E55CC9" w:rsidRPr="00D41996">
        <w:rPr>
          <w:rFonts w:ascii="Book Antiqua" w:eastAsia="Book Antiqua" w:hAnsi="Book Antiqua" w:cs="Book Antiqua"/>
          <w:color w:val="000000"/>
        </w:rPr>
        <w:t xml:space="preserve"> cm</w:t>
      </w:r>
      <w:r w:rsidRPr="00D41996">
        <w:rPr>
          <w:rFonts w:ascii="Book Antiqua" w:eastAsia="Book Antiqua" w:hAnsi="Book Antiqua" w:cs="Book Antiqua"/>
          <w:color w:val="000000"/>
        </w:rPr>
        <w:t xml:space="preserve"> × 3 cm sized left maxillary sinus of the patient was completely filled with mass, and a partially high-density area was confirmed inside.</w:t>
      </w:r>
    </w:p>
    <w:p w14:paraId="6DEF358C" w14:textId="423ED6F5" w:rsidR="002D242D" w:rsidRPr="00D41996" w:rsidRDefault="002D242D" w:rsidP="00D41996">
      <w:pPr>
        <w:snapToGrid w:val="0"/>
        <w:spacing w:line="360" w:lineRule="auto"/>
        <w:jc w:val="both"/>
        <w:rPr>
          <w:rFonts w:ascii="Book Antiqua" w:eastAsia="Book Antiqua" w:hAnsi="Book Antiqua" w:cs="Book Antiqua"/>
          <w:b/>
          <w:bCs/>
          <w:color w:val="000000"/>
        </w:rPr>
      </w:pPr>
      <w:r w:rsidRPr="00D41996">
        <w:rPr>
          <w:rFonts w:ascii="Book Antiqua" w:eastAsia="Book Antiqua" w:hAnsi="Book Antiqua" w:cs="Book Antiqua"/>
          <w:b/>
          <w:bCs/>
          <w:color w:val="000000"/>
        </w:rPr>
        <w:br w:type="page"/>
      </w:r>
      <w:bookmarkEnd w:id="14"/>
      <w:r w:rsidRPr="00D41996">
        <w:rPr>
          <w:rFonts w:ascii="Book Antiqua" w:hAnsi="Book Antiqua"/>
          <w:noProof/>
          <w:lang w:eastAsia="zh-CN"/>
        </w:rPr>
        <w:lastRenderedPageBreak/>
        <w:drawing>
          <wp:inline distT="0" distB="0" distL="0" distR="0" wp14:anchorId="7FC95270" wp14:editId="058A1705">
            <wp:extent cx="5422789" cy="4086970"/>
            <wp:effectExtent l="0" t="0" r="6985" b="889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29638" cy="4092132"/>
                    </a:xfrm>
                    <a:prstGeom prst="rect">
                      <a:avLst/>
                    </a:prstGeom>
                  </pic:spPr>
                </pic:pic>
              </a:graphicData>
            </a:graphic>
          </wp:inline>
        </w:drawing>
      </w:r>
    </w:p>
    <w:p w14:paraId="3C06E969" w14:textId="3234653C"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Figure 2 Appearance of the body.</w:t>
      </w:r>
      <w:r w:rsidRPr="00D41996">
        <w:rPr>
          <w:rFonts w:ascii="Book Antiqua" w:eastAsia="Book Antiqua" w:hAnsi="Book Antiqua" w:cs="Book Antiqua"/>
          <w:color w:val="000000"/>
        </w:rPr>
        <w:t xml:space="preserve"> A: Day 31. Left ptosis was confirmed; B: Day 31. When we opened his eyes passively, hyperexophoria of the left eye was confirmed; C: Day 62. Left circumocular swelling was confirmed. At this time, the patient could not open his left eye; D: Day 62. Chest of the patient. Multiple skin tumors were confirmed; E: Day 62. Chest and abdomen of the patient. Multiple skin tumors were confirmed.</w:t>
      </w:r>
    </w:p>
    <w:p w14:paraId="677E52AE" w14:textId="1E176C35" w:rsidR="002D242D" w:rsidRPr="00D41996" w:rsidRDefault="002D242D" w:rsidP="00D41996">
      <w:pPr>
        <w:snapToGrid w:val="0"/>
        <w:spacing w:line="360" w:lineRule="auto"/>
        <w:jc w:val="both"/>
        <w:rPr>
          <w:rFonts w:ascii="Book Antiqua" w:eastAsia="Book Antiqua" w:hAnsi="Book Antiqua" w:cs="Book Antiqua"/>
          <w:b/>
          <w:bCs/>
          <w:color w:val="000000"/>
        </w:rPr>
      </w:pPr>
      <w:r w:rsidRPr="00D41996">
        <w:rPr>
          <w:rFonts w:ascii="Book Antiqua" w:eastAsia="Book Antiqua" w:hAnsi="Book Antiqua" w:cs="Book Antiqua"/>
          <w:b/>
          <w:bCs/>
          <w:color w:val="000000"/>
        </w:rPr>
        <w:br w:type="page"/>
      </w:r>
      <w:r w:rsidRPr="00D41996">
        <w:rPr>
          <w:rFonts w:ascii="Book Antiqua" w:hAnsi="Book Antiqua"/>
          <w:noProof/>
          <w:lang w:eastAsia="zh-CN"/>
        </w:rPr>
        <w:lastRenderedPageBreak/>
        <w:drawing>
          <wp:inline distT="0" distB="0" distL="0" distR="0" wp14:anchorId="039EF39E" wp14:editId="3AC3D1D5">
            <wp:extent cx="5414838" cy="4166483"/>
            <wp:effectExtent l="0" t="0" r="0" b="5715"/>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20195" cy="4170605"/>
                    </a:xfrm>
                    <a:prstGeom prst="rect">
                      <a:avLst/>
                    </a:prstGeom>
                  </pic:spPr>
                </pic:pic>
              </a:graphicData>
            </a:graphic>
          </wp:inline>
        </w:drawing>
      </w:r>
    </w:p>
    <w:p w14:paraId="703539EF" w14:textId="076A981A"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Figure 3 Histopathological images of the biopsy specimen from the left maxillary sinus mass taken on day 50.</w:t>
      </w:r>
      <w:r w:rsidRPr="00D41996">
        <w:rPr>
          <w:rFonts w:ascii="Book Antiqua" w:eastAsia="Book Antiqua" w:hAnsi="Book Antiqua" w:cs="Book Antiqua"/>
          <w:color w:val="000000"/>
        </w:rPr>
        <w:t xml:space="preserve"> A: Aggregates of large atypical lymphocytes with irregular nuclei having uneven chromatin and small to large nucleoli are evident in a necrotic background. Some cells show multilobulated nuclei. Mitosis and apoptotic bodies are conspicuous. Hematoxylin and eosin staining (</w:t>
      </w:r>
      <w:r w:rsidR="000A082C" w:rsidRPr="00D41996">
        <w:rPr>
          <w:rFonts w:ascii="Book Antiqua" w:eastAsia="Book Antiqua" w:hAnsi="Book Antiqua" w:cs="Book Antiqua"/>
          <w:color w:val="000000"/>
        </w:rPr>
        <w:t>×</w:t>
      </w:r>
      <w:r w:rsidR="000A082C">
        <w:rPr>
          <w:rFonts w:ascii="Book Antiqua" w:eastAsia="Book Antiqua" w:hAnsi="Book Antiqua" w:cs="Book Antiqua"/>
          <w:color w:val="000000"/>
        </w:rPr>
        <w:t xml:space="preserve"> </w:t>
      </w:r>
      <w:r w:rsidRPr="00D41996">
        <w:rPr>
          <w:rFonts w:ascii="Book Antiqua" w:eastAsia="Book Antiqua" w:hAnsi="Book Antiqua" w:cs="Book Antiqua"/>
          <w:color w:val="000000"/>
        </w:rPr>
        <w:t>200</w:t>
      </w:r>
      <w:r w:rsidR="000A082C">
        <w:rPr>
          <w:rFonts w:ascii="Book Antiqua" w:eastAsia="Book Antiqua" w:hAnsi="Book Antiqua" w:cs="Book Antiqua"/>
          <w:color w:val="000000"/>
        </w:rPr>
        <w:t xml:space="preserve"> magnification</w:t>
      </w:r>
      <w:r w:rsidRPr="00D41996">
        <w:rPr>
          <w:rFonts w:ascii="Book Antiqua" w:eastAsia="Book Antiqua" w:hAnsi="Book Antiqua" w:cs="Book Antiqua"/>
          <w:color w:val="000000"/>
        </w:rPr>
        <w:t xml:space="preserve">); B: </w:t>
      </w:r>
      <w:r w:rsidR="00E55CC9" w:rsidRPr="00D41996">
        <w:rPr>
          <w:rFonts w:ascii="Book Antiqua" w:eastAsia="Book Antiqua" w:hAnsi="Book Antiqua" w:cs="Book Antiqua"/>
          <w:color w:val="000000"/>
        </w:rPr>
        <w:t>Cluster of differentiation</w:t>
      </w:r>
      <w:r w:rsidRPr="00D41996">
        <w:rPr>
          <w:rFonts w:ascii="Book Antiqua" w:eastAsia="Book Antiqua" w:hAnsi="Book Antiqua" w:cs="Book Antiqua"/>
          <w:color w:val="000000"/>
        </w:rPr>
        <w:t xml:space="preserve"> 20-positive cells were confirmed through immunohistochemical staining (</w:t>
      </w:r>
      <w:r w:rsidR="000A082C" w:rsidRPr="00D41996">
        <w:rPr>
          <w:rFonts w:ascii="Book Antiqua" w:eastAsia="Book Antiqua" w:hAnsi="Book Antiqua" w:cs="Book Antiqua"/>
          <w:color w:val="000000"/>
        </w:rPr>
        <w:t>×</w:t>
      </w:r>
      <w:r w:rsidR="000A082C">
        <w:rPr>
          <w:rFonts w:ascii="Book Antiqua" w:eastAsia="Book Antiqua" w:hAnsi="Book Antiqua" w:cs="Book Antiqua"/>
          <w:color w:val="000000"/>
        </w:rPr>
        <w:t xml:space="preserve"> </w:t>
      </w:r>
      <w:r w:rsidRPr="00D41996">
        <w:rPr>
          <w:rFonts w:ascii="Book Antiqua" w:eastAsia="Book Antiqua" w:hAnsi="Book Antiqua" w:cs="Book Antiqua"/>
          <w:color w:val="000000"/>
        </w:rPr>
        <w:t>400</w:t>
      </w:r>
      <w:r w:rsidR="000A082C">
        <w:rPr>
          <w:rFonts w:ascii="Book Antiqua" w:eastAsia="Book Antiqua" w:hAnsi="Book Antiqua" w:cs="Book Antiqua"/>
          <w:color w:val="000000"/>
        </w:rPr>
        <w:t xml:space="preserve"> magnification</w:t>
      </w:r>
      <w:r w:rsidRPr="00D41996">
        <w:rPr>
          <w:rFonts w:ascii="Book Antiqua" w:eastAsia="Book Antiqua" w:hAnsi="Book Antiqua" w:cs="Book Antiqua"/>
          <w:color w:val="000000"/>
        </w:rPr>
        <w:t>); C: Bcl-6-positive cells were confirmed through immunohistochemical staining (</w:t>
      </w:r>
      <w:r w:rsidR="000A082C" w:rsidRPr="00D41996">
        <w:rPr>
          <w:rFonts w:ascii="Book Antiqua" w:eastAsia="Book Antiqua" w:hAnsi="Book Antiqua" w:cs="Book Antiqua"/>
          <w:color w:val="000000"/>
        </w:rPr>
        <w:t>×</w:t>
      </w:r>
      <w:r w:rsidR="000A082C">
        <w:rPr>
          <w:rFonts w:ascii="Book Antiqua" w:eastAsia="Book Antiqua" w:hAnsi="Book Antiqua" w:cs="Book Antiqua"/>
          <w:color w:val="000000"/>
        </w:rPr>
        <w:t xml:space="preserve"> </w:t>
      </w:r>
      <w:r w:rsidRPr="00D41996">
        <w:rPr>
          <w:rFonts w:ascii="Book Antiqua" w:eastAsia="Book Antiqua" w:hAnsi="Book Antiqua" w:cs="Book Antiqua"/>
          <w:color w:val="000000"/>
        </w:rPr>
        <w:t xml:space="preserve">400 </w:t>
      </w:r>
      <w:r w:rsidR="000A082C">
        <w:rPr>
          <w:rFonts w:ascii="Book Antiqua" w:eastAsia="Book Antiqua" w:hAnsi="Book Antiqua" w:cs="Book Antiqua"/>
          <w:color w:val="000000"/>
        </w:rPr>
        <w:t>magnification</w:t>
      </w:r>
      <w:r w:rsidR="000A082C" w:rsidRPr="00D41996">
        <w:rPr>
          <w:rFonts w:ascii="Book Antiqua" w:eastAsia="Book Antiqua" w:hAnsi="Book Antiqua" w:cs="Book Antiqua"/>
          <w:color w:val="000000"/>
        </w:rPr>
        <w:t xml:space="preserve">); </w:t>
      </w:r>
      <w:r w:rsidRPr="00D41996">
        <w:rPr>
          <w:rFonts w:ascii="Book Antiqua" w:eastAsia="Book Antiqua" w:hAnsi="Book Antiqua" w:cs="Book Antiqua"/>
          <w:color w:val="000000"/>
        </w:rPr>
        <w:t>and D: MUM1-positive cells were confirmed through immunohistochemical staining (</w:t>
      </w:r>
      <w:r w:rsidR="000A082C" w:rsidRPr="00D41996">
        <w:rPr>
          <w:rFonts w:ascii="Book Antiqua" w:eastAsia="Book Antiqua" w:hAnsi="Book Antiqua" w:cs="Book Antiqua"/>
          <w:color w:val="000000"/>
        </w:rPr>
        <w:t>×</w:t>
      </w:r>
      <w:r w:rsidRPr="00D41996">
        <w:rPr>
          <w:rFonts w:ascii="Book Antiqua" w:eastAsia="Book Antiqua" w:hAnsi="Book Antiqua" w:cs="Book Antiqua"/>
          <w:color w:val="000000"/>
        </w:rPr>
        <w:t xml:space="preserve"> 400 </w:t>
      </w:r>
      <w:r w:rsidR="000A082C">
        <w:rPr>
          <w:rFonts w:ascii="Book Antiqua" w:eastAsia="Book Antiqua" w:hAnsi="Book Antiqua" w:cs="Book Antiqua"/>
          <w:color w:val="000000"/>
        </w:rPr>
        <w:t>magnification</w:t>
      </w:r>
      <w:r w:rsidR="000A082C" w:rsidRPr="00D41996">
        <w:rPr>
          <w:rFonts w:ascii="Book Antiqua" w:eastAsia="Book Antiqua" w:hAnsi="Book Antiqua" w:cs="Book Antiqua"/>
          <w:color w:val="000000"/>
        </w:rPr>
        <w:t>).</w:t>
      </w:r>
    </w:p>
    <w:p w14:paraId="724140DF" w14:textId="635D97C1" w:rsidR="002D242D" w:rsidRPr="00D41996" w:rsidRDefault="002D242D" w:rsidP="00D41996">
      <w:pPr>
        <w:snapToGrid w:val="0"/>
        <w:spacing w:line="360" w:lineRule="auto"/>
        <w:jc w:val="both"/>
        <w:rPr>
          <w:rFonts w:ascii="Book Antiqua" w:eastAsia="Book Antiqua" w:hAnsi="Book Antiqua" w:cs="Book Antiqua"/>
          <w:b/>
          <w:bCs/>
          <w:color w:val="000000"/>
        </w:rPr>
      </w:pPr>
      <w:r w:rsidRPr="00D41996">
        <w:rPr>
          <w:rFonts w:ascii="Book Antiqua" w:eastAsia="Book Antiqua" w:hAnsi="Book Antiqua" w:cs="Book Antiqua"/>
          <w:b/>
          <w:bCs/>
          <w:color w:val="000000"/>
        </w:rPr>
        <w:br w:type="page"/>
      </w:r>
      <w:r w:rsidRPr="00D41996">
        <w:rPr>
          <w:rFonts w:ascii="Book Antiqua" w:hAnsi="Book Antiqua"/>
          <w:noProof/>
          <w:lang w:eastAsia="zh-CN"/>
        </w:rPr>
        <w:lastRenderedPageBreak/>
        <w:drawing>
          <wp:inline distT="0" distB="0" distL="0" distR="0" wp14:anchorId="1893B4A9" wp14:editId="409AE98C">
            <wp:extent cx="5446395" cy="4158532"/>
            <wp:effectExtent l="0" t="0" r="1905" b="0"/>
            <wp:docPr id="4" name="图片 4"/>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52338" cy="4163070"/>
                    </a:xfrm>
                    <a:prstGeom prst="rect">
                      <a:avLst/>
                    </a:prstGeom>
                  </pic:spPr>
                </pic:pic>
              </a:graphicData>
            </a:graphic>
          </wp:inline>
        </w:drawing>
      </w:r>
    </w:p>
    <w:p w14:paraId="44FC747E" w14:textId="25ACD40C"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Figure 4 A plain computed tomography scan on day 62.</w:t>
      </w:r>
      <w:r w:rsidRPr="00D41996">
        <w:rPr>
          <w:rFonts w:ascii="Book Antiqua" w:eastAsia="Book Antiqua" w:hAnsi="Book Antiqua" w:cs="Book Antiqua"/>
          <w:color w:val="000000"/>
        </w:rPr>
        <w:t xml:space="preserve"> A: The 4</w:t>
      </w:r>
      <w:r w:rsidR="00E55CC9" w:rsidRPr="00D41996">
        <w:rPr>
          <w:rFonts w:ascii="Book Antiqua" w:eastAsia="Book Antiqua" w:hAnsi="Book Antiqua" w:cs="Book Antiqua"/>
          <w:color w:val="000000"/>
        </w:rPr>
        <w:t xml:space="preserve"> cm</w:t>
      </w:r>
      <w:r w:rsidRPr="00D41996">
        <w:rPr>
          <w:rFonts w:ascii="Book Antiqua" w:eastAsia="Book Antiqua" w:hAnsi="Book Antiqua" w:cs="Book Antiqua"/>
          <w:color w:val="000000"/>
        </w:rPr>
        <w:t xml:space="preserve"> × 3.5</w:t>
      </w:r>
      <w:r w:rsidR="00E55CC9" w:rsidRPr="00D41996">
        <w:rPr>
          <w:rFonts w:ascii="Book Antiqua" w:eastAsia="Book Antiqua" w:hAnsi="Book Antiqua" w:cs="Book Antiqua"/>
          <w:color w:val="000000"/>
        </w:rPr>
        <w:t xml:space="preserve"> cm</w:t>
      </w:r>
      <w:r w:rsidRPr="00D41996">
        <w:rPr>
          <w:rFonts w:ascii="Book Antiqua" w:eastAsia="Book Antiqua" w:hAnsi="Book Antiqua" w:cs="Book Antiqua"/>
          <w:color w:val="000000"/>
        </w:rPr>
        <w:t xml:space="preserve"> × 4 cm sized left maxillary sinus was completely filled with mass, and it was oppressed, involved the orbital base, destroyed the anterior, internal, and external walls, and protuberated outside; B: Chest. Pulmonary window setting. Multiple tumors (0.5</w:t>
      </w:r>
      <w:r w:rsidR="000B7321">
        <w:rPr>
          <w:rFonts w:ascii="Book Antiqua" w:eastAsia="Book Antiqua" w:hAnsi="Book Antiqua" w:cs="Book Antiqua"/>
          <w:color w:val="000000"/>
        </w:rPr>
        <w:t>-</w:t>
      </w:r>
      <w:r w:rsidRPr="00D41996">
        <w:rPr>
          <w:rFonts w:ascii="Book Antiqua" w:eastAsia="Book Antiqua" w:hAnsi="Book Antiqua" w:cs="Book Antiqua"/>
          <w:color w:val="000000"/>
        </w:rPr>
        <w:t>1.5 cm in size) were confirmed in both lungs; C: Chest. Mediastinal window. Multiple subcutaneous tumors and chest wall tumors were confirmed (</w:t>
      </w:r>
      <w:r w:rsidR="0068564D">
        <w:rPr>
          <w:rFonts w:asciiTheme="minorEastAsia" w:hAnsiTheme="minorEastAsia" w:cs="Book Antiqua" w:hint="eastAsia"/>
          <w:color w:val="000000"/>
          <w:lang w:eastAsia="zh-CN"/>
        </w:rPr>
        <w:t>orange</w:t>
      </w:r>
      <w:r w:rsidRPr="00D41996">
        <w:rPr>
          <w:rFonts w:ascii="Book Antiqua" w:eastAsia="Book Antiqua" w:hAnsi="Book Antiqua" w:cs="Book Antiqua"/>
          <w:color w:val="000000"/>
        </w:rPr>
        <w:t xml:space="preserve"> arrows); and D: Abdomen. An abdominal paraaortic lymph node swelling (3 cm in size) and a left kidney nodule (1</w:t>
      </w:r>
      <w:r w:rsidR="000B7321">
        <w:rPr>
          <w:rFonts w:ascii="Book Antiqua" w:eastAsia="Book Antiqua" w:hAnsi="Book Antiqua" w:cs="Book Antiqua"/>
          <w:color w:val="000000"/>
        </w:rPr>
        <w:t>-</w:t>
      </w:r>
      <w:r w:rsidRPr="00D41996">
        <w:rPr>
          <w:rFonts w:ascii="Book Antiqua" w:eastAsia="Book Antiqua" w:hAnsi="Book Antiqua" w:cs="Book Antiqua"/>
          <w:color w:val="000000"/>
        </w:rPr>
        <w:t>2 cm in size) were confirmed (</w:t>
      </w:r>
      <w:r w:rsidR="00BC2074">
        <w:rPr>
          <w:rFonts w:asciiTheme="minorEastAsia" w:hAnsiTheme="minorEastAsia" w:cs="Book Antiqua" w:hint="eastAsia"/>
          <w:color w:val="000000"/>
          <w:lang w:eastAsia="zh-CN"/>
        </w:rPr>
        <w:t>orange</w:t>
      </w:r>
      <w:r w:rsidRPr="00D41996">
        <w:rPr>
          <w:rFonts w:ascii="Book Antiqua" w:eastAsia="Book Antiqua" w:hAnsi="Book Antiqua" w:cs="Book Antiqua"/>
          <w:color w:val="000000"/>
        </w:rPr>
        <w:t xml:space="preserve"> arrows).</w:t>
      </w:r>
    </w:p>
    <w:p w14:paraId="3887B28A" w14:textId="6605A535" w:rsidR="002D242D" w:rsidRPr="00D41996" w:rsidRDefault="002D242D" w:rsidP="00D41996">
      <w:pPr>
        <w:snapToGrid w:val="0"/>
        <w:spacing w:line="360" w:lineRule="auto"/>
        <w:jc w:val="both"/>
        <w:rPr>
          <w:rFonts w:ascii="Book Antiqua" w:eastAsia="Book Antiqua" w:hAnsi="Book Antiqua" w:cs="Book Antiqua"/>
          <w:b/>
          <w:bCs/>
          <w:color w:val="000000"/>
        </w:rPr>
      </w:pPr>
      <w:r w:rsidRPr="00D41996">
        <w:rPr>
          <w:rFonts w:ascii="Book Antiqua" w:eastAsia="Book Antiqua" w:hAnsi="Book Antiqua" w:cs="Book Antiqua"/>
          <w:b/>
          <w:bCs/>
          <w:color w:val="000000"/>
        </w:rPr>
        <w:br w:type="page"/>
      </w:r>
      <w:r w:rsidRPr="00D41996">
        <w:rPr>
          <w:rFonts w:ascii="Book Antiqua" w:hAnsi="Book Antiqua"/>
          <w:noProof/>
          <w:lang w:eastAsia="zh-CN"/>
        </w:rPr>
        <w:lastRenderedPageBreak/>
        <w:drawing>
          <wp:inline distT="0" distB="0" distL="0" distR="0" wp14:anchorId="019FDECA" wp14:editId="3C437F60">
            <wp:extent cx="5446643" cy="4023360"/>
            <wp:effectExtent l="0" t="0" r="1905" b="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52519" cy="4027701"/>
                    </a:xfrm>
                    <a:prstGeom prst="rect">
                      <a:avLst/>
                    </a:prstGeom>
                  </pic:spPr>
                </pic:pic>
              </a:graphicData>
            </a:graphic>
          </wp:inline>
        </w:drawing>
      </w:r>
    </w:p>
    <w:p w14:paraId="240DEA8E" w14:textId="11C90D6B"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Figure 5 Histopathological images of the biopsy specimen from skin mass taken on day 70.</w:t>
      </w:r>
      <w:r w:rsidRPr="00D41996">
        <w:rPr>
          <w:rFonts w:ascii="Book Antiqua" w:eastAsia="Book Antiqua" w:hAnsi="Book Antiqua" w:cs="Book Antiqua"/>
          <w:color w:val="000000"/>
        </w:rPr>
        <w:t xml:space="preserve"> A: Aggregates of large atypical lymphocytes with irregular nuclei having uneven chromatin and small to large nucleoli are evident in a necrotic background. Some cells show multilobulated nuclei. Mitosis and apoptotic bodies are conspicuous. Hematoxylin and eosin staining (</w:t>
      </w:r>
      <w:r w:rsidR="000A082C" w:rsidRPr="00D41996">
        <w:rPr>
          <w:rFonts w:ascii="Book Antiqua" w:eastAsia="Book Antiqua" w:hAnsi="Book Antiqua" w:cs="Book Antiqua"/>
          <w:color w:val="000000"/>
        </w:rPr>
        <w:t>×</w:t>
      </w:r>
      <w:r w:rsidRPr="00D41996">
        <w:rPr>
          <w:rFonts w:ascii="Book Antiqua" w:eastAsia="Book Antiqua" w:hAnsi="Book Antiqua" w:cs="Book Antiqua"/>
          <w:color w:val="000000"/>
        </w:rPr>
        <w:t xml:space="preserve"> 40</w:t>
      </w:r>
      <w:r w:rsidR="000A082C">
        <w:rPr>
          <w:rFonts w:ascii="Book Antiqua" w:eastAsia="Book Antiqua" w:hAnsi="Book Antiqua" w:cs="Book Antiqua"/>
          <w:color w:val="000000"/>
        </w:rPr>
        <w:t xml:space="preserve"> magnification</w:t>
      </w:r>
      <w:r w:rsidRPr="00D41996">
        <w:rPr>
          <w:rFonts w:ascii="Book Antiqua" w:eastAsia="Book Antiqua" w:hAnsi="Book Antiqua" w:cs="Book Antiqua"/>
          <w:color w:val="000000"/>
        </w:rPr>
        <w:t>); B: Aggregates of large atypical lymphocytes with irregular nuclei having uneven chromatin and small to large nucleoli are evident in a necrotic background. Some cells show multilobulated nuclei. Mitosis and apoptotic bodies are conspicuous. Hematoxylin and eosin staining (</w:t>
      </w:r>
      <w:r w:rsidR="000A082C" w:rsidRPr="00D41996">
        <w:rPr>
          <w:rFonts w:ascii="Book Antiqua" w:eastAsia="Book Antiqua" w:hAnsi="Book Antiqua" w:cs="Book Antiqua"/>
          <w:color w:val="000000"/>
        </w:rPr>
        <w:t>×</w:t>
      </w:r>
      <w:r w:rsidRPr="00D41996">
        <w:rPr>
          <w:rFonts w:ascii="Book Antiqua" w:eastAsia="Book Antiqua" w:hAnsi="Book Antiqua" w:cs="Book Antiqua"/>
          <w:color w:val="000000"/>
        </w:rPr>
        <w:t xml:space="preserve"> 200 </w:t>
      </w:r>
      <w:r w:rsidR="000A082C">
        <w:rPr>
          <w:rFonts w:ascii="Book Antiqua" w:eastAsia="Book Antiqua" w:hAnsi="Book Antiqua" w:cs="Book Antiqua"/>
          <w:color w:val="000000"/>
        </w:rPr>
        <w:t>magnification</w:t>
      </w:r>
      <w:r w:rsidR="000A082C" w:rsidRPr="00D41996">
        <w:rPr>
          <w:rFonts w:ascii="Book Antiqua" w:eastAsia="Book Antiqua" w:hAnsi="Book Antiqua" w:cs="Book Antiqua"/>
          <w:color w:val="000000"/>
        </w:rPr>
        <w:t xml:space="preserve">); </w:t>
      </w:r>
      <w:r w:rsidRPr="00D41996">
        <w:rPr>
          <w:rFonts w:ascii="Book Antiqua" w:eastAsia="Book Antiqua" w:hAnsi="Book Antiqua" w:cs="Book Antiqua"/>
          <w:color w:val="000000"/>
        </w:rPr>
        <w:t>and C: CD20-positive cells were confirmed through immunohistochemical staining (</w:t>
      </w:r>
      <w:r w:rsidR="000A082C" w:rsidRPr="00D41996">
        <w:rPr>
          <w:rFonts w:ascii="Book Antiqua" w:eastAsia="Book Antiqua" w:hAnsi="Book Antiqua" w:cs="Book Antiqua"/>
          <w:color w:val="000000"/>
        </w:rPr>
        <w:t>×</w:t>
      </w:r>
      <w:r w:rsidR="000A082C">
        <w:rPr>
          <w:rFonts w:ascii="Book Antiqua" w:eastAsia="Book Antiqua" w:hAnsi="Book Antiqua" w:cs="Book Antiqua"/>
          <w:color w:val="000000"/>
        </w:rPr>
        <w:t xml:space="preserve"> </w:t>
      </w:r>
      <w:r w:rsidRPr="00D41996">
        <w:rPr>
          <w:rFonts w:ascii="Book Antiqua" w:eastAsia="Book Antiqua" w:hAnsi="Book Antiqua" w:cs="Book Antiqua"/>
          <w:color w:val="000000"/>
        </w:rPr>
        <w:t xml:space="preserve">400 </w:t>
      </w:r>
      <w:r w:rsidR="000A082C">
        <w:rPr>
          <w:rFonts w:ascii="Book Antiqua" w:eastAsia="Book Antiqua" w:hAnsi="Book Antiqua" w:cs="Book Antiqua"/>
          <w:color w:val="000000"/>
        </w:rPr>
        <w:t>magnification</w:t>
      </w:r>
      <w:r w:rsidR="000A082C" w:rsidRPr="00D41996">
        <w:rPr>
          <w:rFonts w:ascii="Book Antiqua" w:eastAsia="Book Antiqua" w:hAnsi="Book Antiqua" w:cs="Book Antiqua"/>
          <w:color w:val="000000"/>
        </w:rPr>
        <w:t>).</w:t>
      </w:r>
    </w:p>
    <w:p w14:paraId="6105E43E" w14:textId="04A671F7" w:rsidR="002D242D" w:rsidRPr="00D41996" w:rsidRDefault="002D242D" w:rsidP="00D41996">
      <w:pPr>
        <w:snapToGrid w:val="0"/>
        <w:spacing w:line="360" w:lineRule="auto"/>
        <w:jc w:val="both"/>
        <w:rPr>
          <w:rFonts w:ascii="Book Antiqua" w:eastAsia="Book Antiqua" w:hAnsi="Book Antiqua" w:cs="Book Antiqua"/>
          <w:b/>
          <w:bCs/>
          <w:color w:val="000000"/>
        </w:rPr>
      </w:pPr>
      <w:r w:rsidRPr="00D41996">
        <w:rPr>
          <w:rFonts w:ascii="Book Antiqua" w:eastAsia="Book Antiqua" w:hAnsi="Book Antiqua" w:cs="Book Antiqua"/>
          <w:b/>
          <w:bCs/>
          <w:color w:val="000000"/>
        </w:rPr>
        <w:br w:type="page"/>
      </w:r>
      <w:r w:rsidRPr="00D41996">
        <w:rPr>
          <w:rFonts w:ascii="Book Antiqua" w:hAnsi="Book Antiqua"/>
          <w:noProof/>
          <w:lang w:eastAsia="zh-CN"/>
        </w:rPr>
        <w:lastRenderedPageBreak/>
        <w:drawing>
          <wp:inline distT="0" distB="0" distL="0" distR="0" wp14:anchorId="006EB320" wp14:editId="7DEA4921">
            <wp:extent cx="5486400" cy="4031311"/>
            <wp:effectExtent l="0" t="0" r="0" b="0"/>
            <wp:docPr id="6" name="图片 6"/>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94168" cy="4037018"/>
                    </a:xfrm>
                    <a:prstGeom prst="rect">
                      <a:avLst/>
                    </a:prstGeom>
                  </pic:spPr>
                </pic:pic>
              </a:graphicData>
            </a:graphic>
          </wp:inline>
        </w:drawing>
      </w:r>
    </w:p>
    <w:p w14:paraId="44EC08D3" w14:textId="4D2008FE" w:rsidR="00A77B3E" w:rsidRPr="00D41996" w:rsidRDefault="00B51EDC" w:rsidP="00D41996">
      <w:pPr>
        <w:snapToGrid w:val="0"/>
        <w:spacing w:line="360" w:lineRule="auto"/>
        <w:jc w:val="both"/>
        <w:rPr>
          <w:rFonts w:ascii="Book Antiqua" w:hAnsi="Book Antiqua"/>
        </w:rPr>
      </w:pPr>
      <w:r w:rsidRPr="00D41996">
        <w:rPr>
          <w:rFonts w:ascii="Book Antiqua" w:eastAsia="Book Antiqua" w:hAnsi="Book Antiqua" w:cs="Book Antiqua"/>
          <w:b/>
          <w:bCs/>
          <w:color w:val="000000"/>
        </w:rPr>
        <w:t>Figure 6 Clinical course of the patient.</w:t>
      </w:r>
      <w:r w:rsidRPr="00D41996">
        <w:rPr>
          <w:rFonts w:ascii="Book Antiqua" w:eastAsia="Book Antiqua" w:hAnsi="Book Antiqua" w:cs="Book Antiqua"/>
          <w:color w:val="000000"/>
        </w:rPr>
        <w:t xml:space="preserve"> The patient initially visited our hospital on day 1. A diplopia occurred on day 31, and a maxillary sinus biopsy was performed on day 50. Afterwards, he was admitted on day 62 due to rapid deterioration of his condition, and a skin biopsy was performed on day 70. He died on day 80. WBC: White blood cell; CRP: C-reactive protein; LDH: Lactate dehydrogenase.</w:t>
      </w:r>
    </w:p>
    <w:p w14:paraId="2E1B6C2E" w14:textId="4A1F211F" w:rsidR="00A77B3E" w:rsidRPr="00D41996" w:rsidRDefault="002D242D" w:rsidP="00D41996">
      <w:pPr>
        <w:snapToGrid w:val="0"/>
        <w:spacing w:line="360" w:lineRule="auto"/>
        <w:jc w:val="both"/>
        <w:rPr>
          <w:rFonts w:ascii="Book Antiqua" w:eastAsia="Book Antiqua" w:hAnsi="Book Antiqua" w:cs="Book Antiqua"/>
          <w:b/>
          <w:bCs/>
          <w:color w:val="000000"/>
        </w:rPr>
      </w:pPr>
      <w:r w:rsidRPr="00D41996">
        <w:rPr>
          <w:rFonts w:ascii="Book Antiqua" w:eastAsia="Book Antiqua" w:hAnsi="Book Antiqua" w:cs="Book Antiqua"/>
          <w:b/>
          <w:bCs/>
          <w:color w:val="000000"/>
        </w:rPr>
        <w:br w:type="page"/>
      </w:r>
      <w:r w:rsidR="00B51EDC" w:rsidRPr="00D41996">
        <w:rPr>
          <w:rFonts w:ascii="Book Antiqua" w:eastAsia="Book Antiqua" w:hAnsi="Book Antiqua" w:cs="Book Antiqua"/>
          <w:b/>
          <w:bCs/>
          <w:color w:val="000000"/>
        </w:rPr>
        <w:lastRenderedPageBreak/>
        <w:t>Table 1 Routine laboratory examination,</w:t>
      </w:r>
      <w:r w:rsidR="00B51EDC" w:rsidRPr="00D41996">
        <w:rPr>
          <w:rFonts w:ascii="Book Antiqua" w:eastAsia="Book Antiqua" w:hAnsi="Book Antiqua" w:cs="Book Antiqua"/>
          <w:color w:val="000000"/>
        </w:rPr>
        <w:t xml:space="preserve"> </w:t>
      </w:r>
      <w:r w:rsidR="00B51EDC" w:rsidRPr="00D41996">
        <w:rPr>
          <w:rFonts w:ascii="Book Antiqua" w:eastAsia="Book Antiqua" w:hAnsi="Book Antiqua" w:cs="Book Antiqua"/>
          <w:b/>
          <w:bCs/>
          <w:color w:val="000000"/>
        </w:rPr>
        <w:t>urinalysis, and fecal occult blood test from the patient’s first visit</w:t>
      </w:r>
    </w:p>
    <w:tbl>
      <w:tblPr>
        <w:tblW w:w="8746" w:type="dxa"/>
        <w:tblBorders>
          <w:top w:val="single" w:sz="4" w:space="0" w:color="auto"/>
          <w:bottom w:val="single" w:sz="4" w:space="0" w:color="auto"/>
        </w:tblBorders>
        <w:tblLayout w:type="fixed"/>
        <w:tblCellMar>
          <w:left w:w="99" w:type="dxa"/>
          <w:right w:w="99" w:type="dxa"/>
        </w:tblCellMar>
        <w:tblLook w:val="04A0" w:firstRow="1" w:lastRow="0" w:firstColumn="1" w:lastColumn="0" w:noHBand="0" w:noVBand="1"/>
      </w:tblPr>
      <w:tblGrid>
        <w:gridCol w:w="4777"/>
        <w:gridCol w:w="2126"/>
        <w:gridCol w:w="1843"/>
      </w:tblGrid>
      <w:tr w:rsidR="002D242D" w:rsidRPr="00D41996" w14:paraId="75BCA487" w14:textId="77777777" w:rsidTr="00E55CC9">
        <w:trPr>
          <w:trHeight w:val="315"/>
        </w:trPr>
        <w:tc>
          <w:tcPr>
            <w:tcW w:w="4777" w:type="dxa"/>
            <w:tcBorders>
              <w:top w:val="single" w:sz="4" w:space="0" w:color="auto"/>
              <w:left w:val="nil"/>
              <w:bottom w:val="single" w:sz="4" w:space="0" w:color="auto"/>
              <w:right w:val="nil"/>
            </w:tcBorders>
            <w:noWrap/>
            <w:vAlign w:val="center"/>
            <w:hideMark/>
          </w:tcPr>
          <w:p w14:paraId="15F78AB7" w14:textId="77777777" w:rsidR="002D242D" w:rsidRPr="00D41996" w:rsidRDefault="002D242D" w:rsidP="00D41996">
            <w:pPr>
              <w:adjustRightInd w:val="0"/>
              <w:snapToGrid w:val="0"/>
              <w:spacing w:line="360" w:lineRule="auto"/>
              <w:jc w:val="both"/>
              <w:rPr>
                <w:rFonts w:ascii="Book Antiqua" w:eastAsia="Yu Gothic" w:hAnsi="Book Antiqua" w:cs="Arial"/>
                <w:b/>
                <w:bCs/>
                <w:color w:val="000000"/>
              </w:rPr>
            </w:pPr>
            <w:r w:rsidRPr="00D41996">
              <w:rPr>
                <w:rFonts w:ascii="Book Antiqua" w:eastAsia="Yu Gothic" w:hAnsi="Book Antiqua" w:cs="Arial"/>
                <w:b/>
                <w:bCs/>
                <w:color w:val="000000"/>
              </w:rPr>
              <w:t>Parameter (Units)</w:t>
            </w:r>
          </w:p>
        </w:tc>
        <w:tc>
          <w:tcPr>
            <w:tcW w:w="2126" w:type="dxa"/>
            <w:tcBorders>
              <w:top w:val="single" w:sz="4" w:space="0" w:color="auto"/>
              <w:left w:val="nil"/>
              <w:bottom w:val="single" w:sz="4" w:space="0" w:color="auto"/>
              <w:right w:val="nil"/>
            </w:tcBorders>
            <w:noWrap/>
            <w:vAlign w:val="center"/>
            <w:hideMark/>
          </w:tcPr>
          <w:p w14:paraId="54915C7B" w14:textId="02DF708A" w:rsidR="002D242D" w:rsidRPr="00D41996" w:rsidRDefault="002D242D" w:rsidP="00D41996">
            <w:pPr>
              <w:adjustRightInd w:val="0"/>
              <w:snapToGrid w:val="0"/>
              <w:spacing w:line="360" w:lineRule="auto"/>
              <w:jc w:val="both"/>
              <w:rPr>
                <w:rFonts w:ascii="Book Antiqua" w:eastAsia="Yu Gothic" w:hAnsi="Book Antiqua" w:cs="Arial"/>
                <w:b/>
                <w:bCs/>
                <w:color w:val="000000"/>
              </w:rPr>
            </w:pPr>
            <w:r w:rsidRPr="00D41996">
              <w:rPr>
                <w:rFonts w:ascii="Book Antiqua" w:eastAsia="Yu Gothic" w:hAnsi="Book Antiqua" w:cs="Arial"/>
                <w:b/>
                <w:bCs/>
                <w:color w:val="000000"/>
              </w:rPr>
              <w:t xml:space="preserve">Measured </w:t>
            </w:r>
            <w:r w:rsidR="00E55CC9" w:rsidRPr="00D41996">
              <w:rPr>
                <w:rFonts w:ascii="Book Antiqua" w:eastAsia="Yu Gothic" w:hAnsi="Book Antiqua" w:cs="Arial"/>
                <w:b/>
                <w:bCs/>
                <w:color w:val="000000"/>
              </w:rPr>
              <w:t>value</w:t>
            </w:r>
          </w:p>
        </w:tc>
        <w:tc>
          <w:tcPr>
            <w:tcW w:w="1843" w:type="dxa"/>
            <w:tcBorders>
              <w:top w:val="single" w:sz="4" w:space="0" w:color="auto"/>
              <w:left w:val="nil"/>
              <w:bottom w:val="single" w:sz="4" w:space="0" w:color="auto"/>
              <w:right w:val="nil"/>
            </w:tcBorders>
            <w:noWrap/>
            <w:vAlign w:val="center"/>
            <w:hideMark/>
          </w:tcPr>
          <w:p w14:paraId="6795B7E4" w14:textId="324D5428" w:rsidR="002D242D" w:rsidRPr="00D41996" w:rsidRDefault="002D242D" w:rsidP="00D41996">
            <w:pPr>
              <w:adjustRightInd w:val="0"/>
              <w:snapToGrid w:val="0"/>
              <w:spacing w:line="360" w:lineRule="auto"/>
              <w:jc w:val="both"/>
              <w:rPr>
                <w:rFonts w:ascii="Book Antiqua" w:eastAsia="Yu Gothic" w:hAnsi="Book Antiqua" w:cs="Arial"/>
                <w:b/>
                <w:bCs/>
                <w:color w:val="000000"/>
              </w:rPr>
            </w:pPr>
            <w:r w:rsidRPr="00D41996">
              <w:rPr>
                <w:rFonts w:ascii="Book Antiqua" w:eastAsia="Yu Gothic" w:hAnsi="Book Antiqua" w:cs="Arial"/>
                <w:b/>
                <w:bCs/>
                <w:color w:val="000000"/>
              </w:rPr>
              <w:t xml:space="preserve">Normal </w:t>
            </w:r>
            <w:r w:rsidR="00E55CC9" w:rsidRPr="00D41996">
              <w:rPr>
                <w:rFonts w:ascii="Book Antiqua" w:eastAsia="Yu Gothic" w:hAnsi="Book Antiqua" w:cs="Arial"/>
                <w:b/>
                <w:bCs/>
                <w:color w:val="000000"/>
              </w:rPr>
              <w:t>value</w:t>
            </w:r>
          </w:p>
        </w:tc>
      </w:tr>
      <w:tr w:rsidR="002D242D" w:rsidRPr="00D41996" w14:paraId="032113C9" w14:textId="77777777" w:rsidTr="00E55CC9">
        <w:trPr>
          <w:trHeight w:val="315"/>
        </w:trPr>
        <w:tc>
          <w:tcPr>
            <w:tcW w:w="4777" w:type="dxa"/>
            <w:tcBorders>
              <w:top w:val="single" w:sz="4" w:space="0" w:color="auto"/>
              <w:left w:val="nil"/>
              <w:bottom w:val="nil"/>
              <w:right w:val="nil"/>
            </w:tcBorders>
            <w:noWrap/>
            <w:vAlign w:val="center"/>
            <w:hideMark/>
          </w:tcPr>
          <w:p w14:paraId="6100D52A"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White blood cell (10</w:t>
            </w:r>
            <w:r w:rsidRPr="00D41996">
              <w:rPr>
                <w:rFonts w:ascii="Book Antiqua" w:eastAsia="Yu Gothic" w:hAnsi="Book Antiqua" w:cs="Arial"/>
                <w:vertAlign w:val="superscript"/>
              </w:rPr>
              <w:t>3</w:t>
            </w:r>
            <w:r w:rsidRPr="00D41996">
              <w:rPr>
                <w:rFonts w:ascii="Book Antiqua" w:eastAsia="Yu Gothic" w:hAnsi="Book Antiqua" w:cs="Arial"/>
              </w:rPr>
              <w:t>/µL)</w:t>
            </w:r>
          </w:p>
        </w:tc>
        <w:tc>
          <w:tcPr>
            <w:tcW w:w="2126" w:type="dxa"/>
            <w:tcBorders>
              <w:top w:val="single" w:sz="4" w:space="0" w:color="auto"/>
              <w:left w:val="nil"/>
              <w:bottom w:val="nil"/>
              <w:right w:val="nil"/>
            </w:tcBorders>
            <w:noWrap/>
            <w:vAlign w:val="center"/>
            <w:hideMark/>
          </w:tcPr>
          <w:p w14:paraId="77FE8B7D"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13.2</w:t>
            </w:r>
          </w:p>
        </w:tc>
        <w:tc>
          <w:tcPr>
            <w:tcW w:w="1843" w:type="dxa"/>
            <w:tcBorders>
              <w:top w:val="single" w:sz="4" w:space="0" w:color="auto"/>
              <w:left w:val="nil"/>
              <w:bottom w:val="nil"/>
              <w:right w:val="nil"/>
            </w:tcBorders>
            <w:noWrap/>
            <w:vAlign w:val="center"/>
            <w:hideMark/>
          </w:tcPr>
          <w:p w14:paraId="7B3A3570"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3.8-8.5</w:t>
            </w:r>
          </w:p>
        </w:tc>
      </w:tr>
      <w:tr w:rsidR="002D242D" w:rsidRPr="00D41996" w14:paraId="7975F30B" w14:textId="77777777" w:rsidTr="00E55CC9">
        <w:trPr>
          <w:trHeight w:val="315"/>
        </w:trPr>
        <w:tc>
          <w:tcPr>
            <w:tcW w:w="4777" w:type="dxa"/>
            <w:tcBorders>
              <w:top w:val="nil"/>
              <w:left w:val="nil"/>
              <w:bottom w:val="nil"/>
              <w:right w:val="nil"/>
            </w:tcBorders>
            <w:noWrap/>
            <w:vAlign w:val="center"/>
            <w:hideMark/>
          </w:tcPr>
          <w:p w14:paraId="2700B081"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MS PGothic" w:hAnsi="Book Antiqua" w:cs="Arial"/>
              </w:rPr>
              <w:t xml:space="preserve">　</w:t>
            </w:r>
            <w:r w:rsidRPr="00D41996">
              <w:rPr>
                <w:rFonts w:ascii="Book Antiqua" w:eastAsia="Yu Gothic" w:hAnsi="Book Antiqua" w:cs="Arial"/>
              </w:rPr>
              <w:t>Neu (%)</w:t>
            </w:r>
          </w:p>
        </w:tc>
        <w:tc>
          <w:tcPr>
            <w:tcW w:w="2126" w:type="dxa"/>
            <w:tcBorders>
              <w:top w:val="nil"/>
              <w:left w:val="nil"/>
              <w:bottom w:val="nil"/>
              <w:right w:val="nil"/>
            </w:tcBorders>
            <w:noWrap/>
            <w:vAlign w:val="center"/>
            <w:hideMark/>
          </w:tcPr>
          <w:p w14:paraId="60801E5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30</w:t>
            </w:r>
          </w:p>
        </w:tc>
        <w:tc>
          <w:tcPr>
            <w:tcW w:w="1843" w:type="dxa"/>
            <w:tcBorders>
              <w:top w:val="nil"/>
              <w:left w:val="nil"/>
              <w:bottom w:val="nil"/>
              <w:right w:val="nil"/>
            </w:tcBorders>
            <w:noWrap/>
            <w:vAlign w:val="center"/>
            <w:hideMark/>
          </w:tcPr>
          <w:p w14:paraId="2E1868B7"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48-61</w:t>
            </w:r>
          </w:p>
        </w:tc>
      </w:tr>
      <w:tr w:rsidR="002D242D" w:rsidRPr="00D41996" w14:paraId="5C93971C" w14:textId="77777777" w:rsidTr="00E55CC9">
        <w:trPr>
          <w:trHeight w:val="315"/>
        </w:trPr>
        <w:tc>
          <w:tcPr>
            <w:tcW w:w="4777" w:type="dxa"/>
            <w:tcBorders>
              <w:top w:val="nil"/>
              <w:left w:val="nil"/>
              <w:bottom w:val="nil"/>
              <w:right w:val="nil"/>
            </w:tcBorders>
            <w:noWrap/>
            <w:vAlign w:val="center"/>
            <w:hideMark/>
          </w:tcPr>
          <w:p w14:paraId="3CF9E089"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MS PGothic" w:hAnsi="Book Antiqua" w:cs="Arial"/>
              </w:rPr>
              <w:t xml:space="preserve">　</w:t>
            </w:r>
            <w:r w:rsidRPr="00D41996">
              <w:rPr>
                <w:rFonts w:ascii="Book Antiqua" w:eastAsia="Yu Gothic" w:hAnsi="Book Antiqua" w:cs="Arial"/>
              </w:rPr>
              <w:t>Lym (%)</w:t>
            </w:r>
          </w:p>
        </w:tc>
        <w:tc>
          <w:tcPr>
            <w:tcW w:w="2126" w:type="dxa"/>
            <w:tcBorders>
              <w:top w:val="nil"/>
              <w:left w:val="nil"/>
              <w:bottom w:val="nil"/>
              <w:right w:val="nil"/>
            </w:tcBorders>
            <w:noWrap/>
            <w:vAlign w:val="center"/>
            <w:hideMark/>
          </w:tcPr>
          <w:p w14:paraId="5927C53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13</w:t>
            </w:r>
          </w:p>
        </w:tc>
        <w:tc>
          <w:tcPr>
            <w:tcW w:w="1843" w:type="dxa"/>
            <w:tcBorders>
              <w:top w:val="nil"/>
              <w:left w:val="nil"/>
              <w:bottom w:val="nil"/>
              <w:right w:val="nil"/>
            </w:tcBorders>
            <w:noWrap/>
            <w:vAlign w:val="center"/>
            <w:hideMark/>
          </w:tcPr>
          <w:p w14:paraId="65C54922"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25-45</w:t>
            </w:r>
          </w:p>
        </w:tc>
      </w:tr>
      <w:tr w:rsidR="002D242D" w:rsidRPr="00D41996" w14:paraId="27F3B7E5" w14:textId="77777777" w:rsidTr="00E55CC9">
        <w:trPr>
          <w:trHeight w:val="315"/>
        </w:trPr>
        <w:tc>
          <w:tcPr>
            <w:tcW w:w="4777" w:type="dxa"/>
            <w:tcBorders>
              <w:top w:val="nil"/>
              <w:left w:val="nil"/>
              <w:bottom w:val="nil"/>
              <w:right w:val="nil"/>
            </w:tcBorders>
            <w:noWrap/>
            <w:vAlign w:val="center"/>
            <w:hideMark/>
          </w:tcPr>
          <w:p w14:paraId="2518ED62"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MS PGothic" w:hAnsi="Book Antiqua" w:cs="Arial"/>
              </w:rPr>
              <w:t xml:space="preserve">　</w:t>
            </w:r>
            <w:r w:rsidRPr="00D41996">
              <w:rPr>
                <w:rFonts w:ascii="Book Antiqua" w:eastAsia="Yu Gothic" w:hAnsi="Book Antiqua" w:cs="Arial"/>
              </w:rPr>
              <w:t>Mon (%)</w:t>
            </w:r>
          </w:p>
        </w:tc>
        <w:tc>
          <w:tcPr>
            <w:tcW w:w="2126" w:type="dxa"/>
            <w:tcBorders>
              <w:top w:val="nil"/>
              <w:left w:val="nil"/>
              <w:bottom w:val="nil"/>
              <w:right w:val="nil"/>
            </w:tcBorders>
            <w:noWrap/>
            <w:vAlign w:val="center"/>
            <w:hideMark/>
          </w:tcPr>
          <w:p w14:paraId="485784C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54</w:t>
            </w:r>
          </w:p>
        </w:tc>
        <w:tc>
          <w:tcPr>
            <w:tcW w:w="1843" w:type="dxa"/>
            <w:tcBorders>
              <w:top w:val="nil"/>
              <w:left w:val="nil"/>
              <w:bottom w:val="nil"/>
              <w:right w:val="nil"/>
            </w:tcBorders>
            <w:noWrap/>
            <w:vAlign w:val="center"/>
            <w:hideMark/>
          </w:tcPr>
          <w:p w14:paraId="608D4DEF"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4-7</w:t>
            </w:r>
          </w:p>
        </w:tc>
      </w:tr>
      <w:tr w:rsidR="002D242D" w:rsidRPr="00D41996" w14:paraId="7CF9781D" w14:textId="77777777" w:rsidTr="00E55CC9">
        <w:trPr>
          <w:trHeight w:val="315"/>
        </w:trPr>
        <w:tc>
          <w:tcPr>
            <w:tcW w:w="4777" w:type="dxa"/>
            <w:tcBorders>
              <w:top w:val="nil"/>
              <w:left w:val="nil"/>
              <w:bottom w:val="nil"/>
              <w:right w:val="nil"/>
            </w:tcBorders>
            <w:noWrap/>
            <w:vAlign w:val="center"/>
            <w:hideMark/>
          </w:tcPr>
          <w:p w14:paraId="4BE29F83"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MS PGothic" w:hAnsi="Book Antiqua" w:cs="Arial"/>
              </w:rPr>
              <w:t xml:space="preserve">　</w:t>
            </w:r>
            <w:r w:rsidRPr="00D41996">
              <w:rPr>
                <w:rFonts w:ascii="Book Antiqua" w:eastAsia="Yu Gothic" w:hAnsi="Book Antiqua" w:cs="Arial"/>
              </w:rPr>
              <w:t>Eos (%)</w:t>
            </w:r>
          </w:p>
        </w:tc>
        <w:tc>
          <w:tcPr>
            <w:tcW w:w="2126" w:type="dxa"/>
            <w:tcBorders>
              <w:top w:val="nil"/>
              <w:left w:val="nil"/>
              <w:bottom w:val="nil"/>
              <w:right w:val="nil"/>
            </w:tcBorders>
            <w:noWrap/>
            <w:vAlign w:val="center"/>
            <w:hideMark/>
          </w:tcPr>
          <w:p w14:paraId="500E3DD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0</w:t>
            </w:r>
          </w:p>
        </w:tc>
        <w:tc>
          <w:tcPr>
            <w:tcW w:w="1843" w:type="dxa"/>
            <w:tcBorders>
              <w:top w:val="nil"/>
              <w:left w:val="nil"/>
              <w:bottom w:val="nil"/>
              <w:right w:val="nil"/>
            </w:tcBorders>
            <w:noWrap/>
            <w:vAlign w:val="center"/>
            <w:hideMark/>
          </w:tcPr>
          <w:p w14:paraId="4D66D4AB"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1-5</w:t>
            </w:r>
          </w:p>
        </w:tc>
      </w:tr>
      <w:tr w:rsidR="002D242D" w:rsidRPr="00D41996" w14:paraId="4E707FC0" w14:textId="77777777" w:rsidTr="00E55CC9">
        <w:trPr>
          <w:trHeight w:val="315"/>
        </w:trPr>
        <w:tc>
          <w:tcPr>
            <w:tcW w:w="4777" w:type="dxa"/>
            <w:tcBorders>
              <w:top w:val="nil"/>
              <w:left w:val="nil"/>
              <w:bottom w:val="nil"/>
              <w:right w:val="nil"/>
            </w:tcBorders>
            <w:noWrap/>
            <w:vAlign w:val="center"/>
            <w:hideMark/>
          </w:tcPr>
          <w:p w14:paraId="0981E221"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MS PGothic" w:hAnsi="Book Antiqua" w:cs="Arial"/>
              </w:rPr>
              <w:t xml:space="preserve">　</w:t>
            </w:r>
            <w:r w:rsidRPr="00D41996">
              <w:rPr>
                <w:rFonts w:ascii="Book Antiqua" w:eastAsia="Yu Gothic" w:hAnsi="Book Antiqua" w:cs="Arial"/>
              </w:rPr>
              <w:t>Bas (%)</w:t>
            </w:r>
          </w:p>
        </w:tc>
        <w:tc>
          <w:tcPr>
            <w:tcW w:w="2126" w:type="dxa"/>
            <w:tcBorders>
              <w:top w:val="nil"/>
              <w:left w:val="nil"/>
              <w:bottom w:val="nil"/>
              <w:right w:val="nil"/>
            </w:tcBorders>
            <w:noWrap/>
            <w:vAlign w:val="center"/>
            <w:hideMark/>
          </w:tcPr>
          <w:p w14:paraId="56CCCD8D"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w:t>
            </w:r>
          </w:p>
        </w:tc>
        <w:tc>
          <w:tcPr>
            <w:tcW w:w="1843" w:type="dxa"/>
            <w:tcBorders>
              <w:top w:val="nil"/>
              <w:left w:val="nil"/>
              <w:bottom w:val="nil"/>
              <w:right w:val="nil"/>
            </w:tcBorders>
            <w:noWrap/>
            <w:vAlign w:val="center"/>
            <w:hideMark/>
          </w:tcPr>
          <w:p w14:paraId="09F67198"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0-1</w:t>
            </w:r>
          </w:p>
        </w:tc>
      </w:tr>
      <w:tr w:rsidR="002D242D" w:rsidRPr="00D41996" w14:paraId="317287E8" w14:textId="77777777" w:rsidTr="00E55CC9">
        <w:trPr>
          <w:trHeight w:val="315"/>
        </w:trPr>
        <w:tc>
          <w:tcPr>
            <w:tcW w:w="4777" w:type="dxa"/>
            <w:tcBorders>
              <w:top w:val="nil"/>
              <w:left w:val="nil"/>
              <w:bottom w:val="nil"/>
              <w:right w:val="nil"/>
            </w:tcBorders>
            <w:noWrap/>
            <w:vAlign w:val="center"/>
            <w:hideMark/>
          </w:tcPr>
          <w:p w14:paraId="4CE1D70B"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MS PGothic" w:hAnsi="Book Antiqua" w:cs="Arial"/>
              </w:rPr>
              <w:t xml:space="preserve">　</w:t>
            </w:r>
            <w:r w:rsidRPr="00D41996">
              <w:rPr>
                <w:rFonts w:ascii="Book Antiqua" w:eastAsia="Yu Gothic" w:hAnsi="Book Antiqua" w:cs="Arial"/>
              </w:rPr>
              <w:t>Blast (%)</w:t>
            </w:r>
          </w:p>
        </w:tc>
        <w:tc>
          <w:tcPr>
            <w:tcW w:w="2126" w:type="dxa"/>
            <w:tcBorders>
              <w:top w:val="nil"/>
              <w:left w:val="nil"/>
              <w:bottom w:val="nil"/>
              <w:right w:val="nil"/>
            </w:tcBorders>
            <w:noWrap/>
            <w:vAlign w:val="center"/>
            <w:hideMark/>
          </w:tcPr>
          <w:p w14:paraId="0F03A93A"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w:t>
            </w:r>
          </w:p>
        </w:tc>
        <w:tc>
          <w:tcPr>
            <w:tcW w:w="1843" w:type="dxa"/>
            <w:tcBorders>
              <w:top w:val="nil"/>
              <w:left w:val="nil"/>
              <w:bottom w:val="nil"/>
              <w:right w:val="nil"/>
            </w:tcBorders>
            <w:noWrap/>
            <w:vAlign w:val="center"/>
            <w:hideMark/>
          </w:tcPr>
          <w:p w14:paraId="1A7FBC96"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w:t>
            </w:r>
          </w:p>
        </w:tc>
      </w:tr>
      <w:tr w:rsidR="002D242D" w:rsidRPr="00D41996" w14:paraId="59B924CC" w14:textId="77777777" w:rsidTr="00E55CC9">
        <w:trPr>
          <w:trHeight w:val="315"/>
        </w:trPr>
        <w:tc>
          <w:tcPr>
            <w:tcW w:w="4777" w:type="dxa"/>
            <w:tcBorders>
              <w:top w:val="nil"/>
              <w:left w:val="nil"/>
              <w:bottom w:val="nil"/>
              <w:right w:val="nil"/>
            </w:tcBorders>
            <w:noWrap/>
            <w:vAlign w:val="center"/>
            <w:hideMark/>
          </w:tcPr>
          <w:p w14:paraId="11D498B7"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Red blood cell (10</w:t>
            </w:r>
            <w:r w:rsidRPr="00D41996">
              <w:rPr>
                <w:rFonts w:ascii="Book Antiqua" w:eastAsia="Yu Gothic" w:hAnsi="Book Antiqua" w:cs="Arial"/>
                <w:vertAlign w:val="superscript"/>
              </w:rPr>
              <w:t>6</w:t>
            </w:r>
            <w:r w:rsidRPr="00D41996">
              <w:rPr>
                <w:rFonts w:ascii="Book Antiqua" w:eastAsia="Yu Gothic" w:hAnsi="Book Antiqua" w:cs="Arial"/>
              </w:rPr>
              <w:t>/µL)</w:t>
            </w:r>
          </w:p>
        </w:tc>
        <w:tc>
          <w:tcPr>
            <w:tcW w:w="2126" w:type="dxa"/>
            <w:tcBorders>
              <w:top w:val="nil"/>
              <w:left w:val="nil"/>
              <w:bottom w:val="nil"/>
              <w:right w:val="nil"/>
            </w:tcBorders>
            <w:noWrap/>
            <w:vAlign w:val="center"/>
            <w:hideMark/>
          </w:tcPr>
          <w:p w14:paraId="23F35842"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2.67</w:t>
            </w:r>
          </w:p>
        </w:tc>
        <w:tc>
          <w:tcPr>
            <w:tcW w:w="1843" w:type="dxa"/>
            <w:tcBorders>
              <w:top w:val="nil"/>
              <w:left w:val="nil"/>
              <w:bottom w:val="nil"/>
              <w:right w:val="nil"/>
            </w:tcBorders>
            <w:noWrap/>
            <w:vAlign w:val="center"/>
            <w:hideMark/>
          </w:tcPr>
          <w:p w14:paraId="498DA328"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3.78-4.97</w:t>
            </w:r>
          </w:p>
        </w:tc>
      </w:tr>
      <w:tr w:rsidR="002D242D" w:rsidRPr="00D41996" w14:paraId="40A9AFF0" w14:textId="77777777" w:rsidTr="00E55CC9">
        <w:trPr>
          <w:trHeight w:val="315"/>
        </w:trPr>
        <w:tc>
          <w:tcPr>
            <w:tcW w:w="4777" w:type="dxa"/>
            <w:tcBorders>
              <w:top w:val="nil"/>
              <w:left w:val="nil"/>
              <w:bottom w:val="nil"/>
              <w:right w:val="nil"/>
            </w:tcBorders>
            <w:noWrap/>
            <w:vAlign w:val="center"/>
            <w:hideMark/>
          </w:tcPr>
          <w:p w14:paraId="2EC59C33"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Hemoglobin</w:t>
            </w:r>
          </w:p>
        </w:tc>
        <w:tc>
          <w:tcPr>
            <w:tcW w:w="2126" w:type="dxa"/>
            <w:tcBorders>
              <w:top w:val="nil"/>
              <w:left w:val="nil"/>
              <w:bottom w:val="nil"/>
              <w:right w:val="nil"/>
            </w:tcBorders>
            <w:noWrap/>
            <w:vAlign w:val="center"/>
            <w:hideMark/>
          </w:tcPr>
          <w:p w14:paraId="6E060E31"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8.7</w:t>
            </w:r>
          </w:p>
        </w:tc>
        <w:tc>
          <w:tcPr>
            <w:tcW w:w="1843" w:type="dxa"/>
            <w:tcBorders>
              <w:top w:val="nil"/>
              <w:left w:val="nil"/>
              <w:bottom w:val="nil"/>
              <w:right w:val="nil"/>
            </w:tcBorders>
            <w:noWrap/>
            <w:vAlign w:val="center"/>
            <w:hideMark/>
          </w:tcPr>
          <w:p w14:paraId="795B5A72"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13.7-17.4</w:t>
            </w:r>
          </w:p>
        </w:tc>
      </w:tr>
      <w:tr w:rsidR="002D242D" w:rsidRPr="00D41996" w14:paraId="21C3504B" w14:textId="77777777" w:rsidTr="00E55CC9">
        <w:trPr>
          <w:trHeight w:val="315"/>
        </w:trPr>
        <w:tc>
          <w:tcPr>
            <w:tcW w:w="4777" w:type="dxa"/>
            <w:tcBorders>
              <w:top w:val="nil"/>
              <w:left w:val="nil"/>
              <w:bottom w:val="nil"/>
              <w:right w:val="nil"/>
            </w:tcBorders>
            <w:noWrap/>
            <w:vAlign w:val="center"/>
            <w:hideMark/>
          </w:tcPr>
          <w:p w14:paraId="48CF7303"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Hematocrit</w:t>
            </w:r>
          </w:p>
        </w:tc>
        <w:tc>
          <w:tcPr>
            <w:tcW w:w="2126" w:type="dxa"/>
            <w:tcBorders>
              <w:top w:val="nil"/>
              <w:left w:val="nil"/>
              <w:bottom w:val="nil"/>
              <w:right w:val="nil"/>
            </w:tcBorders>
            <w:noWrap/>
            <w:vAlign w:val="center"/>
            <w:hideMark/>
          </w:tcPr>
          <w:p w14:paraId="597C1859"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26.4</w:t>
            </w:r>
          </w:p>
        </w:tc>
        <w:tc>
          <w:tcPr>
            <w:tcW w:w="1843" w:type="dxa"/>
            <w:tcBorders>
              <w:top w:val="nil"/>
              <w:left w:val="nil"/>
              <w:bottom w:val="nil"/>
              <w:right w:val="nil"/>
            </w:tcBorders>
            <w:noWrap/>
            <w:vAlign w:val="center"/>
            <w:hideMark/>
          </w:tcPr>
          <w:p w14:paraId="08BEFB82"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40.2-51.5</w:t>
            </w:r>
          </w:p>
        </w:tc>
      </w:tr>
      <w:tr w:rsidR="002D242D" w:rsidRPr="00D41996" w14:paraId="1990A39A" w14:textId="77777777" w:rsidTr="00E55CC9">
        <w:trPr>
          <w:trHeight w:val="315"/>
        </w:trPr>
        <w:tc>
          <w:tcPr>
            <w:tcW w:w="4777" w:type="dxa"/>
            <w:tcBorders>
              <w:top w:val="nil"/>
              <w:left w:val="nil"/>
              <w:bottom w:val="nil"/>
              <w:right w:val="nil"/>
            </w:tcBorders>
            <w:noWrap/>
            <w:vAlign w:val="center"/>
            <w:hideMark/>
          </w:tcPr>
          <w:p w14:paraId="5CEC0B36"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Platelet (10</w:t>
            </w:r>
            <w:r w:rsidRPr="00D41996">
              <w:rPr>
                <w:rFonts w:ascii="Book Antiqua" w:eastAsia="Yu Gothic" w:hAnsi="Book Antiqua" w:cs="Arial"/>
                <w:vertAlign w:val="superscript"/>
              </w:rPr>
              <w:t>3</w:t>
            </w:r>
            <w:r w:rsidRPr="00D41996">
              <w:rPr>
                <w:rFonts w:ascii="Book Antiqua" w:eastAsia="Yu Gothic" w:hAnsi="Book Antiqua" w:cs="Arial"/>
              </w:rPr>
              <w:t>/µL)</w:t>
            </w:r>
          </w:p>
        </w:tc>
        <w:tc>
          <w:tcPr>
            <w:tcW w:w="2126" w:type="dxa"/>
            <w:tcBorders>
              <w:top w:val="nil"/>
              <w:left w:val="nil"/>
              <w:bottom w:val="nil"/>
              <w:right w:val="nil"/>
            </w:tcBorders>
            <w:noWrap/>
            <w:vAlign w:val="center"/>
            <w:hideMark/>
          </w:tcPr>
          <w:p w14:paraId="6676F8C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113</w:t>
            </w:r>
          </w:p>
        </w:tc>
        <w:tc>
          <w:tcPr>
            <w:tcW w:w="1843" w:type="dxa"/>
            <w:tcBorders>
              <w:top w:val="nil"/>
              <w:left w:val="nil"/>
              <w:bottom w:val="nil"/>
              <w:right w:val="nil"/>
            </w:tcBorders>
            <w:noWrap/>
            <w:vAlign w:val="center"/>
            <w:hideMark/>
          </w:tcPr>
          <w:p w14:paraId="7D329BD1"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131-365</w:t>
            </w:r>
          </w:p>
        </w:tc>
      </w:tr>
      <w:tr w:rsidR="002D242D" w:rsidRPr="00D41996" w14:paraId="5797E4D1" w14:textId="77777777" w:rsidTr="00E55CC9">
        <w:trPr>
          <w:trHeight w:val="315"/>
        </w:trPr>
        <w:tc>
          <w:tcPr>
            <w:tcW w:w="4777" w:type="dxa"/>
            <w:tcBorders>
              <w:top w:val="nil"/>
              <w:left w:val="nil"/>
              <w:bottom w:val="nil"/>
              <w:right w:val="nil"/>
            </w:tcBorders>
            <w:noWrap/>
            <w:vAlign w:val="center"/>
            <w:hideMark/>
          </w:tcPr>
          <w:p w14:paraId="5CE11C6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Aspartate transaminase (IU/L)</w:t>
            </w:r>
          </w:p>
        </w:tc>
        <w:tc>
          <w:tcPr>
            <w:tcW w:w="2126" w:type="dxa"/>
            <w:tcBorders>
              <w:top w:val="nil"/>
              <w:left w:val="nil"/>
              <w:bottom w:val="nil"/>
              <w:right w:val="nil"/>
            </w:tcBorders>
            <w:noWrap/>
            <w:vAlign w:val="center"/>
            <w:hideMark/>
          </w:tcPr>
          <w:p w14:paraId="430B132D"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28</w:t>
            </w:r>
          </w:p>
        </w:tc>
        <w:tc>
          <w:tcPr>
            <w:tcW w:w="1843" w:type="dxa"/>
            <w:tcBorders>
              <w:top w:val="nil"/>
              <w:left w:val="nil"/>
              <w:bottom w:val="nil"/>
              <w:right w:val="nil"/>
            </w:tcBorders>
            <w:noWrap/>
            <w:vAlign w:val="center"/>
            <w:hideMark/>
          </w:tcPr>
          <w:p w14:paraId="1AEB7FF0"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12-31</w:t>
            </w:r>
          </w:p>
        </w:tc>
      </w:tr>
      <w:tr w:rsidR="002D242D" w:rsidRPr="00D41996" w14:paraId="316C5140" w14:textId="77777777" w:rsidTr="00E55CC9">
        <w:trPr>
          <w:trHeight w:val="315"/>
        </w:trPr>
        <w:tc>
          <w:tcPr>
            <w:tcW w:w="4777" w:type="dxa"/>
            <w:tcBorders>
              <w:top w:val="nil"/>
              <w:left w:val="nil"/>
              <w:bottom w:val="nil"/>
              <w:right w:val="nil"/>
            </w:tcBorders>
            <w:noWrap/>
            <w:vAlign w:val="center"/>
            <w:hideMark/>
          </w:tcPr>
          <w:p w14:paraId="7931FC77"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Alanine aminotransferase (IU/L)</w:t>
            </w:r>
          </w:p>
        </w:tc>
        <w:tc>
          <w:tcPr>
            <w:tcW w:w="2126" w:type="dxa"/>
            <w:tcBorders>
              <w:top w:val="nil"/>
              <w:left w:val="nil"/>
              <w:bottom w:val="nil"/>
              <w:right w:val="nil"/>
            </w:tcBorders>
            <w:noWrap/>
            <w:vAlign w:val="center"/>
            <w:hideMark/>
          </w:tcPr>
          <w:p w14:paraId="0DAF5992"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13</w:t>
            </w:r>
          </w:p>
        </w:tc>
        <w:tc>
          <w:tcPr>
            <w:tcW w:w="1843" w:type="dxa"/>
            <w:tcBorders>
              <w:top w:val="nil"/>
              <w:left w:val="nil"/>
              <w:bottom w:val="nil"/>
              <w:right w:val="nil"/>
            </w:tcBorders>
            <w:noWrap/>
            <w:vAlign w:val="center"/>
            <w:hideMark/>
          </w:tcPr>
          <w:p w14:paraId="1B0BDEBA"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8-40</w:t>
            </w:r>
          </w:p>
        </w:tc>
      </w:tr>
      <w:tr w:rsidR="002D242D" w:rsidRPr="00D41996" w14:paraId="291271C2" w14:textId="77777777" w:rsidTr="00E55CC9">
        <w:trPr>
          <w:trHeight w:val="315"/>
        </w:trPr>
        <w:tc>
          <w:tcPr>
            <w:tcW w:w="4777" w:type="dxa"/>
            <w:tcBorders>
              <w:top w:val="nil"/>
              <w:left w:val="nil"/>
              <w:bottom w:val="nil"/>
              <w:right w:val="nil"/>
            </w:tcBorders>
            <w:noWrap/>
            <w:vAlign w:val="center"/>
            <w:hideMark/>
          </w:tcPr>
          <w:p w14:paraId="2375C943"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Lactic acid dehydrogenase (IU/L)</w:t>
            </w:r>
          </w:p>
        </w:tc>
        <w:tc>
          <w:tcPr>
            <w:tcW w:w="2126" w:type="dxa"/>
            <w:tcBorders>
              <w:top w:val="nil"/>
              <w:left w:val="nil"/>
              <w:bottom w:val="nil"/>
              <w:right w:val="nil"/>
            </w:tcBorders>
            <w:noWrap/>
            <w:vAlign w:val="center"/>
            <w:hideMark/>
          </w:tcPr>
          <w:p w14:paraId="78B6CDFA"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311</w:t>
            </w:r>
          </w:p>
        </w:tc>
        <w:tc>
          <w:tcPr>
            <w:tcW w:w="1843" w:type="dxa"/>
            <w:tcBorders>
              <w:top w:val="nil"/>
              <w:left w:val="nil"/>
              <w:bottom w:val="nil"/>
              <w:right w:val="nil"/>
            </w:tcBorders>
            <w:noWrap/>
            <w:vAlign w:val="center"/>
            <w:hideMark/>
          </w:tcPr>
          <w:p w14:paraId="1808EA55"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110-210</w:t>
            </w:r>
          </w:p>
        </w:tc>
      </w:tr>
      <w:tr w:rsidR="002D242D" w:rsidRPr="00D41996" w14:paraId="603F8D0A" w14:textId="77777777" w:rsidTr="00E55CC9">
        <w:trPr>
          <w:trHeight w:val="315"/>
        </w:trPr>
        <w:tc>
          <w:tcPr>
            <w:tcW w:w="4777" w:type="dxa"/>
            <w:tcBorders>
              <w:top w:val="nil"/>
              <w:left w:val="nil"/>
              <w:bottom w:val="nil"/>
              <w:right w:val="nil"/>
            </w:tcBorders>
            <w:noWrap/>
            <w:vAlign w:val="center"/>
            <w:hideMark/>
          </w:tcPr>
          <w:p w14:paraId="43A2DFC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Alkaline phosphatase (IU/L)</w:t>
            </w:r>
          </w:p>
        </w:tc>
        <w:tc>
          <w:tcPr>
            <w:tcW w:w="2126" w:type="dxa"/>
            <w:tcBorders>
              <w:top w:val="nil"/>
              <w:left w:val="nil"/>
              <w:bottom w:val="nil"/>
              <w:right w:val="nil"/>
            </w:tcBorders>
            <w:noWrap/>
            <w:vAlign w:val="center"/>
            <w:hideMark/>
          </w:tcPr>
          <w:p w14:paraId="5A6F3632"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294</w:t>
            </w:r>
          </w:p>
        </w:tc>
        <w:tc>
          <w:tcPr>
            <w:tcW w:w="1843" w:type="dxa"/>
            <w:tcBorders>
              <w:top w:val="nil"/>
              <w:left w:val="nil"/>
              <w:bottom w:val="nil"/>
              <w:right w:val="nil"/>
            </w:tcBorders>
            <w:noWrap/>
            <w:vAlign w:val="center"/>
            <w:hideMark/>
          </w:tcPr>
          <w:p w14:paraId="777F0DC1"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100-330</w:t>
            </w:r>
          </w:p>
        </w:tc>
      </w:tr>
      <w:tr w:rsidR="002D242D" w:rsidRPr="00D41996" w14:paraId="5A29A4F0" w14:textId="77777777" w:rsidTr="00E55CC9">
        <w:trPr>
          <w:trHeight w:val="315"/>
        </w:trPr>
        <w:tc>
          <w:tcPr>
            <w:tcW w:w="4777" w:type="dxa"/>
            <w:tcBorders>
              <w:top w:val="nil"/>
              <w:left w:val="nil"/>
              <w:bottom w:val="nil"/>
              <w:right w:val="nil"/>
            </w:tcBorders>
            <w:noWrap/>
            <w:vAlign w:val="center"/>
            <w:hideMark/>
          </w:tcPr>
          <w:p w14:paraId="0112901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Gamma-glutamyl transpeptidase (IU/L)</w:t>
            </w:r>
          </w:p>
        </w:tc>
        <w:tc>
          <w:tcPr>
            <w:tcW w:w="2126" w:type="dxa"/>
            <w:tcBorders>
              <w:top w:val="nil"/>
              <w:left w:val="nil"/>
              <w:bottom w:val="nil"/>
              <w:right w:val="nil"/>
            </w:tcBorders>
            <w:noWrap/>
            <w:vAlign w:val="center"/>
            <w:hideMark/>
          </w:tcPr>
          <w:p w14:paraId="402E01C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34</w:t>
            </w:r>
          </w:p>
        </w:tc>
        <w:tc>
          <w:tcPr>
            <w:tcW w:w="1843" w:type="dxa"/>
            <w:tcBorders>
              <w:top w:val="nil"/>
              <w:left w:val="nil"/>
              <w:bottom w:val="nil"/>
              <w:right w:val="nil"/>
            </w:tcBorders>
            <w:noWrap/>
            <w:vAlign w:val="center"/>
            <w:hideMark/>
          </w:tcPr>
          <w:p w14:paraId="4006A661"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9-49</w:t>
            </w:r>
          </w:p>
        </w:tc>
      </w:tr>
      <w:tr w:rsidR="002D242D" w:rsidRPr="00D41996" w14:paraId="5D54A23F" w14:textId="77777777" w:rsidTr="00E55CC9">
        <w:trPr>
          <w:trHeight w:val="315"/>
        </w:trPr>
        <w:tc>
          <w:tcPr>
            <w:tcW w:w="4777" w:type="dxa"/>
            <w:tcBorders>
              <w:top w:val="nil"/>
              <w:left w:val="nil"/>
              <w:bottom w:val="nil"/>
              <w:right w:val="nil"/>
            </w:tcBorders>
            <w:noWrap/>
            <w:vAlign w:val="center"/>
            <w:hideMark/>
          </w:tcPr>
          <w:p w14:paraId="0AA972E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Total bilirubin (mg/dL)</w:t>
            </w:r>
          </w:p>
        </w:tc>
        <w:tc>
          <w:tcPr>
            <w:tcW w:w="2126" w:type="dxa"/>
            <w:tcBorders>
              <w:top w:val="nil"/>
              <w:left w:val="nil"/>
              <w:bottom w:val="nil"/>
              <w:right w:val="nil"/>
            </w:tcBorders>
            <w:noWrap/>
            <w:vAlign w:val="center"/>
            <w:hideMark/>
          </w:tcPr>
          <w:p w14:paraId="21A9574B"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0.38</w:t>
            </w:r>
          </w:p>
        </w:tc>
        <w:tc>
          <w:tcPr>
            <w:tcW w:w="1843" w:type="dxa"/>
            <w:tcBorders>
              <w:top w:val="nil"/>
              <w:left w:val="nil"/>
              <w:bottom w:val="nil"/>
              <w:right w:val="nil"/>
            </w:tcBorders>
            <w:noWrap/>
            <w:vAlign w:val="center"/>
            <w:hideMark/>
          </w:tcPr>
          <w:p w14:paraId="7886902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0.3-1.2</w:t>
            </w:r>
          </w:p>
        </w:tc>
      </w:tr>
      <w:tr w:rsidR="002D242D" w:rsidRPr="00D41996" w14:paraId="6422E6F4" w14:textId="77777777" w:rsidTr="00E55CC9">
        <w:trPr>
          <w:trHeight w:val="315"/>
        </w:trPr>
        <w:tc>
          <w:tcPr>
            <w:tcW w:w="4777" w:type="dxa"/>
            <w:tcBorders>
              <w:top w:val="nil"/>
              <w:left w:val="nil"/>
              <w:bottom w:val="nil"/>
              <w:right w:val="nil"/>
            </w:tcBorders>
            <w:noWrap/>
            <w:vAlign w:val="center"/>
            <w:hideMark/>
          </w:tcPr>
          <w:p w14:paraId="12E13DC1"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Total protein (g/dL)</w:t>
            </w:r>
          </w:p>
        </w:tc>
        <w:tc>
          <w:tcPr>
            <w:tcW w:w="2126" w:type="dxa"/>
            <w:tcBorders>
              <w:top w:val="nil"/>
              <w:left w:val="nil"/>
              <w:bottom w:val="nil"/>
              <w:right w:val="nil"/>
            </w:tcBorders>
            <w:noWrap/>
            <w:vAlign w:val="center"/>
            <w:hideMark/>
          </w:tcPr>
          <w:p w14:paraId="660ADA0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6.8</w:t>
            </w:r>
          </w:p>
        </w:tc>
        <w:tc>
          <w:tcPr>
            <w:tcW w:w="1843" w:type="dxa"/>
            <w:tcBorders>
              <w:top w:val="nil"/>
              <w:left w:val="nil"/>
              <w:bottom w:val="nil"/>
              <w:right w:val="nil"/>
            </w:tcBorders>
            <w:noWrap/>
            <w:vAlign w:val="center"/>
            <w:hideMark/>
          </w:tcPr>
          <w:p w14:paraId="495BDC6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6.7-8.3</w:t>
            </w:r>
          </w:p>
        </w:tc>
      </w:tr>
      <w:tr w:rsidR="002D242D" w:rsidRPr="00D41996" w14:paraId="763132FA" w14:textId="77777777" w:rsidTr="00E55CC9">
        <w:trPr>
          <w:trHeight w:val="315"/>
        </w:trPr>
        <w:tc>
          <w:tcPr>
            <w:tcW w:w="4777" w:type="dxa"/>
            <w:tcBorders>
              <w:top w:val="nil"/>
              <w:left w:val="nil"/>
              <w:bottom w:val="nil"/>
              <w:right w:val="nil"/>
            </w:tcBorders>
            <w:noWrap/>
            <w:vAlign w:val="center"/>
            <w:hideMark/>
          </w:tcPr>
          <w:p w14:paraId="2A031DC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Albumin (g/dL)</w:t>
            </w:r>
          </w:p>
        </w:tc>
        <w:tc>
          <w:tcPr>
            <w:tcW w:w="2126" w:type="dxa"/>
            <w:tcBorders>
              <w:top w:val="nil"/>
              <w:left w:val="nil"/>
              <w:bottom w:val="nil"/>
              <w:right w:val="nil"/>
            </w:tcBorders>
            <w:noWrap/>
            <w:vAlign w:val="center"/>
            <w:hideMark/>
          </w:tcPr>
          <w:p w14:paraId="549AD7F3"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3.3</w:t>
            </w:r>
          </w:p>
        </w:tc>
        <w:tc>
          <w:tcPr>
            <w:tcW w:w="1843" w:type="dxa"/>
            <w:tcBorders>
              <w:top w:val="nil"/>
              <w:left w:val="nil"/>
              <w:bottom w:val="nil"/>
              <w:right w:val="nil"/>
            </w:tcBorders>
            <w:noWrap/>
            <w:vAlign w:val="center"/>
            <w:hideMark/>
          </w:tcPr>
          <w:p w14:paraId="535B71FF"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3.9-4.9</w:t>
            </w:r>
          </w:p>
        </w:tc>
      </w:tr>
      <w:tr w:rsidR="002D242D" w:rsidRPr="00D41996" w14:paraId="1A215218" w14:textId="77777777" w:rsidTr="00E55CC9">
        <w:trPr>
          <w:trHeight w:val="315"/>
        </w:trPr>
        <w:tc>
          <w:tcPr>
            <w:tcW w:w="4777" w:type="dxa"/>
            <w:tcBorders>
              <w:top w:val="nil"/>
              <w:left w:val="nil"/>
              <w:bottom w:val="nil"/>
              <w:right w:val="nil"/>
            </w:tcBorders>
            <w:noWrap/>
            <w:vAlign w:val="center"/>
            <w:hideMark/>
          </w:tcPr>
          <w:p w14:paraId="587D9DE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Creatine phosphokinase (IU/L)</w:t>
            </w:r>
          </w:p>
        </w:tc>
        <w:tc>
          <w:tcPr>
            <w:tcW w:w="2126" w:type="dxa"/>
            <w:tcBorders>
              <w:top w:val="nil"/>
              <w:left w:val="nil"/>
              <w:bottom w:val="nil"/>
              <w:right w:val="nil"/>
            </w:tcBorders>
            <w:noWrap/>
            <w:vAlign w:val="center"/>
            <w:hideMark/>
          </w:tcPr>
          <w:p w14:paraId="661E7A5B"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61</w:t>
            </w:r>
          </w:p>
        </w:tc>
        <w:tc>
          <w:tcPr>
            <w:tcW w:w="1843" w:type="dxa"/>
            <w:tcBorders>
              <w:top w:val="nil"/>
              <w:left w:val="nil"/>
              <w:bottom w:val="nil"/>
              <w:right w:val="nil"/>
            </w:tcBorders>
            <w:noWrap/>
            <w:vAlign w:val="center"/>
            <w:hideMark/>
          </w:tcPr>
          <w:p w14:paraId="3A48E90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65-275</w:t>
            </w:r>
          </w:p>
        </w:tc>
      </w:tr>
      <w:tr w:rsidR="002D242D" w:rsidRPr="00D41996" w14:paraId="04719E49" w14:textId="77777777" w:rsidTr="00E55CC9">
        <w:trPr>
          <w:trHeight w:val="315"/>
        </w:trPr>
        <w:tc>
          <w:tcPr>
            <w:tcW w:w="4777" w:type="dxa"/>
            <w:tcBorders>
              <w:top w:val="nil"/>
              <w:left w:val="nil"/>
              <w:bottom w:val="nil"/>
              <w:right w:val="nil"/>
            </w:tcBorders>
            <w:noWrap/>
            <w:vAlign w:val="center"/>
            <w:hideMark/>
          </w:tcPr>
          <w:p w14:paraId="0B57294E"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Blood urea nitrogen (mg/dL)</w:t>
            </w:r>
          </w:p>
        </w:tc>
        <w:tc>
          <w:tcPr>
            <w:tcW w:w="2126" w:type="dxa"/>
            <w:tcBorders>
              <w:top w:val="nil"/>
              <w:left w:val="nil"/>
              <w:bottom w:val="nil"/>
              <w:right w:val="nil"/>
            </w:tcBorders>
            <w:noWrap/>
            <w:vAlign w:val="center"/>
            <w:hideMark/>
          </w:tcPr>
          <w:p w14:paraId="29D84CD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13.1</w:t>
            </w:r>
          </w:p>
        </w:tc>
        <w:tc>
          <w:tcPr>
            <w:tcW w:w="1843" w:type="dxa"/>
            <w:tcBorders>
              <w:top w:val="nil"/>
              <w:left w:val="nil"/>
              <w:bottom w:val="nil"/>
              <w:right w:val="nil"/>
            </w:tcBorders>
            <w:noWrap/>
            <w:vAlign w:val="center"/>
            <w:hideMark/>
          </w:tcPr>
          <w:p w14:paraId="6A095E4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8-22</w:t>
            </w:r>
          </w:p>
        </w:tc>
      </w:tr>
      <w:tr w:rsidR="002D242D" w:rsidRPr="00D41996" w14:paraId="078BACE7" w14:textId="77777777" w:rsidTr="00E55CC9">
        <w:trPr>
          <w:trHeight w:val="315"/>
        </w:trPr>
        <w:tc>
          <w:tcPr>
            <w:tcW w:w="4777" w:type="dxa"/>
            <w:tcBorders>
              <w:top w:val="nil"/>
              <w:left w:val="nil"/>
              <w:bottom w:val="nil"/>
              <w:right w:val="nil"/>
            </w:tcBorders>
            <w:noWrap/>
            <w:vAlign w:val="center"/>
            <w:hideMark/>
          </w:tcPr>
          <w:p w14:paraId="15D2129D"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Creatinine (mg/dL)</w:t>
            </w:r>
          </w:p>
        </w:tc>
        <w:tc>
          <w:tcPr>
            <w:tcW w:w="2126" w:type="dxa"/>
            <w:tcBorders>
              <w:top w:val="nil"/>
              <w:left w:val="nil"/>
              <w:bottom w:val="nil"/>
              <w:right w:val="nil"/>
            </w:tcBorders>
            <w:noWrap/>
            <w:vAlign w:val="center"/>
            <w:hideMark/>
          </w:tcPr>
          <w:p w14:paraId="3720DE7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0.77</w:t>
            </w:r>
          </w:p>
        </w:tc>
        <w:tc>
          <w:tcPr>
            <w:tcW w:w="1843" w:type="dxa"/>
            <w:tcBorders>
              <w:top w:val="nil"/>
              <w:left w:val="nil"/>
              <w:bottom w:val="nil"/>
              <w:right w:val="nil"/>
            </w:tcBorders>
            <w:noWrap/>
            <w:vAlign w:val="center"/>
            <w:hideMark/>
          </w:tcPr>
          <w:p w14:paraId="03023A8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0.4-0.8</w:t>
            </w:r>
          </w:p>
        </w:tc>
      </w:tr>
      <w:tr w:rsidR="002D242D" w:rsidRPr="00D41996" w14:paraId="3473E9A0" w14:textId="77777777" w:rsidTr="00E55CC9">
        <w:trPr>
          <w:trHeight w:val="315"/>
        </w:trPr>
        <w:tc>
          <w:tcPr>
            <w:tcW w:w="4777" w:type="dxa"/>
            <w:tcBorders>
              <w:top w:val="nil"/>
              <w:left w:val="nil"/>
              <w:bottom w:val="nil"/>
              <w:right w:val="nil"/>
            </w:tcBorders>
            <w:noWrap/>
            <w:vAlign w:val="center"/>
            <w:hideMark/>
          </w:tcPr>
          <w:p w14:paraId="1474D052"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Amylase (IU/L)</w:t>
            </w:r>
          </w:p>
        </w:tc>
        <w:tc>
          <w:tcPr>
            <w:tcW w:w="2126" w:type="dxa"/>
            <w:tcBorders>
              <w:top w:val="nil"/>
              <w:left w:val="nil"/>
              <w:bottom w:val="nil"/>
              <w:right w:val="nil"/>
            </w:tcBorders>
            <w:noWrap/>
            <w:vAlign w:val="center"/>
            <w:hideMark/>
          </w:tcPr>
          <w:p w14:paraId="60689F5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84</w:t>
            </w:r>
          </w:p>
        </w:tc>
        <w:tc>
          <w:tcPr>
            <w:tcW w:w="1843" w:type="dxa"/>
            <w:tcBorders>
              <w:top w:val="nil"/>
              <w:left w:val="nil"/>
              <w:bottom w:val="nil"/>
              <w:right w:val="nil"/>
            </w:tcBorders>
            <w:noWrap/>
            <w:vAlign w:val="center"/>
            <w:hideMark/>
          </w:tcPr>
          <w:p w14:paraId="28B4A03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39-134</w:t>
            </w:r>
          </w:p>
        </w:tc>
      </w:tr>
      <w:tr w:rsidR="002D242D" w:rsidRPr="00D41996" w14:paraId="5206BDC5" w14:textId="77777777" w:rsidTr="00E55CC9">
        <w:trPr>
          <w:trHeight w:val="315"/>
        </w:trPr>
        <w:tc>
          <w:tcPr>
            <w:tcW w:w="4777" w:type="dxa"/>
            <w:tcBorders>
              <w:top w:val="nil"/>
              <w:left w:val="nil"/>
              <w:bottom w:val="nil"/>
              <w:right w:val="nil"/>
            </w:tcBorders>
            <w:noWrap/>
            <w:vAlign w:val="center"/>
            <w:hideMark/>
          </w:tcPr>
          <w:p w14:paraId="5DD67212"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Sodium (mEq/L)</w:t>
            </w:r>
          </w:p>
        </w:tc>
        <w:tc>
          <w:tcPr>
            <w:tcW w:w="2126" w:type="dxa"/>
            <w:tcBorders>
              <w:top w:val="nil"/>
              <w:left w:val="nil"/>
              <w:bottom w:val="nil"/>
              <w:right w:val="nil"/>
            </w:tcBorders>
            <w:noWrap/>
            <w:vAlign w:val="center"/>
            <w:hideMark/>
          </w:tcPr>
          <w:p w14:paraId="06E2F94E"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137</w:t>
            </w:r>
          </w:p>
        </w:tc>
        <w:tc>
          <w:tcPr>
            <w:tcW w:w="1843" w:type="dxa"/>
            <w:tcBorders>
              <w:top w:val="nil"/>
              <w:left w:val="nil"/>
              <w:bottom w:val="nil"/>
              <w:right w:val="nil"/>
            </w:tcBorders>
            <w:noWrap/>
            <w:vAlign w:val="center"/>
            <w:hideMark/>
          </w:tcPr>
          <w:p w14:paraId="4C82D3DE"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138-146</w:t>
            </w:r>
          </w:p>
        </w:tc>
      </w:tr>
      <w:tr w:rsidR="002D242D" w:rsidRPr="00D41996" w14:paraId="4CBA2DBE" w14:textId="77777777" w:rsidTr="00E55CC9">
        <w:trPr>
          <w:trHeight w:val="315"/>
        </w:trPr>
        <w:tc>
          <w:tcPr>
            <w:tcW w:w="4777" w:type="dxa"/>
            <w:tcBorders>
              <w:top w:val="nil"/>
              <w:left w:val="nil"/>
              <w:bottom w:val="nil"/>
              <w:right w:val="nil"/>
            </w:tcBorders>
            <w:noWrap/>
            <w:vAlign w:val="center"/>
            <w:hideMark/>
          </w:tcPr>
          <w:p w14:paraId="67AB0B67"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Potassium (mEq/L)</w:t>
            </w:r>
          </w:p>
        </w:tc>
        <w:tc>
          <w:tcPr>
            <w:tcW w:w="2126" w:type="dxa"/>
            <w:tcBorders>
              <w:top w:val="nil"/>
              <w:left w:val="nil"/>
              <w:bottom w:val="nil"/>
              <w:right w:val="nil"/>
            </w:tcBorders>
            <w:noWrap/>
            <w:vAlign w:val="center"/>
            <w:hideMark/>
          </w:tcPr>
          <w:p w14:paraId="27E14A48"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4.1</w:t>
            </w:r>
          </w:p>
        </w:tc>
        <w:tc>
          <w:tcPr>
            <w:tcW w:w="1843" w:type="dxa"/>
            <w:tcBorders>
              <w:top w:val="nil"/>
              <w:left w:val="nil"/>
              <w:bottom w:val="nil"/>
              <w:right w:val="nil"/>
            </w:tcBorders>
            <w:noWrap/>
            <w:vAlign w:val="center"/>
            <w:hideMark/>
          </w:tcPr>
          <w:p w14:paraId="08EB7A29"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3.6-4.9</w:t>
            </w:r>
          </w:p>
        </w:tc>
      </w:tr>
      <w:tr w:rsidR="002D242D" w:rsidRPr="00D41996" w14:paraId="3902FADD" w14:textId="77777777" w:rsidTr="00E55CC9">
        <w:trPr>
          <w:trHeight w:val="315"/>
        </w:trPr>
        <w:tc>
          <w:tcPr>
            <w:tcW w:w="4777" w:type="dxa"/>
            <w:tcBorders>
              <w:top w:val="nil"/>
              <w:left w:val="nil"/>
              <w:bottom w:val="nil"/>
              <w:right w:val="nil"/>
            </w:tcBorders>
            <w:noWrap/>
            <w:vAlign w:val="center"/>
            <w:hideMark/>
          </w:tcPr>
          <w:p w14:paraId="1D79AA5E"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Chloride (mEq/L)</w:t>
            </w:r>
          </w:p>
        </w:tc>
        <w:tc>
          <w:tcPr>
            <w:tcW w:w="2126" w:type="dxa"/>
            <w:tcBorders>
              <w:top w:val="nil"/>
              <w:left w:val="nil"/>
              <w:bottom w:val="nil"/>
              <w:right w:val="nil"/>
            </w:tcBorders>
            <w:noWrap/>
            <w:vAlign w:val="center"/>
            <w:hideMark/>
          </w:tcPr>
          <w:p w14:paraId="5F89918B"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101</w:t>
            </w:r>
          </w:p>
        </w:tc>
        <w:tc>
          <w:tcPr>
            <w:tcW w:w="1843" w:type="dxa"/>
            <w:tcBorders>
              <w:top w:val="nil"/>
              <w:left w:val="nil"/>
              <w:bottom w:val="nil"/>
              <w:right w:val="nil"/>
            </w:tcBorders>
            <w:noWrap/>
            <w:vAlign w:val="center"/>
            <w:hideMark/>
          </w:tcPr>
          <w:p w14:paraId="3BA1609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99-109</w:t>
            </w:r>
          </w:p>
        </w:tc>
      </w:tr>
      <w:tr w:rsidR="002D242D" w:rsidRPr="00D41996" w14:paraId="473AF713" w14:textId="77777777" w:rsidTr="00E55CC9">
        <w:trPr>
          <w:trHeight w:val="315"/>
        </w:trPr>
        <w:tc>
          <w:tcPr>
            <w:tcW w:w="4777" w:type="dxa"/>
            <w:tcBorders>
              <w:top w:val="nil"/>
              <w:left w:val="nil"/>
              <w:bottom w:val="nil"/>
              <w:right w:val="nil"/>
            </w:tcBorders>
            <w:noWrap/>
            <w:vAlign w:val="center"/>
            <w:hideMark/>
          </w:tcPr>
          <w:p w14:paraId="425EB5BE"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lastRenderedPageBreak/>
              <w:t>Calcium (mg/dL)</w:t>
            </w:r>
          </w:p>
        </w:tc>
        <w:tc>
          <w:tcPr>
            <w:tcW w:w="2126" w:type="dxa"/>
            <w:tcBorders>
              <w:top w:val="nil"/>
              <w:left w:val="nil"/>
              <w:bottom w:val="nil"/>
              <w:right w:val="nil"/>
            </w:tcBorders>
            <w:noWrap/>
            <w:vAlign w:val="center"/>
            <w:hideMark/>
          </w:tcPr>
          <w:p w14:paraId="466F2279"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11.9</w:t>
            </w:r>
          </w:p>
        </w:tc>
        <w:tc>
          <w:tcPr>
            <w:tcW w:w="1843" w:type="dxa"/>
            <w:tcBorders>
              <w:top w:val="nil"/>
              <w:left w:val="nil"/>
              <w:bottom w:val="nil"/>
              <w:right w:val="nil"/>
            </w:tcBorders>
            <w:noWrap/>
            <w:vAlign w:val="center"/>
            <w:hideMark/>
          </w:tcPr>
          <w:p w14:paraId="308A5DBD"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7.1-10.1</w:t>
            </w:r>
          </w:p>
        </w:tc>
      </w:tr>
      <w:tr w:rsidR="002D242D" w:rsidRPr="00D41996" w14:paraId="7B6EE6F2" w14:textId="77777777" w:rsidTr="00E55CC9">
        <w:trPr>
          <w:trHeight w:val="315"/>
        </w:trPr>
        <w:tc>
          <w:tcPr>
            <w:tcW w:w="4777" w:type="dxa"/>
            <w:tcBorders>
              <w:top w:val="nil"/>
              <w:left w:val="nil"/>
              <w:bottom w:val="nil"/>
              <w:right w:val="nil"/>
            </w:tcBorders>
            <w:noWrap/>
            <w:vAlign w:val="center"/>
            <w:hideMark/>
          </w:tcPr>
          <w:p w14:paraId="3C255E7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C-reactive protein (mg/dL)</w:t>
            </w:r>
          </w:p>
        </w:tc>
        <w:tc>
          <w:tcPr>
            <w:tcW w:w="2126" w:type="dxa"/>
            <w:tcBorders>
              <w:top w:val="nil"/>
              <w:left w:val="nil"/>
              <w:bottom w:val="nil"/>
              <w:right w:val="nil"/>
            </w:tcBorders>
            <w:noWrap/>
            <w:vAlign w:val="center"/>
            <w:hideMark/>
          </w:tcPr>
          <w:p w14:paraId="00A57E1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1.35</w:t>
            </w:r>
          </w:p>
        </w:tc>
        <w:tc>
          <w:tcPr>
            <w:tcW w:w="1843" w:type="dxa"/>
            <w:tcBorders>
              <w:top w:val="nil"/>
              <w:left w:val="nil"/>
              <w:bottom w:val="nil"/>
              <w:right w:val="nil"/>
            </w:tcBorders>
            <w:noWrap/>
            <w:vAlign w:val="center"/>
            <w:hideMark/>
          </w:tcPr>
          <w:p w14:paraId="67E29B5B"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0-0.4</w:t>
            </w:r>
          </w:p>
        </w:tc>
      </w:tr>
      <w:tr w:rsidR="002D242D" w:rsidRPr="00D41996" w14:paraId="4AFDF2B4" w14:textId="77777777" w:rsidTr="00E55CC9">
        <w:trPr>
          <w:trHeight w:val="315"/>
        </w:trPr>
        <w:tc>
          <w:tcPr>
            <w:tcW w:w="4777" w:type="dxa"/>
            <w:tcBorders>
              <w:top w:val="nil"/>
              <w:left w:val="nil"/>
              <w:bottom w:val="nil"/>
              <w:right w:val="nil"/>
            </w:tcBorders>
            <w:noWrap/>
            <w:vAlign w:val="center"/>
            <w:hideMark/>
          </w:tcPr>
          <w:p w14:paraId="689EC50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Plasma glucose (mg/dL)</w:t>
            </w:r>
          </w:p>
        </w:tc>
        <w:tc>
          <w:tcPr>
            <w:tcW w:w="2126" w:type="dxa"/>
            <w:tcBorders>
              <w:top w:val="nil"/>
              <w:left w:val="nil"/>
              <w:bottom w:val="nil"/>
              <w:right w:val="nil"/>
            </w:tcBorders>
            <w:noWrap/>
            <w:vAlign w:val="center"/>
            <w:hideMark/>
          </w:tcPr>
          <w:p w14:paraId="2DF8913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156</w:t>
            </w:r>
          </w:p>
        </w:tc>
        <w:tc>
          <w:tcPr>
            <w:tcW w:w="1843" w:type="dxa"/>
            <w:tcBorders>
              <w:top w:val="nil"/>
              <w:left w:val="nil"/>
              <w:bottom w:val="nil"/>
              <w:right w:val="nil"/>
            </w:tcBorders>
            <w:noWrap/>
            <w:vAlign w:val="center"/>
            <w:hideMark/>
          </w:tcPr>
          <w:p w14:paraId="33E7499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70-109</w:t>
            </w:r>
          </w:p>
        </w:tc>
      </w:tr>
      <w:tr w:rsidR="002D242D" w:rsidRPr="00D41996" w14:paraId="7F177652" w14:textId="77777777" w:rsidTr="00E55CC9">
        <w:trPr>
          <w:trHeight w:val="315"/>
        </w:trPr>
        <w:tc>
          <w:tcPr>
            <w:tcW w:w="4777" w:type="dxa"/>
            <w:tcBorders>
              <w:top w:val="nil"/>
              <w:left w:val="nil"/>
              <w:bottom w:val="nil"/>
              <w:right w:val="nil"/>
            </w:tcBorders>
            <w:noWrap/>
            <w:vAlign w:val="center"/>
            <w:hideMark/>
          </w:tcPr>
          <w:p w14:paraId="0B54B19F"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Glycated Hemoglobin (NGSP) (%)</w:t>
            </w:r>
          </w:p>
        </w:tc>
        <w:tc>
          <w:tcPr>
            <w:tcW w:w="2126" w:type="dxa"/>
            <w:tcBorders>
              <w:top w:val="nil"/>
              <w:left w:val="nil"/>
              <w:bottom w:val="nil"/>
              <w:right w:val="nil"/>
            </w:tcBorders>
            <w:noWrap/>
            <w:vAlign w:val="center"/>
            <w:hideMark/>
          </w:tcPr>
          <w:p w14:paraId="4B2EC627"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7.8</w:t>
            </w:r>
          </w:p>
        </w:tc>
        <w:tc>
          <w:tcPr>
            <w:tcW w:w="1843" w:type="dxa"/>
            <w:tcBorders>
              <w:top w:val="nil"/>
              <w:left w:val="nil"/>
              <w:bottom w:val="nil"/>
              <w:right w:val="nil"/>
            </w:tcBorders>
            <w:noWrap/>
            <w:vAlign w:val="center"/>
            <w:hideMark/>
          </w:tcPr>
          <w:p w14:paraId="5C74922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4.6-6.2</w:t>
            </w:r>
          </w:p>
        </w:tc>
      </w:tr>
      <w:tr w:rsidR="002D242D" w:rsidRPr="00D41996" w14:paraId="0C4B352B" w14:textId="77777777" w:rsidTr="00E55CC9">
        <w:trPr>
          <w:trHeight w:val="315"/>
        </w:trPr>
        <w:tc>
          <w:tcPr>
            <w:tcW w:w="4777" w:type="dxa"/>
            <w:tcBorders>
              <w:top w:val="nil"/>
              <w:left w:val="nil"/>
              <w:bottom w:val="nil"/>
              <w:right w:val="nil"/>
            </w:tcBorders>
            <w:noWrap/>
            <w:vAlign w:val="center"/>
            <w:hideMark/>
          </w:tcPr>
          <w:p w14:paraId="422322A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Low-density lipoprotein cholesterol (mg/dL)</w:t>
            </w:r>
          </w:p>
        </w:tc>
        <w:tc>
          <w:tcPr>
            <w:tcW w:w="2126" w:type="dxa"/>
            <w:tcBorders>
              <w:top w:val="nil"/>
              <w:left w:val="nil"/>
              <w:bottom w:val="nil"/>
              <w:right w:val="nil"/>
            </w:tcBorders>
            <w:noWrap/>
            <w:vAlign w:val="center"/>
            <w:hideMark/>
          </w:tcPr>
          <w:p w14:paraId="58F5F62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78</w:t>
            </w:r>
          </w:p>
        </w:tc>
        <w:tc>
          <w:tcPr>
            <w:tcW w:w="1843" w:type="dxa"/>
            <w:tcBorders>
              <w:top w:val="nil"/>
              <w:left w:val="nil"/>
              <w:bottom w:val="nil"/>
              <w:right w:val="nil"/>
            </w:tcBorders>
            <w:noWrap/>
            <w:vAlign w:val="center"/>
            <w:hideMark/>
          </w:tcPr>
          <w:p w14:paraId="6EF01B1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66-141</w:t>
            </w:r>
          </w:p>
        </w:tc>
      </w:tr>
      <w:tr w:rsidR="002D242D" w:rsidRPr="00D41996" w14:paraId="7F1D31E7" w14:textId="77777777" w:rsidTr="00E55CC9">
        <w:trPr>
          <w:trHeight w:val="315"/>
        </w:trPr>
        <w:tc>
          <w:tcPr>
            <w:tcW w:w="4777" w:type="dxa"/>
            <w:tcBorders>
              <w:top w:val="nil"/>
              <w:left w:val="nil"/>
              <w:bottom w:val="nil"/>
              <w:right w:val="nil"/>
            </w:tcBorders>
            <w:noWrap/>
            <w:vAlign w:val="center"/>
            <w:hideMark/>
          </w:tcPr>
          <w:p w14:paraId="3C436BF1"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High-density lipoprotein cholesterol (mg/dL)</w:t>
            </w:r>
          </w:p>
        </w:tc>
        <w:tc>
          <w:tcPr>
            <w:tcW w:w="2126" w:type="dxa"/>
            <w:tcBorders>
              <w:top w:val="nil"/>
              <w:left w:val="nil"/>
              <w:bottom w:val="nil"/>
              <w:right w:val="nil"/>
            </w:tcBorders>
            <w:noWrap/>
            <w:vAlign w:val="center"/>
            <w:hideMark/>
          </w:tcPr>
          <w:p w14:paraId="0190D4A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26</w:t>
            </w:r>
          </w:p>
        </w:tc>
        <w:tc>
          <w:tcPr>
            <w:tcW w:w="1843" w:type="dxa"/>
            <w:tcBorders>
              <w:top w:val="nil"/>
              <w:left w:val="nil"/>
              <w:bottom w:val="nil"/>
              <w:right w:val="nil"/>
            </w:tcBorders>
            <w:noWrap/>
            <w:vAlign w:val="center"/>
            <w:hideMark/>
          </w:tcPr>
          <w:p w14:paraId="2C3B6EFA"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41-95</w:t>
            </w:r>
          </w:p>
        </w:tc>
      </w:tr>
      <w:tr w:rsidR="002D242D" w:rsidRPr="00D41996" w14:paraId="63EBAA6B" w14:textId="77777777" w:rsidTr="00E55CC9">
        <w:trPr>
          <w:trHeight w:val="315"/>
        </w:trPr>
        <w:tc>
          <w:tcPr>
            <w:tcW w:w="4777" w:type="dxa"/>
            <w:tcBorders>
              <w:top w:val="nil"/>
              <w:left w:val="nil"/>
              <w:bottom w:val="nil"/>
              <w:right w:val="nil"/>
            </w:tcBorders>
            <w:noWrap/>
            <w:vAlign w:val="center"/>
            <w:hideMark/>
          </w:tcPr>
          <w:p w14:paraId="1E10626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Triglyceride (mg/dL)</w:t>
            </w:r>
          </w:p>
        </w:tc>
        <w:tc>
          <w:tcPr>
            <w:tcW w:w="2126" w:type="dxa"/>
            <w:tcBorders>
              <w:top w:val="nil"/>
              <w:left w:val="nil"/>
              <w:bottom w:val="nil"/>
              <w:right w:val="nil"/>
            </w:tcBorders>
            <w:noWrap/>
            <w:vAlign w:val="center"/>
            <w:hideMark/>
          </w:tcPr>
          <w:p w14:paraId="759B751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109</w:t>
            </w:r>
          </w:p>
        </w:tc>
        <w:tc>
          <w:tcPr>
            <w:tcW w:w="1843" w:type="dxa"/>
            <w:tcBorders>
              <w:top w:val="nil"/>
              <w:left w:val="nil"/>
              <w:bottom w:val="nil"/>
              <w:right w:val="nil"/>
            </w:tcBorders>
            <w:noWrap/>
            <w:vAlign w:val="center"/>
            <w:hideMark/>
          </w:tcPr>
          <w:p w14:paraId="67E8AAC1"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30-150</w:t>
            </w:r>
          </w:p>
        </w:tc>
      </w:tr>
      <w:tr w:rsidR="002D242D" w:rsidRPr="00D41996" w14:paraId="38D476A4" w14:textId="77777777" w:rsidTr="00E55CC9">
        <w:trPr>
          <w:trHeight w:val="315"/>
        </w:trPr>
        <w:tc>
          <w:tcPr>
            <w:tcW w:w="4777" w:type="dxa"/>
            <w:tcBorders>
              <w:top w:val="nil"/>
              <w:left w:val="nil"/>
              <w:bottom w:val="nil"/>
              <w:right w:val="nil"/>
            </w:tcBorders>
            <w:noWrap/>
            <w:vAlign w:val="center"/>
            <w:hideMark/>
          </w:tcPr>
          <w:p w14:paraId="62F5B1D2"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Serum iron (μg/dL)</w:t>
            </w:r>
          </w:p>
        </w:tc>
        <w:tc>
          <w:tcPr>
            <w:tcW w:w="2126" w:type="dxa"/>
            <w:tcBorders>
              <w:top w:val="nil"/>
              <w:left w:val="nil"/>
              <w:bottom w:val="nil"/>
              <w:right w:val="nil"/>
            </w:tcBorders>
            <w:noWrap/>
            <w:vAlign w:val="center"/>
            <w:hideMark/>
          </w:tcPr>
          <w:p w14:paraId="06B3B529"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74</w:t>
            </w:r>
          </w:p>
        </w:tc>
        <w:tc>
          <w:tcPr>
            <w:tcW w:w="1843" w:type="dxa"/>
            <w:tcBorders>
              <w:top w:val="nil"/>
              <w:left w:val="nil"/>
              <w:bottom w:val="nil"/>
              <w:right w:val="nil"/>
            </w:tcBorders>
            <w:noWrap/>
            <w:vAlign w:val="center"/>
            <w:hideMark/>
          </w:tcPr>
          <w:p w14:paraId="3739A0A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60-200</w:t>
            </w:r>
          </w:p>
        </w:tc>
      </w:tr>
      <w:tr w:rsidR="002D242D" w:rsidRPr="00D41996" w14:paraId="16A20FE2" w14:textId="77777777" w:rsidTr="00E55CC9">
        <w:trPr>
          <w:trHeight w:val="315"/>
        </w:trPr>
        <w:tc>
          <w:tcPr>
            <w:tcW w:w="4777" w:type="dxa"/>
            <w:tcBorders>
              <w:top w:val="nil"/>
              <w:left w:val="nil"/>
              <w:bottom w:val="nil"/>
              <w:right w:val="nil"/>
            </w:tcBorders>
            <w:noWrap/>
            <w:vAlign w:val="center"/>
            <w:hideMark/>
          </w:tcPr>
          <w:p w14:paraId="49D83AD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Total iron-binding capacity (μg/dL)</w:t>
            </w:r>
          </w:p>
        </w:tc>
        <w:tc>
          <w:tcPr>
            <w:tcW w:w="2126" w:type="dxa"/>
            <w:tcBorders>
              <w:top w:val="nil"/>
              <w:left w:val="nil"/>
              <w:bottom w:val="nil"/>
              <w:right w:val="nil"/>
            </w:tcBorders>
            <w:noWrap/>
            <w:vAlign w:val="center"/>
            <w:hideMark/>
          </w:tcPr>
          <w:p w14:paraId="0756D621"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337</w:t>
            </w:r>
          </w:p>
        </w:tc>
        <w:tc>
          <w:tcPr>
            <w:tcW w:w="1843" w:type="dxa"/>
            <w:tcBorders>
              <w:top w:val="nil"/>
              <w:left w:val="nil"/>
              <w:bottom w:val="nil"/>
              <w:right w:val="nil"/>
            </w:tcBorders>
            <w:noWrap/>
            <w:vAlign w:val="center"/>
            <w:hideMark/>
          </w:tcPr>
          <w:p w14:paraId="2961590D"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250-355</w:t>
            </w:r>
          </w:p>
        </w:tc>
      </w:tr>
      <w:tr w:rsidR="002D242D" w:rsidRPr="00D41996" w14:paraId="33EC1A2E" w14:textId="77777777" w:rsidTr="00E55CC9">
        <w:trPr>
          <w:trHeight w:val="315"/>
        </w:trPr>
        <w:tc>
          <w:tcPr>
            <w:tcW w:w="4777" w:type="dxa"/>
            <w:tcBorders>
              <w:top w:val="nil"/>
              <w:left w:val="nil"/>
              <w:bottom w:val="nil"/>
              <w:right w:val="nil"/>
            </w:tcBorders>
            <w:noWrap/>
            <w:vAlign w:val="center"/>
            <w:hideMark/>
          </w:tcPr>
          <w:p w14:paraId="62480181"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Unsaturated iron binding capacity (μg/dL)</w:t>
            </w:r>
          </w:p>
        </w:tc>
        <w:tc>
          <w:tcPr>
            <w:tcW w:w="2126" w:type="dxa"/>
            <w:tcBorders>
              <w:top w:val="nil"/>
              <w:left w:val="nil"/>
              <w:bottom w:val="nil"/>
              <w:right w:val="nil"/>
            </w:tcBorders>
            <w:noWrap/>
            <w:vAlign w:val="center"/>
            <w:hideMark/>
          </w:tcPr>
          <w:p w14:paraId="7F6E98B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263</w:t>
            </w:r>
          </w:p>
        </w:tc>
        <w:tc>
          <w:tcPr>
            <w:tcW w:w="1843" w:type="dxa"/>
            <w:tcBorders>
              <w:top w:val="nil"/>
              <w:left w:val="nil"/>
              <w:bottom w:val="nil"/>
              <w:right w:val="nil"/>
            </w:tcBorders>
            <w:noWrap/>
            <w:vAlign w:val="center"/>
            <w:hideMark/>
          </w:tcPr>
          <w:p w14:paraId="50E6738F"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130-320</w:t>
            </w:r>
          </w:p>
        </w:tc>
      </w:tr>
      <w:tr w:rsidR="002D242D" w:rsidRPr="00D41996" w14:paraId="1BBF87B4" w14:textId="77777777" w:rsidTr="00E55CC9">
        <w:trPr>
          <w:trHeight w:val="315"/>
        </w:trPr>
        <w:tc>
          <w:tcPr>
            <w:tcW w:w="4777" w:type="dxa"/>
            <w:tcBorders>
              <w:top w:val="nil"/>
              <w:left w:val="nil"/>
              <w:bottom w:val="nil"/>
              <w:right w:val="nil"/>
            </w:tcBorders>
            <w:noWrap/>
            <w:vAlign w:val="center"/>
            <w:hideMark/>
          </w:tcPr>
          <w:p w14:paraId="03B51967"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Ferritin (ng/mL)</w:t>
            </w:r>
          </w:p>
        </w:tc>
        <w:tc>
          <w:tcPr>
            <w:tcW w:w="2126" w:type="dxa"/>
            <w:tcBorders>
              <w:top w:val="nil"/>
              <w:left w:val="nil"/>
              <w:bottom w:val="nil"/>
              <w:right w:val="nil"/>
            </w:tcBorders>
            <w:noWrap/>
            <w:vAlign w:val="center"/>
            <w:hideMark/>
          </w:tcPr>
          <w:p w14:paraId="559C2ADB"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137.7</w:t>
            </w:r>
          </w:p>
        </w:tc>
        <w:tc>
          <w:tcPr>
            <w:tcW w:w="1843" w:type="dxa"/>
            <w:tcBorders>
              <w:top w:val="nil"/>
              <w:left w:val="nil"/>
              <w:bottom w:val="nil"/>
              <w:right w:val="nil"/>
            </w:tcBorders>
            <w:noWrap/>
            <w:vAlign w:val="center"/>
            <w:hideMark/>
          </w:tcPr>
          <w:p w14:paraId="6324F45D"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21-282</w:t>
            </w:r>
          </w:p>
        </w:tc>
      </w:tr>
      <w:tr w:rsidR="002D242D" w:rsidRPr="00D41996" w14:paraId="535CF2BC" w14:textId="77777777" w:rsidTr="00E55CC9">
        <w:trPr>
          <w:trHeight w:val="315"/>
        </w:trPr>
        <w:tc>
          <w:tcPr>
            <w:tcW w:w="4777" w:type="dxa"/>
            <w:tcBorders>
              <w:top w:val="nil"/>
              <w:left w:val="nil"/>
              <w:bottom w:val="nil"/>
              <w:right w:val="nil"/>
            </w:tcBorders>
            <w:noWrap/>
            <w:vAlign w:val="center"/>
            <w:hideMark/>
          </w:tcPr>
          <w:p w14:paraId="1DC5B7CB"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Copper (MCG/DL)</w:t>
            </w:r>
          </w:p>
        </w:tc>
        <w:tc>
          <w:tcPr>
            <w:tcW w:w="2126" w:type="dxa"/>
            <w:tcBorders>
              <w:top w:val="nil"/>
              <w:left w:val="nil"/>
              <w:bottom w:val="nil"/>
              <w:right w:val="nil"/>
            </w:tcBorders>
            <w:noWrap/>
            <w:vAlign w:val="center"/>
            <w:hideMark/>
          </w:tcPr>
          <w:p w14:paraId="4528B173"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143</w:t>
            </w:r>
          </w:p>
        </w:tc>
        <w:tc>
          <w:tcPr>
            <w:tcW w:w="1843" w:type="dxa"/>
            <w:tcBorders>
              <w:top w:val="nil"/>
              <w:left w:val="nil"/>
              <w:bottom w:val="nil"/>
              <w:right w:val="nil"/>
            </w:tcBorders>
            <w:noWrap/>
            <w:vAlign w:val="center"/>
            <w:hideMark/>
          </w:tcPr>
          <w:p w14:paraId="452C664A"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66-130</w:t>
            </w:r>
          </w:p>
        </w:tc>
      </w:tr>
      <w:tr w:rsidR="002D242D" w:rsidRPr="00D41996" w14:paraId="00D617B3" w14:textId="77777777" w:rsidTr="00E55CC9">
        <w:trPr>
          <w:trHeight w:val="315"/>
        </w:trPr>
        <w:tc>
          <w:tcPr>
            <w:tcW w:w="4777" w:type="dxa"/>
            <w:tcBorders>
              <w:top w:val="nil"/>
              <w:left w:val="nil"/>
              <w:bottom w:val="nil"/>
              <w:right w:val="nil"/>
            </w:tcBorders>
            <w:noWrap/>
            <w:vAlign w:val="center"/>
            <w:hideMark/>
          </w:tcPr>
          <w:p w14:paraId="2FD8E593"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Erythropoietin (mIU/mL)</w:t>
            </w:r>
          </w:p>
        </w:tc>
        <w:tc>
          <w:tcPr>
            <w:tcW w:w="2126" w:type="dxa"/>
            <w:tcBorders>
              <w:top w:val="nil"/>
              <w:left w:val="nil"/>
              <w:bottom w:val="nil"/>
              <w:right w:val="nil"/>
            </w:tcBorders>
            <w:noWrap/>
            <w:vAlign w:val="center"/>
            <w:hideMark/>
          </w:tcPr>
          <w:p w14:paraId="2EEBF29F"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35.7</w:t>
            </w:r>
          </w:p>
        </w:tc>
        <w:tc>
          <w:tcPr>
            <w:tcW w:w="1843" w:type="dxa"/>
            <w:tcBorders>
              <w:top w:val="nil"/>
              <w:left w:val="nil"/>
              <w:bottom w:val="nil"/>
              <w:right w:val="nil"/>
            </w:tcBorders>
            <w:noWrap/>
            <w:vAlign w:val="center"/>
            <w:hideMark/>
          </w:tcPr>
          <w:p w14:paraId="2CC79CC6"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4.2-23.7</w:t>
            </w:r>
          </w:p>
        </w:tc>
      </w:tr>
      <w:tr w:rsidR="002D242D" w:rsidRPr="00D41996" w14:paraId="0F6DAB45" w14:textId="77777777" w:rsidTr="00E55CC9">
        <w:trPr>
          <w:trHeight w:val="315"/>
        </w:trPr>
        <w:tc>
          <w:tcPr>
            <w:tcW w:w="4777" w:type="dxa"/>
            <w:tcBorders>
              <w:top w:val="nil"/>
              <w:left w:val="nil"/>
              <w:bottom w:val="nil"/>
              <w:right w:val="nil"/>
            </w:tcBorders>
            <w:noWrap/>
            <w:vAlign w:val="center"/>
            <w:hideMark/>
          </w:tcPr>
          <w:p w14:paraId="3057D13F"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Haptoglobin (mg/dL)</w:t>
            </w:r>
          </w:p>
        </w:tc>
        <w:tc>
          <w:tcPr>
            <w:tcW w:w="2126" w:type="dxa"/>
            <w:tcBorders>
              <w:top w:val="nil"/>
              <w:left w:val="nil"/>
              <w:bottom w:val="nil"/>
              <w:right w:val="nil"/>
            </w:tcBorders>
            <w:noWrap/>
            <w:vAlign w:val="center"/>
            <w:hideMark/>
          </w:tcPr>
          <w:p w14:paraId="34031F9A"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104</w:t>
            </w:r>
          </w:p>
        </w:tc>
        <w:tc>
          <w:tcPr>
            <w:tcW w:w="1843" w:type="dxa"/>
            <w:tcBorders>
              <w:top w:val="nil"/>
              <w:left w:val="nil"/>
              <w:bottom w:val="nil"/>
              <w:right w:val="nil"/>
            </w:tcBorders>
            <w:noWrap/>
            <w:vAlign w:val="center"/>
            <w:hideMark/>
          </w:tcPr>
          <w:p w14:paraId="76E02162"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19-170</w:t>
            </w:r>
          </w:p>
        </w:tc>
      </w:tr>
      <w:tr w:rsidR="002D242D" w:rsidRPr="00D41996" w14:paraId="67367E1D" w14:textId="77777777" w:rsidTr="00E55CC9">
        <w:trPr>
          <w:trHeight w:val="315"/>
        </w:trPr>
        <w:tc>
          <w:tcPr>
            <w:tcW w:w="4777" w:type="dxa"/>
            <w:tcBorders>
              <w:top w:val="nil"/>
              <w:left w:val="nil"/>
              <w:bottom w:val="nil"/>
              <w:right w:val="nil"/>
            </w:tcBorders>
            <w:noWrap/>
            <w:vAlign w:val="center"/>
            <w:hideMark/>
          </w:tcPr>
          <w:p w14:paraId="7D503F4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Zinc (μg/dL)</w:t>
            </w:r>
          </w:p>
        </w:tc>
        <w:tc>
          <w:tcPr>
            <w:tcW w:w="2126" w:type="dxa"/>
            <w:tcBorders>
              <w:top w:val="nil"/>
              <w:left w:val="nil"/>
              <w:bottom w:val="nil"/>
              <w:right w:val="nil"/>
            </w:tcBorders>
            <w:noWrap/>
            <w:vAlign w:val="center"/>
            <w:hideMark/>
          </w:tcPr>
          <w:p w14:paraId="0A9825AB"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71</w:t>
            </w:r>
          </w:p>
        </w:tc>
        <w:tc>
          <w:tcPr>
            <w:tcW w:w="1843" w:type="dxa"/>
            <w:tcBorders>
              <w:top w:val="nil"/>
              <w:left w:val="nil"/>
              <w:bottom w:val="nil"/>
              <w:right w:val="nil"/>
            </w:tcBorders>
            <w:noWrap/>
            <w:vAlign w:val="center"/>
            <w:hideMark/>
          </w:tcPr>
          <w:p w14:paraId="09E9BE4E"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80-130</w:t>
            </w:r>
          </w:p>
        </w:tc>
      </w:tr>
      <w:tr w:rsidR="002D242D" w:rsidRPr="00D41996" w14:paraId="6E975E81" w14:textId="77777777" w:rsidTr="00E55CC9">
        <w:trPr>
          <w:trHeight w:val="315"/>
        </w:trPr>
        <w:tc>
          <w:tcPr>
            <w:tcW w:w="4777" w:type="dxa"/>
            <w:tcBorders>
              <w:top w:val="nil"/>
              <w:left w:val="nil"/>
              <w:bottom w:val="nil"/>
              <w:right w:val="nil"/>
            </w:tcBorders>
            <w:noWrap/>
            <w:vAlign w:val="center"/>
            <w:hideMark/>
          </w:tcPr>
          <w:p w14:paraId="30911F3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Folic acid (ng/mL)</w:t>
            </w:r>
          </w:p>
        </w:tc>
        <w:tc>
          <w:tcPr>
            <w:tcW w:w="2126" w:type="dxa"/>
            <w:tcBorders>
              <w:top w:val="nil"/>
              <w:left w:val="nil"/>
              <w:bottom w:val="nil"/>
              <w:right w:val="nil"/>
            </w:tcBorders>
            <w:noWrap/>
            <w:vAlign w:val="center"/>
            <w:hideMark/>
          </w:tcPr>
          <w:p w14:paraId="4A66498E"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7.3</w:t>
            </w:r>
          </w:p>
        </w:tc>
        <w:tc>
          <w:tcPr>
            <w:tcW w:w="1843" w:type="dxa"/>
            <w:tcBorders>
              <w:top w:val="nil"/>
              <w:left w:val="nil"/>
              <w:bottom w:val="nil"/>
              <w:right w:val="nil"/>
            </w:tcBorders>
            <w:noWrap/>
            <w:vAlign w:val="center"/>
            <w:hideMark/>
          </w:tcPr>
          <w:p w14:paraId="5120B39D"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4</w:t>
            </w:r>
          </w:p>
        </w:tc>
      </w:tr>
      <w:tr w:rsidR="002D242D" w:rsidRPr="00D41996" w14:paraId="72787D56" w14:textId="77777777" w:rsidTr="00E55CC9">
        <w:trPr>
          <w:trHeight w:val="315"/>
        </w:trPr>
        <w:tc>
          <w:tcPr>
            <w:tcW w:w="4777" w:type="dxa"/>
            <w:tcBorders>
              <w:top w:val="nil"/>
              <w:left w:val="nil"/>
              <w:bottom w:val="nil"/>
              <w:right w:val="nil"/>
            </w:tcBorders>
            <w:noWrap/>
            <w:vAlign w:val="center"/>
            <w:hideMark/>
          </w:tcPr>
          <w:p w14:paraId="40117E37"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Vitamin B</w:t>
            </w:r>
            <w:r w:rsidRPr="00D41996">
              <w:rPr>
                <w:rFonts w:ascii="Book Antiqua" w:eastAsia="Yu Gothic" w:hAnsi="Book Antiqua" w:cs="Arial"/>
                <w:vertAlign w:val="subscript"/>
              </w:rPr>
              <w:t>12</w:t>
            </w:r>
            <w:r w:rsidRPr="00D41996">
              <w:rPr>
                <w:rFonts w:ascii="Book Antiqua" w:eastAsia="Yu Gothic" w:hAnsi="Book Antiqua" w:cs="Arial"/>
              </w:rPr>
              <w:t xml:space="preserve"> (pg/mL)</w:t>
            </w:r>
          </w:p>
        </w:tc>
        <w:tc>
          <w:tcPr>
            <w:tcW w:w="2126" w:type="dxa"/>
            <w:tcBorders>
              <w:top w:val="nil"/>
              <w:left w:val="nil"/>
              <w:bottom w:val="nil"/>
              <w:right w:val="nil"/>
            </w:tcBorders>
            <w:noWrap/>
            <w:vAlign w:val="center"/>
            <w:hideMark/>
          </w:tcPr>
          <w:p w14:paraId="7A23C77D"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625</w:t>
            </w:r>
          </w:p>
        </w:tc>
        <w:tc>
          <w:tcPr>
            <w:tcW w:w="1843" w:type="dxa"/>
            <w:tcBorders>
              <w:top w:val="nil"/>
              <w:left w:val="nil"/>
              <w:bottom w:val="nil"/>
              <w:right w:val="nil"/>
            </w:tcBorders>
            <w:noWrap/>
            <w:vAlign w:val="center"/>
            <w:hideMark/>
          </w:tcPr>
          <w:p w14:paraId="49A8F980"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233-914</w:t>
            </w:r>
          </w:p>
        </w:tc>
      </w:tr>
      <w:tr w:rsidR="002D242D" w:rsidRPr="00D41996" w14:paraId="6A0D7781" w14:textId="77777777" w:rsidTr="00E55CC9">
        <w:trPr>
          <w:trHeight w:val="315"/>
        </w:trPr>
        <w:tc>
          <w:tcPr>
            <w:tcW w:w="4777" w:type="dxa"/>
            <w:tcBorders>
              <w:top w:val="nil"/>
              <w:left w:val="nil"/>
              <w:bottom w:val="nil"/>
              <w:right w:val="nil"/>
            </w:tcBorders>
            <w:noWrap/>
            <w:vAlign w:val="center"/>
            <w:hideMark/>
          </w:tcPr>
          <w:p w14:paraId="136D4448"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Thyroid stimulating hormone (μIU/mL)</w:t>
            </w:r>
          </w:p>
        </w:tc>
        <w:tc>
          <w:tcPr>
            <w:tcW w:w="2126" w:type="dxa"/>
            <w:tcBorders>
              <w:top w:val="nil"/>
              <w:left w:val="nil"/>
              <w:bottom w:val="nil"/>
              <w:right w:val="nil"/>
            </w:tcBorders>
            <w:noWrap/>
            <w:vAlign w:val="center"/>
            <w:hideMark/>
          </w:tcPr>
          <w:p w14:paraId="61E1315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0.025</w:t>
            </w:r>
          </w:p>
        </w:tc>
        <w:tc>
          <w:tcPr>
            <w:tcW w:w="1843" w:type="dxa"/>
            <w:tcBorders>
              <w:top w:val="nil"/>
              <w:left w:val="nil"/>
              <w:bottom w:val="nil"/>
              <w:right w:val="nil"/>
            </w:tcBorders>
            <w:noWrap/>
            <w:vAlign w:val="center"/>
            <w:hideMark/>
          </w:tcPr>
          <w:p w14:paraId="172E660B"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0.541-4.261</w:t>
            </w:r>
          </w:p>
        </w:tc>
      </w:tr>
      <w:tr w:rsidR="002D242D" w:rsidRPr="00D41996" w14:paraId="27FB8073" w14:textId="77777777" w:rsidTr="00E55CC9">
        <w:trPr>
          <w:trHeight w:val="315"/>
        </w:trPr>
        <w:tc>
          <w:tcPr>
            <w:tcW w:w="4777" w:type="dxa"/>
            <w:tcBorders>
              <w:top w:val="nil"/>
              <w:left w:val="nil"/>
              <w:bottom w:val="nil"/>
              <w:right w:val="nil"/>
            </w:tcBorders>
            <w:noWrap/>
            <w:vAlign w:val="center"/>
            <w:hideMark/>
          </w:tcPr>
          <w:p w14:paraId="21AE82F5"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Free triiodothyronine (pg/mL)</w:t>
            </w:r>
          </w:p>
        </w:tc>
        <w:tc>
          <w:tcPr>
            <w:tcW w:w="2126" w:type="dxa"/>
            <w:tcBorders>
              <w:top w:val="nil"/>
              <w:left w:val="nil"/>
              <w:bottom w:val="nil"/>
              <w:right w:val="nil"/>
            </w:tcBorders>
            <w:noWrap/>
            <w:vAlign w:val="center"/>
            <w:hideMark/>
          </w:tcPr>
          <w:p w14:paraId="3EE2A47B"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1.89</w:t>
            </w:r>
          </w:p>
        </w:tc>
        <w:tc>
          <w:tcPr>
            <w:tcW w:w="1843" w:type="dxa"/>
            <w:tcBorders>
              <w:top w:val="nil"/>
              <w:left w:val="nil"/>
              <w:bottom w:val="nil"/>
              <w:right w:val="nil"/>
            </w:tcBorders>
            <w:noWrap/>
            <w:vAlign w:val="center"/>
            <w:hideMark/>
          </w:tcPr>
          <w:p w14:paraId="17CCD45C"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2.39-4.06</w:t>
            </w:r>
          </w:p>
        </w:tc>
      </w:tr>
      <w:tr w:rsidR="002D242D" w:rsidRPr="00D41996" w14:paraId="6D82E833" w14:textId="77777777" w:rsidTr="00E55CC9">
        <w:trPr>
          <w:trHeight w:val="315"/>
        </w:trPr>
        <w:tc>
          <w:tcPr>
            <w:tcW w:w="4777" w:type="dxa"/>
            <w:tcBorders>
              <w:top w:val="nil"/>
              <w:left w:val="nil"/>
              <w:bottom w:val="nil"/>
              <w:right w:val="nil"/>
            </w:tcBorders>
            <w:noWrap/>
            <w:vAlign w:val="center"/>
            <w:hideMark/>
          </w:tcPr>
          <w:p w14:paraId="767B8A00"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Free thyroxine (ng/mL)</w:t>
            </w:r>
          </w:p>
        </w:tc>
        <w:tc>
          <w:tcPr>
            <w:tcW w:w="2126" w:type="dxa"/>
            <w:tcBorders>
              <w:top w:val="nil"/>
              <w:left w:val="nil"/>
              <w:bottom w:val="nil"/>
              <w:right w:val="nil"/>
            </w:tcBorders>
            <w:noWrap/>
            <w:vAlign w:val="center"/>
            <w:hideMark/>
          </w:tcPr>
          <w:p w14:paraId="7C6A141D"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0.53</w:t>
            </w:r>
          </w:p>
        </w:tc>
        <w:tc>
          <w:tcPr>
            <w:tcW w:w="1843" w:type="dxa"/>
            <w:tcBorders>
              <w:top w:val="nil"/>
              <w:left w:val="nil"/>
              <w:bottom w:val="nil"/>
              <w:right w:val="nil"/>
            </w:tcBorders>
            <w:noWrap/>
            <w:vAlign w:val="center"/>
            <w:hideMark/>
          </w:tcPr>
          <w:p w14:paraId="0C928EF4"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0.72-1.52</w:t>
            </w:r>
          </w:p>
        </w:tc>
      </w:tr>
      <w:tr w:rsidR="002D242D" w:rsidRPr="00D41996" w14:paraId="0B557059" w14:textId="77777777" w:rsidTr="00E55CC9">
        <w:trPr>
          <w:trHeight w:val="315"/>
        </w:trPr>
        <w:tc>
          <w:tcPr>
            <w:tcW w:w="4777" w:type="dxa"/>
            <w:tcBorders>
              <w:top w:val="nil"/>
              <w:left w:val="nil"/>
              <w:bottom w:val="nil"/>
              <w:right w:val="nil"/>
            </w:tcBorders>
            <w:noWrap/>
            <w:vAlign w:val="center"/>
            <w:hideMark/>
          </w:tcPr>
          <w:p w14:paraId="5212EA42"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IgG (mg/dL)</w:t>
            </w:r>
          </w:p>
        </w:tc>
        <w:tc>
          <w:tcPr>
            <w:tcW w:w="2126" w:type="dxa"/>
            <w:tcBorders>
              <w:top w:val="nil"/>
              <w:left w:val="nil"/>
              <w:bottom w:val="nil"/>
              <w:right w:val="nil"/>
            </w:tcBorders>
            <w:noWrap/>
            <w:vAlign w:val="center"/>
            <w:hideMark/>
          </w:tcPr>
          <w:p w14:paraId="3AB1B806"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1857</w:t>
            </w:r>
          </w:p>
        </w:tc>
        <w:tc>
          <w:tcPr>
            <w:tcW w:w="1843" w:type="dxa"/>
            <w:tcBorders>
              <w:top w:val="nil"/>
              <w:left w:val="nil"/>
              <w:bottom w:val="nil"/>
              <w:right w:val="nil"/>
            </w:tcBorders>
            <w:noWrap/>
            <w:vAlign w:val="center"/>
            <w:hideMark/>
          </w:tcPr>
          <w:p w14:paraId="4EED940C"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870-1700</w:t>
            </w:r>
          </w:p>
        </w:tc>
      </w:tr>
      <w:tr w:rsidR="002D242D" w:rsidRPr="00D41996" w14:paraId="062F8399" w14:textId="77777777" w:rsidTr="00E55CC9">
        <w:trPr>
          <w:trHeight w:val="315"/>
        </w:trPr>
        <w:tc>
          <w:tcPr>
            <w:tcW w:w="4777" w:type="dxa"/>
            <w:tcBorders>
              <w:top w:val="nil"/>
              <w:left w:val="nil"/>
              <w:bottom w:val="nil"/>
              <w:right w:val="nil"/>
            </w:tcBorders>
            <w:noWrap/>
            <w:vAlign w:val="center"/>
            <w:hideMark/>
          </w:tcPr>
          <w:p w14:paraId="67C3AD98"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IgA (mg/dL)</w:t>
            </w:r>
          </w:p>
        </w:tc>
        <w:tc>
          <w:tcPr>
            <w:tcW w:w="2126" w:type="dxa"/>
            <w:tcBorders>
              <w:top w:val="nil"/>
              <w:left w:val="nil"/>
              <w:bottom w:val="nil"/>
              <w:right w:val="nil"/>
            </w:tcBorders>
            <w:noWrap/>
            <w:vAlign w:val="center"/>
            <w:hideMark/>
          </w:tcPr>
          <w:p w14:paraId="58E780F3"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438</w:t>
            </w:r>
          </w:p>
        </w:tc>
        <w:tc>
          <w:tcPr>
            <w:tcW w:w="1843" w:type="dxa"/>
            <w:tcBorders>
              <w:top w:val="nil"/>
              <w:left w:val="nil"/>
              <w:bottom w:val="nil"/>
              <w:right w:val="nil"/>
            </w:tcBorders>
            <w:noWrap/>
            <w:vAlign w:val="center"/>
            <w:hideMark/>
          </w:tcPr>
          <w:p w14:paraId="444AD739"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110-410</w:t>
            </w:r>
          </w:p>
        </w:tc>
      </w:tr>
      <w:tr w:rsidR="002D242D" w:rsidRPr="00D41996" w14:paraId="06DA31ED" w14:textId="77777777" w:rsidTr="00E55CC9">
        <w:trPr>
          <w:trHeight w:val="315"/>
        </w:trPr>
        <w:tc>
          <w:tcPr>
            <w:tcW w:w="4777" w:type="dxa"/>
            <w:tcBorders>
              <w:top w:val="nil"/>
              <w:left w:val="nil"/>
              <w:bottom w:val="nil"/>
              <w:right w:val="nil"/>
            </w:tcBorders>
            <w:noWrap/>
            <w:vAlign w:val="center"/>
            <w:hideMark/>
          </w:tcPr>
          <w:p w14:paraId="67D8288C"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IgM (mg/dL)</w:t>
            </w:r>
          </w:p>
        </w:tc>
        <w:tc>
          <w:tcPr>
            <w:tcW w:w="2126" w:type="dxa"/>
            <w:tcBorders>
              <w:top w:val="nil"/>
              <w:left w:val="nil"/>
              <w:bottom w:val="nil"/>
              <w:right w:val="nil"/>
            </w:tcBorders>
            <w:noWrap/>
            <w:vAlign w:val="center"/>
            <w:hideMark/>
          </w:tcPr>
          <w:p w14:paraId="6A9863E4" w14:textId="77777777" w:rsidR="002D242D" w:rsidRPr="00D41996" w:rsidRDefault="002D242D" w:rsidP="00D41996">
            <w:pPr>
              <w:adjustRightInd w:val="0"/>
              <w:snapToGrid w:val="0"/>
              <w:spacing w:line="360" w:lineRule="auto"/>
              <w:jc w:val="both"/>
              <w:rPr>
                <w:rFonts w:ascii="Book Antiqua" w:eastAsia="Yu Gothic" w:hAnsi="Book Antiqua" w:cs="Arial"/>
              </w:rPr>
            </w:pPr>
            <w:r w:rsidRPr="00D41996">
              <w:rPr>
                <w:rFonts w:ascii="Book Antiqua" w:eastAsia="Yu Gothic" w:hAnsi="Book Antiqua" w:cs="Arial"/>
              </w:rPr>
              <w:t>65</w:t>
            </w:r>
          </w:p>
        </w:tc>
        <w:tc>
          <w:tcPr>
            <w:tcW w:w="1843" w:type="dxa"/>
            <w:tcBorders>
              <w:top w:val="nil"/>
              <w:left w:val="nil"/>
              <w:bottom w:val="nil"/>
              <w:right w:val="nil"/>
            </w:tcBorders>
            <w:noWrap/>
            <w:vAlign w:val="center"/>
            <w:hideMark/>
          </w:tcPr>
          <w:p w14:paraId="733D0448"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35-220</w:t>
            </w:r>
          </w:p>
        </w:tc>
      </w:tr>
      <w:tr w:rsidR="002D242D" w:rsidRPr="00D41996" w14:paraId="5818E4C1" w14:textId="77777777" w:rsidTr="00E55CC9">
        <w:trPr>
          <w:trHeight w:val="315"/>
        </w:trPr>
        <w:tc>
          <w:tcPr>
            <w:tcW w:w="4777" w:type="dxa"/>
            <w:tcBorders>
              <w:top w:val="nil"/>
              <w:left w:val="nil"/>
              <w:bottom w:val="nil"/>
              <w:right w:val="nil"/>
            </w:tcBorders>
            <w:noWrap/>
            <w:vAlign w:val="center"/>
            <w:hideMark/>
          </w:tcPr>
          <w:p w14:paraId="7BB9F6A2"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APTT (Seconds)</w:t>
            </w:r>
          </w:p>
        </w:tc>
        <w:tc>
          <w:tcPr>
            <w:tcW w:w="2126" w:type="dxa"/>
            <w:tcBorders>
              <w:top w:val="nil"/>
              <w:left w:val="nil"/>
              <w:bottom w:val="nil"/>
              <w:right w:val="nil"/>
            </w:tcBorders>
            <w:noWrap/>
            <w:vAlign w:val="center"/>
            <w:hideMark/>
          </w:tcPr>
          <w:p w14:paraId="2837A521"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35.7</w:t>
            </w:r>
          </w:p>
        </w:tc>
        <w:tc>
          <w:tcPr>
            <w:tcW w:w="1843" w:type="dxa"/>
            <w:tcBorders>
              <w:top w:val="nil"/>
              <w:left w:val="nil"/>
              <w:bottom w:val="nil"/>
              <w:right w:val="nil"/>
            </w:tcBorders>
            <w:noWrap/>
            <w:vAlign w:val="center"/>
            <w:hideMark/>
          </w:tcPr>
          <w:p w14:paraId="79C6BBA0"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26.1-35.6</w:t>
            </w:r>
          </w:p>
        </w:tc>
      </w:tr>
      <w:tr w:rsidR="002D242D" w:rsidRPr="00D41996" w14:paraId="3950E72C" w14:textId="77777777" w:rsidTr="00E55CC9">
        <w:trPr>
          <w:trHeight w:val="315"/>
        </w:trPr>
        <w:tc>
          <w:tcPr>
            <w:tcW w:w="4777" w:type="dxa"/>
            <w:tcBorders>
              <w:top w:val="nil"/>
              <w:left w:val="nil"/>
              <w:bottom w:val="nil"/>
              <w:right w:val="nil"/>
            </w:tcBorders>
            <w:noWrap/>
            <w:vAlign w:val="center"/>
            <w:hideMark/>
          </w:tcPr>
          <w:p w14:paraId="4E0CB53A"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PT (INR)</w:t>
            </w:r>
          </w:p>
        </w:tc>
        <w:tc>
          <w:tcPr>
            <w:tcW w:w="2126" w:type="dxa"/>
            <w:tcBorders>
              <w:top w:val="nil"/>
              <w:left w:val="nil"/>
              <w:bottom w:val="nil"/>
              <w:right w:val="nil"/>
            </w:tcBorders>
            <w:noWrap/>
            <w:vAlign w:val="center"/>
            <w:hideMark/>
          </w:tcPr>
          <w:p w14:paraId="5891483D"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w:t>
            </w:r>
          </w:p>
        </w:tc>
        <w:tc>
          <w:tcPr>
            <w:tcW w:w="1843" w:type="dxa"/>
            <w:tcBorders>
              <w:top w:val="nil"/>
              <w:left w:val="nil"/>
              <w:bottom w:val="nil"/>
              <w:right w:val="nil"/>
            </w:tcBorders>
            <w:noWrap/>
            <w:vAlign w:val="center"/>
            <w:hideMark/>
          </w:tcPr>
          <w:p w14:paraId="588D21A7"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0.8-1.18</w:t>
            </w:r>
          </w:p>
        </w:tc>
      </w:tr>
      <w:tr w:rsidR="002D242D" w:rsidRPr="00D41996" w14:paraId="6CCABA2C" w14:textId="77777777" w:rsidTr="00E55CC9">
        <w:trPr>
          <w:trHeight w:val="315"/>
        </w:trPr>
        <w:tc>
          <w:tcPr>
            <w:tcW w:w="4777" w:type="dxa"/>
            <w:tcBorders>
              <w:top w:val="nil"/>
              <w:left w:val="nil"/>
              <w:bottom w:val="nil"/>
              <w:right w:val="nil"/>
            </w:tcBorders>
            <w:noWrap/>
            <w:vAlign w:val="center"/>
            <w:hideMark/>
          </w:tcPr>
          <w:p w14:paraId="6FC16536"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lastRenderedPageBreak/>
              <w:t>Fibrinogen (mg/dL)</w:t>
            </w:r>
          </w:p>
        </w:tc>
        <w:tc>
          <w:tcPr>
            <w:tcW w:w="2126" w:type="dxa"/>
            <w:tcBorders>
              <w:top w:val="nil"/>
              <w:left w:val="nil"/>
              <w:bottom w:val="nil"/>
              <w:right w:val="nil"/>
            </w:tcBorders>
            <w:noWrap/>
            <w:vAlign w:val="center"/>
            <w:hideMark/>
          </w:tcPr>
          <w:p w14:paraId="6954CDD6"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426</w:t>
            </w:r>
          </w:p>
        </w:tc>
        <w:tc>
          <w:tcPr>
            <w:tcW w:w="1843" w:type="dxa"/>
            <w:tcBorders>
              <w:top w:val="nil"/>
              <w:left w:val="nil"/>
              <w:bottom w:val="nil"/>
              <w:right w:val="nil"/>
            </w:tcBorders>
            <w:noWrap/>
            <w:vAlign w:val="center"/>
            <w:hideMark/>
          </w:tcPr>
          <w:p w14:paraId="75698971"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200-400</w:t>
            </w:r>
          </w:p>
        </w:tc>
      </w:tr>
      <w:tr w:rsidR="002D242D" w:rsidRPr="00D41996" w14:paraId="41791F36" w14:textId="77777777" w:rsidTr="00E55CC9">
        <w:trPr>
          <w:trHeight w:val="315"/>
        </w:trPr>
        <w:tc>
          <w:tcPr>
            <w:tcW w:w="4777" w:type="dxa"/>
            <w:tcBorders>
              <w:top w:val="nil"/>
              <w:left w:val="nil"/>
              <w:bottom w:val="nil"/>
              <w:right w:val="nil"/>
            </w:tcBorders>
            <w:noWrap/>
            <w:vAlign w:val="center"/>
            <w:hideMark/>
          </w:tcPr>
          <w:p w14:paraId="38550938"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D-dimer (μg/mL)</w:t>
            </w:r>
          </w:p>
        </w:tc>
        <w:tc>
          <w:tcPr>
            <w:tcW w:w="2126" w:type="dxa"/>
            <w:tcBorders>
              <w:top w:val="nil"/>
              <w:left w:val="nil"/>
              <w:bottom w:val="nil"/>
              <w:right w:val="nil"/>
            </w:tcBorders>
            <w:noWrap/>
            <w:vAlign w:val="center"/>
            <w:hideMark/>
          </w:tcPr>
          <w:p w14:paraId="314F7E17"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1.28</w:t>
            </w:r>
          </w:p>
        </w:tc>
        <w:tc>
          <w:tcPr>
            <w:tcW w:w="1843" w:type="dxa"/>
            <w:tcBorders>
              <w:top w:val="nil"/>
              <w:left w:val="nil"/>
              <w:bottom w:val="nil"/>
              <w:right w:val="nil"/>
            </w:tcBorders>
            <w:noWrap/>
            <w:vAlign w:val="center"/>
            <w:hideMark/>
          </w:tcPr>
          <w:p w14:paraId="51A4FC8A"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0-1</w:t>
            </w:r>
          </w:p>
        </w:tc>
      </w:tr>
      <w:tr w:rsidR="002D242D" w:rsidRPr="00D41996" w14:paraId="0114FD57" w14:textId="77777777" w:rsidTr="00E55CC9">
        <w:trPr>
          <w:trHeight w:val="315"/>
        </w:trPr>
        <w:tc>
          <w:tcPr>
            <w:tcW w:w="4777" w:type="dxa"/>
            <w:tcBorders>
              <w:top w:val="nil"/>
              <w:left w:val="nil"/>
              <w:bottom w:val="nil"/>
              <w:right w:val="nil"/>
            </w:tcBorders>
            <w:noWrap/>
            <w:vAlign w:val="center"/>
            <w:hideMark/>
          </w:tcPr>
          <w:p w14:paraId="5EAF35BA"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CH</w:t>
            </w:r>
            <w:r w:rsidRPr="00D41996">
              <w:rPr>
                <w:rFonts w:ascii="Book Antiqua" w:eastAsia="Yu Gothic" w:hAnsi="Book Antiqua" w:cs="Arial"/>
                <w:color w:val="000000"/>
                <w:vertAlign w:val="subscript"/>
              </w:rPr>
              <w:t>50</w:t>
            </w:r>
            <w:r w:rsidRPr="00D41996">
              <w:rPr>
                <w:rFonts w:ascii="Book Antiqua" w:eastAsia="Yu Gothic" w:hAnsi="Book Antiqua" w:cs="Arial"/>
                <w:color w:val="000000"/>
              </w:rPr>
              <w:t xml:space="preserve"> (U/mL)</w:t>
            </w:r>
          </w:p>
        </w:tc>
        <w:tc>
          <w:tcPr>
            <w:tcW w:w="2126" w:type="dxa"/>
            <w:tcBorders>
              <w:top w:val="nil"/>
              <w:left w:val="nil"/>
              <w:bottom w:val="nil"/>
              <w:right w:val="nil"/>
            </w:tcBorders>
            <w:noWrap/>
            <w:vAlign w:val="center"/>
            <w:hideMark/>
          </w:tcPr>
          <w:p w14:paraId="02AD1BFB"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54</w:t>
            </w:r>
          </w:p>
        </w:tc>
        <w:tc>
          <w:tcPr>
            <w:tcW w:w="1843" w:type="dxa"/>
            <w:tcBorders>
              <w:top w:val="nil"/>
              <w:left w:val="nil"/>
              <w:bottom w:val="nil"/>
              <w:right w:val="nil"/>
            </w:tcBorders>
            <w:noWrap/>
            <w:vAlign w:val="center"/>
            <w:hideMark/>
          </w:tcPr>
          <w:p w14:paraId="461725E1"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30-45</w:t>
            </w:r>
          </w:p>
        </w:tc>
      </w:tr>
      <w:tr w:rsidR="002D242D" w:rsidRPr="00D41996" w14:paraId="19477C22" w14:textId="77777777" w:rsidTr="00E55CC9">
        <w:trPr>
          <w:trHeight w:val="315"/>
        </w:trPr>
        <w:tc>
          <w:tcPr>
            <w:tcW w:w="4777" w:type="dxa"/>
            <w:tcBorders>
              <w:top w:val="nil"/>
              <w:left w:val="nil"/>
              <w:bottom w:val="nil"/>
              <w:right w:val="nil"/>
            </w:tcBorders>
            <w:noWrap/>
            <w:vAlign w:val="center"/>
            <w:hideMark/>
          </w:tcPr>
          <w:p w14:paraId="1D47997F"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Antinuclear antibody (Times)</w:t>
            </w:r>
          </w:p>
        </w:tc>
        <w:tc>
          <w:tcPr>
            <w:tcW w:w="2126" w:type="dxa"/>
            <w:tcBorders>
              <w:top w:val="nil"/>
              <w:left w:val="nil"/>
              <w:bottom w:val="nil"/>
              <w:right w:val="nil"/>
            </w:tcBorders>
            <w:noWrap/>
            <w:vAlign w:val="center"/>
            <w:hideMark/>
          </w:tcPr>
          <w:p w14:paraId="5ED85B07"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&lt; 40</w:t>
            </w:r>
          </w:p>
        </w:tc>
        <w:tc>
          <w:tcPr>
            <w:tcW w:w="1843" w:type="dxa"/>
            <w:tcBorders>
              <w:top w:val="nil"/>
              <w:left w:val="nil"/>
              <w:bottom w:val="nil"/>
              <w:right w:val="nil"/>
            </w:tcBorders>
            <w:noWrap/>
            <w:vAlign w:val="center"/>
            <w:hideMark/>
          </w:tcPr>
          <w:p w14:paraId="2D29023C"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&lt; 40</w:t>
            </w:r>
          </w:p>
        </w:tc>
      </w:tr>
      <w:tr w:rsidR="002D242D" w:rsidRPr="00D41996" w14:paraId="6EE956DE" w14:textId="77777777" w:rsidTr="00E55CC9">
        <w:trPr>
          <w:trHeight w:val="315"/>
        </w:trPr>
        <w:tc>
          <w:tcPr>
            <w:tcW w:w="4777" w:type="dxa"/>
            <w:tcBorders>
              <w:top w:val="nil"/>
              <w:left w:val="nil"/>
              <w:bottom w:val="nil"/>
              <w:right w:val="nil"/>
            </w:tcBorders>
            <w:noWrap/>
            <w:vAlign w:val="center"/>
            <w:hideMark/>
          </w:tcPr>
          <w:p w14:paraId="6671F100"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Free light chain κ/λ ratio</w:t>
            </w:r>
          </w:p>
        </w:tc>
        <w:tc>
          <w:tcPr>
            <w:tcW w:w="2126" w:type="dxa"/>
            <w:tcBorders>
              <w:top w:val="nil"/>
              <w:left w:val="nil"/>
              <w:bottom w:val="nil"/>
              <w:right w:val="nil"/>
            </w:tcBorders>
            <w:noWrap/>
            <w:vAlign w:val="center"/>
            <w:hideMark/>
          </w:tcPr>
          <w:p w14:paraId="3C37863C"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1.51</w:t>
            </w:r>
          </w:p>
        </w:tc>
        <w:tc>
          <w:tcPr>
            <w:tcW w:w="1843" w:type="dxa"/>
            <w:tcBorders>
              <w:top w:val="nil"/>
              <w:left w:val="nil"/>
              <w:bottom w:val="nil"/>
              <w:right w:val="nil"/>
            </w:tcBorders>
            <w:noWrap/>
            <w:vAlign w:val="center"/>
            <w:hideMark/>
          </w:tcPr>
          <w:p w14:paraId="39258197"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0.26-1.65</w:t>
            </w:r>
          </w:p>
        </w:tc>
      </w:tr>
      <w:tr w:rsidR="002D242D" w:rsidRPr="00D41996" w14:paraId="0AC1FBC0" w14:textId="77777777" w:rsidTr="00E55CC9">
        <w:trPr>
          <w:trHeight w:val="315"/>
        </w:trPr>
        <w:tc>
          <w:tcPr>
            <w:tcW w:w="4777" w:type="dxa"/>
            <w:tcBorders>
              <w:top w:val="nil"/>
              <w:left w:val="nil"/>
              <w:bottom w:val="nil"/>
              <w:right w:val="nil"/>
            </w:tcBorders>
            <w:noWrap/>
            <w:vAlign w:val="center"/>
            <w:hideMark/>
          </w:tcPr>
          <w:p w14:paraId="1BAC4D07" w14:textId="5B2DE857" w:rsidR="002D242D" w:rsidRPr="00D41996" w:rsidRDefault="009F2A83" w:rsidP="00D41996">
            <w:pPr>
              <w:adjustRightInd w:val="0"/>
              <w:snapToGrid w:val="0"/>
              <w:spacing w:line="360" w:lineRule="auto"/>
              <w:jc w:val="both"/>
              <w:rPr>
                <w:rFonts w:ascii="Book Antiqua" w:eastAsia="Yu Gothic" w:hAnsi="Book Antiqua" w:cs="Arial"/>
                <w:color w:val="000000"/>
              </w:rPr>
            </w:pPr>
            <w:r>
              <w:rPr>
                <w:rFonts w:ascii="Book Antiqua" w:eastAsia="Yu Gothic" w:hAnsi="Book Antiqua" w:cs="Arial"/>
                <w:color w:val="000000"/>
              </w:rPr>
              <w:t>Urine qualitative/</w:t>
            </w:r>
            <w:r w:rsidR="002D242D" w:rsidRPr="00D41996">
              <w:rPr>
                <w:rFonts w:ascii="Book Antiqua" w:eastAsia="Yu Gothic" w:hAnsi="Book Antiqua" w:cs="Arial"/>
                <w:color w:val="000000"/>
              </w:rPr>
              <w:t>sediment</w:t>
            </w:r>
          </w:p>
        </w:tc>
        <w:tc>
          <w:tcPr>
            <w:tcW w:w="2126" w:type="dxa"/>
            <w:tcBorders>
              <w:top w:val="nil"/>
              <w:left w:val="nil"/>
              <w:bottom w:val="nil"/>
              <w:right w:val="nil"/>
            </w:tcBorders>
            <w:noWrap/>
            <w:vAlign w:val="center"/>
            <w:hideMark/>
          </w:tcPr>
          <w:p w14:paraId="3C13CE4D"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Normal</w:t>
            </w:r>
          </w:p>
        </w:tc>
        <w:tc>
          <w:tcPr>
            <w:tcW w:w="1843" w:type="dxa"/>
            <w:tcBorders>
              <w:top w:val="nil"/>
              <w:left w:val="nil"/>
              <w:bottom w:val="nil"/>
              <w:right w:val="nil"/>
            </w:tcBorders>
            <w:noWrap/>
            <w:vAlign w:val="center"/>
            <w:hideMark/>
          </w:tcPr>
          <w:p w14:paraId="5EDE21C2"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Normal</w:t>
            </w:r>
          </w:p>
        </w:tc>
      </w:tr>
      <w:tr w:rsidR="002D242D" w:rsidRPr="00D41996" w14:paraId="244B8A81" w14:textId="77777777" w:rsidTr="00E55CC9">
        <w:trPr>
          <w:trHeight w:val="315"/>
        </w:trPr>
        <w:tc>
          <w:tcPr>
            <w:tcW w:w="4777" w:type="dxa"/>
            <w:tcBorders>
              <w:top w:val="nil"/>
              <w:left w:val="nil"/>
              <w:bottom w:val="nil"/>
              <w:right w:val="nil"/>
            </w:tcBorders>
            <w:noWrap/>
            <w:vAlign w:val="center"/>
            <w:hideMark/>
          </w:tcPr>
          <w:p w14:paraId="728ABBF9"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Fecal occult blood-1</w:t>
            </w:r>
          </w:p>
        </w:tc>
        <w:tc>
          <w:tcPr>
            <w:tcW w:w="2126" w:type="dxa"/>
            <w:tcBorders>
              <w:top w:val="nil"/>
              <w:left w:val="nil"/>
              <w:bottom w:val="nil"/>
              <w:right w:val="nil"/>
            </w:tcBorders>
            <w:noWrap/>
            <w:vAlign w:val="center"/>
            <w:hideMark/>
          </w:tcPr>
          <w:p w14:paraId="4F5A4727" w14:textId="31E8FDED"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w:t>
            </w:r>
            <w:r w:rsidR="00E55CC9" w:rsidRPr="00D41996">
              <w:rPr>
                <w:rFonts w:ascii="Book Antiqua" w:hAnsi="Book Antiqua" w:cs="Arial"/>
                <w:color w:val="000000"/>
                <w:lang w:eastAsia="zh-CN"/>
              </w:rPr>
              <w:t>-</w:t>
            </w:r>
            <w:r w:rsidRPr="00D41996">
              <w:rPr>
                <w:rFonts w:ascii="Book Antiqua" w:eastAsia="Yu Gothic" w:hAnsi="Book Antiqua" w:cs="Arial"/>
                <w:color w:val="000000"/>
              </w:rPr>
              <w:t>)</w:t>
            </w:r>
          </w:p>
        </w:tc>
        <w:tc>
          <w:tcPr>
            <w:tcW w:w="1843" w:type="dxa"/>
            <w:tcBorders>
              <w:top w:val="nil"/>
              <w:left w:val="nil"/>
              <w:bottom w:val="nil"/>
              <w:right w:val="nil"/>
            </w:tcBorders>
            <w:noWrap/>
            <w:vAlign w:val="center"/>
            <w:hideMark/>
          </w:tcPr>
          <w:p w14:paraId="55687B35" w14:textId="7C206DA1"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w:t>
            </w:r>
            <w:r w:rsidR="00E55CC9" w:rsidRPr="00D41996">
              <w:rPr>
                <w:rFonts w:ascii="Book Antiqua" w:hAnsi="Book Antiqua" w:cs="Arial"/>
                <w:color w:val="000000"/>
                <w:lang w:eastAsia="zh-CN"/>
              </w:rPr>
              <w:t>-</w:t>
            </w:r>
            <w:r w:rsidRPr="00D41996">
              <w:rPr>
                <w:rFonts w:ascii="Book Antiqua" w:eastAsia="Yu Gothic" w:hAnsi="Book Antiqua" w:cs="Arial"/>
                <w:color w:val="000000"/>
              </w:rPr>
              <w:t>)</w:t>
            </w:r>
          </w:p>
        </w:tc>
      </w:tr>
      <w:tr w:rsidR="002D242D" w:rsidRPr="00D41996" w14:paraId="5AAAEDB7" w14:textId="77777777" w:rsidTr="00E55CC9">
        <w:trPr>
          <w:trHeight w:val="315"/>
        </w:trPr>
        <w:tc>
          <w:tcPr>
            <w:tcW w:w="4777" w:type="dxa"/>
            <w:tcBorders>
              <w:top w:val="nil"/>
              <w:left w:val="nil"/>
              <w:bottom w:val="single" w:sz="4" w:space="0" w:color="auto"/>
              <w:right w:val="nil"/>
            </w:tcBorders>
            <w:noWrap/>
            <w:vAlign w:val="center"/>
            <w:hideMark/>
          </w:tcPr>
          <w:p w14:paraId="010D4013" w14:textId="7777777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Fecal occult blood-2</w:t>
            </w:r>
          </w:p>
        </w:tc>
        <w:tc>
          <w:tcPr>
            <w:tcW w:w="2126" w:type="dxa"/>
            <w:tcBorders>
              <w:top w:val="nil"/>
              <w:left w:val="nil"/>
              <w:bottom w:val="single" w:sz="4" w:space="0" w:color="auto"/>
              <w:right w:val="nil"/>
            </w:tcBorders>
            <w:noWrap/>
            <w:vAlign w:val="center"/>
            <w:hideMark/>
          </w:tcPr>
          <w:p w14:paraId="745FB7C5" w14:textId="06B4E0A7"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w:t>
            </w:r>
            <w:r w:rsidR="00E55CC9" w:rsidRPr="00D41996">
              <w:rPr>
                <w:rFonts w:ascii="Book Antiqua" w:hAnsi="Book Antiqua" w:cs="Arial"/>
                <w:color w:val="000000"/>
                <w:lang w:eastAsia="zh-CN"/>
              </w:rPr>
              <w:t>-</w:t>
            </w:r>
            <w:r w:rsidRPr="00D41996">
              <w:rPr>
                <w:rFonts w:ascii="Book Antiqua" w:eastAsia="Yu Gothic" w:hAnsi="Book Antiqua" w:cs="Arial"/>
                <w:color w:val="000000"/>
              </w:rPr>
              <w:t>)</w:t>
            </w:r>
          </w:p>
        </w:tc>
        <w:tc>
          <w:tcPr>
            <w:tcW w:w="1843" w:type="dxa"/>
            <w:tcBorders>
              <w:top w:val="nil"/>
              <w:left w:val="nil"/>
              <w:bottom w:val="single" w:sz="4" w:space="0" w:color="auto"/>
              <w:right w:val="nil"/>
            </w:tcBorders>
            <w:noWrap/>
            <w:vAlign w:val="center"/>
            <w:hideMark/>
          </w:tcPr>
          <w:p w14:paraId="1719FA7B" w14:textId="3546B68C" w:rsidR="002D242D" w:rsidRPr="00D41996" w:rsidRDefault="002D242D" w:rsidP="00D41996">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w:t>
            </w:r>
            <w:r w:rsidR="00E55CC9" w:rsidRPr="00D41996">
              <w:rPr>
                <w:rFonts w:ascii="Book Antiqua" w:hAnsi="Book Antiqua" w:cs="Arial"/>
                <w:color w:val="000000"/>
                <w:lang w:eastAsia="zh-CN"/>
              </w:rPr>
              <w:t>-</w:t>
            </w:r>
            <w:r w:rsidRPr="00D41996">
              <w:rPr>
                <w:rFonts w:ascii="Book Antiqua" w:eastAsia="Yu Gothic" w:hAnsi="Book Antiqua" w:cs="Arial"/>
                <w:color w:val="000000"/>
              </w:rPr>
              <w:t>)</w:t>
            </w:r>
          </w:p>
        </w:tc>
      </w:tr>
    </w:tbl>
    <w:p w14:paraId="27466DA4" w14:textId="1CA1E418" w:rsidR="00437C0E" w:rsidRDefault="0001246F" w:rsidP="009F2A83">
      <w:pPr>
        <w:adjustRightInd w:val="0"/>
        <w:snapToGrid w:val="0"/>
        <w:spacing w:line="360" w:lineRule="auto"/>
        <w:jc w:val="both"/>
        <w:rPr>
          <w:rFonts w:ascii="Book Antiqua" w:eastAsia="Yu Gothic" w:hAnsi="Book Antiqua" w:cs="Arial"/>
          <w:color w:val="000000"/>
        </w:rPr>
      </w:pPr>
      <w:r w:rsidRPr="00D41996">
        <w:rPr>
          <w:rFonts w:ascii="Book Antiqua" w:eastAsia="Yu Gothic" w:hAnsi="Book Antiqua" w:cs="Arial"/>
          <w:color w:val="000000"/>
        </w:rPr>
        <w:t>APTT:</w:t>
      </w:r>
      <w:r w:rsidRPr="00D41996">
        <w:rPr>
          <w:rFonts w:ascii="Book Antiqua" w:hAnsi="Book Antiqua"/>
        </w:rPr>
        <w:t xml:space="preserve"> </w:t>
      </w:r>
      <w:r w:rsidRPr="00D41996">
        <w:rPr>
          <w:rFonts w:ascii="Book Antiqua" w:eastAsia="Yu Gothic" w:hAnsi="Book Antiqua" w:cs="Arial"/>
          <w:color w:val="000000"/>
        </w:rPr>
        <w:t>Activated partial thromboplastin time</w:t>
      </w:r>
      <w:r w:rsidRPr="00D41996">
        <w:rPr>
          <w:rFonts w:ascii="Book Antiqua" w:hAnsi="Book Antiqua"/>
          <w:lang w:eastAsia="zh-CN"/>
        </w:rPr>
        <w:t xml:space="preserve">; </w:t>
      </w:r>
      <w:r w:rsidRPr="00D41996">
        <w:rPr>
          <w:rFonts w:ascii="Book Antiqua" w:eastAsia="Yu Gothic" w:hAnsi="Book Antiqua" w:cs="Arial"/>
        </w:rPr>
        <w:t>IgA:</w:t>
      </w:r>
      <w:r w:rsidRPr="00D41996">
        <w:rPr>
          <w:rFonts w:ascii="Book Antiqua" w:hAnsi="Book Antiqua"/>
        </w:rPr>
        <w:t xml:space="preserve"> </w:t>
      </w:r>
      <w:r w:rsidRPr="00D41996">
        <w:rPr>
          <w:rFonts w:ascii="Book Antiqua" w:eastAsia="Yu Gothic" w:hAnsi="Book Antiqua" w:cs="Arial"/>
        </w:rPr>
        <w:t>Immunoglobulin A;</w:t>
      </w:r>
      <w:r>
        <w:rPr>
          <w:rFonts w:ascii="Book Antiqua" w:eastAsia="Yu Gothic" w:hAnsi="Book Antiqua" w:cs="Arial"/>
        </w:rPr>
        <w:t xml:space="preserve"> </w:t>
      </w:r>
      <w:r w:rsidR="002D242D" w:rsidRPr="00D41996">
        <w:rPr>
          <w:rFonts w:ascii="Book Antiqua" w:eastAsia="Yu Gothic" w:hAnsi="Book Antiqua" w:cs="Arial"/>
        </w:rPr>
        <w:t>IgG:</w:t>
      </w:r>
      <w:r w:rsidR="002D242D" w:rsidRPr="00D41996">
        <w:rPr>
          <w:rFonts w:ascii="Book Antiqua" w:hAnsi="Book Antiqua"/>
        </w:rPr>
        <w:t xml:space="preserve"> </w:t>
      </w:r>
      <w:r w:rsidR="002D242D" w:rsidRPr="00D41996">
        <w:rPr>
          <w:rFonts w:ascii="Book Antiqua" w:eastAsia="Yu Gothic" w:hAnsi="Book Antiqua" w:cs="Arial"/>
        </w:rPr>
        <w:t>Immunoglobulin G</w:t>
      </w:r>
      <w:r w:rsidR="002D242D" w:rsidRPr="00D41996">
        <w:rPr>
          <w:rFonts w:ascii="Book Antiqua" w:hAnsi="Book Antiqua"/>
          <w:lang w:eastAsia="zh-CN"/>
        </w:rPr>
        <w:t xml:space="preserve">; </w:t>
      </w:r>
      <w:r w:rsidR="002D242D" w:rsidRPr="00D41996">
        <w:rPr>
          <w:rFonts w:ascii="Book Antiqua" w:eastAsia="Yu Gothic" w:hAnsi="Book Antiqua" w:cs="Arial"/>
        </w:rPr>
        <w:t>IgM:</w:t>
      </w:r>
      <w:r w:rsidR="002D242D" w:rsidRPr="00D41996">
        <w:rPr>
          <w:rFonts w:ascii="Book Antiqua" w:hAnsi="Book Antiqua"/>
        </w:rPr>
        <w:t xml:space="preserve"> </w:t>
      </w:r>
      <w:r w:rsidR="002D242D" w:rsidRPr="00D41996">
        <w:rPr>
          <w:rFonts w:ascii="Book Antiqua" w:eastAsia="Yu Gothic" w:hAnsi="Book Antiqua" w:cs="Arial"/>
        </w:rPr>
        <w:t xml:space="preserve">Immunoglobulin M; </w:t>
      </w:r>
      <w:r w:rsidRPr="00D41996">
        <w:rPr>
          <w:rFonts w:ascii="Book Antiqua" w:eastAsia="Yu Gothic" w:hAnsi="Book Antiqua" w:cs="Arial"/>
          <w:color w:val="000000"/>
        </w:rPr>
        <w:t>INR:</w:t>
      </w:r>
      <w:r w:rsidRPr="00D41996">
        <w:rPr>
          <w:rFonts w:ascii="Book Antiqua" w:hAnsi="Book Antiqua"/>
        </w:rPr>
        <w:t xml:space="preserve"> </w:t>
      </w:r>
      <w:r w:rsidRPr="00D41996">
        <w:rPr>
          <w:rFonts w:ascii="Book Antiqua" w:eastAsia="Yu Gothic" w:hAnsi="Book Antiqua" w:cs="Arial"/>
          <w:color w:val="000000"/>
        </w:rPr>
        <w:t>International normalized ratio</w:t>
      </w:r>
      <w:r>
        <w:rPr>
          <w:rFonts w:ascii="Book Antiqua" w:hAnsi="Book Antiqua"/>
          <w:lang w:eastAsia="zh-CN"/>
        </w:rPr>
        <w:t xml:space="preserve">; </w:t>
      </w:r>
      <w:r w:rsidRPr="00D41996">
        <w:rPr>
          <w:rFonts w:ascii="Book Antiqua" w:eastAsia="Yu Gothic" w:hAnsi="Book Antiqua" w:cs="Arial"/>
        </w:rPr>
        <w:t>MCG:</w:t>
      </w:r>
      <w:r w:rsidRPr="00D41996">
        <w:rPr>
          <w:rFonts w:ascii="Book Antiqua" w:hAnsi="Book Antiqua"/>
        </w:rPr>
        <w:t xml:space="preserve"> </w:t>
      </w:r>
      <w:r w:rsidRPr="00D41996">
        <w:rPr>
          <w:rFonts w:ascii="Book Antiqua" w:eastAsia="Yu Gothic" w:hAnsi="Book Antiqua" w:cs="Arial"/>
        </w:rPr>
        <w:t xml:space="preserve">Magnetocardiogram; </w:t>
      </w:r>
      <w:r w:rsidR="002D242D" w:rsidRPr="00D41996">
        <w:rPr>
          <w:rFonts w:ascii="Book Antiqua" w:eastAsia="Yu Gothic" w:hAnsi="Book Antiqua" w:cs="Arial"/>
          <w:color w:val="000000"/>
        </w:rPr>
        <w:t>PT:</w:t>
      </w:r>
      <w:r w:rsidR="002D242D" w:rsidRPr="00D41996">
        <w:rPr>
          <w:rFonts w:ascii="Book Antiqua" w:hAnsi="Book Antiqua"/>
        </w:rPr>
        <w:t xml:space="preserve"> </w:t>
      </w:r>
      <w:r w:rsidR="002D242D" w:rsidRPr="00D41996">
        <w:rPr>
          <w:rFonts w:ascii="Book Antiqua" w:eastAsia="Yu Gothic" w:hAnsi="Book Antiqua" w:cs="Arial"/>
          <w:color w:val="000000"/>
        </w:rPr>
        <w:t>Prothrombin time</w:t>
      </w:r>
      <w:r>
        <w:rPr>
          <w:rFonts w:ascii="Book Antiqua" w:eastAsia="Yu Gothic" w:hAnsi="Book Antiqua" w:cs="Arial"/>
          <w:color w:val="000000"/>
        </w:rPr>
        <w:t>.</w:t>
      </w:r>
    </w:p>
    <w:p w14:paraId="09B81D6D" w14:textId="77777777" w:rsidR="00437C0E" w:rsidRDefault="00437C0E">
      <w:pPr>
        <w:rPr>
          <w:rFonts w:ascii="Book Antiqua" w:eastAsia="Yu Gothic" w:hAnsi="Book Antiqua" w:cs="Arial"/>
          <w:color w:val="000000"/>
        </w:rPr>
      </w:pPr>
      <w:r>
        <w:rPr>
          <w:rFonts w:ascii="Book Antiqua" w:eastAsia="Yu Gothic" w:hAnsi="Book Antiqua" w:cs="Arial"/>
          <w:color w:val="000000"/>
        </w:rPr>
        <w:br w:type="page"/>
      </w:r>
    </w:p>
    <w:p w14:paraId="3D9F4824" w14:textId="77777777" w:rsidR="00437C0E" w:rsidRDefault="00437C0E" w:rsidP="00437C0E">
      <w:pPr>
        <w:jc w:val="center"/>
        <w:rPr>
          <w:rFonts w:ascii="Book Antiqua" w:hAnsi="Book Antiqua"/>
          <w:lang w:eastAsia="zh-CN"/>
        </w:rPr>
      </w:pPr>
    </w:p>
    <w:p w14:paraId="229F700F" w14:textId="77777777" w:rsidR="00437C0E" w:rsidRDefault="00437C0E" w:rsidP="00437C0E">
      <w:pPr>
        <w:jc w:val="center"/>
        <w:rPr>
          <w:rFonts w:ascii="Book Antiqua" w:hAnsi="Book Antiqua"/>
          <w:lang w:eastAsia="zh-CN"/>
        </w:rPr>
      </w:pPr>
    </w:p>
    <w:p w14:paraId="599AC744" w14:textId="77777777" w:rsidR="00437C0E" w:rsidRDefault="00437C0E" w:rsidP="00437C0E">
      <w:pPr>
        <w:jc w:val="center"/>
        <w:rPr>
          <w:rFonts w:ascii="Book Antiqua" w:hAnsi="Book Antiqua"/>
          <w:lang w:eastAsia="zh-CN"/>
        </w:rPr>
      </w:pPr>
    </w:p>
    <w:p w14:paraId="21DB510C" w14:textId="77777777" w:rsidR="00437C0E" w:rsidRDefault="00437C0E" w:rsidP="00437C0E">
      <w:pPr>
        <w:jc w:val="center"/>
        <w:rPr>
          <w:rFonts w:ascii="Book Antiqua" w:hAnsi="Book Antiqua"/>
          <w:lang w:eastAsia="zh-CN"/>
        </w:rPr>
      </w:pPr>
    </w:p>
    <w:p w14:paraId="75C10EED" w14:textId="77777777" w:rsidR="00437C0E" w:rsidRDefault="00437C0E" w:rsidP="00437C0E">
      <w:pPr>
        <w:jc w:val="center"/>
        <w:rPr>
          <w:rFonts w:ascii="Book Antiqua" w:hAnsi="Book Antiqua"/>
          <w:lang w:eastAsia="zh-CN"/>
        </w:rPr>
      </w:pPr>
    </w:p>
    <w:p w14:paraId="0A668493" w14:textId="6AED71B8" w:rsidR="00437C0E" w:rsidRDefault="00437C0E" w:rsidP="00437C0E">
      <w:pPr>
        <w:jc w:val="center"/>
        <w:rPr>
          <w:rFonts w:ascii="Book Antiqua" w:hAnsi="Book Antiqua"/>
          <w:lang w:eastAsia="zh-CN"/>
        </w:rPr>
      </w:pPr>
      <w:r>
        <w:rPr>
          <w:rFonts w:ascii="Book Antiqua" w:hAnsi="Book Antiqua"/>
          <w:noProof/>
          <w:lang w:eastAsia="zh-CN"/>
        </w:rPr>
        <w:drawing>
          <wp:inline distT="0" distB="0" distL="0" distR="0" wp14:anchorId="38154413" wp14:editId="2176F04D">
            <wp:extent cx="2493010" cy="1440815"/>
            <wp:effectExtent l="0" t="0" r="254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3010" cy="1440815"/>
                    </a:xfrm>
                    <a:prstGeom prst="rect">
                      <a:avLst/>
                    </a:prstGeom>
                    <a:noFill/>
                    <a:ln>
                      <a:noFill/>
                    </a:ln>
                  </pic:spPr>
                </pic:pic>
              </a:graphicData>
            </a:graphic>
          </wp:inline>
        </w:drawing>
      </w:r>
    </w:p>
    <w:p w14:paraId="19F8B33A" w14:textId="77777777" w:rsidR="00437C0E" w:rsidRDefault="00437C0E" w:rsidP="00437C0E">
      <w:pPr>
        <w:jc w:val="center"/>
        <w:rPr>
          <w:rFonts w:ascii="Book Antiqua" w:hAnsi="Book Antiqua"/>
          <w:lang w:eastAsia="zh-CN"/>
        </w:rPr>
      </w:pPr>
    </w:p>
    <w:p w14:paraId="750077E8" w14:textId="77777777" w:rsidR="00437C0E" w:rsidRDefault="00437C0E" w:rsidP="00437C0E">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2E04F632" w14:textId="77777777" w:rsidR="00437C0E" w:rsidRDefault="00437C0E" w:rsidP="00437C0E">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0F6599D5" w14:textId="77777777" w:rsidR="00437C0E" w:rsidRDefault="00437C0E" w:rsidP="00437C0E">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47CB46A9" w14:textId="77777777" w:rsidR="00437C0E" w:rsidRDefault="00437C0E" w:rsidP="00437C0E">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5C62A9C5" w14:textId="77777777" w:rsidR="00437C0E" w:rsidRDefault="00437C0E" w:rsidP="00437C0E">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5017C561" w14:textId="77777777" w:rsidR="00437C0E" w:rsidRDefault="00437C0E" w:rsidP="00437C0E">
      <w:pPr>
        <w:jc w:val="center"/>
        <w:rPr>
          <w:rFonts w:ascii="Book Antiqua" w:hAnsi="Book Antiqua"/>
          <w:lang w:eastAsia="zh-CN"/>
        </w:rPr>
      </w:pPr>
      <w:r>
        <w:rPr>
          <w:rFonts w:ascii="Book Antiqua" w:eastAsia="TimesNewRomanPSMT" w:hAnsi="Book Antiqua" w:cs="Garamond"/>
          <w:color w:val="D56400"/>
          <w:sz w:val="28"/>
          <w:szCs w:val="28"/>
        </w:rPr>
        <w:t>https://www.wjgnet.com</w:t>
      </w:r>
    </w:p>
    <w:p w14:paraId="3AFBF9C6" w14:textId="77777777" w:rsidR="00437C0E" w:rsidRDefault="00437C0E" w:rsidP="00437C0E">
      <w:pPr>
        <w:jc w:val="center"/>
        <w:rPr>
          <w:rFonts w:ascii="Book Antiqua" w:hAnsi="Book Antiqua"/>
          <w:lang w:eastAsia="zh-CN"/>
        </w:rPr>
      </w:pPr>
    </w:p>
    <w:p w14:paraId="6FA9EB1B" w14:textId="77777777" w:rsidR="00437C0E" w:rsidRDefault="00437C0E" w:rsidP="00437C0E">
      <w:pPr>
        <w:jc w:val="center"/>
        <w:rPr>
          <w:rFonts w:ascii="Book Antiqua" w:hAnsi="Book Antiqua"/>
          <w:lang w:eastAsia="zh-CN"/>
        </w:rPr>
      </w:pPr>
    </w:p>
    <w:p w14:paraId="64AD6444" w14:textId="77777777" w:rsidR="00437C0E" w:rsidRDefault="00437C0E" w:rsidP="00437C0E">
      <w:pPr>
        <w:jc w:val="center"/>
        <w:rPr>
          <w:rFonts w:ascii="Book Antiqua" w:hAnsi="Book Antiqua"/>
          <w:lang w:eastAsia="zh-CN"/>
        </w:rPr>
      </w:pPr>
    </w:p>
    <w:p w14:paraId="6AEC6F79" w14:textId="3C07E8A9" w:rsidR="00437C0E" w:rsidRDefault="00437C0E" w:rsidP="00437C0E">
      <w:pPr>
        <w:jc w:val="center"/>
        <w:rPr>
          <w:rFonts w:ascii="Book Antiqua" w:hAnsi="Book Antiqua"/>
          <w:lang w:eastAsia="zh-CN"/>
        </w:rPr>
      </w:pPr>
      <w:r>
        <w:rPr>
          <w:rFonts w:ascii="Book Antiqua" w:hAnsi="Book Antiqua"/>
          <w:noProof/>
          <w:lang w:eastAsia="zh-CN"/>
        </w:rPr>
        <w:drawing>
          <wp:inline distT="0" distB="0" distL="0" distR="0" wp14:anchorId="22E17056" wp14:editId="2C11A587">
            <wp:extent cx="1449070" cy="1440815"/>
            <wp:effectExtent l="0" t="0" r="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9070" cy="1440815"/>
                    </a:xfrm>
                    <a:prstGeom prst="rect">
                      <a:avLst/>
                    </a:prstGeom>
                    <a:noFill/>
                    <a:ln>
                      <a:noFill/>
                    </a:ln>
                  </pic:spPr>
                </pic:pic>
              </a:graphicData>
            </a:graphic>
          </wp:inline>
        </w:drawing>
      </w:r>
    </w:p>
    <w:p w14:paraId="0B7D6EF2" w14:textId="77777777" w:rsidR="00437C0E" w:rsidRDefault="00437C0E" w:rsidP="00437C0E">
      <w:pPr>
        <w:jc w:val="center"/>
        <w:rPr>
          <w:rFonts w:ascii="Book Antiqua" w:hAnsi="Book Antiqua"/>
          <w:lang w:eastAsia="zh-CN"/>
        </w:rPr>
      </w:pPr>
    </w:p>
    <w:p w14:paraId="6615E24C" w14:textId="77777777" w:rsidR="00437C0E" w:rsidRDefault="00437C0E" w:rsidP="00437C0E">
      <w:pPr>
        <w:jc w:val="center"/>
        <w:rPr>
          <w:rFonts w:ascii="Book Antiqua" w:hAnsi="Book Antiqua"/>
          <w:lang w:eastAsia="zh-CN"/>
        </w:rPr>
      </w:pPr>
    </w:p>
    <w:p w14:paraId="70977A23" w14:textId="77777777" w:rsidR="00437C0E" w:rsidRDefault="00437C0E" w:rsidP="00437C0E">
      <w:pPr>
        <w:jc w:val="center"/>
        <w:rPr>
          <w:rFonts w:ascii="Book Antiqua" w:hAnsi="Book Antiqua"/>
          <w:lang w:eastAsia="zh-CN"/>
        </w:rPr>
      </w:pPr>
    </w:p>
    <w:p w14:paraId="7E358C91" w14:textId="77777777" w:rsidR="00437C0E" w:rsidRDefault="00437C0E" w:rsidP="00437C0E">
      <w:pPr>
        <w:jc w:val="center"/>
        <w:rPr>
          <w:rFonts w:ascii="Book Antiqua" w:hAnsi="Book Antiqua"/>
          <w:lang w:eastAsia="zh-CN"/>
        </w:rPr>
      </w:pPr>
    </w:p>
    <w:p w14:paraId="675EA09E" w14:textId="77777777" w:rsidR="00437C0E" w:rsidRDefault="00437C0E" w:rsidP="00437C0E">
      <w:pPr>
        <w:jc w:val="center"/>
        <w:rPr>
          <w:rFonts w:ascii="Book Antiqua" w:hAnsi="Book Antiqua"/>
          <w:lang w:eastAsia="zh-CN"/>
        </w:rPr>
      </w:pPr>
    </w:p>
    <w:p w14:paraId="3444B6AC" w14:textId="77777777" w:rsidR="00437C0E" w:rsidRDefault="00437C0E" w:rsidP="00437C0E">
      <w:pPr>
        <w:jc w:val="center"/>
        <w:rPr>
          <w:rFonts w:ascii="Book Antiqua" w:hAnsi="Book Antiqua"/>
          <w:lang w:eastAsia="zh-CN"/>
        </w:rPr>
      </w:pPr>
    </w:p>
    <w:p w14:paraId="4B20C631" w14:textId="77777777" w:rsidR="00437C0E" w:rsidRDefault="00437C0E" w:rsidP="00437C0E">
      <w:pPr>
        <w:jc w:val="center"/>
        <w:rPr>
          <w:rFonts w:ascii="Book Antiqua" w:hAnsi="Book Antiqua"/>
          <w:lang w:eastAsia="zh-CN"/>
        </w:rPr>
      </w:pPr>
    </w:p>
    <w:p w14:paraId="43601A3F" w14:textId="77777777" w:rsidR="00437C0E" w:rsidRDefault="00437C0E" w:rsidP="00437C0E">
      <w:pPr>
        <w:jc w:val="center"/>
        <w:rPr>
          <w:rFonts w:ascii="Book Antiqua" w:hAnsi="Book Antiqua"/>
          <w:lang w:eastAsia="zh-CN"/>
        </w:rPr>
      </w:pPr>
    </w:p>
    <w:p w14:paraId="58DBB18F" w14:textId="77777777" w:rsidR="00437C0E" w:rsidRDefault="00437C0E" w:rsidP="00437C0E">
      <w:pPr>
        <w:jc w:val="center"/>
        <w:rPr>
          <w:rFonts w:ascii="Book Antiqua" w:hAnsi="Book Antiqua"/>
          <w:lang w:eastAsia="zh-CN"/>
        </w:rPr>
      </w:pPr>
    </w:p>
    <w:p w14:paraId="7F37B082" w14:textId="77777777" w:rsidR="00437C0E" w:rsidRDefault="00437C0E" w:rsidP="00437C0E">
      <w:pPr>
        <w:jc w:val="right"/>
        <w:rPr>
          <w:rFonts w:ascii="Book Antiqua" w:hAnsi="Book Antiqua"/>
          <w:color w:val="000000" w:themeColor="text1"/>
          <w:lang w:eastAsia="zh-CN"/>
        </w:rPr>
      </w:pPr>
    </w:p>
    <w:p w14:paraId="167B6B35" w14:textId="77777777" w:rsidR="00437C0E" w:rsidRDefault="00437C0E" w:rsidP="00437C0E">
      <w:pPr>
        <w:jc w:val="center"/>
        <w:rPr>
          <w:rFonts w:ascii="Book Antiqua" w:hAnsi="Book Antiqua"/>
          <w:color w:val="000000" w:themeColor="text1"/>
          <w:lang w:eastAsia="zh-CN"/>
        </w:rPr>
      </w:pPr>
      <w:r>
        <w:rPr>
          <w:rFonts w:ascii="Book Antiqua" w:eastAsia="BookAntiqua-Bold" w:hAnsi="Book Antiqua" w:cs="BookAntiqua-Bold"/>
          <w:b/>
          <w:bCs/>
          <w:color w:val="000000" w:themeColor="text1"/>
        </w:rPr>
        <w:t>© 2021 Baishideng Publishing Group Inc. All rights reserved.</w:t>
      </w:r>
      <w:r>
        <w:rPr>
          <w:rFonts w:ascii="Book Antiqua" w:hAnsi="Book Antiqua"/>
          <w:color w:val="000000" w:themeColor="text1"/>
          <w:lang w:eastAsia="zh-CN"/>
        </w:rPr>
        <w:fldChar w:fldCharType="begin"/>
      </w:r>
      <w:r>
        <w:rPr>
          <w:rFonts w:ascii="Book Antiqua" w:hAnsi="Book Antiqua"/>
          <w:color w:val="000000" w:themeColor="text1"/>
          <w:lang w:eastAsia="zh-CN"/>
        </w:rPr>
        <w:instrText xml:space="preserve"> ADDIN EN.REFLIST </w:instrText>
      </w:r>
      <w:r>
        <w:rPr>
          <w:rFonts w:ascii="Book Antiqua" w:hAnsi="Book Antiqua"/>
          <w:color w:val="000000" w:themeColor="text1"/>
          <w:lang w:eastAsia="zh-CN"/>
        </w:rPr>
        <w:fldChar w:fldCharType="end"/>
      </w:r>
    </w:p>
    <w:p w14:paraId="5387D276" w14:textId="77777777" w:rsidR="002D242D" w:rsidRPr="00437C0E" w:rsidRDefault="002D242D" w:rsidP="009F2A83">
      <w:pPr>
        <w:adjustRightInd w:val="0"/>
        <w:snapToGrid w:val="0"/>
        <w:spacing w:line="360" w:lineRule="auto"/>
        <w:jc w:val="both"/>
        <w:rPr>
          <w:rFonts w:ascii="Book Antiqua" w:hAnsi="Book Antiqua"/>
          <w:lang w:eastAsia="zh-CN"/>
        </w:rPr>
      </w:pPr>
    </w:p>
    <w:sectPr w:rsidR="002D242D" w:rsidRPr="00437C0E" w:rsidSect="001B01C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E41143" w14:textId="77777777" w:rsidR="003C75E6" w:rsidRDefault="003C75E6" w:rsidP="002D242D">
      <w:r>
        <w:separator/>
      </w:r>
    </w:p>
  </w:endnote>
  <w:endnote w:type="continuationSeparator" w:id="0">
    <w:p w14:paraId="10440E1B" w14:textId="77777777" w:rsidR="003C75E6" w:rsidRDefault="003C75E6" w:rsidP="002D24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Yu Gothic">
    <w:altName w:val="游ゴシック"/>
    <w:panose1 w:val="020B04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imesNewRomanPSMT">
    <w:altName w:val="宋体"/>
    <w:charset w:val="00"/>
    <w:family w:val="roman"/>
    <w:pitch w:val="default"/>
    <w:sig w:usb0="00000083" w:usb1="00000000" w:usb2="00000000" w:usb3="00000000" w:csb0="00000009" w:csb1="00000000"/>
  </w:font>
  <w:font w:name="Garamond-Bold">
    <w:altName w:val="等线"/>
    <w:charset w:val="00"/>
    <w:family w:val="auto"/>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4335524"/>
      <w:docPartObj>
        <w:docPartGallery w:val="Page Numbers (Bottom of Page)"/>
        <w:docPartUnique/>
      </w:docPartObj>
    </w:sdtPr>
    <w:sdtEndPr/>
    <w:sdtContent>
      <w:sdt>
        <w:sdtPr>
          <w:id w:val="-1769616900"/>
          <w:docPartObj>
            <w:docPartGallery w:val="Page Numbers (Top of Page)"/>
            <w:docPartUnique/>
          </w:docPartObj>
        </w:sdtPr>
        <w:sdtEndPr/>
        <w:sdtContent>
          <w:p w14:paraId="1C8B8E7E" w14:textId="08DC8A83" w:rsidR="002D242D" w:rsidRDefault="002D242D">
            <w:pPr>
              <w:pStyle w:val="a5"/>
              <w:jc w:val="right"/>
            </w:pPr>
            <w:r>
              <w:rPr>
                <w:lang w:val="zh-CN" w:eastAsia="zh-CN"/>
              </w:rPr>
              <w:t xml:space="preserve"> </w:t>
            </w:r>
            <w:r w:rsidRPr="00DB50A1">
              <w:rPr>
                <w:rFonts w:ascii="Book Antiqua" w:hAnsi="Book Antiqua"/>
                <w:sz w:val="24"/>
                <w:szCs w:val="24"/>
              </w:rPr>
              <w:fldChar w:fldCharType="begin"/>
            </w:r>
            <w:r w:rsidRPr="00DB50A1">
              <w:rPr>
                <w:rFonts w:ascii="Book Antiqua" w:hAnsi="Book Antiqua"/>
                <w:sz w:val="24"/>
                <w:szCs w:val="24"/>
              </w:rPr>
              <w:instrText>PAGE</w:instrText>
            </w:r>
            <w:r w:rsidRPr="00DB50A1">
              <w:rPr>
                <w:rFonts w:ascii="Book Antiqua" w:hAnsi="Book Antiqua"/>
                <w:sz w:val="24"/>
                <w:szCs w:val="24"/>
              </w:rPr>
              <w:fldChar w:fldCharType="separate"/>
            </w:r>
            <w:r w:rsidR="00D1738D">
              <w:rPr>
                <w:rFonts w:ascii="Book Antiqua" w:hAnsi="Book Antiqua"/>
                <w:noProof/>
                <w:sz w:val="24"/>
                <w:szCs w:val="24"/>
              </w:rPr>
              <w:t>32</w:t>
            </w:r>
            <w:r w:rsidRPr="00DB50A1">
              <w:rPr>
                <w:rFonts w:ascii="Book Antiqua" w:hAnsi="Book Antiqua"/>
                <w:sz w:val="24"/>
                <w:szCs w:val="24"/>
              </w:rPr>
              <w:fldChar w:fldCharType="end"/>
            </w:r>
            <w:r w:rsidRPr="00DB50A1">
              <w:rPr>
                <w:rFonts w:ascii="Book Antiqua" w:hAnsi="Book Antiqua"/>
                <w:sz w:val="24"/>
                <w:szCs w:val="24"/>
                <w:lang w:val="zh-CN" w:eastAsia="zh-CN"/>
              </w:rPr>
              <w:t xml:space="preserve"> / </w:t>
            </w:r>
            <w:r w:rsidRPr="00DB50A1">
              <w:rPr>
                <w:rFonts w:ascii="Book Antiqua" w:hAnsi="Book Antiqua"/>
                <w:sz w:val="24"/>
                <w:szCs w:val="24"/>
              </w:rPr>
              <w:fldChar w:fldCharType="begin"/>
            </w:r>
            <w:r w:rsidRPr="00DB50A1">
              <w:rPr>
                <w:rFonts w:ascii="Book Antiqua" w:hAnsi="Book Antiqua"/>
                <w:sz w:val="24"/>
                <w:szCs w:val="24"/>
              </w:rPr>
              <w:instrText>NUMPAGES</w:instrText>
            </w:r>
            <w:r w:rsidRPr="00DB50A1">
              <w:rPr>
                <w:rFonts w:ascii="Book Antiqua" w:hAnsi="Book Antiqua"/>
                <w:sz w:val="24"/>
                <w:szCs w:val="24"/>
              </w:rPr>
              <w:fldChar w:fldCharType="separate"/>
            </w:r>
            <w:r w:rsidR="00D1738D">
              <w:rPr>
                <w:rFonts w:ascii="Book Antiqua" w:hAnsi="Book Antiqua"/>
                <w:noProof/>
                <w:sz w:val="24"/>
                <w:szCs w:val="24"/>
              </w:rPr>
              <w:t>32</w:t>
            </w:r>
            <w:r w:rsidRPr="00DB50A1">
              <w:rPr>
                <w:rFonts w:ascii="Book Antiqua" w:hAnsi="Book Antiqua"/>
                <w:sz w:val="24"/>
                <w:szCs w:val="24"/>
              </w:rPr>
              <w:fldChar w:fldCharType="end"/>
            </w:r>
          </w:p>
        </w:sdtContent>
      </w:sdt>
    </w:sdtContent>
  </w:sdt>
  <w:p w14:paraId="0A28EA94" w14:textId="77777777" w:rsidR="002D242D" w:rsidRDefault="002D242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EC3BE" w14:textId="77777777" w:rsidR="003C75E6" w:rsidRDefault="003C75E6" w:rsidP="002D242D">
      <w:r>
        <w:separator/>
      </w:r>
    </w:p>
  </w:footnote>
  <w:footnote w:type="continuationSeparator" w:id="0">
    <w:p w14:paraId="1197174A" w14:textId="77777777" w:rsidR="003C75E6" w:rsidRDefault="003C75E6" w:rsidP="002D242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1246F"/>
    <w:rsid w:val="00014F13"/>
    <w:rsid w:val="000A082C"/>
    <w:rsid w:val="000B3502"/>
    <w:rsid w:val="000B7321"/>
    <w:rsid w:val="000D45C6"/>
    <w:rsid w:val="000E168D"/>
    <w:rsid w:val="00184D3F"/>
    <w:rsid w:val="001B01C9"/>
    <w:rsid w:val="002239A1"/>
    <w:rsid w:val="0026308A"/>
    <w:rsid w:val="002D239C"/>
    <w:rsid w:val="002D242D"/>
    <w:rsid w:val="002F149C"/>
    <w:rsid w:val="00324D1D"/>
    <w:rsid w:val="00367D5C"/>
    <w:rsid w:val="00384CBB"/>
    <w:rsid w:val="003C75E6"/>
    <w:rsid w:val="00426B0B"/>
    <w:rsid w:val="00437C0E"/>
    <w:rsid w:val="00456762"/>
    <w:rsid w:val="00461C85"/>
    <w:rsid w:val="004A14AB"/>
    <w:rsid w:val="00587111"/>
    <w:rsid w:val="005E217B"/>
    <w:rsid w:val="00604BAD"/>
    <w:rsid w:val="00614D91"/>
    <w:rsid w:val="00641105"/>
    <w:rsid w:val="00672851"/>
    <w:rsid w:val="0068564D"/>
    <w:rsid w:val="00686BC9"/>
    <w:rsid w:val="00690511"/>
    <w:rsid w:val="006A52A6"/>
    <w:rsid w:val="006D0AC1"/>
    <w:rsid w:val="00723566"/>
    <w:rsid w:val="00737EFC"/>
    <w:rsid w:val="00747628"/>
    <w:rsid w:val="007A630B"/>
    <w:rsid w:val="007C6283"/>
    <w:rsid w:val="007D3D37"/>
    <w:rsid w:val="00817AED"/>
    <w:rsid w:val="008636A0"/>
    <w:rsid w:val="008856E9"/>
    <w:rsid w:val="00891473"/>
    <w:rsid w:val="008C0109"/>
    <w:rsid w:val="00957337"/>
    <w:rsid w:val="00990550"/>
    <w:rsid w:val="009C4BAA"/>
    <w:rsid w:val="009F1022"/>
    <w:rsid w:val="009F2A83"/>
    <w:rsid w:val="00A73E55"/>
    <w:rsid w:val="00A77B3E"/>
    <w:rsid w:val="00AE2AC5"/>
    <w:rsid w:val="00AE5F54"/>
    <w:rsid w:val="00B51EDC"/>
    <w:rsid w:val="00BC2074"/>
    <w:rsid w:val="00C01ACA"/>
    <w:rsid w:val="00C61DA7"/>
    <w:rsid w:val="00CA2A55"/>
    <w:rsid w:val="00CD74FC"/>
    <w:rsid w:val="00CF235A"/>
    <w:rsid w:val="00CF5B09"/>
    <w:rsid w:val="00D1738D"/>
    <w:rsid w:val="00D41996"/>
    <w:rsid w:val="00D96F60"/>
    <w:rsid w:val="00DB50A1"/>
    <w:rsid w:val="00DD42D1"/>
    <w:rsid w:val="00DE489B"/>
    <w:rsid w:val="00E55CC9"/>
    <w:rsid w:val="00E63F2A"/>
    <w:rsid w:val="00E849CA"/>
    <w:rsid w:val="00EE05DA"/>
    <w:rsid w:val="00F339ED"/>
    <w:rsid w:val="00F57B4F"/>
    <w:rsid w:val="00FD31B5"/>
    <w:rsid w:val="00FD62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67ADCBF"/>
  <w15:docId w15:val="{D334F82F-DCF0-474E-BD73-DF596060D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2D242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2D242D"/>
    <w:rPr>
      <w:sz w:val="18"/>
      <w:szCs w:val="18"/>
    </w:rPr>
  </w:style>
  <w:style w:type="paragraph" w:styleId="a5">
    <w:name w:val="footer"/>
    <w:basedOn w:val="a"/>
    <w:link w:val="a6"/>
    <w:uiPriority w:val="99"/>
    <w:unhideWhenUsed/>
    <w:rsid w:val="002D242D"/>
    <w:pPr>
      <w:tabs>
        <w:tab w:val="center" w:pos="4153"/>
        <w:tab w:val="right" w:pos="8306"/>
      </w:tabs>
      <w:snapToGrid w:val="0"/>
    </w:pPr>
    <w:rPr>
      <w:sz w:val="18"/>
      <w:szCs w:val="18"/>
    </w:rPr>
  </w:style>
  <w:style w:type="character" w:customStyle="1" w:styleId="a6">
    <w:name w:val="页脚 字符"/>
    <w:basedOn w:val="a0"/>
    <w:link w:val="a5"/>
    <w:uiPriority w:val="99"/>
    <w:rsid w:val="002D242D"/>
    <w:rPr>
      <w:sz w:val="18"/>
      <w:szCs w:val="18"/>
    </w:rPr>
  </w:style>
  <w:style w:type="character" w:styleId="a7">
    <w:name w:val="annotation reference"/>
    <w:basedOn w:val="a0"/>
    <w:semiHidden/>
    <w:unhideWhenUsed/>
    <w:rsid w:val="006D0AC1"/>
    <w:rPr>
      <w:sz w:val="18"/>
      <w:szCs w:val="18"/>
    </w:rPr>
  </w:style>
  <w:style w:type="paragraph" w:styleId="a8">
    <w:name w:val="annotation text"/>
    <w:basedOn w:val="a"/>
    <w:link w:val="a9"/>
    <w:semiHidden/>
    <w:unhideWhenUsed/>
    <w:rsid w:val="006D0AC1"/>
  </w:style>
  <w:style w:type="character" w:customStyle="1" w:styleId="a9">
    <w:name w:val="批注文字 字符"/>
    <w:basedOn w:val="a0"/>
    <w:link w:val="a8"/>
    <w:semiHidden/>
    <w:rsid w:val="006D0AC1"/>
    <w:rPr>
      <w:sz w:val="24"/>
      <w:szCs w:val="24"/>
    </w:rPr>
  </w:style>
  <w:style w:type="paragraph" w:styleId="aa">
    <w:name w:val="annotation subject"/>
    <w:basedOn w:val="a8"/>
    <w:next w:val="a8"/>
    <w:link w:val="ab"/>
    <w:semiHidden/>
    <w:unhideWhenUsed/>
    <w:rsid w:val="006D0AC1"/>
    <w:rPr>
      <w:b/>
      <w:bCs/>
    </w:rPr>
  </w:style>
  <w:style w:type="character" w:customStyle="1" w:styleId="ab">
    <w:name w:val="批注主题 字符"/>
    <w:basedOn w:val="a9"/>
    <w:link w:val="aa"/>
    <w:semiHidden/>
    <w:rsid w:val="006D0AC1"/>
    <w:rPr>
      <w:b/>
      <w:bCs/>
      <w:sz w:val="24"/>
      <w:szCs w:val="24"/>
    </w:rPr>
  </w:style>
  <w:style w:type="paragraph" w:styleId="ac">
    <w:name w:val="Balloon Text"/>
    <w:basedOn w:val="a"/>
    <w:link w:val="ad"/>
    <w:semiHidden/>
    <w:unhideWhenUsed/>
    <w:rsid w:val="005E217B"/>
    <w:rPr>
      <w:sz w:val="18"/>
      <w:szCs w:val="18"/>
    </w:rPr>
  </w:style>
  <w:style w:type="character" w:customStyle="1" w:styleId="ad">
    <w:name w:val="批注框文本 字符"/>
    <w:basedOn w:val="a0"/>
    <w:link w:val="ac"/>
    <w:semiHidden/>
    <w:rsid w:val="005E217B"/>
    <w:rPr>
      <w:sz w:val="18"/>
      <w:szCs w:val="18"/>
    </w:rPr>
  </w:style>
  <w:style w:type="character" w:styleId="ae">
    <w:name w:val="Hyperlink"/>
    <w:basedOn w:val="a0"/>
    <w:unhideWhenUsed/>
    <w:rsid w:val="00817AED"/>
    <w:rPr>
      <w:color w:val="0000FF" w:themeColor="hyperlink"/>
      <w:u w:val="single"/>
    </w:rPr>
  </w:style>
  <w:style w:type="character" w:styleId="af">
    <w:name w:val="Unresolved Mention"/>
    <w:basedOn w:val="a0"/>
    <w:uiPriority w:val="99"/>
    <w:semiHidden/>
    <w:unhideWhenUsed/>
    <w:rsid w:val="00817A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4671176">
      <w:bodyDiv w:val="1"/>
      <w:marLeft w:val="0"/>
      <w:marRight w:val="0"/>
      <w:marTop w:val="0"/>
      <w:marBottom w:val="0"/>
      <w:divBdr>
        <w:top w:val="none" w:sz="0" w:space="0" w:color="auto"/>
        <w:left w:val="none" w:sz="0" w:space="0" w:color="auto"/>
        <w:bottom w:val="none" w:sz="0" w:space="0" w:color="auto"/>
        <w:right w:val="none" w:sz="0" w:space="0" w:color="auto"/>
      </w:divBdr>
    </w:div>
    <w:div w:id="1229994370">
      <w:bodyDiv w:val="1"/>
      <w:marLeft w:val="0"/>
      <w:marRight w:val="0"/>
      <w:marTop w:val="0"/>
      <w:marBottom w:val="0"/>
      <w:divBdr>
        <w:top w:val="none" w:sz="0" w:space="0" w:color="auto"/>
        <w:left w:val="none" w:sz="0" w:space="0" w:color="auto"/>
        <w:bottom w:val="none" w:sz="0" w:space="0" w:color="auto"/>
        <w:right w:val="none" w:sz="0" w:space="0" w:color="auto"/>
      </w:divBdr>
    </w:div>
    <w:div w:id="21444266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1138E4-E249-437E-8E72-41AA9E425B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TotalTime>
  <Pages>33</Pages>
  <Words>6644</Words>
  <Characters>37875</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Li Jia-Hui</cp:lastModifiedBy>
  <cp:revision>11</cp:revision>
  <dcterms:created xsi:type="dcterms:W3CDTF">2021-06-30T21:41:00Z</dcterms:created>
  <dcterms:modified xsi:type="dcterms:W3CDTF">2021-08-02T10:55:00Z</dcterms:modified>
</cp:coreProperties>
</file>