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67321</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rPr>
          <w:rFonts w:ascii="Book Antiqua" w:hAnsi="Book Antiqua" w:cs="Book Antiqua"/>
          <w:b/>
          <w:i/>
          <w:color w:val="000000"/>
        </w:rPr>
      </w:pPr>
      <w:r>
        <w:rPr>
          <w:rFonts w:ascii="Book Antiqua" w:hAnsi="Book Antiqua" w:cs="Book Antiqua"/>
          <w:b/>
          <w:i/>
          <w:color w:val="000000"/>
        </w:rPr>
        <w:t>Clinical and Translational Research</w:t>
      </w:r>
    </w:p>
    <w:p>
      <w:pPr>
        <w:spacing w:line="360" w:lineRule="auto"/>
        <w:jc w:val="both"/>
      </w:pPr>
      <w:bookmarkStart w:id="0" w:name="OLE_LINK2"/>
      <w:bookmarkStart w:id="1" w:name="OLE_LINK1"/>
      <w:r>
        <w:rPr>
          <w:rFonts w:ascii="Book Antiqua" w:hAnsi="Book Antiqua" w:eastAsia="Book Antiqua" w:cs="Book Antiqua"/>
          <w:b/>
          <w:bCs/>
          <w:color w:val="000000"/>
          <w:shd w:val="clear" w:color="auto" w:fill="FFFFFF"/>
        </w:rPr>
        <w:t>Solute carrier family 2 members 1 and 2 as prognostic biomarkers in hepatocellular carcinoma associated with immune infiltration</w:t>
      </w:r>
      <w:bookmarkEnd w:id="0"/>
      <w:bookmarkEnd w:id="1"/>
    </w:p>
    <w:p>
      <w:pPr>
        <w:spacing w:line="360" w:lineRule="auto"/>
        <w:jc w:val="both"/>
      </w:pPr>
    </w:p>
    <w:p>
      <w:pPr>
        <w:spacing w:line="360" w:lineRule="auto"/>
        <w:jc w:val="both"/>
      </w:pPr>
      <w:r>
        <w:rPr>
          <w:rFonts w:ascii="Book Antiqua" w:hAnsi="Book Antiqua" w:eastAsia="Book Antiqua" w:cs="Book Antiqua"/>
          <w:color w:val="000000"/>
          <w:shd w:val="clear" w:color="auto" w:fill="FFFFFF"/>
        </w:rPr>
        <w:t>Peng Q</w:t>
      </w:r>
      <w:r>
        <w:rPr>
          <w:rFonts w:ascii="Book Antiqua" w:hAnsi="Book Antiqua" w:eastAsia="Book Antiqua" w:cs="Book Antiqua"/>
          <w:i/>
          <w:iCs/>
          <w:color w:val="000000"/>
        </w:rPr>
        <w:t xml:space="preserve"> et al.</w:t>
      </w:r>
      <w:r>
        <w:rPr>
          <w:rFonts w:ascii="Book Antiqua" w:hAnsi="Book Antiqua" w:eastAsia="Book Antiqua" w:cs="Book Antiqua"/>
          <w:color w:val="000000"/>
          <w:shd w:val="clear" w:color="auto" w:fill="FFFFFF"/>
        </w:rPr>
        <w:t xml:space="preserve"> SLC2A1 and SLC2A2 about immune infiltration</w:t>
      </w:r>
    </w:p>
    <w:p>
      <w:pPr>
        <w:spacing w:line="360" w:lineRule="auto"/>
        <w:jc w:val="both"/>
      </w:pPr>
    </w:p>
    <w:p>
      <w:pPr>
        <w:spacing w:line="360" w:lineRule="auto"/>
        <w:jc w:val="both"/>
      </w:pPr>
      <w:r>
        <w:rPr>
          <w:rFonts w:ascii="Book Antiqua" w:hAnsi="Book Antiqua" w:eastAsia="Book Antiqua" w:cs="Book Antiqua"/>
          <w:color w:val="000000"/>
        </w:rPr>
        <w:t>Qing Peng, Li-Yuan Hao, Ying-Lin Guo, Zhi-Qin Zhang, Jing-Min Ji, Yu Xue, Yi-Wei Liu, Jun-Lan Lu, Cai-Ge Li, Xin-Li Shi</w:t>
      </w:r>
    </w:p>
    <w:p>
      <w:pPr>
        <w:spacing w:line="360" w:lineRule="auto"/>
        <w:jc w:val="both"/>
      </w:pPr>
    </w:p>
    <w:p>
      <w:pPr>
        <w:spacing w:line="360" w:lineRule="auto"/>
        <w:jc w:val="both"/>
      </w:pPr>
      <w:r>
        <w:rPr>
          <w:rFonts w:ascii="Book Antiqua" w:hAnsi="Book Antiqua" w:eastAsia="Book Antiqua" w:cs="Book Antiqua"/>
          <w:b/>
          <w:bCs/>
          <w:color w:val="000000"/>
        </w:rPr>
        <w:t xml:space="preserve">Qing Peng, Li-Yuan Hao, Ying-Lin Guo, Zhi-Qin Zhang, Jing-Min Ji, Yu Xue, Yi-Wei Liu, Jun-Lan Lu, Cai-Ge Li, Xin-Li Shi, </w:t>
      </w:r>
      <w:r>
        <w:rPr>
          <w:rFonts w:ascii="Book Antiqua" w:hAnsi="Book Antiqua" w:eastAsia="Book Antiqua" w:cs="Book Antiqua"/>
          <w:color w:val="000000"/>
        </w:rPr>
        <w:t xml:space="preserve">Department of Pathobiology and Immunology, Hebei University of Chinese Medicine, Shijiazhuang 050200, </w:t>
      </w:r>
      <w:r>
        <w:rPr>
          <w:rFonts w:hint="eastAsia" w:ascii="Book Antiqua" w:hAnsi="Book Antiqua" w:cs="Book Antiqua"/>
          <w:color w:val="000000"/>
        </w:rPr>
        <w:t xml:space="preserve">Hebei Province,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shd w:val="clear" w:color="auto" w:fill="FFFFFF"/>
        </w:rPr>
        <w:t xml:space="preserve">Shi </w:t>
      </w:r>
      <w:r>
        <w:rPr>
          <w:rFonts w:hint="eastAsia" w:ascii="Book Antiqua" w:hAnsi="Book Antiqua" w:cs="Book Antiqua"/>
          <w:color w:val="000000"/>
          <w:shd w:val="clear" w:color="auto" w:fill="FFFFFF"/>
        </w:rPr>
        <w:t xml:space="preserve">XL </w:t>
      </w:r>
      <w:r>
        <w:rPr>
          <w:rFonts w:ascii="Book Antiqua" w:hAnsi="Book Antiqua" w:eastAsia="Book Antiqua" w:cs="Book Antiqua"/>
          <w:color w:val="000000"/>
          <w:shd w:val="clear" w:color="auto" w:fill="FFFFFF"/>
        </w:rPr>
        <w:t xml:space="preserve">and Peng </w:t>
      </w:r>
      <w:r>
        <w:rPr>
          <w:rFonts w:hint="eastAsia" w:ascii="Book Antiqua" w:hAnsi="Book Antiqua" w:cs="Book Antiqua"/>
          <w:color w:val="000000"/>
          <w:shd w:val="clear" w:color="auto" w:fill="FFFFFF"/>
        </w:rPr>
        <w:t xml:space="preserve">Q </w:t>
      </w:r>
      <w:r>
        <w:rPr>
          <w:rFonts w:ascii="Book Antiqua" w:hAnsi="Book Antiqua" w:eastAsia="Book Antiqua" w:cs="Book Antiqua"/>
          <w:color w:val="000000"/>
          <w:shd w:val="clear" w:color="auto" w:fill="FFFFFF"/>
        </w:rPr>
        <w:t>designed this research and wrote the main manuscript</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Hao</w:t>
      </w:r>
      <w:r>
        <w:rPr>
          <w:rFonts w:hint="eastAsia" w:ascii="Book Antiqua" w:hAnsi="Book Antiqua" w:cs="Book Antiqua"/>
          <w:color w:val="000000"/>
          <w:shd w:val="clear" w:color="auto" w:fill="FFFFFF"/>
        </w:rPr>
        <w:t xml:space="preserve"> LY</w:t>
      </w:r>
      <w:r>
        <w:rPr>
          <w:rFonts w:ascii="Book Antiqua" w:hAnsi="Book Antiqua" w:eastAsia="Book Antiqua" w:cs="Book Antiqua"/>
          <w:color w:val="000000"/>
          <w:shd w:val="clear" w:color="auto" w:fill="FFFFFF"/>
        </w:rPr>
        <w:t>, Guo</w:t>
      </w:r>
      <w:r>
        <w:rPr>
          <w:rFonts w:hint="eastAsia" w:ascii="Book Antiqua" w:hAnsi="Book Antiqua" w:cs="Book Antiqua"/>
          <w:color w:val="000000"/>
          <w:shd w:val="clear" w:color="auto" w:fill="FFFFFF"/>
        </w:rPr>
        <w:t xml:space="preserve"> YL</w:t>
      </w:r>
      <w:r>
        <w:rPr>
          <w:rFonts w:ascii="Book Antiqua" w:hAnsi="Book Antiqua" w:eastAsia="Book Antiqua" w:cs="Book Antiqua"/>
          <w:color w:val="000000"/>
          <w:shd w:val="clear" w:color="auto" w:fill="FFFFFF"/>
        </w:rPr>
        <w:t>, Zhang</w:t>
      </w:r>
      <w:r>
        <w:rPr>
          <w:rFonts w:hint="eastAsia" w:ascii="Book Antiqua" w:hAnsi="Book Antiqua" w:cs="Book Antiqua"/>
          <w:color w:val="000000"/>
          <w:shd w:val="clear" w:color="auto" w:fill="FFFFFF"/>
        </w:rPr>
        <w:t xml:space="preserve"> ZQ</w:t>
      </w:r>
      <w:r>
        <w:rPr>
          <w:rFonts w:ascii="Book Antiqua" w:hAnsi="Book Antiqua" w:eastAsia="Book Antiqua" w:cs="Book Antiqua"/>
          <w:color w:val="000000"/>
          <w:shd w:val="clear" w:color="auto" w:fill="FFFFFF"/>
        </w:rPr>
        <w:t>, Ji</w:t>
      </w:r>
      <w:r>
        <w:rPr>
          <w:rFonts w:hint="eastAsia" w:ascii="Book Antiqua" w:hAnsi="Book Antiqua" w:cs="Book Antiqua"/>
          <w:color w:val="000000"/>
          <w:shd w:val="clear" w:color="auto" w:fill="FFFFFF"/>
        </w:rPr>
        <w:t xml:space="preserve"> JM</w:t>
      </w:r>
      <w:r>
        <w:rPr>
          <w:rFonts w:ascii="Book Antiqua" w:hAnsi="Book Antiqua" w:eastAsia="Book Antiqua" w:cs="Book Antiqua"/>
          <w:color w:val="000000"/>
          <w:shd w:val="clear" w:color="auto" w:fill="FFFFFF"/>
        </w:rPr>
        <w:t>, Xue</w:t>
      </w:r>
      <w:r>
        <w:rPr>
          <w:rFonts w:hint="eastAsia" w:ascii="Book Antiqua" w:hAnsi="Book Antiqua" w:cs="Book Antiqua"/>
          <w:color w:val="000000"/>
          <w:shd w:val="clear" w:color="auto" w:fill="FFFFFF"/>
        </w:rPr>
        <w:t xml:space="preserve"> Y</w:t>
      </w:r>
      <w:r>
        <w:rPr>
          <w:rFonts w:ascii="Book Antiqua" w:hAnsi="Book Antiqua" w:eastAsia="Book Antiqua" w:cs="Book Antiqua"/>
          <w:color w:val="000000"/>
          <w:shd w:val="clear" w:color="auto" w:fill="FFFFFF"/>
        </w:rPr>
        <w:t>, Liu</w:t>
      </w:r>
      <w:r>
        <w:rPr>
          <w:rFonts w:hint="eastAsia" w:ascii="Book Antiqua" w:hAnsi="Book Antiqua" w:cs="Book Antiqua"/>
          <w:color w:val="000000"/>
          <w:shd w:val="clear" w:color="auto" w:fill="FFFFFF"/>
        </w:rPr>
        <w:t xml:space="preserve"> YW</w:t>
      </w:r>
      <w:r>
        <w:rPr>
          <w:rFonts w:ascii="Book Antiqua" w:hAnsi="Book Antiqua" w:eastAsia="Book Antiqua" w:cs="Book Antiqua"/>
          <w:color w:val="000000"/>
          <w:shd w:val="clear" w:color="auto" w:fill="FFFFFF"/>
        </w:rPr>
        <w:t>, Lu</w:t>
      </w:r>
      <w:r>
        <w:rPr>
          <w:rFonts w:hint="eastAsia" w:ascii="Book Antiqua" w:hAnsi="Book Antiqua" w:cs="Book Antiqua"/>
          <w:color w:val="000000"/>
          <w:shd w:val="clear" w:color="auto" w:fill="FFFFFF"/>
        </w:rPr>
        <w:t xml:space="preserve"> JL</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rPr>
        <w:t xml:space="preserve">and </w:t>
      </w:r>
      <w:r>
        <w:rPr>
          <w:rFonts w:ascii="Book Antiqua" w:hAnsi="Book Antiqua" w:eastAsia="Book Antiqua" w:cs="Book Antiqua"/>
          <w:color w:val="000000"/>
          <w:shd w:val="clear" w:color="auto" w:fill="FFFFFF"/>
        </w:rPr>
        <w:t>Li</w:t>
      </w:r>
      <w:r>
        <w:rPr>
          <w:rFonts w:hint="eastAsia" w:ascii="Book Antiqua" w:hAnsi="Book Antiqua" w:cs="Book Antiqua"/>
          <w:color w:val="000000"/>
          <w:shd w:val="clear" w:color="auto" w:fill="FFFFFF"/>
        </w:rPr>
        <w:t xml:space="preserve"> CG</w:t>
      </w:r>
      <w:r>
        <w:rPr>
          <w:rFonts w:ascii="Book Antiqua" w:hAnsi="Book Antiqua" w:eastAsia="Book Antiqua" w:cs="Book Antiqua"/>
          <w:color w:val="000000"/>
          <w:shd w:val="clear" w:color="auto" w:fill="FFFFFF"/>
        </w:rPr>
        <w:t xml:space="preserve"> contributed to the analysis and wrote the manuscript in detail</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All authors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Supported by </w:t>
      </w:r>
      <w:r>
        <w:rPr>
          <w:rFonts w:ascii="Book Antiqua" w:hAnsi="Book Antiqua" w:eastAsia="Book Antiqua" w:cs="Book Antiqua"/>
          <w:color w:val="000000"/>
          <w:shd w:val="clear" w:color="auto" w:fill="FFFFFF"/>
        </w:rPr>
        <w:t>National Natural Science Foundation of China, No. 81873112</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Natural Science Foundation of Hebei Province, No. H2020423009</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Hundred Outstanding Innovative Talents Support Program of Universities in Hebei Province, No. SLRC2019043</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Basic Scientific Research Project of Hebei Provincial Colleges and Universities, No. JTZ2020005</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rPr>
        <w:t xml:space="preserve">and </w:t>
      </w:r>
      <w:r>
        <w:rPr>
          <w:rFonts w:ascii="Book Antiqua" w:hAnsi="Book Antiqua" w:eastAsia="Book Antiqua" w:cs="Book Antiqua"/>
          <w:color w:val="000000"/>
          <w:shd w:val="clear" w:color="auto" w:fill="FFFFFF"/>
        </w:rPr>
        <w:t>Scientific and Technological Capability Improvement Project of the Hebei University of Chinese Medicine, No. KTZ2019002.</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Xin-Li Shi, PhD, Professor, </w:t>
      </w:r>
      <w:r>
        <w:rPr>
          <w:rFonts w:ascii="Book Antiqua" w:hAnsi="Book Antiqua" w:eastAsia="Book Antiqua" w:cs="Book Antiqua"/>
          <w:color w:val="000000"/>
        </w:rPr>
        <w:t>Department of Pathobiology and Immunology, Hebei University of Chinese Medicine, No.</w:t>
      </w:r>
      <w:r>
        <w:rPr>
          <w:rFonts w:hint="eastAsia" w:ascii="Book Antiqua" w:hAnsi="Book Antiqua" w:cs="Book Antiqua"/>
          <w:color w:val="000000"/>
        </w:rPr>
        <w:t xml:space="preserve"> </w:t>
      </w:r>
      <w:r>
        <w:rPr>
          <w:rFonts w:ascii="Book Antiqua" w:hAnsi="Book Antiqua" w:eastAsia="Book Antiqua" w:cs="Book Antiqua"/>
          <w:color w:val="000000"/>
        </w:rPr>
        <w:t xml:space="preserve">3 Xing Yuan Lu, Shijiazhuang 050200, Hebei </w:t>
      </w:r>
      <w:r>
        <w:rPr>
          <w:rFonts w:hint="eastAsia" w:ascii="Book Antiqua" w:hAnsi="Book Antiqua" w:cs="Book Antiqua"/>
          <w:color w:val="000000"/>
        </w:rPr>
        <w:t>Province</w:t>
      </w:r>
      <w:r>
        <w:rPr>
          <w:rFonts w:ascii="Book Antiqua" w:hAnsi="Book Antiqua" w:eastAsia="Book Antiqua" w:cs="Book Antiqua"/>
          <w:color w:val="000000"/>
        </w:rPr>
        <w:t>,</w:t>
      </w:r>
      <w:r>
        <w:rPr>
          <w:rFonts w:hint="eastAsia" w:ascii="Book Antiqua" w:hAnsi="Book Antiqua" w:cs="Book Antiqua"/>
          <w:color w:val="000000"/>
        </w:rPr>
        <w:t xml:space="preserve"> </w:t>
      </w:r>
      <w:r>
        <w:rPr>
          <w:rFonts w:ascii="Book Antiqua" w:hAnsi="Book Antiqua" w:eastAsia="Book Antiqua" w:cs="Book Antiqua"/>
          <w:color w:val="000000"/>
        </w:rPr>
        <w:t>China. sxlsunshine@sina.com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21, 2021</w:t>
      </w:r>
    </w:p>
    <w:p>
      <w:pPr>
        <w:spacing w:line="360" w:lineRule="auto"/>
        <w:jc w:val="both"/>
      </w:pPr>
      <w:r>
        <w:rPr>
          <w:rFonts w:ascii="Book Antiqua" w:hAnsi="Book Antiqua" w:eastAsia="Book Antiqua" w:cs="Book Antiqua"/>
          <w:b/>
          <w:bCs/>
          <w:color w:val="000000"/>
        </w:rPr>
        <w:t xml:space="preserve">Revised: </w:t>
      </w:r>
      <w:r>
        <w:rPr>
          <w:rFonts w:hint="eastAsia" w:ascii="Book Antiqua" w:hAnsi="Book Antiqua" w:cs="Book Antiqua"/>
          <w:bCs/>
          <w:color w:val="000000"/>
        </w:rPr>
        <w:t>August 17,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February 25, 2022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May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hd w:val="clear" w:color="auto" w:fill="FFFFFF"/>
        </w:rPr>
        <w:t>Metabolic reprogramming has been identified as a core hallmark of cancer. Solute carrier family 2 is a major glucose carrier family. It consists of 14 members, and we mainly study solute carrier family 2 member 1 (SLC2A1) and solute carrier family 2 member 2 (SLC2A2) here. SLC2A1, mainly existing in human erythrocytes, brain endothelial cells, and normal placenta, was found to be increased in hepatocellular carcinoma (HCC), while SLC2A2, the major transporter of the normal liver, was decreased in HCC.</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shd w:val="clear" w:color="auto" w:fill="FFFFFF"/>
        </w:rPr>
        <w:t>To identify if SLC2A1 and SLC2A2 were associated with immune infiltration in addition to participating in the metabolic reprogramming in HCC.</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shd w:val="clear" w:color="auto" w:fill="FFFFFF"/>
        </w:rPr>
        <w:t>The expression levels of SLC2A1 and SLC2A2 were tested in HepG2 cells, HepG215 cells, and multiple databases. The clinical characteristics and survival data of SLC2A1 and SLC2A2 were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examined by multiple databases. The correlation between SLC2A1 and SLC2A2 was analyzed by multiple databases. The functions and pathways in which SLC2A1, SLC2A2, and frequently altered neighbor genes were involved were discussed in String. Immune infiltration levels and immune marker genes associated with SLC2A1 and SLC2A2 were discussed from multiple databases.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shd w:val="clear" w:color="auto" w:fill="FFFFFF"/>
        </w:rPr>
        <w:t xml:space="preserve">The expression level of SLC2A1 was up-regulated, but the expression level of </w:t>
      </w:r>
      <w:r>
        <w:rPr>
          <w:rFonts w:hint="eastAsia" w:ascii="Book Antiqua" w:hAnsi="Book Antiqua" w:eastAsia="Book Antiqua" w:cs="Book Antiqua"/>
          <w:color w:val="000000"/>
          <w:shd w:val="clear" w:color="auto" w:fill="FFFFFF"/>
        </w:rPr>
        <w:t>S</w:t>
      </w:r>
      <w:r>
        <w:rPr>
          <w:rFonts w:ascii="Book Antiqua" w:hAnsi="Book Antiqua" w:eastAsia="Book Antiqua" w:cs="Book Antiqua"/>
          <w:color w:val="000000"/>
          <w:shd w:val="clear" w:color="auto" w:fill="FFFFFF"/>
        </w:rPr>
        <w:t>LC2A2 was down-regulated in HepG2 cells, HepG215 cells, and liver cancer patients. The expression levels of SLC2A1 and SLC2A2 were related to tumor volume, grade, and stage in HCC. Interestingly, the expression levels of SLC2A1 and SLC2A2 were negatively correlated. Further, high SLC2A1 expression and low SLC2A2 expression were linked to poor overall survival</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and relapse-free survival. SLC2A1, SLC2A2, and frequently altered neighbor genes played a major role in the occurrence and development of tumors. Notably, SLC2A1 was positively correlated with tumor immune infiltration, while SLC2A2 was negatively correlated with tumor immune infiltration. Particularly, SLC2A2 methylation was positively correlated with lymphocytes.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hd w:val="clear" w:color="auto" w:fill="FFFFFF"/>
        </w:rPr>
        <w:t>SLC2A1 and SLC2A2 are independent therapeutic targets for HCC, and they are quintessential marker molecules for predicting and regulating the number and status of immune cells in HCC.</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Key Words: </w:t>
      </w:r>
      <w:r>
        <w:rPr>
          <w:rFonts w:ascii="Book Antiqua" w:hAnsi="Book Antiqua" w:eastAsia="Book Antiqua" w:cs="Book Antiqua"/>
          <w:color w:val="000000"/>
          <w:shd w:val="clear" w:color="auto" w:fill="FFFFFF"/>
        </w:rPr>
        <w:t>Hepatocellular carcinoma; Solute carrier family 2 member 1; Solute carrier family 2 member 2; Prognostic; Immune infiltration</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Peng Q, Hao LY, Guo YL, Zhang ZQ, Ji JM, Xue Y, Liu YW, Lu JL, Li CG, Shi XL. Solute carrier family 2 members 1 and 2 as prognostic biomarkers in hepatocellular carcinoma associated with immune infiltration.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hint="eastAsia" w:ascii="Book Antiqua" w:hAnsi="Book Antiqua" w:cs="Book Antiqua"/>
          <w:color w:val="000000"/>
        </w:rPr>
        <w:t>2</w:t>
      </w:r>
      <w:r>
        <w:rPr>
          <w:rFonts w:ascii="Book Antiqua" w:hAnsi="Book Antiqua" w:eastAsia="Book Antiqua" w:cs="Book Antiqua"/>
          <w:color w:val="000000"/>
        </w:rPr>
        <w:t xml:space="preserve">; 10(13): </w:t>
      </w:r>
      <w:r>
        <w:rPr>
          <w:rFonts w:hint="default" w:ascii="Book Antiqua" w:hAnsi="Book Antiqua" w:eastAsia="Book Antiqua" w:cs="Book Antiqua"/>
          <w:i w:val="0"/>
          <w:iCs w:val="0"/>
          <w:color w:val="000000"/>
          <w:kern w:val="0"/>
          <w:sz w:val="24"/>
          <w:szCs w:val="24"/>
          <w:u w:val="none"/>
          <w:lang w:val="en-US" w:eastAsia="zh-CN" w:bidi="ar"/>
        </w:rPr>
        <w:t>3989-4019</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3989</w:t>
      </w:r>
      <w:r>
        <w:rPr>
          <w:rFonts w:ascii="Book Antiqua" w:hAnsi="Book Antiqua" w:eastAsia="Book Antiqua" w:cs="Book Antiqua"/>
          <w:color w:val="000000"/>
        </w:rPr>
        <w:t>.htm</w:t>
      </w:r>
    </w:p>
    <w:p>
      <w:pPr>
        <w:spacing w:line="360" w:lineRule="auto"/>
        <w:jc w:val="both"/>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3989</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shd w:val="clear" w:color="auto" w:fill="FFFFFF"/>
        </w:rPr>
        <w:t>We performed an integrated bioinformatics analysis to assess the influence of solute carrier family 2 member 1 (SLC2A1) and solute carrier family 2 member 2 (SLC2A2) in hepatocellular carcinoma (HCC). This study revealed that SLC2A1 and SLC2A2 are independent therapeutic targets in HCC and that they are correlated with immune infiltration, in addition to being involved in the metabolic reprogramming in HCC.</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hd w:val="clear" w:color="auto" w:fill="FFFFFF"/>
        </w:rPr>
        <w:t>Hepatocellular carcinoma (HCC) is the third most common cancer in the world</w:t>
      </w:r>
      <w:r>
        <w:rPr>
          <w:rFonts w:ascii="Book Antiqua" w:hAnsi="Book Antiqua" w:eastAsia="Book Antiqua" w:cs="Book Antiqua"/>
          <w:color w:val="000000"/>
          <w:szCs w:val="30"/>
          <w:shd w:val="clear" w:color="auto" w:fill="FFFFFF"/>
          <w:vertAlign w:val="superscript"/>
        </w:rPr>
        <w:t>[1]</w:t>
      </w:r>
      <w:r>
        <w:rPr>
          <w:rFonts w:ascii="Book Antiqua" w:hAnsi="Book Antiqua" w:eastAsia="Book Antiqua" w:cs="Book Antiqua"/>
          <w:color w:val="000000"/>
          <w:shd w:val="clear" w:color="auto" w:fill="FFFFFF"/>
        </w:rPr>
        <w:t>, among which 55% of cases come from China and 80% of cases are caused by hepatitis B virus (HBV) infection</w:t>
      </w:r>
      <w:r>
        <w:rPr>
          <w:rFonts w:ascii="Book Antiqua" w:hAnsi="Book Antiqua" w:eastAsia="Book Antiqua" w:cs="Book Antiqua"/>
          <w:color w:val="000000"/>
          <w:szCs w:val="30"/>
          <w:shd w:val="clear" w:color="auto" w:fill="FFFFFF"/>
          <w:vertAlign w:val="superscript"/>
        </w:rPr>
        <w:t>[2]</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HCC is an inflammation-induced tumor, and immune escape is one of the characteristics</w:t>
      </w:r>
      <w:r>
        <w:rPr>
          <w:rFonts w:ascii="Book Antiqua" w:hAnsi="Book Antiqua" w:eastAsia="Book Antiqua" w:cs="Book Antiqua"/>
          <w:color w:val="000000"/>
          <w:szCs w:val="30"/>
          <w:shd w:val="clear" w:color="auto" w:fill="FFFFFF"/>
          <w:vertAlign w:val="superscript"/>
        </w:rPr>
        <w:t>[3]</w:t>
      </w:r>
      <w:r>
        <w:rPr>
          <w:rFonts w:ascii="Book Antiqua" w:hAnsi="Book Antiqua" w:eastAsia="Book Antiqua" w:cs="Book Antiqua"/>
          <w:color w:val="000000"/>
          <w:shd w:val="clear" w:color="auto" w:fill="FFFFFF"/>
        </w:rPr>
        <w:t>. Immune cells and</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cytokines in the immune microenvironment play an important role in the occurrence and development of HCC</w:t>
      </w:r>
      <w:r>
        <w:rPr>
          <w:rFonts w:ascii="Book Antiqua" w:hAnsi="Book Antiqua" w:eastAsia="Book Antiqua" w:cs="Book Antiqua"/>
          <w:color w:val="000000"/>
          <w:szCs w:val="30"/>
          <w:shd w:val="clear" w:color="auto" w:fill="FFFFFF"/>
          <w:vertAlign w:val="superscript"/>
        </w:rPr>
        <w:t>[4]</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Based on this, </w:t>
      </w:r>
      <w:r>
        <w:rPr>
          <w:rFonts w:hint="eastAsia" w:ascii="Book Antiqua" w:hAnsi="Book Antiqua" w:eastAsia="Book Antiqua" w:cs="Book Antiqua"/>
          <w:color w:val="000000"/>
          <w:shd w:val="clear" w:color="auto" w:fill="FFFFFF"/>
        </w:rPr>
        <w:t>p</w:t>
      </w:r>
      <w:r>
        <w:rPr>
          <w:rFonts w:ascii="Book Antiqua" w:hAnsi="Book Antiqua" w:eastAsia="Book Antiqua" w:cs="Book Antiqua"/>
          <w:color w:val="000000"/>
          <w:shd w:val="clear" w:color="auto" w:fill="FFFFFF"/>
        </w:rPr>
        <w:t>rogrammed cell death 1 (PD-1), CD274 molecule (PD-L1), and cytotoxic T-lymphocyte associated protein 4 (CTLA4) monoclonal antibodies prevent T cells from failing and thus activate the anti-cancer immunity</w:t>
      </w:r>
      <w:r>
        <w:rPr>
          <w:rFonts w:ascii="Book Antiqua" w:hAnsi="Book Antiqua" w:eastAsia="Book Antiqua" w:cs="Book Antiqua"/>
          <w:color w:val="000000"/>
          <w:szCs w:val="30"/>
          <w:shd w:val="clear" w:color="auto" w:fill="FFFFFF"/>
          <w:vertAlign w:val="superscript"/>
        </w:rPr>
        <w:t>[5]</w:t>
      </w:r>
      <w:r>
        <w:rPr>
          <w:rFonts w:ascii="Book Antiqua" w:hAnsi="Book Antiqua" w:eastAsia="Book Antiqua" w:cs="Book Antiqua"/>
          <w:color w:val="000000"/>
          <w:shd w:val="clear" w:color="auto" w:fill="FFFFFF"/>
        </w:rPr>
        <w:t>. However, clinical trials showed that PD-1 antibodies (nivolumab</w:t>
      </w:r>
      <w:r>
        <w:rPr>
          <w:rFonts w:ascii="Book Antiqua" w:hAnsi="Book Antiqua" w:eastAsia="Book Antiqua" w:cs="Book Antiqua"/>
          <w:color w:val="000000"/>
          <w:szCs w:val="30"/>
          <w:shd w:val="clear" w:color="auto" w:fill="FFFFFF"/>
          <w:vertAlign w:val="superscript"/>
        </w:rPr>
        <w:t>[6]</w:t>
      </w:r>
      <w:r>
        <w:rPr>
          <w:rFonts w:ascii="Book Antiqua" w:hAnsi="Book Antiqua" w:eastAsia="Book Antiqua" w:cs="Book Antiqua"/>
          <w:color w:val="000000"/>
          <w:shd w:val="clear" w:color="auto" w:fill="FFFFFF"/>
        </w:rPr>
        <w:t xml:space="preserve"> and pembrolizumab</w:t>
      </w:r>
      <w:r>
        <w:rPr>
          <w:rFonts w:ascii="Book Antiqua" w:hAnsi="Book Antiqua" w:eastAsia="Book Antiqua" w:cs="Book Antiqua"/>
          <w:color w:val="000000"/>
          <w:szCs w:val="30"/>
          <w:shd w:val="clear" w:color="auto" w:fill="FFFFFF"/>
          <w:vertAlign w:val="superscript"/>
        </w:rPr>
        <w:t>[7]</w:t>
      </w:r>
      <w:r>
        <w:rPr>
          <w:rFonts w:ascii="Book Antiqua" w:hAnsi="Book Antiqua" w:eastAsia="Book Antiqua" w:cs="Book Antiqua"/>
          <w:color w:val="000000"/>
          <w:shd w:val="clear" w:color="auto" w:fill="FFFFFF"/>
        </w:rPr>
        <w:t>) and CTLA4 antibodies (tremelimumab</w:t>
      </w:r>
      <w:r>
        <w:rPr>
          <w:rFonts w:ascii="Book Antiqua" w:hAnsi="Book Antiqua" w:eastAsia="Book Antiqua" w:cs="Book Antiqua"/>
          <w:color w:val="000000"/>
          <w:szCs w:val="30"/>
          <w:shd w:val="clear" w:color="auto" w:fill="FFFFFF"/>
          <w:vertAlign w:val="superscript"/>
        </w:rPr>
        <w:t>[8]</w:t>
      </w:r>
      <w:r>
        <w:rPr>
          <w:rFonts w:ascii="Book Antiqua" w:hAnsi="Book Antiqua" w:eastAsia="Book Antiqua" w:cs="Book Antiqua"/>
          <w:color w:val="000000"/>
          <w:shd w:val="clear" w:color="auto" w:fill="FFFFFF"/>
        </w:rPr>
        <w:t>) improved clinical outcomes in a few patients or were not effective at all. Therefore, recognition molecules representing the patient's immune status will help identify subgroups sensitive to immunomodulatory drugs. Moreover, some independent target molecules associated with the tumor immune microenvironment are worth exploring in HCC.</w:t>
      </w:r>
    </w:p>
    <w:p>
      <w:pPr>
        <w:spacing w:line="360" w:lineRule="auto"/>
        <w:ind w:firstLine="480"/>
        <w:jc w:val="both"/>
      </w:pPr>
      <w:r>
        <w:rPr>
          <w:rFonts w:ascii="Book Antiqua" w:hAnsi="Book Antiqua" w:eastAsia="Book Antiqua" w:cs="Book Antiqua"/>
          <w:color w:val="000000"/>
          <w:shd w:val="clear" w:color="auto" w:fill="FFFFFF"/>
        </w:rPr>
        <w:t>Metabolic reprogramming was recognized as a core hallmark of cancer</w:t>
      </w:r>
      <w:r>
        <w:rPr>
          <w:rFonts w:ascii="Book Antiqua" w:hAnsi="Book Antiqua" w:eastAsia="Book Antiqua" w:cs="Book Antiqua"/>
          <w:color w:val="000000"/>
          <w:szCs w:val="30"/>
          <w:shd w:val="clear" w:color="auto" w:fill="FFFFFF"/>
          <w:vertAlign w:val="superscript"/>
        </w:rPr>
        <w:t>[9]</w:t>
      </w:r>
      <w:r>
        <w:rPr>
          <w:rFonts w:ascii="Book Antiqua" w:hAnsi="Book Antiqua" w:eastAsia="Book Antiqua" w:cs="Book Antiqua"/>
          <w:color w:val="000000"/>
          <w:shd w:val="clear" w:color="auto" w:fill="FFFFFF"/>
        </w:rPr>
        <w:t>. The solute carrier family 2 is the important carrier</w:t>
      </w:r>
      <w:r>
        <w:rPr>
          <w:rFonts w:ascii="Book Antiqua" w:hAnsi="Book Antiqua" w:eastAsia="Book Antiqua" w:cs="Book Antiqua"/>
          <w:color w:val="000000"/>
          <w:szCs w:val="21"/>
        </w:rPr>
        <w:t xml:space="preserve"> </w:t>
      </w:r>
      <w:r>
        <w:rPr>
          <w:rFonts w:ascii="Book Antiqua" w:hAnsi="Book Antiqua" w:eastAsia="Book Antiqua" w:cs="Book Antiqua"/>
          <w:color w:val="000000"/>
          <w:shd w:val="clear" w:color="auto" w:fill="FFFFFF"/>
        </w:rPr>
        <w:t>for glucose to enter target cells,</w:t>
      </w:r>
      <w:r>
        <w:rPr>
          <w:rFonts w:ascii="Book Antiqua" w:hAnsi="Book Antiqua" w:eastAsia="Book Antiqua" w:cs="Book Antiqua"/>
          <w:color w:val="000000"/>
          <w:szCs w:val="21"/>
        </w:rPr>
        <w:t xml:space="preserve"> </w:t>
      </w:r>
      <w:r>
        <w:rPr>
          <w:rFonts w:ascii="Book Antiqua" w:hAnsi="Book Antiqua" w:eastAsia="Book Antiqua" w:cs="Book Antiqua"/>
          <w:color w:val="000000"/>
          <w:shd w:val="clear" w:color="auto" w:fill="FFFFFF"/>
        </w:rPr>
        <w:t>and its ability to transport glucose is the first rate-determining step in tumor metabolic reprogramming</w:t>
      </w:r>
      <w:r>
        <w:rPr>
          <w:rFonts w:ascii="Book Antiqua" w:hAnsi="Book Antiqua" w:eastAsia="Book Antiqua" w:cs="Book Antiqua"/>
          <w:color w:val="000000"/>
          <w:szCs w:val="30"/>
          <w:shd w:val="clear" w:color="auto" w:fill="FFFFFF"/>
          <w:vertAlign w:val="superscript"/>
        </w:rPr>
        <w:t>[10]</w:t>
      </w:r>
      <w:r>
        <w:rPr>
          <w:rFonts w:ascii="Book Antiqua" w:hAnsi="Book Antiqua" w:eastAsia="Book Antiqua" w:cs="Book Antiqua"/>
          <w:color w:val="000000"/>
          <w:shd w:val="clear" w:color="auto" w:fill="FFFFFF"/>
        </w:rPr>
        <w:t>. Solute carrier family 2 member 1 (SLC2A1), one of the members of the solute carrier family 2, mainly exist in human erythrocytes, brain endothelial cells, and a normal placenta</w:t>
      </w:r>
      <w:r>
        <w:rPr>
          <w:rFonts w:ascii="Book Antiqua" w:hAnsi="Book Antiqua" w:eastAsia="Book Antiqua" w:cs="Book Antiqua"/>
          <w:color w:val="000000"/>
          <w:szCs w:val="30"/>
          <w:shd w:val="clear" w:color="auto" w:fill="FFFFFF"/>
          <w:vertAlign w:val="superscript"/>
        </w:rPr>
        <w:t>[11]</w:t>
      </w:r>
      <w:r>
        <w:rPr>
          <w:rFonts w:ascii="Book Antiqua" w:hAnsi="Book Antiqua" w:eastAsia="Book Antiqua" w:cs="Book Antiqua"/>
          <w:color w:val="000000"/>
          <w:shd w:val="clear" w:color="auto" w:fill="FFFFFF"/>
        </w:rPr>
        <w:t>. It is highly expressed in HCC</w:t>
      </w:r>
      <w:r>
        <w:rPr>
          <w:rFonts w:ascii="Book Antiqua" w:hAnsi="Book Antiqua" w:eastAsia="Book Antiqua" w:cs="Book Antiqua"/>
          <w:color w:val="000000"/>
          <w:szCs w:val="30"/>
          <w:shd w:val="clear" w:color="auto" w:fill="FFFFFF"/>
          <w:vertAlign w:val="superscript"/>
        </w:rPr>
        <w:t>[12]</w:t>
      </w:r>
      <w:r>
        <w:rPr>
          <w:rFonts w:ascii="Book Antiqua" w:hAnsi="Book Antiqua" w:eastAsia="Book Antiqua" w:cs="Book Antiqua"/>
          <w:color w:val="000000"/>
          <w:shd w:val="clear" w:color="auto" w:fill="FFFFFF"/>
        </w:rPr>
        <w:t>. Interestingly, solute carrier family 2 member 2 (SLC2A2), the major transporter of the normal liver</w:t>
      </w:r>
      <w:r>
        <w:rPr>
          <w:rFonts w:ascii="Book Antiqua" w:hAnsi="Book Antiqua" w:eastAsia="Book Antiqua" w:cs="Book Antiqua"/>
          <w:color w:val="000000"/>
          <w:szCs w:val="30"/>
          <w:shd w:val="clear" w:color="auto" w:fill="FFFFFF"/>
          <w:vertAlign w:val="superscript"/>
        </w:rPr>
        <w:t>[13]</w:t>
      </w:r>
      <w:r>
        <w:rPr>
          <w:rFonts w:ascii="Book Antiqua" w:hAnsi="Book Antiqua" w:eastAsia="Book Antiqua" w:cs="Book Antiqua"/>
          <w:color w:val="000000"/>
          <w:shd w:val="clear" w:color="auto" w:fill="FFFFFF"/>
        </w:rPr>
        <w:t>, is low expressed when HCC occurs</w:t>
      </w:r>
      <w:r>
        <w:rPr>
          <w:rFonts w:ascii="Book Antiqua" w:hAnsi="Book Antiqua" w:eastAsia="Book Antiqua" w:cs="Book Antiqua"/>
          <w:color w:val="000000"/>
          <w:szCs w:val="30"/>
          <w:shd w:val="clear" w:color="auto" w:fill="FFFFFF"/>
          <w:vertAlign w:val="superscript"/>
        </w:rPr>
        <w:t>[14]</w:t>
      </w:r>
      <w:r>
        <w:rPr>
          <w:rFonts w:ascii="Book Antiqua" w:hAnsi="Book Antiqua" w:eastAsia="Book Antiqua" w:cs="Book Antiqua"/>
          <w:color w:val="000000"/>
          <w:shd w:val="clear" w:color="auto" w:fill="FFFFFF"/>
        </w:rPr>
        <w:t>. Lactic acid was produced and the pH changed by the Warburg effect, which was part of metabolic reprogramming affected immune cells in the tumor immune microenvironment</w:t>
      </w:r>
      <w:r>
        <w:rPr>
          <w:rFonts w:ascii="Book Antiqua" w:hAnsi="Book Antiqua" w:eastAsia="Book Antiqua" w:cs="Book Antiqua"/>
          <w:color w:val="000000"/>
          <w:szCs w:val="30"/>
          <w:shd w:val="clear" w:color="auto" w:fill="FFFFFF"/>
          <w:vertAlign w:val="superscript"/>
        </w:rPr>
        <w:t>[15]</w:t>
      </w:r>
      <w:r>
        <w:rPr>
          <w:rFonts w:ascii="Book Antiqua" w:hAnsi="Book Antiqua" w:eastAsia="Book Antiqua" w:cs="Book Antiqua"/>
          <w:color w:val="000000"/>
          <w:shd w:val="clear" w:color="auto" w:fill="FFFFFF"/>
        </w:rPr>
        <w:t>. A previous study showed that overexpression of SLC2A1 was correlated with suppressing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and B cells in gastric cancer</w:t>
      </w:r>
      <w:r>
        <w:rPr>
          <w:rFonts w:ascii="Book Antiqua" w:hAnsi="Book Antiqua" w:eastAsia="Book Antiqua" w:cs="Book Antiqua"/>
          <w:color w:val="000000"/>
          <w:szCs w:val="30"/>
          <w:shd w:val="clear" w:color="auto" w:fill="FFFFFF"/>
          <w:vertAlign w:val="superscript"/>
        </w:rPr>
        <w:t>[16]</w:t>
      </w:r>
      <w:r>
        <w:rPr>
          <w:rFonts w:ascii="Book Antiqua" w:hAnsi="Book Antiqua" w:eastAsia="Book Antiqua" w:cs="Book Antiqua"/>
          <w:color w:val="000000"/>
          <w:shd w:val="clear" w:color="auto" w:fill="FFFFFF"/>
        </w:rPr>
        <w:t>. Nevertheless, the potential functions and mechanisms of SLC2A2 in HCC are still unclear.</w:t>
      </w:r>
    </w:p>
    <w:p>
      <w:pPr>
        <w:spacing w:line="360" w:lineRule="auto"/>
        <w:ind w:firstLine="240" w:firstLineChars="100"/>
        <w:jc w:val="both"/>
      </w:pPr>
      <w:r>
        <w:rPr>
          <w:rFonts w:ascii="Book Antiqua" w:hAnsi="Book Antiqua" w:eastAsia="Book Antiqua" w:cs="Book Antiqua"/>
          <w:color w:val="000000"/>
          <w:shd w:val="clear" w:color="auto" w:fill="FFFFFF"/>
        </w:rPr>
        <w:t>In this study, multiple databases were used to estimate the expression levels of SLC2A1 and SLC2A2 in HCC. Then, expressions of SLC2A1 and SLC2A2 were correlated with the clinical characteristics and prognosis of patients. In addition, we also evaluated the pathways in which SLC2A1, SLC2A2, and frequently altered neighbor genes participated were involved in the occurrence and development of tumors.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Notably, we analyzed the correlation between SLC2A1 and SLC2A2 and immune cells in the HCC microenvironment. Thus, this study clarified the crucial role of SLC2A1 and SLC2A2, and it was the first to propose that SLC2A1 and SLC2A2 are related to immune cells in HCC.</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shd w:val="clear" w:color="auto" w:fill="FFFFFF"/>
        </w:rPr>
        <w:t>National Center for Biotechnology Information's gene</w:t>
      </w:r>
    </w:p>
    <w:p>
      <w:pPr>
        <w:spacing w:line="360" w:lineRule="auto"/>
        <w:jc w:val="both"/>
      </w:pPr>
      <w:r>
        <w:rPr>
          <w:rFonts w:ascii="Book Antiqua" w:hAnsi="Book Antiqua" w:eastAsia="Book Antiqua" w:cs="Book Antiqua"/>
          <w:color w:val="000000"/>
          <w:shd w:val="clear" w:color="auto" w:fill="FFFFFF"/>
        </w:rPr>
        <w:t xml:space="preserve">National Center for Biotechnology Information's gene database </w:t>
      </w:r>
      <w:r>
        <w:rPr>
          <w:rFonts w:ascii="Book Antiqua" w:hAnsi="Book Antiqua" w:eastAsia="Book Antiqua" w:cs="Book Antiqua"/>
          <w:color w:val="000000"/>
        </w:rPr>
        <w:t>(</w:t>
      </w:r>
      <w:bookmarkStart w:id="2" w:name="OLE_LINK3"/>
      <w:bookmarkStart w:id="3" w:name="OLE_LINK4"/>
      <w:r>
        <w:rPr>
          <w:rFonts w:ascii="Times New Roman" w:hAnsi="Times New Roman" w:cs="Times New Roman" w:eastAsiaTheme="minorEastAsia"/>
        </w:rPr>
        <w:fldChar w:fldCharType="begin"/>
      </w:r>
      <w:r>
        <w:instrText xml:space="preserve"> HYPERLINK "http://www.ncbi.nlm.nih.gov/gene/" </w:instrText>
      </w:r>
      <w:r>
        <w:rPr>
          <w:rFonts w:ascii="Times New Roman" w:hAnsi="Times New Roman" w:cs="Times New Roman" w:eastAsiaTheme="minorEastAsia"/>
        </w:rPr>
        <w:fldChar w:fldCharType="separate"/>
      </w:r>
      <w:r>
        <w:rPr>
          <w:rFonts w:ascii="Book Antiqua" w:hAnsi="Book Antiqua" w:eastAsia="Book Antiqua" w:cs="Book Antiqua"/>
          <w:color w:val="000000"/>
          <w:u w:color="0000EE"/>
        </w:rPr>
        <w:t>www.ncbi.nlm.nih.gov/gene/</w:t>
      </w:r>
      <w:r>
        <w:rPr>
          <w:rFonts w:ascii="Book Antiqua" w:hAnsi="Book Antiqua" w:eastAsia="Book Antiqua" w:cs="Book Antiqua"/>
          <w:color w:val="000000"/>
          <w:u w:color="0000EE"/>
        </w:rPr>
        <w:fldChar w:fldCharType="end"/>
      </w:r>
      <w:bookmarkEnd w:id="2"/>
      <w:bookmarkEnd w:id="3"/>
      <w:r>
        <w:rPr>
          <w:rFonts w:ascii="Book Antiqua" w:hAnsi="Book Antiqua" w:eastAsia="Book Antiqua" w:cs="Book Antiqua"/>
          <w:color w:val="000000"/>
        </w:rPr>
        <w:t>)</w:t>
      </w:r>
      <w:r>
        <w:rPr>
          <w:rFonts w:ascii="Book Antiqua" w:hAnsi="Book Antiqua" w:eastAsia="Book Antiqua" w:cs="Book Antiqua"/>
          <w:color w:val="000000"/>
          <w:szCs w:val="30"/>
          <w:shd w:val="clear" w:color="auto" w:fill="FFFFFF"/>
          <w:vertAlign w:val="superscript"/>
        </w:rPr>
        <w:t>[17]</w:t>
      </w:r>
      <w:r>
        <w:rPr>
          <w:rFonts w:ascii="Book Antiqua" w:hAnsi="Book Antiqua" w:eastAsia="Book Antiqua" w:cs="Book Antiqua"/>
          <w:color w:val="000000"/>
          <w:shd w:val="clear" w:color="auto" w:fill="FFFFFF"/>
        </w:rPr>
        <w:t xml:space="preserve"> integrating gene-specific information from a wide range of species showed the expression of human genes SLC2A1 and SLC2A2 in normal liver tissues from 95 human individuals.</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Gene expression series 121248 (GSE121248) in gene expression omnibus</w:t>
      </w:r>
    </w:p>
    <w:p>
      <w:pPr>
        <w:spacing w:line="360" w:lineRule="auto"/>
        <w:jc w:val="both"/>
      </w:pPr>
      <w:r>
        <w:rPr>
          <w:rFonts w:ascii="Book Antiqua" w:hAnsi="Book Antiqua" w:eastAsia="Book Antiqua" w:cs="Book Antiqua"/>
          <w:color w:val="000000"/>
          <w:shd w:val="clear" w:color="auto" w:fill="FFFFFF"/>
        </w:rPr>
        <w:t xml:space="preserve">Gene expression omnibus </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www.ncbi.nlm.nih.gov/geo/)</w:t>
      </w:r>
      <w:r>
        <w:rPr>
          <w:rFonts w:ascii="Book Antiqua" w:hAnsi="Book Antiqua" w:eastAsia="Book Antiqua" w:cs="Book Antiqua"/>
          <w:color w:val="000000"/>
          <w:szCs w:val="30"/>
          <w:shd w:val="clear" w:color="auto" w:fill="FFFFFF"/>
          <w:vertAlign w:val="superscript"/>
        </w:rPr>
        <w:t>[18]</w:t>
      </w:r>
      <w:r>
        <w:rPr>
          <w:rFonts w:ascii="Book Antiqua" w:hAnsi="Book Antiqua" w:eastAsia="Book Antiqua" w:cs="Book Antiqua"/>
          <w:color w:val="000000"/>
          <w:shd w:val="clear" w:color="auto" w:fill="FFFFFF"/>
        </w:rPr>
        <w:t xml:space="preserve"> is an international public repository of microarray chips, second-generation sequencing, and other high-throughput genetic data uploaded by researchers around the world. GSE121248</w:t>
      </w:r>
      <w:r>
        <w:rPr>
          <w:rFonts w:ascii="Book Antiqua" w:hAnsi="Book Antiqua" w:eastAsia="Book Antiqua" w:cs="Book Antiqua"/>
          <w:color w:val="000000"/>
          <w:szCs w:val="30"/>
          <w:shd w:val="clear" w:color="auto" w:fill="FFFFFF"/>
          <w:vertAlign w:val="superscript"/>
        </w:rPr>
        <w:t>[19]</w:t>
      </w:r>
      <w:r>
        <w:rPr>
          <w:rFonts w:ascii="Book Antiqua" w:hAnsi="Book Antiqua" w:eastAsia="Book Antiqua" w:cs="Book Antiqua"/>
          <w:color w:val="000000"/>
          <w:shd w:val="clear" w:color="auto" w:fill="FFFFFF"/>
        </w:rPr>
        <w:t>, a cohort of HCC patients, demonstrated the expression levels of SLC2A1 and SLC2A2 compared with normal samples and the correlation between SLC2A1 and SLC2A2 expression in HCC.</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The Cancer Genome Atlas</w:t>
      </w:r>
    </w:p>
    <w:p>
      <w:pPr>
        <w:spacing w:line="360" w:lineRule="auto"/>
        <w:jc w:val="both"/>
      </w:pPr>
      <w:r>
        <w:rPr>
          <w:rFonts w:ascii="Book Antiqua" w:hAnsi="Book Antiqua" w:eastAsia="Book Antiqua" w:cs="Book Antiqua"/>
          <w:color w:val="000000"/>
          <w:shd w:val="clear" w:color="auto" w:fill="FFFFFF"/>
        </w:rPr>
        <w:t>The Cancer Genome Atlas (TCGA) (portal.gdc.cancer.gov/)</w:t>
      </w:r>
      <w:r>
        <w:rPr>
          <w:rFonts w:ascii="Book Antiqua" w:hAnsi="Book Antiqua" w:eastAsia="Book Antiqua" w:cs="Book Antiqua"/>
          <w:color w:val="000000"/>
          <w:szCs w:val="30"/>
          <w:shd w:val="clear" w:color="auto" w:fill="FFFFFF"/>
          <w:vertAlign w:val="superscript"/>
        </w:rPr>
        <w:t>[20]</w:t>
      </w:r>
      <w:r>
        <w:rPr>
          <w:rFonts w:ascii="Book Antiqua" w:hAnsi="Book Antiqua" w:eastAsia="Book Antiqua" w:cs="Book Antiqua"/>
          <w:color w:val="000000"/>
          <w:shd w:val="clear" w:color="auto" w:fill="FFFFFF"/>
        </w:rPr>
        <w:t xml:space="preserve"> was one of the most ambitious and successful cancer genomics programs to date. Raw counts of RNA sequencing data and corresponding clinical information from 371 HCC and normal tissue samples were available from TCGA. Clinical information of these patients is shown in Table 1.</w:t>
      </w:r>
    </w:p>
    <w:p>
      <w:pPr>
        <w:spacing w:line="360" w:lineRule="auto"/>
        <w:jc w:val="both"/>
      </w:pPr>
    </w:p>
    <w:p>
      <w:pPr>
        <w:spacing w:line="360" w:lineRule="auto"/>
        <w:jc w:val="both"/>
      </w:pPr>
      <w:r>
        <w:rPr>
          <w:rFonts w:ascii="Book Antiqua" w:hAnsi="Book Antiqua" w:eastAsia="Book Antiqua" w:cs="Book Antiqua"/>
          <w:b/>
          <w:bCs/>
          <w:i/>
          <w:iCs/>
          <w:caps/>
          <w:color w:val="000000"/>
          <w:shd w:val="clear" w:color="auto" w:fill="FFFFFF"/>
        </w:rPr>
        <w:t>h</w:t>
      </w:r>
      <w:r>
        <w:rPr>
          <w:rFonts w:ascii="Book Antiqua" w:hAnsi="Book Antiqua" w:eastAsia="Book Antiqua" w:cs="Book Antiqua"/>
          <w:b/>
          <w:bCs/>
          <w:i/>
          <w:iCs/>
          <w:color w:val="000000"/>
          <w:shd w:val="clear" w:color="auto" w:fill="FFFFFF"/>
        </w:rPr>
        <w:t>uman Protein Atlas</w:t>
      </w:r>
    </w:p>
    <w:p>
      <w:pPr>
        <w:spacing w:line="360" w:lineRule="auto"/>
        <w:jc w:val="both"/>
      </w:pPr>
      <w:r>
        <w:rPr>
          <w:rFonts w:ascii="Book Antiqua" w:hAnsi="Book Antiqua" w:eastAsia="Book Antiqua" w:cs="Book Antiqua"/>
          <w:color w:val="000000"/>
          <w:shd w:val="clear" w:color="auto" w:fill="FFFFFF"/>
        </w:rPr>
        <w:t>Human Protein Atlas (</w:t>
      </w:r>
      <w:r>
        <w:fldChar w:fldCharType="begin"/>
      </w:r>
      <w:r>
        <w:instrText xml:space="preserve"> HYPERLINK "http://www.proteinatlas.org/" </w:instrText>
      </w:r>
      <w:r>
        <w:fldChar w:fldCharType="separate"/>
      </w:r>
      <w:r>
        <w:rPr>
          <w:rFonts w:ascii="Book Antiqua" w:hAnsi="Book Antiqua" w:eastAsia="Book Antiqua" w:cs="Book Antiqua"/>
          <w:color w:val="000000"/>
          <w:u w:color="0000EE"/>
        </w:rPr>
        <w:t>www.proteinatlas.org/</w:t>
      </w:r>
      <w:r>
        <w:rPr>
          <w:rFonts w:ascii="Book Antiqua" w:hAnsi="Book Antiqua" w:eastAsia="Book Antiqua" w:cs="Book Antiqua"/>
          <w:color w:val="000000"/>
          <w:u w:color="0000EE"/>
        </w:rPr>
        <w:fldChar w:fldCharType="end"/>
      </w:r>
      <w:r>
        <w:rPr>
          <w:rFonts w:ascii="Book Antiqua" w:hAnsi="Book Antiqua" w:eastAsia="Book Antiqua" w:cs="Book Antiqua"/>
          <w:color w:val="000000"/>
          <w:shd w:val="clear" w:color="auto" w:fill="FFFFFF"/>
        </w:rPr>
        <w:t>)</w:t>
      </w:r>
      <w:r>
        <w:rPr>
          <w:rFonts w:ascii="Book Antiqua" w:hAnsi="Book Antiqua" w:eastAsia="Book Antiqua" w:cs="Book Antiqua"/>
          <w:color w:val="000000"/>
          <w:szCs w:val="30"/>
          <w:shd w:val="clear" w:color="auto" w:fill="FFFFFF"/>
          <w:vertAlign w:val="superscript"/>
        </w:rPr>
        <w:t>[21]</w:t>
      </w:r>
      <w:r>
        <w:rPr>
          <w:rFonts w:ascii="Book Antiqua" w:hAnsi="Book Antiqua" w:eastAsia="Book Antiqua" w:cs="Book Antiqua"/>
          <w:color w:val="000000"/>
          <w:shd w:val="clear" w:color="auto" w:fill="FFFFFF"/>
        </w:rPr>
        <w:t xml:space="preserve"> provided information on the tissue and cellular distribution of 24000 human proteins. SLC2A1 and SLC2A2 immunofluorescence images of HepG2 cells were obtained. Next, immunohistochemistry images showed SLC2A1 and SLC2A2 in liver cancer patients and normal tissues.</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 xml:space="preserve">Tumor </w:t>
      </w:r>
      <w:r>
        <w:rPr>
          <w:rFonts w:hint="eastAsia" w:ascii="Book Antiqua" w:hAnsi="Book Antiqua" w:eastAsia="Book Antiqua" w:cs="Book Antiqua"/>
          <w:b/>
          <w:bCs/>
          <w:i/>
          <w:iCs/>
          <w:color w:val="000000"/>
          <w:shd w:val="clear" w:color="auto" w:fill="FFFFFF"/>
        </w:rPr>
        <w:t>i</w:t>
      </w:r>
      <w:r>
        <w:rPr>
          <w:rFonts w:ascii="Book Antiqua" w:hAnsi="Book Antiqua" w:eastAsia="Book Antiqua" w:cs="Book Antiqua"/>
          <w:b/>
          <w:bCs/>
          <w:i/>
          <w:iCs/>
          <w:color w:val="000000"/>
          <w:shd w:val="clear" w:color="auto" w:fill="FFFFFF"/>
        </w:rPr>
        <w:t xml:space="preserve">mmune </w:t>
      </w:r>
      <w:r>
        <w:rPr>
          <w:rFonts w:hint="eastAsia" w:ascii="Book Antiqua" w:hAnsi="Book Antiqua" w:eastAsia="Book Antiqua" w:cs="Book Antiqua"/>
          <w:b/>
          <w:bCs/>
          <w:i/>
          <w:iCs/>
          <w:color w:val="000000"/>
          <w:shd w:val="clear" w:color="auto" w:fill="FFFFFF"/>
        </w:rPr>
        <w:t>e</w:t>
      </w:r>
      <w:r>
        <w:rPr>
          <w:rFonts w:ascii="Book Antiqua" w:hAnsi="Book Antiqua" w:eastAsia="Book Antiqua" w:cs="Book Antiqua"/>
          <w:b/>
          <w:bCs/>
          <w:i/>
          <w:iCs/>
          <w:color w:val="000000"/>
          <w:shd w:val="clear" w:color="auto" w:fill="FFFFFF"/>
        </w:rPr>
        <w:t>stimation resource</w:t>
      </w:r>
    </w:p>
    <w:p>
      <w:pPr>
        <w:spacing w:line="360" w:lineRule="auto"/>
        <w:jc w:val="both"/>
      </w:pPr>
      <w:r>
        <w:rPr>
          <w:rFonts w:ascii="Book Antiqua" w:hAnsi="Book Antiqua" w:eastAsia="Book Antiqua" w:cs="Book Antiqua"/>
          <w:color w:val="000000"/>
          <w:shd w:val="clear" w:color="auto" w:fill="FFFFFF"/>
        </w:rPr>
        <w:t>Tumor immune estimation resource (TIMER)</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(cistrome.shinyapps.io/timer/)</w:t>
      </w:r>
      <w:r>
        <w:rPr>
          <w:rFonts w:ascii="Book Antiqua" w:hAnsi="Book Antiqua" w:eastAsia="Book Antiqua" w:cs="Book Antiqua"/>
          <w:color w:val="000000"/>
          <w:szCs w:val="30"/>
          <w:shd w:val="clear" w:color="auto" w:fill="FFFFFF"/>
          <w:vertAlign w:val="superscript"/>
        </w:rPr>
        <w:t>[22]</w:t>
      </w:r>
      <w:r>
        <w:rPr>
          <w:rFonts w:ascii="Book Antiqua" w:hAnsi="Book Antiqua" w:eastAsia="Book Antiqua" w:cs="Book Antiqua"/>
          <w:color w:val="000000"/>
          <w:shd w:val="clear" w:color="auto" w:fill="FFFFFF"/>
        </w:rPr>
        <w:t xml:space="preserve"> is a comprehensive resource for the systematic analysis of immune infiltrates across diverse cancer types. It revealed the expression levels of SLC2A1 and SLC2A2 in different cancers. Furthermore, the expression of SLC2A1 and SLC2A2 and the level of immune cells (</w:t>
      </w:r>
      <w:r>
        <w:rPr>
          <w:rFonts w:ascii="Book Antiqua" w:hAnsi="Book Antiqua" w:eastAsia="Book Antiqua" w:cs="Book Antiqua"/>
          <w:color w:val="000000"/>
        </w:rPr>
        <w:t>B cells, CD8</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T cells, CD4</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 xml:space="preserve">T cells, macrophages, neutrophils, and dendritic cells) were analyzed. </w:t>
      </w:r>
      <w:r>
        <w:rPr>
          <w:rFonts w:ascii="Book Antiqua" w:hAnsi="Book Antiqua" w:eastAsia="Book Antiqua" w:cs="Book Antiqua"/>
          <w:color w:val="000000"/>
          <w:shd w:val="clear" w:color="auto" w:fill="FFFFFF"/>
        </w:rPr>
        <w:t xml:space="preserve">Moreover, the correlation between SLC2A1 and SLC2A2 expression levels and immune cell markers </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markers of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T cells (general), B cells, monocytes, tumor-associated macrophage (TAM), M1 macrophages, M2 macrophages, neutrophils, natural killer (NK) cells, dendritic cells, T helper (Th) 1 cells, Th2 cells, follicular helper T (Tfh) cells, Th17 cells, T cell </w:t>
      </w:r>
      <w:r>
        <w:rPr>
          <w:rFonts w:ascii="Book Antiqua" w:hAnsi="Book Antiqua" w:eastAsia="Book Antiqua" w:cs="Book Antiqua"/>
          <w:color w:val="000000"/>
        </w:rPr>
        <w:t>regulatory (Tregs)</w:t>
      </w:r>
      <w:r>
        <w:rPr>
          <w:rFonts w:ascii="Book Antiqua" w:hAnsi="Book Antiqua" w:eastAsia="Book Antiqua" w:cs="Book Antiqua"/>
          <w:color w:val="000000"/>
          <w:shd w:val="clear" w:color="auto" w:fill="FFFFFF"/>
        </w:rPr>
        <w:t xml:space="preserve"> and T cell exhaustion)</w:t>
      </w:r>
      <w:r>
        <w:rPr>
          <w:rFonts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were analyzed</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in detail.</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ONCOMINE</w:t>
      </w:r>
    </w:p>
    <w:p>
      <w:pPr>
        <w:spacing w:line="360" w:lineRule="auto"/>
        <w:jc w:val="both"/>
      </w:pPr>
      <w:r>
        <w:rPr>
          <w:rFonts w:ascii="Book Antiqua" w:hAnsi="Book Antiqua" w:eastAsia="Book Antiqua" w:cs="Book Antiqua"/>
          <w:color w:val="000000"/>
          <w:shd w:val="clear" w:color="auto" w:fill="FFFFFF"/>
        </w:rPr>
        <w:t>ONCOMINE (</w:t>
      </w:r>
      <w:r>
        <w:fldChar w:fldCharType="begin"/>
      </w:r>
      <w:r>
        <w:instrText xml:space="preserve"> HYPERLINK "http://www.oncomine.org" </w:instrText>
      </w:r>
      <w:r>
        <w:fldChar w:fldCharType="separate"/>
      </w:r>
      <w:r>
        <w:rPr>
          <w:rFonts w:ascii="Book Antiqua" w:hAnsi="Book Antiqua" w:eastAsia="Book Antiqua" w:cs="Book Antiqua"/>
          <w:color w:val="000000"/>
          <w:u w:color="0000EE"/>
        </w:rPr>
        <w:t>www.oncomine.org</w:t>
      </w:r>
      <w:r>
        <w:rPr>
          <w:rFonts w:ascii="Book Antiqua" w:hAnsi="Book Antiqua" w:eastAsia="Book Antiqua" w:cs="Book Antiqua"/>
          <w:color w:val="000000"/>
          <w:u w:color="0000EE"/>
        </w:rPr>
        <w:fldChar w:fldCharType="end"/>
      </w:r>
      <w:r>
        <w:rPr>
          <w:rFonts w:ascii="Book Antiqua" w:hAnsi="Book Antiqua" w:eastAsia="Book Antiqua" w:cs="Book Antiqua"/>
          <w:color w:val="000000"/>
          <w:shd w:val="clear" w:color="auto" w:fill="FFFFFF"/>
        </w:rPr>
        <w:t>)</w:t>
      </w:r>
      <w:r>
        <w:rPr>
          <w:rFonts w:ascii="Book Antiqua" w:hAnsi="Book Antiqua" w:eastAsia="Book Antiqua" w:cs="Book Antiqua"/>
          <w:color w:val="000000"/>
          <w:szCs w:val="30"/>
          <w:shd w:val="clear" w:color="auto" w:fill="FFFFFF"/>
          <w:vertAlign w:val="superscript"/>
        </w:rPr>
        <w:t>[23]</w:t>
      </w:r>
      <w:r>
        <w:rPr>
          <w:rFonts w:ascii="Book Antiqua" w:hAnsi="Book Antiqua" w:eastAsia="Book Antiqua" w:cs="Book Antiqua"/>
          <w:color w:val="000000"/>
          <w:shd w:val="clear" w:color="auto" w:fill="FFFFFF"/>
        </w:rPr>
        <w:t xml:space="preserve"> is an online cancer microarray database. It was used to analyze the expression levels of SLC2A1 and SLC2A2 in different cancers. </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UALCAN</w:t>
      </w:r>
    </w:p>
    <w:p>
      <w:pPr>
        <w:spacing w:line="360" w:lineRule="auto"/>
        <w:jc w:val="both"/>
      </w:pPr>
      <w:r>
        <w:rPr>
          <w:rFonts w:ascii="Book Antiqua" w:hAnsi="Book Antiqua" w:eastAsia="Book Antiqua" w:cs="Book Antiqua"/>
          <w:color w:val="000000"/>
          <w:shd w:val="clear" w:color="auto" w:fill="FFFFFF"/>
        </w:rPr>
        <w:t>UALCAN (ualcan.path.uab.edu/index.html)</w:t>
      </w:r>
      <w:r>
        <w:rPr>
          <w:rFonts w:ascii="Book Antiqua" w:hAnsi="Book Antiqua" w:eastAsia="Book Antiqua" w:cs="Book Antiqua"/>
          <w:color w:val="000000"/>
          <w:szCs w:val="30"/>
          <w:shd w:val="clear" w:color="auto" w:fill="FFFFFF"/>
          <w:vertAlign w:val="superscript"/>
        </w:rPr>
        <w:t>[24]</w:t>
      </w:r>
      <w:r>
        <w:rPr>
          <w:rFonts w:ascii="Book Antiqua" w:hAnsi="Book Antiqua" w:eastAsia="Book Antiqua" w:cs="Book Antiqua"/>
          <w:color w:val="000000"/>
          <w:shd w:val="clear" w:color="auto" w:fill="FFFFFF"/>
        </w:rPr>
        <w:t xml:space="preserve"> is a web resource for analyzing cancer omics data. Expressions of SLC2A1 and SLC2A2 in different tumor grades and stages of HCC were analyzed by UALCAN.</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Gene expression profiling interactive analysis</w:t>
      </w:r>
    </w:p>
    <w:p>
      <w:pPr>
        <w:spacing w:line="360" w:lineRule="auto"/>
        <w:jc w:val="both"/>
      </w:pPr>
      <w:r>
        <w:rPr>
          <w:rFonts w:ascii="Book Antiqua" w:hAnsi="Book Antiqua" w:eastAsia="Book Antiqua" w:cs="Book Antiqua"/>
          <w:color w:val="000000"/>
          <w:shd w:val="clear" w:color="auto" w:fill="FFFFFF"/>
        </w:rPr>
        <w:t>Gene expression profiling interactive analysis (GEPIA) (gepia.cancer-pku.cn)</w:t>
      </w:r>
      <w:r>
        <w:rPr>
          <w:rFonts w:ascii="Book Antiqua" w:hAnsi="Book Antiqua" w:eastAsia="Book Antiqua" w:cs="Book Antiqua"/>
          <w:color w:val="000000"/>
          <w:szCs w:val="30"/>
          <w:shd w:val="clear" w:color="auto" w:fill="FFFFFF"/>
          <w:vertAlign w:val="superscript"/>
        </w:rPr>
        <w:t>[25]</w:t>
      </w:r>
      <w:r>
        <w:rPr>
          <w:rFonts w:ascii="Book Antiqua" w:hAnsi="Book Antiqua" w:eastAsia="Book Antiqua" w:cs="Book Antiqua"/>
          <w:color w:val="000000"/>
          <w:shd w:val="clear" w:color="auto" w:fill="FFFFFF"/>
        </w:rPr>
        <w:t xml:space="preserve"> is a developed interactive website server for analyzing the RNA sequencing expression data from the TCGA and the Genotype-Tissue Expression projects. The correlation between SLC2A1 and SLC2A2 and immune marker genes of different immune cells was analyzed.</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Kaplan-Meier plotter</w:t>
      </w:r>
    </w:p>
    <w:p>
      <w:pPr>
        <w:spacing w:line="360" w:lineRule="auto"/>
        <w:jc w:val="both"/>
      </w:pPr>
      <w:r>
        <w:rPr>
          <w:rFonts w:ascii="Book Antiqua" w:hAnsi="Book Antiqua" w:eastAsia="Book Antiqua" w:cs="Book Antiqua"/>
          <w:color w:val="000000"/>
          <w:shd w:val="clear" w:color="auto" w:fill="FFFFFF"/>
        </w:rPr>
        <w:t>The free online database Kaplan-Meier plotter (kmplot.com)</w:t>
      </w:r>
      <w:r>
        <w:rPr>
          <w:rFonts w:ascii="Book Antiqua" w:hAnsi="Book Antiqua" w:eastAsia="Book Antiqua" w:cs="Book Antiqua"/>
          <w:color w:val="000000"/>
          <w:szCs w:val="30"/>
          <w:shd w:val="clear" w:color="auto" w:fill="FFFFFF"/>
          <w:vertAlign w:val="superscript"/>
        </w:rPr>
        <w:t>[26]</w:t>
      </w:r>
      <w:r>
        <w:rPr>
          <w:rFonts w:ascii="Book Antiqua" w:hAnsi="Book Antiqua" w:eastAsia="Book Antiqua" w:cs="Book Antiqua"/>
          <w:color w:val="000000"/>
          <w:shd w:val="clear" w:color="auto" w:fill="FFFFFF"/>
        </w:rPr>
        <w:t xml:space="preserve">, which includes gene expression data and survival information of 364 clinical HCC patients, was utilized to predict </w:t>
      </w:r>
      <w:r>
        <w:rPr>
          <w:rFonts w:ascii="Book Antiqua" w:hAnsi="Book Antiqua" w:eastAsia="Book Antiqua" w:cs="Book Antiqua"/>
          <w:color w:val="000000"/>
        </w:rPr>
        <w:t>overall survival (OS)</w:t>
      </w:r>
      <w:r>
        <w:rPr>
          <w:rFonts w:ascii="Book Antiqua" w:hAnsi="Book Antiqua" w:eastAsia="Book Antiqua" w:cs="Book Antiqua"/>
          <w:color w:val="000000"/>
          <w:shd w:val="clear" w:color="auto" w:fill="FFFFFF"/>
        </w:rPr>
        <w:t xml:space="preserve"> and relapse-free survival (RFS) of HCC patients. We assessed factors such as sex, race, disease stage, disease grade, American Joint Committee on Cancer system for tumor staging (AJCC-T), vascular infiltration, treatment with sorafenib, alcohol consumption, and HBV infection associated with survival.</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String</w:t>
      </w:r>
    </w:p>
    <w:p>
      <w:pPr>
        <w:spacing w:line="360" w:lineRule="auto"/>
        <w:jc w:val="both"/>
      </w:pPr>
      <w:r>
        <w:rPr>
          <w:rFonts w:ascii="Book Antiqua" w:hAnsi="Book Antiqua" w:eastAsia="Book Antiqua" w:cs="Book Antiqua"/>
          <w:color w:val="000000"/>
          <w:shd w:val="clear" w:color="auto" w:fill="FFFFFF"/>
        </w:rPr>
        <w:t>Protein-protein interaction (PPI) networks of SLC2A1, SLC2A2, and their neighbors were constructed. Then, the Gene Ontology (GO) and the Kyoto Encyclopedia of Genes and Genomes (KEGG) analysis were obtained by String (string-db.org)</w:t>
      </w:r>
      <w:r>
        <w:rPr>
          <w:rFonts w:ascii="Book Antiqua" w:hAnsi="Book Antiqua" w:eastAsia="Book Antiqua" w:cs="Book Antiqua"/>
          <w:color w:val="000000"/>
          <w:szCs w:val="30"/>
          <w:shd w:val="clear" w:color="auto" w:fill="FFFFFF"/>
          <w:vertAlign w:val="superscript"/>
        </w:rPr>
        <w:t>[27]</w:t>
      </w:r>
      <w:r>
        <w:rPr>
          <w:rFonts w:ascii="Book Antiqua" w:hAnsi="Book Antiqua" w:eastAsia="Book Antiqua" w:cs="Book Antiqua"/>
          <w:color w:val="000000"/>
          <w:shd w:val="clear" w:color="auto" w:fill="FFFFFF"/>
        </w:rPr>
        <w:t xml:space="preserve">. Three aspects were contained in GO enrichment analysis: Biological process (BP), molecular function (MF), and cellular component (CC). GO and KEGG enrichment analysis results were selected by </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values less than 0.05 as the critical criterion.</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Cytoscape</w:t>
      </w:r>
    </w:p>
    <w:p>
      <w:pPr>
        <w:spacing w:line="360" w:lineRule="auto"/>
        <w:jc w:val="both"/>
      </w:pPr>
      <w:r>
        <w:rPr>
          <w:rFonts w:ascii="Book Antiqua" w:hAnsi="Book Antiqua" w:eastAsia="Book Antiqua" w:cs="Book Antiqua"/>
          <w:color w:val="000000"/>
          <w:shd w:val="clear" w:color="auto" w:fill="FFFFFF"/>
        </w:rPr>
        <w:t>PPI of SLC2A1, SLC2A2, and neighbor genes from the String database was reconstructed by Cytoscape (v.3.6.1, cytoscape.org/)</w:t>
      </w:r>
      <w:r>
        <w:rPr>
          <w:rFonts w:ascii="Book Antiqua" w:hAnsi="Book Antiqua" w:eastAsia="Book Antiqua" w:cs="Book Antiqua"/>
          <w:color w:val="000000"/>
          <w:szCs w:val="30"/>
          <w:shd w:val="clear" w:color="auto" w:fill="FFFFFF"/>
          <w:vertAlign w:val="superscript"/>
        </w:rPr>
        <w:t>[28]</w:t>
      </w:r>
      <w:r>
        <w:rPr>
          <w:rFonts w:ascii="Book Antiqua" w:hAnsi="Book Antiqua" w:eastAsia="Book Antiqua" w:cs="Book Antiqua"/>
          <w:color w:val="000000"/>
          <w:shd w:val="clear" w:color="auto" w:fill="FFFFFF"/>
        </w:rPr>
        <w:t>.</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Tumor and immune system interaction database</w:t>
      </w:r>
    </w:p>
    <w:p>
      <w:pPr>
        <w:spacing w:line="360" w:lineRule="auto"/>
        <w:jc w:val="both"/>
      </w:pPr>
      <w:r>
        <w:rPr>
          <w:rFonts w:ascii="Book Antiqua" w:hAnsi="Book Antiqua" w:eastAsia="Book Antiqua" w:cs="Book Antiqua"/>
          <w:color w:val="000000"/>
          <w:shd w:val="clear" w:color="auto" w:fill="FFFFFF"/>
        </w:rPr>
        <w:t>Tumor and immune system interaction database (cis.hku.hk/TISIDB/)</w:t>
      </w:r>
      <w:r>
        <w:rPr>
          <w:rFonts w:ascii="Book Antiqua" w:hAnsi="Book Antiqua" w:eastAsia="Book Antiqua" w:cs="Book Antiqua"/>
          <w:color w:val="000000"/>
          <w:szCs w:val="30"/>
          <w:shd w:val="clear" w:color="auto" w:fill="FFFFFF"/>
          <w:vertAlign w:val="superscript"/>
        </w:rPr>
        <w:t>[29]</w:t>
      </w:r>
      <w:r>
        <w:rPr>
          <w:rFonts w:ascii="Book Antiqua" w:hAnsi="Book Antiqua" w:eastAsia="Book Antiqua" w:cs="Book Antiqua"/>
          <w:color w:val="000000"/>
          <w:shd w:val="clear" w:color="auto" w:fill="FFFFFF"/>
        </w:rPr>
        <w:t xml:space="preserve"> is a web portal for tumor and immune system interaction that integrates multiple heterogeneous data types. Immune infiltration associated with SLC2A2 methylation was searched to elucidate the tumor-immune system interaction.</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R project</w:t>
      </w:r>
    </w:p>
    <w:p>
      <w:pPr>
        <w:spacing w:line="360" w:lineRule="auto"/>
        <w:jc w:val="both"/>
      </w:pPr>
      <w:r>
        <w:rPr>
          <w:rFonts w:ascii="Book Antiqua" w:hAnsi="Book Antiqua" w:eastAsia="Book Antiqua" w:cs="Book Antiqua"/>
          <w:color w:val="000000"/>
          <w:shd w:val="clear" w:color="auto" w:fill="FFFFFF"/>
        </w:rPr>
        <w:t>The RV4.0.3 project (www.r-project.org/) was used to visualize the top 20 GO and KEGG data in the String database. Meanwhile, data from TCGA were also processed and visualized.</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Cell culture and drug treatment</w:t>
      </w:r>
    </w:p>
    <w:p>
      <w:pPr>
        <w:spacing w:line="360" w:lineRule="auto"/>
        <w:jc w:val="both"/>
      </w:pPr>
      <w:r>
        <w:rPr>
          <w:rFonts w:ascii="Book Antiqua" w:hAnsi="Book Antiqua" w:eastAsia="Book Antiqua" w:cs="Book Antiqua"/>
          <w:color w:val="000000"/>
          <w:shd w:val="clear" w:color="auto" w:fill="FFFFFF"/>
        </w:rPr>
        <w:t>Human hepatoma cell lines HepG2 cells and HepG2215 cells were acquired from the American Type Culture Collection (Manassas, VA</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U</w:t>
      </w:r>
      <w:r>
        <w:rPr>
          <w:rFonts w:hint="eastAsia" w:ascii="Book Antiqua" w:hAnsi="Book Antiqua" w:cs="Book Antiqua"/>
          <w:color w:val="000000"/>
          <w:shd w:val="clear" w:color="auto" w:fill="FFFFFF"/>
        </w:rPr>
        <w:t>nited States</w:t>
      </w:r>
      <w:r>
        <w:rPr>
          <w:rFonts w:ascii="Book Antiqua" w:hAnsi="Book Antiqua" w:eastAsia="Book Antiqua" w:cs="Book Antiqua"/>
          <w:color w:val="000000"/>
          <w:shd w:val="clear" w:color="auto" w:fill="FFFFFF"/>
        </w:rPr>
        <w:t>). They were maintained in Dulbecco’s Modified Eagle’s Medium (Gibco, Waltham, MA, U</w:t>
      </w:r>
      <w:r>
        <w:rPr>
          <w:rFonts w:hint="eastAsia" w:ascii="Book Antiqua" w:hAnsi="Book Antiqua" w:cs="Book Antiqua"/>
          <w:color w:val="000000"/>
          <w:shd w:val="clear" w:color="auto" w:fill="FFFFFF"/>
        </w:rPr>
        <w:t>nited States</w:t>
      </w:r>
      <w:r>
        <w:rPr>
          <w:rFonts w:ascii="Book Antiqua" w:hAnsi="Book Antiqua" w:eastAsia="Book Antiqua" w:cs="Book Antiqua"/>
          <w:color w:val="000000"/>
          <w:shd w:val="clear" w:color="auto" w:fill="FFFFFF"/>
        </w:rPr>
        <w:t xml:space="preserve">) supplemented with 10% fetal bovine serum (Gibco), 100 U/mL penicillin, and 100 </w:t>
      </w:r>
      <w:r>
        <w:rPr>
          <w:rFonts w:ascii="Symbol" w:hAnsi="Symbol" w:eastAsia="Book Antiqua" w:cs="Book Antiqua"/>
          <w:color w:val="000000"/>
          <w:shd w:val="clear" w:color="auto" w:fill="FFFFFF"/>
        </w:rPr>
        <w:t></w:t>
      </w:r>
      <w:r>
        <w:rPr>
          <w:rFonts w:ascii="Book Antiqua" w:hAnsi="Book Antiqua" w:eastAsia="Book Antiqua" w:cs="Book Antiqua"/>
          <w:color w:val="000000"/>
          <w:shd w:val="clear" w:color="auto" w:fill="FFFFFF"/>
        </w:rPr>
        <w:t>g/mL streptomycin. They were maintained in an atmosphere of 5% CO</w:t>
      </w:r>
      <w:r>
        <w:rPr>
          <w:rFonts w:ascii="Book Antiqua" w:hAnsi="Book Antiqua" w:eastAsia="Book Antiqua" w:cs="Book Antiqua"/>
          <w:color w:val="000000"/>
          <w:shd w:val="clear" w:color="auto" w:fill="FFFFFF"/>
          <w:vertAlign w:val="subscript"/>
        </w:rPr>
        <w:t>2</w:t>
      </w:r>
      <w:r>
        <w:rPr>
          <w:rFonts w:ascii="Book Antiqua" w:hAnsi="Book Antiqua" w:eastAsia="Book Antiqua" w:cs="Book Antiqua"/>
          <w:color w:val="000000"/>
          <w:shd w:val="clear" w:color="auto" w:fill="FFFFFF"/>
        </w:rPr>
        <w:t xml:space="preserve"> at 37°C. </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RNA sequencing</w:t>
      </w:r>
    </w:p>
    <w:p>
      <w:pPr>
        <w:spacing w:line="360" w:lineRule="auto"/>
        <w:jc w:val="both"/>
      </w:pPr>
      <w:r>
        <w:rPr>
          <w:rFonts w:ascii="Book Antiqua" w:hAnsi="Book Antiqua" w:eastAsia="Book Antiqua" w:cs="Book Antiqua"/>
          <w:color w:val="000000"/>
          <w:shd w:val="clear" w:color="auto" w:fill="FFFFFF"/>
        </w:rPr>
        <w:t>Total RNA was extracted from the sample, and the quality was tested. Then, messenger RNA (mRNA) was extracted from total RNA by using poly-t oligo attached magnetic beads and disrupting to about 300</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bp. The first strand of complementary DNA (cDNA) was synthesized with random primers and reverse transcriptase by using RNA as the template, and then the second strand of cDNA was synthesized by using the first strand of cDNA as the template. Polymerase chain reaction was used to amplify DNA, and 450</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bp fragments were screened out to form the libraries. The total and effective concentrations were tested after libraries were inspected by using Agilent 2100 Bioanalyzer (Santa Clara, CA, United States). Libraries containing different index sequences were mixed proportionally according to the effective concentration and the amount of data required by libraries. Mixed libraries were uniformly diluted to 2</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n</w:t>
      </w:r>
      <w:r>
        <w:rPr>
          <w:rFonts w:hint="eastAsia" w:ascii="Book Antiqua" w:hAnsi="Book Antiqua" w:cs="Book Antiqua"/>
          <w:color w:val="000000"/>
          <w:shd w:val="clear" w:color="auto" w:fill="FFFFFF"/>
        </w:rPr>
        <w:t>mol/L</w:t>
      </w:r>
      <w:r>
        <w:rPr>
          <w:rFonts w:ascii="Book Antiqua" w:hAnsi="Book Antiqua" w:eastAsia="Book Antiqua" w:cs="Book Antiqua"/>
          <w:color w:val="000000"/>
          <w:shd w:val="clear" w:color="auto" w:fill="FFFFFF"/>
        </w:rPr>
        <w:t>, and single-chain libraries were formed by alkali denaturation. These libraries were paired-end (PE) sequenced by the Next-Generation Sequencing (NGS) based on the Illumina HiSeq platform (this work was entrusted to Nanjing Personal Gene Technology Co., LTD., Jiangsu, China)</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Statistical analysis</w:t>
      </w:r>
    </w:p>
    <w:p>
      <w:pPr>
        <w:spacing w:line="360" w:lineRule="auto"/>
        <w:jc w:val="both"/>
      </w:pPr>
      <w:r>
        <w:rPr>
          <w:rFonts w:ascii="Book Antiqua" w:hAnsi="Book Antiqua" w:eastAsia="Book Antiqua" w:cs="Book Antiqua"/>
          <w:color w:val="000000"/>
          <w:shd w:val="clear" w:color="auto" w:fill="FFFFFF"/>
        </w:rPr>
        <w:t xml:space="preserve">Statistical analyses were performed by the Statistical Product and Service Solutions (SPSS) 23.0 statistics software (IBM Corp., Armonk, NY, United States), GraphPad Prism 8 software (San Diego, CA, United States), and Rv4.0.3 software. Each sample was repeated at least three times. If data were normally distributed, they are represented as mean ± standard deviation. When more than two groups were included, a one-way analysis of variance was utilized. Differences were considered statistically when </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value was less than 0.05.</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b/>
          <w:bCs/>
          <w:i/>
          <w:iCs/>
          <w:color w:val="000000"/>
          <w:shd w:val="clear" w:color="auto" w:fill="FFFFFF"/>
        </w:rPr>
        <w:t>SLC2A1 expression was increased whereas SLC2A2 expression was decreased in liver cancer</w:t>
      </w:r>
    </w:p>
    <w:p>
      <w:pPr>
        <w:spacing w:line="360" w:lineRule="auto"/>
        <w:jc w:val="both"/>
      </w:pPr>
      <w:r>
        <w:rPr>
          <w:rFonts w:ascii="Book Antiqua" w:hAnsi="Book Antiqua" w:eastAsia="Book Antiqua" w:cs="Book Antiqua"/>
          <w:color w:val="000000"/>
          <w:shd w:val="clear" w:color="auto" w:fill="FFFFFF"/>
        </w:rPr>
        <w:t>W</w:t>
      </w:r>
      <w:r>
        <w:rPr>
          <w:rFonts w:ascii="Book Antiqua" w:hAnsi="Book Antiqua" w:eastAsia="Book Antiqua" w:cs="Book Antiqua"/>
          <w:color w:val="000000"/>
        </w:rPr>
        <w:t xml:space="preserve">e investigated the expression of solute carrier family 2 in normal liver tissues by the </w:t>
      </w:r>
      <w:r>
        <w:rPr>
          <w:rFonts w:ascii="Book Antiqua" w:hAnsi="Book Antiqua" w:eastAsia="Book Antiqua" w:cs="Book Antiqua"/>
          <w:color w:val="000000"/>
          <w:shd w:val="clear" w:color="auto" w:fill="FFFFFF"/>
        </w:rPr>
        <w:t>National Center for Biotechnology Information's gene</w:t>
      </w:r>
      <w:r>
        <w:rPr>
          <w:rFonts w:ascii="Book Antiqua" w:hAnsi="Book Antiqua" w:eastAsia="Book Antiqua" w:cs="Book Antiqua"/>
          <w:color w:val="000000"/>
        </w:rPr>
        <w:t>. We found that SLC2A2, as the normal liver transporter, was highly expressed compared with other members of the family (Figure 1A). Next, we compared the mRNA level of solute carrier family 2 in HepG2 and HepG2215 cells. Interestingly, we found that SLC2A2 expression was less but SLC2A1 was elevated in these two cell lines (Figure 1B and C). Similarly, the cohort (GSE121248) of HCC patients showed that SLC2A1 expression was elevated while SLC2A2 expression was reduced compared with the normal samples (Figure 1D). Consistently, TCGA data also indicated that SLC2A1 was up-regulated and SLC2A2 was down-regulated in HCC patients (Figure 1E). Notably, the Human Protein Atlas database revealed that SLC2A1 protein expression was expressed and SLC2A2 protein expression was weakly expressed in HepG2 cells (Figure 1F). As expected, SLC2A1 protein expression (Figure 1G) was increased and SLC2A2 protein expression (Figure 1H) was decreased in liver cancer in the Human Protein Atlas database.</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Taken together, SLC2A1 was up-regulated while SLC2A2 was down-regulated in liver cancer patients. </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SLC2A1 and SLC2A2 mRNA expression levels in different human cancers were changed by using TIMER and ONCOMINE databases</w:t>
      </w:r>
    </w:p>
    <w:p>
      <w:pPr>
        <w:spacing w:line="360" w:lineRule="auto"/>
        <w:jc w:val="both"/>
      </w:pPr>
      <w:r>
        <w:rPr>
          <w:rFonts w:ascii="Book Antiqua" w:hAnsi="Book Antiqua" w:eastAsia="Book Antiqua" w:cs="Book Antiqua"/>
          <w:color w:val="000000"/>
          <w:shd w:val="clear" w:color="auto" w:fill="FFFFFF"/>
        </w:rPr>
        <w:t>To see if this phenomenon was universal, the mRNA expressions of SLC2A1 and SLC2A2 in different human cancers</w:t>
      </w:r>
      <w:r>
        <w:rPr>
          <w:rFonts w:ascii="Book Antiqua" w:hAnsi="Book Antiqua" w:eastAsia="Book Antiqua" w:cs="Book Antiqua"/>
          <w:color w:val="000000"/>
        </w:rPr>
        <w:t xml:space="preserve"> were </w:t>
      </w:r>
      <w:r>
        <w:rPr>
          <w:rFonts w:ascii="Book Antiqua" w:hAnsi="Book Antiqua" w:eastAsia="Book Antiqua" w:cs="Book Antiqua"/>
          <w:color w:val="000000"/>
          <w:shd w:val="clear" w:color="auto" w:fill="FFFFFF"/>
        </w:rPr>
        <w:t xml:space="preserve">investigated </w:t>
      </w:r>
      <w:r>
        <w:rPr>
          <w:rFonts w:ascii="Book Antiqua" w:hAnsi="Book Antiqua" w:eastAsia="Book Antiqua" w:cs="Book Antiqua"/>
          <w:color w:val="000000"/>
        </w:rPr>
        <w:t>by using the TIMER database. This analysis revealed that the SLC2A1 was higher in breast invasive carcinoma, cervical squamous cell carcinoma and endometrial adenocarcinoma, cholangiocarcinoma, colon adenocarcinoma, esophageal carcinoma, head and neck cancer, kidney renal clear cell carcinoma, liver hepatocellular carcinoma, lung adenocarcinoma, lung squamous cell carcinoma, rectum adenocarcinoma, stomach adenocarcinoma, thyroid carcinoma, and uterine corpus endometrial carcinoma (Figure 2A). It was, however, lower in kidney chromophobe, kidney renal papillary cell carcinoma, and prostate adenocarcinoma (Figure 2A). Similarly, SLC2A2 was lower in cholangitis carcinoma, kidney chromophobe, and liver hepatocellular carcinoma (Figure 2A), but it was higher in lung adenocarcinoma, bladder urothelial carcinoma, breast invasive carcinoma, esophageal carcinoma, and glioblastoma multiforme (Figure 2A). Although SLC2A2 was increased in these cancers, it was expressed at low or absent levels in these cancers and the corresponding normal samples.</w:t>
      </w:r>
    </w:p>
    <w:p>
      <w:pPr>
        <w:spacing w:line="360" w:lineRule="auto"/>
        <w:ind w:firstLine="420"/>
        <w:jc w:val="both"/>
      </w:pPr>
      <w:r>
        <w:rPr>
          <w:rFonts w:ascii="Book Antiqua" w:hAnsi="Book Antiqua" w:eastAsia="Book Antiqua" w:cs="Book Antiqua"/>
          <w:color w:val="000000"/>
        </w:rPr>
        <w:t>To verify further expressions of SLC2A2 and SLC2A1 in cancer, we examined their expressions in the ONCOMINE database. The result showed that SLC2A1 was up-regulated in most cancers and SLC2A2 was down-regulated in most cancers in most datasets. SLC2A1 has been observed to be up-regulated in bladder cancer, breast cancer, cervical cancer, colorectal cancer, esophageal cancer, gastric cancer, head and neck cancer, kidney cancer, leukemia, liver cancer, lung cancer, lymphoma, myeloma, ovarian cancer, pancreatic cancer, and prostate cancer. However, some datasets showed that SLC2A1 was down-regulated in brain and central nervous system cancer, breast cancer, colorectal cancer, esophageal cancer, kidney cancer, leukemia, lung cancer, lymphoma, melanoma, and sarcoma (Figure 2B). Similarly, the result showed the expression of SLC2A2 was reduced in brain and central nervous system cancer, breast cancer, cervical cancer, colorectal cancer, esophageal cancer, gastric cancer, kidney cancer, leukemia, liver cancer, lymphoma, pancreatic cancer, prostate cancer, and sarcoma. In other datasets, SLC2A2 was up-regulated in breast cancer, colorectal cancer, head and neck cancer, leukemia, and pancreatic cancer (Figure 2B). In addition to HCC, SLC2A1 elevation and SLC2A2 reduction have been observed in several other cancers. SLC2A2, as a key transporter in normal liver tissue, was decreased in the occurrence of HCC, while SLC2A1 expression was increased. Thus, we still discuss relevant issues of SLC2A1 and SLC2A2 in HCC.</w:t>
      </w:r>
    </w:p>
    <w:p>
      <w:pPr>
        <w:spacing w:line="360" w:lineRule="auto"/>
        <w:ind w:firstLine="420"/>
        <w:jc w:val="both"/>
      </w:pPr>
    </w:p>
    <w:p>
      <w:pPr>
        <w:spacing w:line="360" w:lineRule="auto"/>
        <w:jc w:val="both"/>
      </w:pPr>
      <w:r>
        <w:rPr>
          <w:rFonts w:ascii="Book Antiqua" w:hAnsi="Book Antiqua" w:eastAsia="Book Antiqua" w:cs="Book Antiqua"/>
          <w:b/>
          <w:bCs/>
          <w:i/>
          <w:iCs/>
          <w:color w:val="000000"/>
          <w:shd w:val="clear" w:color="auto" w:fill="FFFFFF"/>
        </w:rPr>
        <w:t>SLC2A1 and SLC2A2 transcription levels in HCC patients were correlated with tumor volume, grade, and stage</w:t>
      </w:r>
    </w:p>
    <w:p>
      <w:pPr>
        <w:spacing w:line="360" w:lineRule="auto"/>
        <w:jc w:val="both"/>
      </w:pPr>
      <w:r>
        <w:rPr>
          <w:rFonts w:ascii="Book Antiqua" w:hAnsi="Book Antiqua" w:eastAsia="Book Antiqua" w:cs="Book Antiqua"/>
          <w:color w:val="000000"/>
        </w:rPr>
        <w:t xml:space="preserve">Next, we investigated the correlation between SLC2A1 and SLC2A2 expression levels and tumor volume, grade, and stage in HCC patients in TCGA data and UALCAN database. The results showed that the SLC2A1 </w:t>
      </w:r>
      <w:r>
        <w:rPr>
          <w:rFonts w:hint="eastAsia" w:ascii="Book Antiqua" w:hAnsi="Book Antiqua" w:eastAsia="Book Antiqua" w:cs="Book Antiqua"/>
          <w:color w:val="000000"/>
        </w:rPr>
        <w:t>l</w:t>
      </w:r>
      <w:r>
        <w:rPr>
          <w:rFonts w:ascii="Book Antiqua" w:hAnsi="Book Antiqua" w:eastAsia="Book Antiqua" w:cs="Book Antiqua"/>
          <w:color w:val="000000"/>
        </w:rPr>
        <w:t>evel gradually increased while the SLC2A2 level gradually decreased with the process of primary tumor volume enlargement in TCGA data (Figure 3A). Consistently, highly differentiated HCC indicated lower SLC2A1 and higher SLC2A2 compared with poorly differentiated HCC in TCGA data and UALCAN database (Figure 3B and C). Notably, the expression of SLC2A1 was higher while the expression of SLC2A2 was lower with the progression of HCC grade (Figure 3D) in UALCAN database. Collectively, with the development of HCC, the expression of SLC2A1 was increased, while the expression of SLC2A2 was decreased.</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SLC2A1 and SLC2A2 mRNA levels were correlated with survival rates</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b/>
          <w:bCs/>
          <w:i/>
          <w:iCs/>
          <w:color w:val="000000"/>
          <w:shd w:val="clear" w:color="auto" w:fill="FFFFFF"/>
        </w:rPr>
        <w:t>of HCC patients in TCGA data and the Kaplan-Meier Plotter database</w:t>
      </w:r>
      <w:r>
        <w:rPr>
          <w:rFonts w:ascii="Book Antiqua" w:hAnsi="Book Antiqua" w:eastAsia="Book Antiqua" w:cs="Book Antiqua"/>
          <w:color w:val="000000"/>
        </w:rPr>
        <w:t xml:space="preserve"> </w:t>
      </w:r>
    </w:p>
    <w:p>
      <w:pPr>
        <w:spacing w:line="360" w:lineRule="auto"/>
        <w:jc w:val="both"/>
      </w:pPr>
      <w:r>
        <w:rPr>
          <w:rFonts w:ascii="Book Antiqua" w:hAnsi="Book Antiqua" w:eastAsia="Book Antiqua" w:cs="Book Antiqua"/>
          <w:color w:val="000000"/>
        </w:rPr>
        <w:t>To clarify the impact of the expression levels of SLC2A1 and SLC2A2 on patient prognosis, survival analysis was utilized to analyze the correlation between these expression levels and the survival rates of HCC patients.</w:t>
      </w:r>
    </w:p>
    <w:p>
      <w:pPr>
        <w:spacing w:line="360" w:lineRule="auto"/>
        <w:ind w:firstLine="420"/>
        <w:jc w:val="both"/>
      </w:pPr>
      <w:r>
        <w:rPr>
          <w:rFonts w:ascii="Book Antiqua" w:hAnsi="Book Antiqua" w:eastAsia="Book Antiqua" w:cs="Book Antiqua"/>
          <w:color w:val="000000"/>
        </w:rPr>
        <w:t>Patients with high expression of SLC2A1 had poor OS, which suggested that high SLC2A1 expression posed a risk factor for HCC patients (Figure 4A and B). Consistently, higher expression of SLC2A2 patients had a better OS, which suggested high SLC2A2 expression was a protective factor in HCC (Figure 4D and E). One-year, three-year, and five-year areas under the curve of SLC2A1 and SLC2A2 were all greater than 0.6, which suggested the prediction result was reliable (Figure 4C and F). In addition, low expression SLC2A1 and high expression SLC2A2 have better OS and RFS in the Kaplan-Meier Plotter database (Figure 4G and H).</w:t>
      </w:r>
    </w:p>
    <w:p>
      <w:pPr>
        <w:spacing w:line="360" w:lineRule="auto"/>
        <w:ind w:firstLine="480"/>
        <w:jc w:val="both"/>
      </w:pPr>
      <w:r>
        <w:rPr>
          <w:rFonts w:ascii="Book Antiqua" w:hAnsi="Book Antiqua" w:eastAsia="Book Antiqua" w:cs="Book Antiqua"/>
          <w:color w:val="000000"/>
        </w:rPr>
        <w:t>Next, we analyzed the correlation between SLC2A1 and SLC2A2 expression and clinical characteristics. These clinical characteristics included sex, race, stage, grade, and AJCC-T and whether the patients received sorafenib treatment, were infected with HBV, consumed alcohol, and had vascular invasion (Table 2). These results suggested that high SLC2A1 and low SLC2A2 were independent risk factors for HCC, independent of these factors. Notably, prominent expression of SLC2A1 was more dangerous for males than females, Asians than whites, and those who were infected with HBV than uninfected. Confusingly, high expression of SLC2A1 was more dangerous in non-alcoholics than in alcoholics. Notably, with the progression of the stage, the grade, and AJCC-T of HCC, the high expression of SLC2A1 and low expression of SLC2A2 became worse for patients.</w:t>
      </w:r>
    </w:p>
    <w:p>
      <w:pPr>
        <w:spacing w:line="360" w:lineRule="auto"/>
        <w:ind w:firstLine="480"/>
        <w:jc w:val="both"/>
      </w:pPr>
      <w:r>
        <w:rPr>
          <w:rFonts w:ascii="Book Antiqua" w:hAnsi="Book Antiqua" w:eastAsia="Book Antiqua" w:cs="Book Antiqua"/>
          <w:color w:val="000000"/>
        </w:rPr>
        <w:t xml:space="preserve"> Together, both the high expression of SLC2A1 and the low expression of SLC2A2 were independent risk factors for HCC patients and led to poor prognosis.</w:t>
      </w:r>
    </w:p>
    <w:p>
      <w:pPr>
        <w:spacing w:line="360" w:lineRule="auto"/>
        <w:ind w:firstLine="480"/>
        <w:jc w:val="both"/>
      </w:pPr>
    </w:p>
    <w:p>
      <w:pPr>
        <w:spacing w:line="360" w:lineRule="auto"/>
        <w:jc w:val="both"/>
      </w:pPr>
      <w:r>
        <w:rPr>
          <w:rFonts w:ascii="Book Antiqua" w:hAnsi="Book Antiqua" w:eastAsia="Book Antiqua" w:cs="Book Antiqua"/>
          <w:b/>
          <w:bCs/>
          <w:i/>
          <w:iCs/>
          <w:color w:val="000000"/>
          <w:shd w:val="clear" w:color="auto" w:fill="FFFFFF"/>
        </w:rPr>
        <w:t>SLC2A1 and SLC2A2 showed negative correlations in HCC patients in GSE121248, TCGA, TIMER database, and GEPIA database</w:t>
      </w:r>
    </w:p>
    <w:p>
      <w:pPr>
        <w:spacing w:line="360" w:lineRule="auto"/>
        <w:jc w:val="both"/>
      </w:pPr>
      <w:r>
        <w:rPr>
          <w:rFonts w:ascii="Book Antiqua" w:hAnsi="Book Antiqua" w:eastAsia="Book Antiqua" w:cs="Book Antiqua"/>
          <w:color w:val="000000"/>
        </w:rPr>
        <w:t>To investigate whether the opposite trend of SLC2A1 and SLC2A2 expression was accidental, we proceeded to correlation analysis of the expression levels. The results showed that there were always negative correlations between SLC2A1 and SLC2A2 expression levels by the cohort GSE121248 (</w:t>
      </w:r>
      <w:r>
        <w:rPr>
          <w:rFonts w:ascii="Book Antiqua" w:hAnsi="Book Antiqua" w:eastAsia="Book Antiqua" w:cs="Book Antiqua"/>
          <w:i/>
          <w:color w:val="000000"/>
        </w:rPr>
        <w:t>r</w:t>
      </w:r>
      <w:r>
        <w:rPr>
          <w:rFonts w:hint="eastAsia" w:ascii="Book Antiqua" w:hAnsi="Book Antiqua" w:cs="Book Antiqua"/>
          <w:color w:val="000000"/>
        </w:rPr>
        <w:t xml:space="preserve"> </w:t>
      </w:r>
      <w:r>
        <w:rPr>
          <w:rFonts w:ascii="Book Antiqua" w:hAnsi="Book Antiqua" w:eastAsia="Book Antiqua" w:cs="Book Antiqua"/>
          <w:color w:val="000000"/>
        </w:rPr>
        <w:t>=</w:t>
      </w:r>
      <w:r>
        <w:rPr>
          <w:rFonts w:hint="eastAsia" w:ascii="Book Antiqua" w:hAnsi="Book Antiqua" w:cs="Book Antiqua"/>
          <w:color w:val="000000"/>
        </w:rPr>
        <w:t xml:space="preserve"> </w:t>
      </w:r>
      <w:r>
        <w:rPr>
          <w:rFonts w:hint="eastAsia" w:cs="Book Antiqua" w:asciiTheme="minorEastAsia" w:hAnsiTheme="minorEastAsia" w:eastAsiaTheme="minorEastAsia"/>
          <w:color w:val="000000"/>
        </w:rPr>
        <w:t>-</w:t>
      </w:r>
      <w:r>
        <w:rPr>
          <w:rFonts w:ascii="Book Antiqua" w:hAnsi="Book Antiqua" w:eastAsia="Book Antiqua" w:cs="Book Antiqua"/>
          <w:color w:val="000000"/>
        </w:rPr>
        <w:t>0.4756) (Figure 5A), TCGA data (</w:t>
      </w:r>
      <w:r>
        <w:rPr>
          <w:rFonts w:ascii="Book Antiqua" w:hAnsi="Book Antiqua" w:eastAsia="Book Antiqua" w:cs="Book Antiqua"/>
          <w:i/>
          <w:color w:val="000000"/>
        </w:rPr>
        <w:t>r</w:t>
      </w:r>
      <w:r>
        <w:rPr>
          <w:rFonts w:hint="eastAsia" w:ascii="Book Antiqua" w:hAnsi="Book Antiqua" w:cs="Book Antiqua"/>
          <w:color w:val="000000"/>
        </w:rPr>
        <w:t xml:space="preserve"> </w:t>
      </w:r>
      <w:r>
        <w:rPr>
          <w:rFonts w:ascii="Book Antiqua" w:hAnsi="Book Antiqua" w:eastAsia="Book Antiqua" w:cs="Book Antiqua"/>
          <w:color w:val="000000"/>
        </w:rPr>
        <w:t>=</w:t>
      </w:r>
      <w:r>
        <w:rPr>
          <w:rFonts w:hint="eastAsia" w:ascii="Book Antiqua" w:hAnsi="Book Antiqua" w:cs="Book Antiqua"/>
          <w:color w:val="000000"/>
        </w:rPr>
        <w:t xml:space="preserve"> </w:t>
      </w:r>
      <w:r>
        <w:rPr>
          <w:rFonts w:hint="eastAsia" w:cs="Book Antiqua" w:asciiTheme="minorEastAsia" w:hAnsiTheme="minorEastAsia" w:eastAsiaTheme="minorEastAsia"/>
          <w:color w:val="000000"/>
        </w:rPr>
        <w:t>-</w:t>
      </w:r>
      <w:r>
        <w:rPr>
          <w:rFonts w:ascii="Book Antiqua" w:hAnsi="Book Antiqua" w:eastAsia="Book Antiqua" w:cs="Book Antiqua"/>
          <w:color w:val="000000"/>
        </w:rPr>
        <w:t>0.28) (Figure 5B</w:t>
      </w:r>
      <w:r>
        <w:rPr>
          <w:rFonts w:hint="eastAsia" w:ascii="Book Antiqua" w:hAnsi="Book Antiqua" w:eastAsia="Book Antiqua" w:cs="Book Antiqua"/>
          <w:color w:val="000000"/>
        </w:rPr>
        <w:t>)</w:t>
      </w:r>
      <w:r>
        <w:rPr>
          <w:rFonts w:ascii="Book Antiqua" w:hAnsi="Book Antiqua" w:eastAsia="Book Antiqua" w:cs="Book Antiqua"/>
          <w:color w:val="000000"/>
        </w:rPr>
        <w:t>, TIMER database (</w:t>
      </w:r>
      <w:r>
        <w:rPr>
          <w:rFonts w:ascii="Book Antiqua" w:hAnsi="Book Antiqua" w:eastAsia="Book Antiqua" w:cs="Book Antiqua"/>
          <w:i/>
          <w:color w:val="000000"/>
        </w:rPr>
        <w:t>r</w:t>
      </w:r>
      <w:r>
        <w:rPr>
          <w:rFonts w:hint="eastAsia" w:ascii="Book Antiqua" w:hAnsi="Book Antiqua" w:cs="Book Antiqua"/>
          <w:color w:val="000000"/>
        </w:rPr>
        <w:t xml:space="preserve"> </w:t>
      </w:r>
      <w:r>
        <w:rPr>
          <w:rFonts w:ascii="Book Antiqua" w:hAnsi="Book Antiqua" w:eastAsia="Book Antiqua" w:cs="Book Antiqua"/>
          <w:color w:val="000000"/>
        </w:rPr>
        <w:t>=</w:t>
      </w:r>
      <w:r>
        <w:rPr>
          <w:rFonts w:hint="eastAsia" w:ascii="Book Antiqua" w:hAnsi="Book Antiqua" w:cs="Book Antiqua"/>
          <w:color w:val="000000"/>
        </w:rPr>
        <w:t xml:space="preserve"> </w:t>
      </w:r>
      <w:r>
        <w:rPr>
          <w:rFonts w:hint="eastAsia" w:cs="Book Antiqua" w:asciiTheme="minorEastAsia" w:hAnsiTheme="minorEastAsia" w:eastAsiaTheme="minorEastAsia"/>
          <w:color w:val="000000"/>
        </w:rPr>
        <w:t>-</w:t>
      </w:r>
      <w:r>
        <w:rPr>
          <w:rFonts w:ascii="Book Antiqua" w:hAnsi="Book Antiqua" w:eastAsia="Book Antiqua" w:cs="Book Antiqua"/>
          <w:color w:val="000000"/>
        </w:rPr>
        <w:t>0.252) (Figure 5C), and GEPIA (</w:t>
      </w:r>
      <w:r>
        <w:rPr>
          <w:rFonts w:ascii="Book Antiqua" w:hAnsi="Book Antiqua" w:eastAsia="Book Antiqua" w:cs="Book Antiqua"/>
          <w:i/>
          <w:color w:val="000000"/>
        </w:rPr>
        <w:t>r</w:t>
      </w:r>
      <w:r>
        <w:rPr>
          <w:rFonts w:hint="eastAsia" w:ascii="Book Antiqua" w:hAnsi="Book Antiqua" w:cs="Book Antiqua"/>
          <w:color w:val="000000"/>
        </w:rPr>
        <w:t xml:space="preserve"> </w:t>
      </w:r>
      <w:r>
        <w:rPr>
          <w:rFonts w:ascii="Book Antiqua" w:hAnsi="Book Antiqua" w:eastAsia="Book Antiqua" w:cs="Book Antiqua"/>
          <w:color w:val="000000"/>
        </w:rPr>
        <w:t>=</w:t>
      </w:r>
      <w:r>
        <w:rPr>
          <w:rFonts w:hint="eastAsia" w:ascii="Book Antiqua" w:hAnsi="Book Antiqua" w:cs="Book Antiqua"/>
          <w:color w:val="000000"/>
        </w:rPr>
        <w:t xml:space="preserve"> </w:t>
      </w:r>
      <w:r>
        <w:rPr>
          <w:rFonts w:hint="eastAsia" w:cs="Book Antiqua" w:asciiTheme="minorEastAsia" w:hAnsiTheme="minorEastAsia" w:eastAsiaTheme="minorEastAsia"/>
          <w:color w:val="000000"/>
        </w:rPr>
        <w:t>-</w:t>
      </w:r>
      <w:r>
        <w:rPr>
          <w:rFonts w:ascii="Book Antiqua" w:hAnsi="Book Antiqua" w:eastAsia="Book Antiqua" w:cs="Book Antiqua"/>
          <w:color w:val="000000"/>
        </w:rPr>
        <w:t>0.19) (Figure 5D) database. It was inevitable that SLC2A1 and SLC2A2 had an opposite expression tendency in HCC, because they may be involved in some biological processes besides serving as glucose transporters together.</w:t>
      </w:r>
    </w:p>
    <w:p>
      <w:pPr>
        <w:spacing w:line="360" w:lineRule="auto"/>
        <w:jc w:val="both"/>
      </w:pPr>
    </w:p>
    <w:p>
      <w:pPr>
        <w:spacing w:line="360" w:lineRule="auto"/>
        <w:jc w:val="both"/>
      </w:pPr>
      <w:r>
        <w:rPr>
          <w:rFonts w:ascii="Book Antiqua" w:hAnsi="Book Antiqua" w:eastAsia="Book Antiqua" w:cs="Book Antiqua"/>
          <w:b/>
          <w:bCs/>
          <w:i/>
          <w:iCs/>
          <w:color w:val="000000"/>
          <w:shd w:val="clear" w:color="auto" w:fill="FFFFFF"/>
        </w:rPr>
        <w:t>String database was used to predict the effects of SLC2A1, SLC2A2, and frequently altered adjacent genes expression changes on functions and pathways</w:t>
      </w:r>
    </w:p>
    <w:p>
      <w:pPr>
        <w:spacing w:line="360" w:lineRule="auto"/>
        <w:jc w:val="both"/>
      </w:pPr>
      <w:r>
        <w:rPr>
          <w:rFonts w:ascii="Book Antiqua" w:hAnsi="Book Antiqua" w:eastAsia="Book Antiqua" w:cs="Book Antiqua"/>
          <w:color w:val="000000"/>
        </w:rPr>
        <w:t xml:space="preserve">The expression levels of SLC2A1 and SLC2A2 were modified in HCC, and their expressions were negatively correlated. Therefore, we explored the influence of changes of them and their neighbor genes on the functions and pathways in the String database. We structured the PPI network of SLC2A1, SLC2A2, and their neighbor genes in the String database, which contained 22 nodes and 107 edges (Figure 6A). In this network diagram, genes tumor protein p53 (TP53), ATM serine/threonine kinase (ATM), MDM2 proto-oncogene (MDM2), protein kinase-B (AKT1), hypoxia inducible factor 1 subunit alpha (HIF1A), binding protein p300 (EP300), insulin (INS), glucokinase (GCK), and hexokinase 2 (HK2) were included. </w:t>
      </w:r>
    </w:p>
    <w:p>
      <w:pPr>
        <w:spacing w:line="360" w:lineRule="auto"/>
        <w:ind w:firstLine="480"/>
        <w:jc w:val="both"/>
      </w:pPr>
      <w:r>
        <w:rPr>
          <w:rFonts w:ascii="Book Antiqua" w:hAnsi="Book Antiqua" w:eastAsia="Book Antiqua" w:cs="Book Antiqua"/>
          <w:color w:val="000000"/>
        </w:rPr>
        <w:t xml:space="preserve">Next, we carried out GO analysis on these genes in the database, and GO analysis results included three different levels of BP, CC, and MF. In Figures 6C, D, and E, we selected and showed the first 20 </w:t>
      </w:r>
      <w:r>
        <w:rPr>
          <w:rFonts w:ascii="Book Antiqua" w:hAnsi="Book Antiqua" w:eastAsia="Book Antiqua" w:cs="Book Antiqua"/>
          <w:i/>
          <w:iCs/>
          <w:color w:val="000000"/>
        </w:rPr>
        <w:t>P</w:t>
      </w:r>
      <w:r>
        <w:rPr>
          <w:rFonts w:ascii="Book Antiqua" w:hAnsi="Book Antiqua" w:eastAsia="Book Antiqua" w:cs="Book Antiqua"/>
          <w:color w:val="000000"/>
        </w:rPr>
        <w:t xml:space="preserve"> values from small to large. The results indicated that cellular response to hypoxia (GO:0001666), cellular response to stress (GO:0033554), regulation of cell communication (GO:0010646), regulation of transcription from RNA polymerase II promoter in response to stress (GO:0043618), glucose homeostasis (GO:0042593), negative regulation of cellular metabolic process (GO:0031324), negative regulation of cellular metabolic process (GO:0031324), positive regulation of cellular catabolic process (GO:0045787), regulation of apoptotic signaling pathway (GO:2001233), and others were involved.</w:t>
      </w:r>
    </w:p>
    <w:p>
      <w:pPr>
        <w:spacing w:line="360" w:lineRule="auto"/>
        <w:ind w:firstLine="480"/>
        <w:jc w:val="both"/>
      </w:pPr>
      <w:r>
        <w:rPr>
          <w:rFonts w:ascii="Book Antiqua" w:hAnsi="Book Antiqua" w:eastAsia="Book Antiqua" w:cs="Book Antiqua"/>
          <w:color w:val="000000"/>
        </w:rPr>
        <w:t xml:space="preserve">Then, to explore which pathways these genes influenced together, we performed KEGG analysis and showed the top 20 from small to large according to the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KEGG pathway analysis of these genes presented hypoxia-inducible factor 1 signaling pathway (hsa04066), central carbon metabolism in cancer (hsa05230), pathways in cancer (hsa05200), Forkhead box O (FOXO) signaling pathway (hsa04068), phosphatidylinositol 3-kinase/AKT signaling pathway (hsa04151), cell cycle pathway (hsa04110), insulin resistance pathway (hsa04931), glucagon signaling pathway (hsa04922), insulin signaling pathway (hsa04910), and others were involved</w:t>
      </w:r>
      <w:r>
        <w:rPr>
          <w:rFonts w:hint="eastAsia" w:ascii="Book Antiqua" w:hAnsi="Book Antiqua" w:cs="Book Antiqua"/>
          <w:color w:val="000000"/>
        </w:rPr>
        <w:t xml:space="preserve"> </w:t>
      </w:r>
      <w:r>
        <w:rPr>
          <w:rFonts w:ascii="Book Antiqua" w:hAnsi="Book Antiqua" w:eastAsia="Book Antiqua" w:cs="Book Antiqua"/>
          <w:color w:val="000000"/>
        </w:rPr>
        <w:t xml:space="preserve">(Figure 6B). </w:t>
      </w:r>
    </w:p>
    <w:p>
      <w:pPr>
        <w:spacing w:line="360" w:lineRule="auto"/>
        <w:ind w:firstLine="480"/>
        <w:jc w:val="both"/>
      </w:pPr>
      <w:r>
        <w:rPr>
          <w:rFonts w:ascii="Book Antiqua" w:hAnsi="Book Antiqua" w:eastAsia="Book Antiqua" w:cs="Book Antiqua"/>
          <w:color w:val="000000"/>
        </w:rPr>
        <w:t>These complex regulatory relationships indicated that SLC2A1 and SLC2A2 were not only directly involved in the metabolism of glucose but also participated in many important pathways together with other neighbor genes. Although GO and KEGG have proved that SLC2A1, SLC2A2, and their neighbor genes are involved in the occurrence and development of tumors, they have not proved the influence on the immune microenvironment. These results were based on previously discovered interrelationships but did not include what has not been discovered.</w:t>
      </w:r>
    </w:p>
    <w:p>
      <w:pPr>
        <w:spacing w:line="360" w:lineRule="auto"/>
        <w:ind w:firstLine="480"/>
        <w:jc w:val="both"/>
      </w:pPr>
    </w:p>
    <w:p>
      <w:pPr>
        <w:spacing w:line="360" w:lineRule="auto"/>
        <w:jc w:val="both"/>
      </w:pPr>
      <w:r>
        <w:rPr>
          <w:rFonts w:hint="eastAsia" w:ascii="Book Antiqua" w:hAnsi="Book Antiqua" w:cs="Book Antiqua"/>
          <w:b/>
          <w:bCs/>
          <w:i/>
          <w:iCs/>
          <w:color w:val="000000"/>
        </w:rPr>
        <w:t>L</w:t>
      </w:r>
      <w:r>
        <w:rPr>
          <w:rFonts w:ascii="Book Antiqua" w:hAnsi="Book Antiqua" w:eastAsia="Book Antiqua" w:cs="Book Antiqua"/>
          <w:b/>
          <w:bCs/>
          <w:i/>
          <w:iCs/>
          <w:color w:val="000000"/>
        </w:rPr>
        <w:t>andscape of infiltrating immune cells in HCC was different from that in normal liver tissues and expressions of SLC2A1 and SLC2A2 correlated with immune infiltration levels in HCC</w:t>
      </w:r>
    </w:p>
    <w:p>
      <w:pPr>
        <w:spacing w:line="360" w:lineRule="auto"/>
        <w:jc w:val="both"/>
      </w:pPr>
      <w:r>
        <w:rPr>
          <w:rFonts w:ascii="Book Antiqua" w:hAnsi="Book Antiqua" w:eastAsia="Book Antiqua" w:cs="Book Antiqua"/>
          <w:color w:val="000000"/>
        </w:rPr>
        <w:t>It has been noted that the lactic acid microenvironment associated with the Warburg effect always affected the number and function of some immune cells</w:t>
      </w:r>
      <w:r>
        <w:rPr>
          <w:rFonts w:ascii="Book Antiqua" w:hAnsi="Book Antiqua" w:eastAsia="Book Antiqua" w:cs="Book Antiqua"/>
          <w:color w:val="000000"/>
          <w:szCs w:val="30"/>
          <w:vertAlign w:val="superscript"/>
        </w:rPr>
        <w:t>[30]</w:t>
      </w:r>
      <w:r>
        <w:rPr>
          <w:rFonts w:ascii="Book Antiqua" w:hAnsi="Book Antiqua" w:eastAsia="Book Antiqua" w:cs="Book Antiqua"/>
          <w:color w:val="000000"/>
        </w:rPr>
        <w:t>. Some studies have also found that SLC2A1 expression levels were correlated with immune cells in some tumors</w:t>
      </w:r>
      <w:r>
        <w:rPr>
          <w:rFonts w:ascii="Book Antiqua" w:hAnsi="Book Antiqua" w:eastAsia="Book Antiqua" w:cs="Book Antiqua"/>
          <w:color w:val="000000"/>
          <w:szCs w:val="30"/>
          <w:vertAlign w:val="superscript"/>
        </w:rPr>
        <w:t>[16,31]</w:t>
      </w:r>
      <w:r>
        <w:rPr>
          <w:rFonts w:ascii="Book Antiqua" w:hAnsi="Book Antiqua" w:eastAsia="Book Antiqua" w:cs="Book Antiqua"/>
          <w:color w:val="000000"/>
        </w:rPr>
        <w:t xml:space="preserve">. However, the relationship between glucose transporters SLC2A1 and SLC2A2 and the immune microenvironment was unclear in HCC. </w:t>
      </w:r>
    </w:p>
    <w:p>
      <w:pPr>
        <w:spacing w:line="360" w:lineRule="auto"/>
        <w:ind w:firstLine="480"/>
        <w:jc w:val="both"/>
      </w:pPr>
      <w:r>
        <w:rPr>
          <w:rFonts w:ascii="Book Antiqua" w:hAnsi="Book Antiqua" w:eastAsia="Book Antiqua" w:cs="Book Antiqua"/>
          <w:color w:val="000000"/>
        </w:rPr>
        <w:t>The Cell Type Identification by Estimating Relative RNA Transcript subsets was performed firstly. The results showed that HCC had different levels of immune invasion compared to normal tissues. In comparison to normal tissues, the proportions of B cell memory, Tregs, T cell gamma delta, monocyte, macrophage M0, myeloid dendritic cell resting, mast cell activated, mast cell resting, and neutrophil had changed in HCC (Figure 7A and B).</w:t>
      </w:r>
    </w:p>
    <w:p>
      <w:pPr>
        <w:spacing w:line="360" w:lineRule="auto"/>
        <w:ind w:firstLine="480"/>
        <w:jc w:val="both"/>
      </w:pPr>
      <w:r>
        <w:rPr>
          <w:rFonts w:ascii="Book Antiqua" w:hAnsi="Book Antiqua" w:eastAsia="Book Antiqua" w:cs="Book Antiqua"/>
          <w:color w:val="000000"/>
        </w:rPr>
        <w:t>Next, SLC2A1 and SLC2A2 were investigated to determine whether their expressions were correlated to the level of immune cells with infiltration by TIMER database. The result showed that SLC2A1 expression had a weak negative correlation with tumor purity, but the SLC2A1 expression level had a positive correlation with infiltrating levels of B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0.291), CD8</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0.296), CD4</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0.238), macrophages (</w:t>
      </w:r>
      <w:r>
        <w:rPr>
          <w:rFonts w:ascii="Book Antiqua" w:hAnsi="Book Antiqua" w:eastAsia="Book Antiqua" w:cs="Book Antiqua"/>
          <w:i/>
          <w:iCs/>
          <w:color w:val="000000"/>
        </w:rPr>
        <w:t>r</w:t>
      </w:r>
      <w:r>
        <w:rPr>
          <w:rFonts w:ascii="Book Antiqua" w:hAnsi="Book Antiqua" w:eastAsia="Book Antiqua" w:cs="Book Antiqua"/>
          <w:color w:val="000000"/>
        </w:rPr>
        <w:t xml:space="preserve"> = 0.425), neutrophils (</w:t>
      </w:r>
      <w:r>
        <w:rPr>
          <w:rFonts w:ascii="Book Antiqua" w:hAnsi="Book Antiqua" w:eastAsia="Book Antiqua" w:cs="Book Antiqua"/>
          <w:i/>
          <w:iCs/>
          <w:color w:val="000000"/>
        </w:rPr>
        <w:t>r</w:t>
      </w:r>
      <w:r>
        <w:rPr>
          <w:rFonts w:ascii="Book Antiqua" w:hAnsi="Book Antiqua" w:eastAsia="Book Antiqua" w:cs="Book Antiqua"/>
          <w:color w:val="000000"/>
        </w:rPr>
        <w:t xml:space="preserve"> = 0.424), and dendritic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0.368) (Figure 7C). Conversely, SLC2A2 expression showed a weak positive correlation with tumor purity, but the SLC2A2 expression level had a negative correlation with infiltrating levels of B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-0.188), CD8</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-0.188), macrophages (</w:t>
      </w:r>
      <w:r>
        <w:rPr>
          <w:rFonts w:ascii="Book Antiqua" w:hAnsi="Book Antiqua" w:eastAsia="Book Antiqua" w:cs="Book Antiqua"/>
          <w:i/>
          <w:iCs/>
          <w:color w:val="000000"/>
        </w:rPr>
        <w:t>r</w:t>
      </w:r>
      <w:r>
        <w:rPr>
          <w:rFonts w:ascii="Book Antiqua" w:hAnsi="Book Antiqua" w:eastAsia="Book Antiqua" w:cs="Book Antiqua"/>
          <w:color w:val="000000"/>
        </w:rPr>
        <w:t xml:space="preserve"> = -0.148), neutrophils (</w:t>
      </w:r>
      <w:r>
        <w:rPr>
          <w:rFonts w:ascii="Book Antiqua" w:hAnsi="Book Antiqua" w:eastAsia="Book Antiqua" w:cs="Book Antiqua"/>
          <w:i/>
          <w:iCs/>
          <w:color w:val="000000"/>
        </w:rPr>
        <w:t>r</w:t>
      </w:r>
      <w:r>
        <w:rPr>
          <w:rFonts w:ascii="Book Antiqua" w:hAnsi="Book Antiqua" w:eastAsia="Book Antiqua" w:cs="Book Antiqua"/>
          <w:color w:val="000000"/>
        </w:rPr>
        <w:t xml:space="preserve"> = -0.115) and dendritic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-0.17) (Figure 7D).</w:t>
      </w:r>
    </w:p>
    <w:p>
      <w:pPr>
        <w:spacing w:line="360" w:lineRule="auto"/>
        <w:ind w:firstLine="480"/>
        <w:jc w:val="both"/>
      </w:pPr>
    </w:p>
    <w:p>
      <w:pPr>
        <w:spacing w:line="360" w:lineRule="auto"/>
        <w:jc w:val="both"/>
      </w:pPr>
      <w:r>
        <w:rPr>
          <w:rFonts w:ascii="Book Antiqua" w:hAnsi="Book Antiqua" w:eastAsia="Book Antiqua" w:cs="Book Antiqua"/>
          <w:b/>
          <w:bCs/>
          <w:i/>
          <w:iCs/>
          <w:color w:val="000000"/>
          <w:shd w:val="clear" w:color="auto" w:fill="FFFFFF"/>
        </w:rPr>
        <w:t>SLC2A1 and SLC2A2 expressions correlated with immune marker genes in HCC by using TIMER and GEPIA databases</w:t>
      </w:r>
    </w:p>
    <w:p>
      <w:pPr>
        <w:spacing w:line="360" w:lineRule="auto"/>
        <w:jc w:val="both"/>
      </w:pPr>
      <w:r>
        <w:rPr>
          <w:rFonts w:ascii="Book Antiqua" w:hAnsi="Book Antiqua" w:eastAsia="Book Antiqua" w:cs="Book Antiqua"/>
          <w:color w:val="000000"/>
          <w:shd w:val="clear" w:color="auto" w:fill="FFFFFF"/>
        </w:rPr>
        <w:t>To understand further the relationship between SLC2A1 and SLC2A2 and various immune cells in HCC, we studied the correlation between SLC2A1 and SLC2A2 and immune marker genes of different immune cells in TIMER and GEPIA databases. These immune marker genes included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T cells (general), B cells, monocytes, TAM, M1 macrophages, M2 macrophages, neutrophils, NK cells, and dendritic cells. We also analyzed the different functional T cells, such as Tregs, Th1 cells, Th2 cells, Tfh cells, Th17 cells, and T cells exhaustion. After the correlation adjustment by purity, the result showed that the SLC2A1 expression was positively correlated with most immune marker genes. On the contrary, SLC2A2 was negatively correlated with these immune cells markers. </w:t>
      </w:r>
    </w:p>
    <w:p>
      <w:pPr>
        <w:spacing w:line="360" w:lineRule="auto"/>
        <w:ind w:firstLine="480"/>
        <w:jc w:val="both"/>
      </w:pPr>
      <w:r>
        <w:rPr>
          <w:rFonts w:ascii="Book Antiqua" w:hAnsi="Book Antiqua" w:eastAsia="Book Antiqua" w:cs="Book Antiqua"/>
          <w:color w:val="000000"/>
          <w:shd w:val="clear" w:color="auto" w:fill="FFFFFF"/>
        </w:rPr>
        <w:t>Notably, these results showed that SLC2A1 had a strong positive correlation with the immune markers of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T cells (general), and B cells, while SLC2A2 had a weak negative correlation with these markers in TIMER (Table 3) and GEPIA (Table 4) databases. These markers included CD8A, CD8B, CD3D, CD3E, CD2, CD19, and CD79A.</w:t>
      </w:r>
    </w:p>
    <w:p>
      <w:pPr>
        <w:spacing w:line="360" w:lineRule="auto"/>
        <w:ind w:firstLine="480"/>
        <w:jc w:val="both"/>
      </w:pPr>
      <w:r>
        <w:rPr>
          <w:rFonts w:ascii="Book Antiqua" w:hAnsi="Book Antiqua" w:eastAsia="Book Antiqua" w:cs="Book Antiqua"/>
          <w:color w:val="000000"/>
          <w:shd w:val="clear" w:color="auto" w:fill="FFFFFF"/>
        </w:rPr>
        <w:t>Next, SLC2A1 had a strong positive correlation with monocytes, TAM, M1, and M2 macrophages, and the correlation with M2 macrophage makers was stronger than that of M1 macrophage. In contrast, SLC2A2 presented a negative correlation with CD86 and CD115 of monocytes and C-C motif chemokine ligand 2 (CCL2), CD68, and interleukin 10 (IL10) of TAM and only presented a positive correlation with nitric oxide synthase 2 of M1 macrophage but had no obvious or negative correlation with M2 macrophage. (Figure 8A, B, Table 3 and Table 4)</w:t>
      </w:r>
    </w:p>
    <w:p>
      <w:pPr>
        <w:spacing w:line="360" w:lineRule="auto"/>
        <w:ind w:firstLine="480"/>
        <w:jc w:val="both"/>
      </w:pPr>
      <w:r>
        <w:rPr>
          <w:rFonts w:ascii="Book Antiqua" w:hAnsi="Book Antiqua" w:eastAsia="Book Antiqua" w:cs="Book Antiqua"/>
          <w:color w:val="000000"/>
          <w:shd w:val="clear" w:color="auto" w:fill="FFFFFF"/>
        </w:rPr>
        <w:t xml:space="preserve">Furthermore, high expression of SLC2A1 was always accompanied by high dendritic cell </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major histocompatibility complex, class II, DP beta 1 (HLA-DPB1), major histocompatibility complex, class II, DQ beta 1 (HLA-DQB1), major histocompatibility complex, class II, DR alpha (HLA-DRA), major histocompatibility complex, class II, DP alpha 1 (HLA-DPA1), neuropilin 1 (BDCA-4) and integrin subunit alpha X (CD11c)</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Tfh </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BCL6 transcription repressor (BCL6) and interleukin 21 (IL21)</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Th1 </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signal transducer and activator of transcription 1 (STAT1), interferon gamma (IFN-γ) and tumor necrosis factor (TNF-α)</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and Th2 </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GATA binding protein 3 (GATA3), signal transducer and activator of transcription 6 (STAT6) and signal transducer and activator of transcription 5A (STAT5A)</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infiltration. However, high expression SLC2A2 was always accompanied by low dendritic cell (HLA-DPB1, HLA-DQB1, HLA-DRA, HLA-DPA1, BDCA-4, and CD11c), Th1 (IFN-γ and TNF-α), and Th2 (GATA3) infiltration. (Figure 8C, D, Table 3 and Table 4) </w:t>
      </w:r>
    </w:p>
    <w:p>
      <w:pPr>
        <w:spacing w:line="360" w:lineRule="auto"/>
        <w:ind w:firstLine="480"/>
        <w:jc w:val="both"/>
      </w:pPr>
      <w:r>
        <w:rPr>
          <w:rFonts w:ascii="Book Antiqua" w:hAnsi="Book Antiqua" w:eastAsia="Book Antiqua" w:cs="Book Antiqua"/>
          <w:color w:val="000000"/>
          <w:shd w:val="clear" w:color="auto" w:fill="FFFFFF"/>
        </w:rPr>
        <w:t>Moreover, we also found that SLC2A1 showed a strong positive correlation with many markers of T cells exhaustion, while SLC2A2 showed a strong negative correlation with these markers. These biomarkers included PD-1, CTLA4, lymphocyte activating 3 (LAG3), hepatitis A virus cellular receptor 2 (TIM-3), and granzyme B (GZMB). Notably, SLC2A1 was always positively correlated with C-C motif chemokine receptor 8 (CCR8),</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signal transducer and activator of transcription 5B (STAT5B), and transforming growth factor beta 1 (TGF-β1) markers of Tregs, while SLC2A2 was positively correlated with forkhead box P3 (FOXP3) and</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signal transducer and activator of transcription 5B (STAT5B) markers of Tregs but negatively correlated with TGF-β (Figure 8E, F, Table 3 and Table 4) </w:t>
      </w:r>
    </w:p>
    <w:p>
      <w:pPr>
        <w:spacing w:line="360" w:lineRule="auto"/>
        <w:ind w:firstLine="480"/>
        <w:jc w:val="both"/>
      </w:pPr>
    </w:p>
    <w:p>
      <w:pPr>
        <w:spacing w:line="360" w:lineRule="auto"/>
        <w:jc w:val="both"/>
        <w:rPr>
          <w:rFonts w:ascii="Book Antiqua" w:hAnsi="Book Antiqua" w:eastAsia="Book Antiqua" w:cs="Book Antiqua"/>
          <w:b/>
          <w:bCs/>
          <w:i/>
          <w:iCs/>
          <w:color w:val="000000"/>
          <w:shd w:val="clear" w:color="auto" w:fill="FFFFFF"/>
        </w:rPr>
      </w:pPr>
      <w:r>
        <w:rPr>
          <w:rFonts w:ascii="Book Antiqua" w:hAnsi="Book Antiqua" w:eastAsia="Book Antiqua" w:cs="Book Antiqua"/>
          <w:b/>
          <w:bCs/>
          <w:i/>
          <w:iCs/>
          <w:color w:val="000000"/>
          <w:shd w:val="clear" w:color="auto" w:fill="FFFFFF"/>
        </w:rPr>
        <w:t>SLC2A2 methylation correlated with immune cells in HCC by using the Tumor and immune system interaction database database</w:t>
      </w:r>
    </w:p>
    <w:p>
      <w:pPr>
        <w:spacing w:line="360" w:lineRule="auto"/>
        <w:jc w:val="both"/>
      </w:pPr>
      <w:r>
        <w:rPr>
          <w:rFonts w:ascii="Book Antiqua" w:hAnsi="Book Antiqua" w:eastAsia="Book Antiqua" w:cs="Book Antiqua"/>
          <w:color w:val="000000"/>
          <w:shd w:val="clear" w:color="auto" w:fill="FFFFFF"/>
        </w:rPr>
        <w:t>Previous studies have revealed that the reduced expression of SLC2A2 in HCC was due to the methylation of SLC2A2</w:t>
      </w:r>
      <w:r>
        <w:rPr>
          <w:rFonts w:ascii="Book Antiqua" w:hAnsi="Book Antiqua" w:eastAsia="Book Antiqua" w:cs="Book Antiqua"/>
          <w:color w:val="000000"/>
          <w:szCs w:val="30"/>
          <w:shd w:val="clear" w:color="auto" w:fill="FFFFFF"/>
          <w:vertAlign w:val="superscript"/>
        </w:rPr>
        <w:t>[32]</w:t>
      </w:r>
      <w:r>
        <w:rPr>
          <w:rFonts w:ascii="Book Antiqua" w:hAnsi="Book Antiqua" w:eastAsia="Book Antiqua" w:cs="Book Antiqua"/>
          <w:color w:val="000000"/>
          <w:shd w:val="clear" w:color="auto" w:fill="FFFFFF"/>
        </w:rPr>
        <w:t>. Therefore, we assessed the correlation between SLC2A2 methylation and immune cells.</w:t>
      </w:r>
    </w:p>
    <w:p>
      <w:pPr>
        <w:spacing w:line="360" w:lineRule="auto"/>
        <w:ind w:firstLine="480"/>
        <w:jc w:val="both"/>
      </w:pPr>
      <w:r>
        <w:rPr>
          <w:rFonts w:ascii="Book Antiqua" w:hAnsi="Book Antiqua" w:eastAsia="Book Antiqua" w:cs="Book Antiqua"/>
          <w:color w:val="000000"/>
          <w:shd w:val="clear" w:color="auto" w:fill="FFFFFF"/>
        </w:rPr>
        <w:t>These results suggested that SLC2A2 methylation was positively correlated with lymphocytes (</w:t>
      </w:r>
      <w:r>
        <w:rPr>
          <w:rFonts w:ascii="Book Antiqua" w:hAnsi="Book Antiqua" w:cs="Arial"/>
          <w:color w:val="3D3D3D"/>
        </w:rPr>
        <w:t>activated (Act)</w:t>
      </w:r>
      <w:r>
        <w:rPr>
          <w:rFonts w:ascii="Book Antiqua" w:hAnsi="Book Antiqua" w:eastAsia="Book Antiqua" w:cs="Book Antiqua"/>
          <w:color w:val="000000"/>
          <w:shd w:val="clear" w:color="auto" w:fill="FFFFFF"/>
        </w:rPr>
        <w:t xml:space="preserve"> CD8, </w:t>
      </w:r>
      <w:r>
        <w:rPr>
          <w:rFonts w:ascii="Book Antiqua" w:hAnsi="Book Antiqua" w:cs="Segoe UI"/>
          <w:color w:val="212121"/>
          <w:shd w:val="clear" w:color="auto" w:fill="FFFFFF"/>
        </w:rPr>
        <w:t>central memory</w:t>
      </w:r>
      <w:r>
        <w:rPr>
          <w:rFonts w:ascii="Book Antiqua" w:hAnsi="Book Antiqua" w:eastAsia="Book Antiqua" w:cs="Book Antiqua"/>
          <w:color w:val="000000"/>
          <w:shd w:val="clear" w:color="auto" w:fill="FFFFFF"/>
        </w:rPr>
        <w:t xml:space="preserve"> CD8, </w:t>
      </w:r>
      <w:r>
        <w:rPr>
          <w:rFonts w:ascii="Book Antiqua" w:hAnsi="Book Antiqua" w:cs="Segoe UI"/>
          <w:color w:val="212121"/>
          <w:shd w:val="clear" w:color="auto" w:fill="FFFFFF"/>
        </w:rPr>
        <w:t>effector memory</w:t>
      </w:r>
      <w:r>
        <w:rPr>
          <w:rFonts w:ascii="Book Antiqua" w:hAnsi="Book Antiqua" w:eastAsia="Book Antiqua" w:cs="Book Antiqua"/>
          <w:color w:val="000000"/>
          <w:shd w:val="clear" w:color="auto" w:fill="FFFFFF"/>
        </w:rPr>
        <w:t xml:space="preserve"> CD8, Act CD4, </w:t>
      </w:r>
      <w:r>
        <w:rPr>
          <w:rFonts w:ascii="Book Antiqua" w:hAnsi="Book Antiqua" w:cs="Segoe UI"/>
          <w:color w:val="212121"/>
          <w:shd w:val="clear" w:color="auto" w:fill="FFFFFF"/>
        </w:rPr>
        <w:t>central memory</w:t>
      </w:r>
      <w:r>
        <w:rPr>
          <w:rFonts w:ascii="Book Antiqua" w:hAnsi="Book Antiqua" w:eastAsia="Book Antiqua" w:cs="Book Antiqua"/>
          <w:color w:val="000000"/>
          <w:shd w:val="clear" w:color="auto" w:fill="FFFFFF"/>
        </w:rPr>
        <w:t xml:space="preserve"> CD4, </w:t>
      </w:r>
      <w:r>
        <w:rPr>
          <w:rFonts w:ascii="Book Antiqua" w:hAnsi="Book Antiqua" w:cs="Segoe UI"/>
          <w:color w:val="212121"/>
          <w:shd w:val="clear" w:color="auto" w:fill="FFFFFF"/>
        </w:rPr>
        <w:t>effector memory</w:t>
      </w:r>
      <w:r>
        <w:rPr>
          <w:rFonts w:ascii="Book Antiqua" w:hAnsi="Book Antiqua" w:eastAsia="Book Antiqua" w:cs="Book Antiqua"/>
          <w:color w:val="000000"/>
          <w:shd w:val="clear" w:color="auto" w:fill="FFFFFF"/>
        </w:rPr>
        <w:t xml:space="preserve"> CD4, Tfh, </w:t>
      </w:r>
      <w:r>
        <w:rPr>
          <w:rFonts w:ascii="Book Antiqua" w:hAnsi="Book Antiqua"/>
          <w:color w:val="333333"/>
          <w:shd w:val="clear" w:color="auto" w:fill="FFFCF0"/>
        </w:rPr>
        <w:t>gamma-delta T cells</w:t>
      </w:r>
      <w:r>
        <w:rPr>
          <w:rFonts w:ascii="Book Antiqua" w:hAnsi="Book Antiqua" w:eastAsia="Book Antiqua" w:cs="Book Antiqua"/>
          <w:color w:val="000000"/>
          <w:shd w:val="clear" w:color="auto" w:fill="FFFFFF"/>
        </w:rPr>
        <w:t xml:space="preserve">, Th1, Th17, Th2, Act B, </w:t>
      </w:r>
      <w:r>
        <w:rPr>
          <w:rFonts w:ascii="Book Antiqua" w:hAnsi="Book Antiqua"/>
          <w:color w:val="000000"/>
          <w:shd w:val="clear" w:color="auto" w:fill="FFFFFF"/>
        </w:rPr>
        <w:t>immune</w:t>
      </w:r>
      <w:r>
        <w:rPr>
          <w:rFonts w:ascii="Book Antiqua" w:hAnsi="Book Antiqua" w:eastAsia="Book Antiqua" w:cs="Book Antiqua"/>
          <w:color w:val="000000"/>
          <w:shd w:val="clear" w:color="auto" w:fill="FFFFFF"/>
        </w:rPr>
        <w:t xml:space="preserve"> B, </w:t>
      </w:r>
      <w:r>
        <w:rPr>
          <w:rFonts w:ascii="Book Antiqua" w:hAnsi="Book Antiqua"/>
          <w:color w:val="000000"/>
          <w:shd w:val="clear" w:color="auto" w:fill="FFFFFF"/>
        </w:rPr>
        <w:t>memory</w:t>
      </w:r>
      <w:r>
        <w:rPr>
          <w:rFonts w:ascii="Book Antiqua" w:hAnsi="Book Antiqua" w:eastAsia="Book Antiqua" w:cs="Book Antiqua"/>
          <w:color w:val="000000"/>
          <w:shd w:val="clear" w:color="auto" w:fill="FFFFFF"/>
        </w:rPr>
        <w:t xml:space="preserve"> B, NK, CD56</w:t>
      </w:r>
      <w:r>
        <w:rPr>
          <w:rFonts w:ascii="Book Antiqua" w:hAnsi="Book Antiqua" w:eastAsia="Book Antiqua" w:cs="Book Antiqua"/>
          <w:color w:val="000000"/>
          <w:szCs w:val="30"/>
          <w:shd w:val="clear" w:color="auto" w:fill="FFFFFF"/>
          <w:vertAlign w:val="superscript"/>
        </w:rPr>
        <w:t>bringht</w:t>
      </w:r>
      <w:r>
        <w:rPr>
          <w:rFonts w:ascii="Book Antiqua" w:hAnsi="Book Antiqua" w:eastAsia="Book Antiqua" w:cs="Book Antiqua"/>
          <w:color w:val="000000"/>
          <w:shd w:val="clear" w:color="auto" w:fill="FFFFFF"/>
        </w:rPr>
        <w:t>, CD56</w:t>
      </w:r>
      <w:r>
        <w:rPr>
          <w:rFonts w:ascii="Book Antiqua" w:hAnsi="Book Antiqua" w:eastAsia="Book Antiqua" w:cs="Book Antiqua"/>
          <w:color w:val="000000"/>
          <w:szCs w:val="30"/>
          <w:shd w:val="clear" w:color="auto" w:fill="FFFFFF"/>
          <w:vertAlign w:val="superscript"/>
        </w:rPr>
        <w:t>dim</w:t>
      </w:r>
      <w:r>
        <w:rPr>
          <w:rFonts w:ascii="Book Antiqua" w:hAnsi="Book Antiqua" w:eastAsia="Book Antiqua" w:cs="Book Antiqua"/>
          <w:color w:val="000000"/>
          <w:shd w:val="clear" w:color="auto" w:fill="FFFFFF"/>
        </w:rPr>
        <w:t xml:space="preserve">, </w:t>
      </w:r>
      <w:r>
        <w:rPr>
          <w:rFonts w:ascii="Book Antiqua" w:hAnsi="Book Antiqua"/>
          <w:color w:val="000000"/>
          <w:shd w:val="clear" w:color="auto" w:fill="FFFFFF"/>
        </w:rPr>
        <w:t>myeloid-derived suppressor</w:t>
      </w:r>
      <w:r>
        <w:rPr>
          <w:rFonts w:ascii="Book Antiqua" w:hAnsi="Book Antiqua" w:eastAsia="Book Antiqua" w:cs="Book Antiqua"/>
          <w:color w:val="000000"/>
          <w:shd w:val="clear" w:color="auto" w:fill="FFFFFF"/>
        </w:rPr>
        <w:t xml:space="preserve">, NKT, Act DC, </w:t>
      </w:r>
      <w:r>
        <w:rPr>
          <w:rFonts w:ascii="Book Antiqua" w:hAnsi="Book Antiqua"/>
          <w:color w:val="000000"/>
          <w:shd w:val="clear" w:color="auto" w:fill="FFFFFF"/>
        </w:rPr>
        <w:t>plasmacytoid</w:t>
      </w:r>
      <w:r>
        <w:rPr>
          <w:rFonts w:ascii="Book Antiqua" w:hAnsi="Book Antiqua" w:eastAsia="Book Antiqua" w:cs="Book Antiqua"/>
          <w:color w:val="000000"/>
          <w:shd w:val="clear" w:color="auto" w:fill="FFFFFF"/>
        </w:rPr>
        <w:t xml:space="preserve"> DC, </w:t>
      </w:r>
      <w:r>
        <w:rPr>
          <w:rFonts w:ascii="Book Antiqua" w:hAnsi="Book Antiqua"/>
          <w:color w:val="000000"/>
          <w:shd w:val="clear" w:color="auto" w:fill="FFFFFF"/>
        </w:rPr>
        <w:t>interstitial</w:t>
      </w:r>
      <w:r>
        <w:rPr>
          <w:rFonts w:ascii="Book Antiqua" w:hAnsi="Book Antiqua" w:eastAsia="Book Antiqua" w:cs="Book Antiqua"/>
          <w:color w:val="000000"/>
          <w:shd w:val="clear" w:color="auto" w:fill="FFFFFF"/>
        </w:rPr>
        <w:t xml:space="preserve"> DC, macrophage, eosinophil, mast, monocyte, and neutrophil)</w:t>
      </w:r>
      <w:r>
        <w:rPr>
          <w:rFonts w:ascii="Book Antiqua" w:hAnsi="Book Antiqua" w:eastAsia="Book Antiqua" w:cs="Book Antiqua"/>
          <w:color w:val="000000"/>
          <w:szCs w:val="21"/>
        </w:rPr>
        <w:t xml:space="preserve"> </w:t>
      </w:r>
      <w:r>
        <w:rPr>
          <w:rFonts w:ascii="Book Antiqua" w:hAnsi="Book Antiqua" w:eastAsia="Book Antiqua" w:cs="Book Antiqua"/>
          <w:color w:val="000000"/>
          <w:shd w:val="clear" w:color="auto" w:fill="FFFFFF"/>
        </w:rPr>
        <w:t>(Figure 9A and 9B). These results were consistent with the correlation between lower SLC2A2 expression and positive immune infiltration in HCC. In conclusion, both elevated SLC2A1 and decreased SLC2A2 indicated high immune infiltration in HCC patients.</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hd w:val="clear" w:color="auto" w:fill="FFFFFF"/>
        </w:rPr>
        <w:t>Several immune checkpoint inhibitors have been approved for clinical trials in HCC. However, they were effective for only a small percentage of patients or were not effective at all</w:t>
      </w:r>
      <w:r>
        <w:rPr>
          <w:rFonts w:ascii="Book Antiqua" w:hAnsi="Book Antiqua" w:eastAsia="Book Antiqua" w:cs="Book Antiqua"/>
          <w:color w:val="000000"/>
          <w:szCs w:val="30"/>
          <w:shd w:val="clear" w:color="auto" w:fill="FFFFFF"/>
          <w:vertAlign w:val="superscript"/>
        </w:rPr>
        <w:t>[6-8]</w:t>
      </w:r>
      <w:r>
        <w:rPr>
          <w:rFonts w:ascii="Book Antiqua" w:hAnsi="Book Antiqua" w:eastAsia="Book Antiqua" w:cs="Book Antiqua"/>
          <w:color w:val="000000"/>
          <w:shd w:val="clear" w:color="auto" w:fill="FFFFFF"/>
        </w:rPr>
        <w:t>. Therefore, it is important to identify sensitive populations with immunotherapeutic drugs or search for more effective immunotherapeutic drugs to improve the survival time in HCC. In other words, knowing the immune status of patients in advance and selecting appropriate immunotherapeutic drugs are methods to improve the survival rate of patients. A previous study found that lactic acid and other related substances that were produced by the Warburg effect affected the number and function of immune cells in the tumor microenvironment</w:t>
      </w:r>
      <w:r>
        <w:rPr>
          <w:rFonts w:ascii="Book Antiqua" w:hAnsi="Book Antiqua" w:eastAsia="Book Antiqua" w:cs="Book Antiqua"/>
          <w:color w:val="000000"/>
          <w:szCs w:val="30"/>
          <w:shd w:val="clear" w:color="auto" w:fill="FFFFFF"/>
          <w:vertAlign w:val="superscript"/>
        </w:rPr>
        <w:t>[15]</w:t>
      </w:r>
      <w:r>
        <w:rPr>
          <w:rFonts w:ascii="Book Antiqua" w:hAnsi="Book Antiqua" w:eastAsia="Book Antiqua" w:cs="Book Antiqua"/>
          <w:color w:val="000000"/>
          <w:shd w:val="clear" w:color="auto" w:fill="FFFFFF"/>
        </w:rPr>
        <w:t>. SLC2A1 and SLC2A2 have been confirmed to be involved in the Warburg effect of tumors as glucose transporters</w:t>
      </w:r>
      <w:r>
        <w:rPr>
          <w:rFonts w:ascii="Book Antiqua" w:hAnsi="Book Antiqua" w:eastAsia="Book Antiqua" w:cs="Book Antiqua"/>
          <w:color w:val="000000"/>
          <w:szCs w:val="30"/>
          <w:shd w:val="clear" w:color="auto" w:fill="FFFFFF"/>
          <w:vertAlign w:val="superscript"/>
        </w:rPr>
        <w:t>[33]</w:t>
      </w:r>
      <w:r>
        <w:rPr>
          <w:rFonts w:ascii="Book Antiqua" w:hAnsi="Book Antiqua" w:eastAsia="Book Antiqua" w:cs="Book Antiqua"/>
          <w:color w:val="000000"/>
          <w:shd w:val="clear" w:color="auto" w:fill="FFFFFF"/>
        </w:rPr>
        <w:t>, but whether they are related to immune cells has not been reported in HCC</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in detail. In our study, we identified that SLC2A1 and SLC2A2 were independent target molecules for HCC, but their expressions were negatively correlated. Secondly, both high expression SLC2A1 and low expression SLC2A2 were correlated with higher levels of immune cells. Thirdly, SLC2A2 methylation was positively correlated with the levels of immune infiltration.</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This study clarified that SLC2A1 and SLC2A2 were important target molecules, and it was proposed that SLC2A1 and SLC2A2 were related to immune cells in HCC.</w:t>
      </w:r>
    </w:p>
    <w:p>
      <w:pPr>
        <w:spacing w:line="360" w:lineRule="auto"/>
        <w:ind w:firstLine="480"/>
        <w:jc w:val="both"/>
      </w:pPr>
      <w:r>
        <w:rPr>
          <w:rFonts w:ascii="Book Antiqua" w:hAnsi="Book Antiqua" w:eastAsia="Book Antiqua" w:cs="Book Antiqua"/>
          <w:color w:val="000000"/>
          <w:shd w:val="clear" w:color="auto" w:fill="FFFFFF"/>
        </w:rPr>
        <w:t>In our study, SLC2A1 was overexpressed while SLC2A2 was low expressed in HepG2, HepG2215 cells, and liver cancer patients. A previous study had shown that SLC2A1 was highly expressed in HepG2, Hep3B, and SK-HEP1 cells compared with normal hepatocytes</w:t>
      </w:r>
      <w:r>
        <w:rPr>
          <w:rFonts w:ascii="Book Antiqua" w:hAnsi="Book Antiqua" w:eastAsia="Book Antiqua" w:cs="Book Antiqua"/>
          <w:color w:val="000000"/>
          <w:szCs w:val="30"/>
          <w:shd w:val="clear" w:color="auto" w:fill="FFFFFF"/>
          <w:vertAlign w:val="superscript"/>
        </w:rPr>
        <w:t>[34]</w:t>
      </w:r>
      <w:r>
        <w:rPr>
          <w:rFonts w:ascii="Book Antiqua" w:hAnsi="Book Antiqua" w:eastAsia="Book Antiqua" w:cs="Book Antiqua"/>
          <w:color w:val="000000"/>
          <w:shd w:val="clear" w:color="auto" w:fill="FFFFFF"/>
        </w:rPr>
        <w:t>. Another study also confirmed that SLC2A1 protein expression increased while SLC2A2 protein expression decreased with the progression of HCC</w:t>
      </w:r>
      <w:r>
        <w:rPr>
          <w:rFonts w:ascii="Book Antiqua" w:hAnsi="Book Antiqua" w:eastAsia="Book Antiqua" w:cs="Book Antiqua"/>
          <w:color w:val="000000"/>
          <w:szCs w:val="30"/>
          <w:shd w:val="clear" w:color="auto" w:fill="FFFFFF"/>
          <w:vertAlign w:val="superscript"/>
        </w:rPr>
        <w:t>[35]</w:t>
      </w:r>
      <w:r>
        <w:rPr>
          <w:rFonts w:ascii="Book Antiqua" w:hAnsi="Book Antiqua" w:eastAsia="Book Antiqua" w:cs="Book Antiqua"/>
          <w:color w:val="000000"/>
          <w:shd w:val="clear" w:color="auto" w:fill="FFFFFF"/>
        </w:rPr>
        <w:t>. In addition, the trend was becoming worse and worse with the progress of tumor volume, grade, and stage of HCC. We also analyzed the expression of SLC2A1 and SLC2A2 in other cancers, and the results showed that SLC2A1 and SLC2A2 were increased in some cancers but decreased in others compared with normal samples.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This may be related to tumor heterogeneity or the different collection criteria and calculation methods in different data sets.</w:t>
      </w:r>
    </w:p>
    <w:p>
      <w:pPr>
        <w:spacing w:line="360" w:lineRule="auto"/>
        <w:ind w:firstLine="480"/>
        <w:jc w:val="both"/>
      </w:pPr>
      <w:r>
        <w:rPr>
          <w:rFonts w:ascii="Book Antiqua" w:hAnsi="Book Antiqua" w:eastAsia="Book Antiqua" w:cs="Book Antiqua"/>
          <w:color w:val="000000"/>
          <w:shd w:val="clear" w:color="auto" w:fill="FFFFFF"/>
        </w:rPr>
        <w:t>Interestingly, our study found that the expression levels of SLC2A1 and SLC2A2 were negatively correlated in HCC. Another study had also found that their expressions were negatively correlated at the protein level</w:t>
      </w:r>
      <w:r>
        <w:rPr>
          <w:rFonts w:ascii="Book Antiqua" w:hAnsi="Book Antiqua" w:eastAsia="Book Antiqua" w:cs="Book Antiqua"/>
          <w:color w:val="000000"/>
          <w:szCs w:val="30"/>
          <w:shd w:val="clear" w:color="auto" w:fill="FFFFFF"/>
          <w:vertAlign w:val="superscript"/>
        </w:rPr>
        <w:t>[35]</w:t>
      </w:r>
      <w:r>
        <w:rPr>
          <w:rFonts w:ascii="Book Antiqua" w:hAnsi="Book Antiqua" w:eastAsia="Book Antiqua" w:cs="Book Antiqua"/>
          <w:color w:val="000000"/>
          <w:shd w:val="clear" w:color="auto" w:fill="FFFFFF"/>
        </w:rPr>
        <w:t>. One possible reason was that the SLC2A2 glucose transporter was highly reversible whereas the SLC2A1 glucose transporter was not. They had this mode of expression ensured for higher glucose flux in cancer cells</w:t>
      </w:r>
      <w:r>
        <w:rPr>
          <w:rFonts w:ascii="Book Antiqua" w:hAnsi="Book Antiqua" w:eastAsia="Book Antiqua" w:cs="Book Antiqua"/>
          <w:color w:val="000000"/>
          <w:szCs w:val="30"/>
          <w:shd w:val="clear" w:color="auto" w:fill="FFFFFF"/>
          <w:vertAlign w:val="superscript"/>
        </w:rPr>
        <w:t>[9]</w:t>
      </w:r>
      <w:r>
        <w:rPr>
          <w:rFonts w:ascii="Book Antiqua" w:hAnsi="Book Antiqua" w:eastAsia="Book Antiqua" w:cs="Book Antiqua"/>
          <w:color w:val="000000"/>
          <w:shd w:val="clear" w:color="auto" w:fill="FFFFFF"/>
        </w:rPr>
        <w:t>. It has been reported that cancer cells expressing oncogene KRAS proto-oncogene, GTPase (KRAS), or oncogene B-Raf proto-oncogene, serine/threonine kinase (BFAF) required SLC2A1</w:t>
      </w:r>
      <w:r>
        <w:rPr>
          <w:rFonts w:ascii="Book Antiqua" w:hAnsi="Book Antiqua" w:eastAsia="Book Antiqua" w:cs="Book Antiqua"/>
          <w:color w:val="000000"/>
          <w:szCs w:val="30"/>
          <w:shd w:val="clear" w:color="auto" w:fill="FFFFFF"/>
          <w:vertAlign w:val="superscript"/>
        </w:rPr>
        <w:t>[36]</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which may be one of the reasons for the SLC2A1 overexpression in HCC. Other studies have found that activation of pregnane X receptor dysregulated SLC2A2 expression and subcellular localization in the liver</w:t>
      </w:r>
      <w:r>
        <w:rPr>
          <w:rFonts w:ascii="Book Antiqua" w:hAnsi="Book Antiqua" w:eastAsia="Book Antiqua" w:cs="Book Antiqua"/>
          <w:color w:val="000000"/>
          <w:szCs w:val="30"/>
          <w:shd w:val="clear" w:color="auto" w:fill="FFFFFF"/>
          <w:vertAlign w:val="superscript"/>
        </w:rPr>
        <w:t>[37]</w:t>
      </w:r>
      <w:r>
        <w:rPr>
          <w:rFonts w:ascii="Book Antiqua" w:hAnsi="Book Antiqua" w:eastAsia="Book Antiqua" w:cs="Book Antiqua"/>
          <w:color w:val="000000"/>
          <w:shd w:val="clear" w:color="auto" w:fill="FFFFFF"/>
        </w:rPr>
        <w:t>. However, other reasons for increased SLC2A1 expression and decreased SLC2A2 expression in HCC are still worth exploring.</w:t>
      </w:r>
    </w:p>
    <w:p>
      <w:pPr>
        <w:spacing w:line="360" w:lineRule="auto"/>
        <w:ind w:firstLine="480"/>
        <w:jc w:val="both"/>
      </w:pPr>
      <w:r>
        <w:rPr>
          <w:rFonts w:ascii="Book Antiqua" w:hAnsi="Book Antiqua" w:eastAsia="Book Antiqua" w:cs="Book Antiqua"/>
          <w:color w:val="000000"/>
          <w:shd w:val="clear" w:color="auto" w:fill="FFFFFF"/>
        </w:rPr>
        <w:t>Meanwhile, we showed that high SLC2A1 expression and low SLC2A2 expression were positively correlated with the poor OS and RFS in HCC. Notably, high expression of SLC2A1 and low expression of SLC2A2 were more dangerous for males, Asians, non-alcoholics, infected by HBV, high stage, high grade, and high AJCC-T than that in the control group. When primary rat hepatocytes were infected with an adenoviral vector expressing portions of the HBV genome, up-regulation of SLC2A1 and down-regulation of SLC2A2 were observed</w:t>
      </w:r>
      <w:r>
        <w:rPr>
          <w:rFonts w:ascii="Book Antiqua" w:hAnsi="Book Antiqua" w:eastAsia="Book Antiqua" w:cs="Book Antiqua"/>
          <w:color w:val="000000"/>
          <w:szCs w:val="30"/>
          <w:shd w:val="clear" w:color="auto" w:fill="FFFFFF"/>
          <w:vertAlign w:val="superscript"/>
        </w:rPr>
        <w:t>[38]</w:t>
      </w:r>
      <w:r>
        <w:rPr>
          <w:rFonts w:ascii="Book Antiqua" w:hAnsi="Book Antiqua" w:eastAsia="Book Antiqua" w:cs="Book Antiqua"/>
          <w:color w:val="000000"/>
          <w:shd w:val="clear" w:color="auto" w:fill="FFFFFF"/>
        </w:rPr>
        <w:t xml:space="preserve">. Teng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zCs w:val="30"/>
          <w:shd w:val="clear" w:color="auto" w:fill="FFFFFF"/>
          <w:vertAlign w:val="superscript"/>
        </w:rPr>
        <w:t>[39]</w:t>
      </w:r>
      <w:r>
        <w:rPr>
          <w:rFonts w:ascii="Book Antiqua" w:hAnsi="Book Antiqua" w:eastAsia="Book Antiqua" w:cs="Book Antiqua"/>
          <w:color w:val="000000"/>
          <w:shd w:val="clear" w:color="auto" w:fill="FFFFFF"/>
        </w:rPr>
        <w:t xml:space="preserve"> have demonstrated that HBV Pre-S2 mutant up-regulated SLC2A1 expression through the mammalian target of rapamycin/YY1 transcription factor/MYC proto-oncogene signaling. Besides, down-regulation of SLC2A2 has also been revealed in HBV replicon transfected Huh-7 cells</w:t>
      </w:r>
      <w:r>
        <w:rPr>
          <w:rFonts w:ascii="Book Antiqua" w:hAnsi="Book Antiqua" w:eastAsia="Book Antiqua" w:cs="Book Antiqua"/>
          <w:color w:val="000000"/>
          <w:szCs w:val="30"/>
          <w:shd w:val="clear" w:color="auto" w:fill="FFFFFF"/>
          <w:vertAlign w:val="superscript"/>
        </w:rPr>
        <w:t>[40]</w:t>
      </w:r>
      <w:r>
        <w:rPr>
          <w:rFonts w:ascii="Book Antiqua" w:hAnsi="Book Antiqua" w:eastAsia="Book Antiqua" w:cs="Book Antiqua"/>
          <w:color w:val="000000"/>
          <w:shd w:val="clear" w:color="auto" w:fill="FFFFFF"/>
        </w:rPr>
        <w:t>. Other studies have also found that high SLC2A1 expression level was associated with advanced tumor stage, high tumor grade, depth of the invasion, and poor differentiation in various cancers</w:t>
      </w:r>
      <w:r>
        <w:rPr>
          <w:rFonts w:ascii="Book Antiqua" w:hAnsi="Book Antiqua" w:eastAsia="Book Antiqua" w:cs="Book Antiqua"/>
          <w:color w:val="000000"/>
          <w:szCs w:val="30"/>
          <w:shd w:val="clear" w:color="auto" w:fill="FFFFFF"/>
          <w:vertAlign w:val="superscript"/>
        </w:rPr>
        <w:t>[41-43]</w:t>
      </w:r>
      <w:r>
        <w:rPr>
          <w:rFonts w:ascii="Book Antiqua" w:hAnsi="Book Antiqua" w:eastAsia="Book Antiqua" w:cs="Book Antiqua"/>
          <w:color w:val="000000"/>
          <w:shd w:val="clear" w:color="auto" w:fill="FFFFFF"/>
        </w:rPr>
        <w:t>. The study showed that SLC2A2 protein expression was decreased following the malignant progression of HCC</w:t>
      </w:r>
      <w:r>
        <w:rPr>
          <w:rFonts w:ascii="Book Antiqua" w:hAnsi="Book Antiqua" w:eastAsia="Book Antiqua" w:cs="Book Antiqua"/>
          <w:color w:val="000000"/>
          <w:szCs w:val="30"/>
          <w:shd w:val="clear" w:color="auto" w:fill="FFFFFF"/>
          <w:vertAlign w:val="superscript"/>
        </w:rPr>
        <w:t>[35]</w:t>
      </w:r>
      <w:r>
        <w:rPr>
          <w:rFonts w:ascii="Book Antiqua" w:hAnsi="Book Antiqua" w:eastAsia="Book Antiqua" w:cs="Book Antiqua"/>
          <w:color w:val="000000"/>
          <w:shd w:val="clear" w:color="auto" w:fill="FFFFFF"/>
        </w:rPr>
        <w:t xml:space="preserve">. Therefore, we suggested that SLC2A1 and SLC2A2 were independent prognostic factors for HCC. </w:t>
      </w:r>
    </w:p>
    <w:p>
      <w:pPr>
        <w:spacing w:line="360" w:lineRule="auto"/>
        <w:ind w:firstLine="480"/>
        <w:jc w:val="both"/>
      </w:pPr>
      <w:r>
        <w:rPr>
          <w:rFonts w:ascii="Book Antiqua" w:hAnsi="Book Antiqua" w:eastAsia="Book Antiqua" w:cs="Book Antiqua"/>
          <w:color w:val="000000"/>
          <w:shd w:val="clear" w:color="auto" w:fill="FFFFFF"/>
        </w:rPr>
        <w:t>Next, we discussed that SLC2A1 and SLC2A2 and their neighbor genes were involved in pathways in the String database. Notably, genes TP53, ATM, MDM2, AKT1, HIF1A, EP300, INS, GCK, and HK2 were included. Studies have demonstrated that tumor-associated mutation P53 stimulated the Warburg effect by promoting SLC2A1 translocation to the plasma membrane</w:t>
      </w:r>
      <w:r>
        <w:rPr>
          <w:rFonts w:ascii="Book Antiqua" w:hAnsi="Book Antiqua" w:eastAsia="Book Antiqua" w:cs="Book Antiqua"/>
          <w:color w:val="000000"/>
          <w:szCs w:val="30"/>
          <w:shd w:val="clear" w:color="auto" w:fill="FFFFFF"/>
          <w:vertAlign w:val="superscript"/>
        </w:rPr>
        <w:t>[44]</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HIF1A promoted the Warburg effect of various cancers by increasing the expression of multiple glycolysis genes (such as SLC2A1 and carbonic anhydrase 9)</w:t>
      </w:r>
      <w:r>
        <w:rPr>
          <w:rFonts w:ascii="Book Antiqua" w:hAnsi="Book Antiqua" w:eastAsia="Book Antiqua" w:cs="Book Antiqua"/>
          <w:color w:val="000000"/>
          <w:szCs w:val="30"/>
          <w:shd w:val="clear" w:color="auto" w:fill="FFFFFF"/>
          <w:vertAlign w:val="superscript"/>
        </w:rPr>
        <w:t>[45]</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When these oncogenes or tumor suppressor genes functioned, they all seemed to be associated with the SLC2A1-induced Warburg effect.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The study indicated that SLC2A1, SLC2A2, and their neighbors were involved in the central carbon metabolism in cancer (hsa05230), pathways in cancer (hsa 05200), FOXO signaling pathway (hsa04068), </w:t>
      </w:r>
      <w:r>
        <w:rPr>
          <w:rFonts w:ascii="Book Antiqua" w:hAnsi="Book Antiqua" w:eastAsia="Book Antiqua" w:cs="Book Antiqua"/>
          <w:color w:val="000000"/>
        </w:rPr>
        <w:t>phosphatidylinositol 3-kinase</w:t>
      </w:r>
      <w:r>
        <w:rPr>
          <w:rFonts w:ascii="Book Antiqua" w:hAnsi="Book Antiqua" w:eastAsia="Book Antiqua" w:cs="Book Antiqua"/>
          <w:color w:val="000000"/>
          <w:shd w:val="clear" w:color="auto" w:fill="FFFFFF"/>
        </w:rPr>
        <w:t>-Akt signaling pathway (hsa 04151),</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and so on.</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FOXOs were involved in cellular differentiation, apoptosis, cell proliferation, DNA damage and repair, and as mediators of oxidative stress</w:t>
      </w:r>
      <w:r>
        <w:rPr>
          <w:rFonts w:ascii="Book Antiqua" w:hAnsi="Book Antiqua" w:eastAsia="Book Antiqua" w:cs="Book Antiqua"/>
          <w:color w:val="000000"/>
          <w:szCs w:val="30"/>
          <w:shd w:val="clear" w:color="auto" w:fill="FFFFFF"/>
          <w:vertAlign w:val="superscript"/>
        </w:rPr>
        <w:t>[46]</w:t>
      </w:r>
      <w:r>
        <w:rPr>
          <w:rFonts w:ascii="Book Antiqua" w:hAnsi="Book Antiqua" w:eastAsia="Book Antiqua" w:cs="Book Antiqua"/>
          <w:color w:val="000000"/>
          <w:shd w:val="clear" w:color="auto" w:fill="FFFFFF"/>
        </w:rPr>
        <w:t>. Studies reported that Akt activation, caused by disturbances of phosphatidylinositol-4,5-bisphosphate 3-kinase catalytic subunit alpha or phosphatase and tensin homolog, mediated increased glucose uptake and solute carrier family 2 overexpression</w:t>
      </w:r>
      <w:r>
        <w:rPr>
          <w:rFonts w:ascii="Book Antiqua" w:hAnsi="Book Antiqua" w:eastAsia="Book Antiqua" w:cs="Book Antiqua"/>
          <w:color w:val="000000"/>
          <w:szCs w:val="30"/>
          <w:shd w:val="clear" w:color="auto" w:fill="FFFFFF"/>
          <w:vertAlign w:val="superscript"/>
        </w:rPr>
        <w:t>[33]</w:t>
      </w:r>
      <w:r>
        <w:rPr>
          <w:rFonts w:ascii="Book Antiqua" w:hAnsi="Book Antiqua" w:eastAsia="Book Antiqua" w:cs="Book Antiqua"/>
          <w:color w:val="000000"/>
          <w:shd w:val="clear" w:color="auto" w:fill="FFFFFF"/>
        </w:rPr>
        <w:t>. In conclusion,</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SLC2A1, SLC2A2, and their neighbor genes played an important role in the occurrence and development of tumors.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Regrettably, we had not enriched some pathways associated with immunity in the String database.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This may be attributed to the lack of database algorithms or the lack of studies on the relationship between glucose transporters and immune cells.</w:t>
      </w:r>
    </w:p>
    <w:p>
      <w:pPr>
        <w:spacing w:line="360" w:lineRule="auto"/>
        <w:ind w:firstLine="480"/>
        <w:jc w:val="both"/>
      </w:pPr>
      <w:r>
        <w:rPr>
          <w:rFonts w:ascii="Book Antiqua" w:hAnsi="Book Antiqua" w:eastAsia="Book Antiqua" w:cs="Book Antiqua"/>
          <w:color w:val="000000"/>
          <w:shd w:val="clear" w:color="auto" w:fill="FFFFFF"/>
        </w:rPr>
        <w:t>A previous study found that lactic acid and other related substances produced from the Warburg effect affected the number and function of immune cells in the tumor microenvironment</w:t>
      </w:r>
      <w:r>
        <w:rPr>
          <w:rFonts w:ascii="Book Antiqua" w:hAnsi="Book Antiqua" w:eastAsia="Book Antiqua" w:cs="Book Antiqua"/>
          <w:color w:val="000000"/>
          <w:szCs w:val="30"/>
          <w:shd w:val="clear" w:color="auto" w:fill="FFFFFF"/>
          <w:vertAlign w:val="superscript"/>
        </w:rPr>
        <w:t>[15]</w:t>
      </w:r>
      <w:r>
        <w:rPr>
          <w:rFonts w:ascii="Book Antiqua" w:hAnsi="Book Antiqua" w:eastAsia="Book Antiqua" w:cs="Book Antiqua"/>
          <w:color w:val="000000"/>
          <w:shd w:val="clear" w:color="auto" w:fill="FFFFFF"/>
        </w:rPr>
        <w:t>. High expression of SLC2A1 in gastric cancer cells was associated with suppressing CD8</w:t>
      </w:r>
      <w:r>
        <w:rPr>
          <w:rFonts w:ascii="Book Antiqua" w:hAnsi="Book Antiqua" w:eastAsia="Book Antiqua" w:cs="Book Antiqua"/>
          <w:color w:val="000000"/>
          <w:szCs w:val="30"/>
          <w:shd w:val="clear" w:color="auto" w:fill="FFFFFF"/>
          <w:vertAlign w:val="superscript"/>
        </w:rPr>
        <w:t xml:space="preserve">+ </w:t>
      </w:r>
      <w:r>
        <w:rPr>
          <w:rFonts w:ascii="Book Antiqua" w:hAnsi="Book Antiqua" w:eastAsia="Book Antiqua" w:cs="Book Antiqua"/>
          <w:color w:val="000000"/>
          <w:shd w:val="clear" w:color="auto" w:fill="FFFFFF"/>
        </w:rPr>
        <w:t>T cells and B cells</w:t>
      </w:r>
      <w:r>
        <w:rPr>
          <w:rFonts w:ascii="Book Antiqua" w:hAnsi="Book Antiqua" w:eastAsia="Book Antiqua" w:cs="Book Antiqua"/>
          <w:color w:val="000000"/>
          <w:szCs w:val="30"/>
          <w:shd w:val="clear" w:color="auto" w:fill="FFFFFF"/>
          <w:vertAlign w:val="superscript"/>
        </w:rPr>
        <w:t>[16]</w:t>
      </w:r>
      <w:r>
        <w:rPr>
          <w:rFonts w:ascii="Book Antiqua" w:hAnsi="Book Antiqua" w:eastAsia="Book Antiqua" w:cs="Book Antiqua"/>
          <w:color w:val="000000"/>
          <w:shd w:val="clear" w:color="auto" w:fill="FFFFFF"/>
        </w:rPr>
        <w:t>, and an inverse correlation between SLC2A1 expression and the number of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in renal cell carcinoma</w:t>
      </w:r>
      <w:r>
        <w:rPr>
          <w:rFonts w:ascii="Book Antiqua" w:hAnsi="Book Antiqua" w:eastAsia="Book Antiqua" w:cs="Book Antiqua"/>
          <w:color w:val="000000"/>
          <w:szCs w:val="30"/>
          <w:shd w:val="clear" w:color="auto" w:fill="FFFFFF"/>
          <w:vertAlign w:val="superscript"/>
        </w:rPr>
        <w:t xml:space="preserve">[31] </w:t>
      </w:r>
      <w:r>
        <w:rPr>
          <w:rFonts w:ascii="Book Antiqua" w:hAnsi="Book Antiqua" w:eastAsia="Book Antiqua" w:cs="Book Antiqua"/>
          <w:color w:val="000000"/>
          <w:szCs w:val="30"/>
          <w:shd w:val="clear" w:color="auto" w:fill="FFFFFF"/>
        </w:rPr>
        <w:t>was showed</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Other studies reported that T cells,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and B cells reduced in the SLC2A1 expressive group of human papillomavirus type 16-positive cervical cancer</w:t>
      </w:r>
      <w:r>
        <w:rPr>
          <w:rFonts w:ascii="Book Antiqua" w:hAnsi="Book Antiqua" w:eastAsia="Book Antiqua" w:cs="Book Antiqua"/>
          <w:color w:val="000000"/>
          <w:szCs w:val="30"/>
          <w:shd w:val="clear" w:color="auto" w:fill="FFFFFF"/>
          <w:vertAlign w:val="superscript"/>
        </w:rPr>
        <w:t>[47]</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However, the relationship between SLC2A2 and immunity in tumors has rarely been reported, which may be due to its low or no expression in various cancers. These results suggested that SLC2A1 and SLC2A2 affected the number and function of immune cells in the tumor microenvironment. </w:t>
      </w:r>
    </w:p>
    <w:p>
      <w:pPr>
        <w:spacing w:line="360" w:lineRule="auto"/>
        <w:ind w:firstLine="480"/>
        <w:jc w:val="both"/>
      </w:pPr>
      <w:r>
        <w:rPr>
          <w:rFonts w:ascii="Book Antiqua" w:hAnsi="Book Antiqua" w:eastAsia="Book Antiqua" w:cs="Book Antiqua"/>
          <w:color w:val="000000"/>
          <w:shd w:val="clear" w:color="auto" w:fill="FFFFFF"/>
        </w:rPr>
        <w:t>In this study, the results suggested that HCC had different levels of immune invasion compared to normal tissues. Of course, immune dysregulation in HCC has long been recognized</w:t>
      </w:r>
      <w:r>
        <w:rPr>
          <w:rFonts w:ascii="Book Antiqua" w:hAnsi="Book Antiqua" w:eastAsia="Book Antiqua" w:cs="Book Antiqua"/>
          <w:color w:val="000000"/>
          <w:szCs w:val="30"/>
          <w:shd w:val="clear" w:color="auto" w:fill="FFFFFF"/>
          <w:vertAlign w:val="superscript"/>
        </w:rPr>
        <w:t>[48]</w:t>
      </w:r>
      <w:r>
        <w:rPr>
          <w:rFonts w:ascii="Book Antiqua" w:hAnsi="Book Antiqua" w:eastAsia="Book Antiqua" w:cs="Book Antiqua"/>
          <w:color w:val="000000"/>
          <w:shd w:val="clear" w:color="auto" w:fill="FFFFFF"/>
        </w:rPr>
        <w:t>. Notably, it was presented for the first time that expressions of SLC2A1 and SLC2A2 were correlated with the infiltration levels of various immune cells and immune marker genes in HCC.</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Furthermore, both high SLC2A1 and low SLC2A2 expressions, as independent risk factors for HCC, pointed to a common outcome of high levels of immune cell infiltration. These results suggested that the expression of SLC2A1 and SLC2A2 played an important role in the number and function of immune cells in HCC.</w:t>
      </w:r>
    </w:p>
    <w:p>
      <w:pPr>
        <w:spacing w:line="360" w:lineRule="auto"/>
        <w:ind w:firstLine="480"/>
        <w:jc w:val="both"/>
      </w:pPr>
      <w:r>
        <w:rPr>
          <w:rFonts w:ascii="Book Antiqua" w:hAnsi="Book Antiqua" w:eastAsia="Book Antiqua" w:cs="Book Antiqua"/>
          <w:color w:val="000000"/>
          <w:shd w:val="clear" w:color="auto" w:fill="FFFFFF"/>
        </w:rPr>
        <w:t>Firstly, high expression of SLC2A1 and low expression of SLC2A2 had positive correlations with infiltrating levels of B cells,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CD4</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macrophages, and neutrophils in HCC. </w:t>
      </w:r>
    </w:p>
    <w:p>
      <w:pPr>
        <w:spacing w:line="360" w:lineRule="auto"/>
        <w:ind w:firstLine="480"/>
        <w:jc w:val="both"/>
      </w:pPr>
      <w:r>
        <w:rPr>
          <w:rFonts w:ascii="Book Antiqua" w:hAnsi="Book Antiqua" w:eastAsia="Book Antiqua" w:cs="Book Antiqua"/>
          <w:color w:val="000000"/>
          <w:shd w:val="clear" w:color="auto" w:fill="FFFFFF"/>
        </w:rPr>
        <w:t>Secondly, the expression of SLC2A1 was correlated with the expressions of monocytes markers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CD86 and CD115), TAM markers (CCL2, CD68, and IL10), M1 macrophage </w:t>
      </w:r>
      <w:r>
        <w:rPr>
          <w:rFonts w:ascii="Book Antiqua" w:hAnsi="Book Antiqua" w:cs="Book Antiqua"/>
          <w:color w:val="000000"/>
          <w:shd w:val="clear" w:color="auto" w:fill="FFFFFF"/>
        </w:rPr>
        <w:t>(</w:t>
      </w:r>
      <w:r>
        <w:rPr>
          <w:rFonts w:ascii="Book Antiqua" w:hAnsi="Book Antiqua" w:eastAsia="Book Antiqua" w:cs="Book Antiqua"/>
          <w:color w:val="000000"/>
          <w:shd w:val="clear" w:color="auto" w:fill="FFFFFF"/>
        </w:rPr>
        <w:t>interferon regulatory factor 5, and cytochrome c oxidase subunit II)</w:t>
      </w:r>
      <w:r>
        <w:rPr>
          <w:rFonts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and M2 macrophage </w:t>
      </w:r>
      <w:r>
        <w:rPr>
          <w:rFonts w:ascii="Book Antiqua" w:hAnsi="Book Antiqua" w:cs="Book Antiqua"/>
          <w:color w:val="000000"/>
          <w:shd w:val="clear" w:color="auto" w:fill="FFFFFF"/>
        </w:rPr>
        <w:t>(</w:t>
      </w:r>
      <w:r>
        <w:rPr>
          <w:rFonts w:ascii="Book Antiqua" w:hAnsi="Book Antiqua" w:eastAsia="Book Antiqua" w:cs="Book Antiqua"/>
          <w:color w:val="000000"/>
          <w:shd w:val="clear" w:color="auto" w:fill="FFFFFF"/>
        </w:rPr>
        <w:t>CD163, V-set and immunoglobulin domain containing 4, and membrane spanning 4-domains A4A). Monocytes and macrophages were involved in tumor initiation, growth, migration, vascularization, invasion, and metastasis</w:t>
      </w:r>
      <w:r>
        <w:rPr>
          <w:rFonts w:ascii="Book Antiqua" w:hAnsi="Book Antiqua" w:eastAsia="Book Antiqua" w:cs="Book Antiqua"/>
          <w:color w:val="000000"/>
          <w:szCs w:val="30"/>
          <w:shd w:val="clear" w:color="auto" w:fill="FFFFFF"/>
          <w:vertAlign w:val="superscript"/>
        </w:rPr>
        <w:t>[49]</w:t>
      </w:r>
      <w:r>
        <w:rPr>
          <w:rFonts w:ascii="Book Antiqua" w:hAnsi="Book Antiqua" w:eastAsia="Book Antiqua" w:cs="Book Antiqua"/>
          <w:color w:val="000000"/>
          <w:shd w:val="clear" w:color="auto" w:fill="FFFFFF"/>
        </w:rPr>
        <w:t>. Studies have found that lactic acid produced by the Warburg effect could promote T</w:t>
      </w:r>
      <w:r>
        <w:rPr>
          <w:rFonts w:ascii="Book Antiqua" w:hAnsi="Book Antiqua" w:eastAsia="Book Antiqua" w:cs="Book Antiqua"/>
          <w:color w:val="000000"/>
          <w:shd w:val="clear" w:color="auto" w:fill="FFFFFF"/>
        </w:rPr>
        <w:noBreakHyphen/>
      </w:r>
      <w:r>
        <w:rPr>
          <w:rFonts w:ascii="Book Antiqua" w:hAnsi="Book Antiqua" w:eastAsia="Book Antiqua" w:cs="Book Antiqua"/>
          <w:color w:val="000000"/>
          <w:shd w:val="clear" w:color="auto" w:fill="FFFFFF"/>
        </w:rPr>
        <w:t>cell apoptosis by activating M2-TAM and regulating PD-1/PD-L1 signals</w:t>
      </w:r>
      <w:r>
        <w:rPr>
          <w:rFonts w:ascii="Book Antiqua" w:hAnsi="Book Antiqua" w:eastAsia="Book Antiqua" w:cs="Book Antiqua"/>
          <w:color w:val="000000"/>
          <w:szCs w:val="30"/>
          <w:shd w:val="clear" w:color="auto" w:fill="FFFFFF"/>
          <w:vertAlign w:val="superscript"/>
        </w:rPr>
        <w:t>[50]</w:t>
      </w:r>
      <w:r>
        <w:rPr>
          <w:rFonts w:ascii="Book Antiqua" w:hAnsi="Book Antiqua" w:eastAsia="Book Antiqua" w:cs="Book Antiqua"/>
          <w:color w:val="000000"/>
          <w:shd w:val="clear" w:color="auto" w:fill="FFFFFF"/>
        </w:rPr>
        <w:t>. These results indicated that SLC2A1 had potential regulatory effects on tumor-associated macrophages.</w:t>
      </w:r>
    </w:p>
    <w:p>
      <w:pPr>
        <w:spacing w:line="360" w:lineRule="auto"/>
        <w:ind w:firstLine="480"/>
        <w:jc w:val="both"/>
      </w:pPr>
      <w:r>
        <w:rPr>
          <w:rFonts w:ascii="Book Antiqua" w:hAnsi="Book Antiqua" w:eastAsia="Book Antiqua" w:cs="Book Antiqua"/>
          <w:color w:val="000000"/>
          <w:shd w:val="clear" w:color="auto" w:fill="FFFFFF"/>
        </w:rPr>
        <w:t>Thirdly, SLC2A1 and SLC2A2 were correlated with several dendritic cell markers, indicating that they had an important relationship with the normal function of dendritic cells. Tumor-derived lactic acid regulated the activation and antigen expression of dendritic cells</w:t>
      </w:r>
      <w:r>
        <w:rPr>
          <w:rFonts w:ascii="Book Antiqua" w:hAnsi="Book Antiqua" w:eastAsia="Book Antiqua" w:cs="Book Antiqua"/>
          <w:color w:val="000000"/>
          <w:szCs w:val="30"/>
          <w:shd w:val="clear" w:color="auto" w:fill="FFFFFF"/>
          <w:vertAlign w:val="superscript"/>
        </w:rPr>
        <w:t>[51]</w:t>
      </w:r>
      <w:r>
        <w:rPr>
          <w:rFonts w:ascii="Book Antiqua" w:hAnsi="Book Antiqua" w:eastAsia="Book Antiqua" w:cs="Book Antiqua"/>
          <w:color w:val="000000"/>
          <w:shd w:val="clear" w:color="auto" w:fill="FFFFFF"/>
        </w:rPr>
        <w:t>. Therefore, one of the reasons why SLC2A1 and SLC2A2 affected dendritic cell function was that they could affect cell function through the lactic acid produced by the mediated Warburg effect.</w:t>
      </w:r>
    </w:p>
    <w:p>
      <w:pPr>
        <w:spacing w:line="360" w:lineRule="auto"/>
        <w:ind w:firstLine="480"/>
        <w:jc w:val="both"/>
      </w:pPr>
      <w:r>
        <w:rPr>
          <w:rFonts w:ascii="Book Antiqua" w:hAnsi="Book Antiqua" w:eastAsia="Book Antiqua" w:cs="Book Antiqua"/>
          <w:color w:val="000000"/>
          <w:shd w:val="clear" w:color="auto" w:fill="FFFFFF"/>
        </w:rPr>
        <w:t>Fourthly, the expression level of SLC2A1 was also correlated with the expressions of several markers of T helper cells.</w:t>
      </w:r>
      <w:r>
        <w:rPr>
          <w:rFonts w:ascii="Book Antiqua" w:hAnsi="Book Antiqua" w:eastAsia="Book Antiqua" w:cs="Book Antiqua"/>
          <w:color w:val="000000"/>
        </w:rPr>
        <w:t xml:space="preserve"> They included </w:t>
      </w:r>
      <w:r>
        <w:rPr>
          <w:rFonts w:ascii="Book Antiqua" w:hAnsi="Book Antiqua" w:eastAsia="Book Antiqua" w:cs="Book Antiqua"/>
          <w:color w:val="000000"/>
          <w:shd w:val="clear" w:color="auto" w:fill="FFFFFF"/>
        </w:rPr>
        <w:t>Th1 cell makers (STAT1, IFN-γ, and TNF-α), Th2 cell markers (GATA3, STAT6, and STAT5A), and Tfh cell makers (BCL6 and IL21). These results indicated that SLC2A1 expression level played an important role in the function of Th1cells, Th2 cells, and Tfh cells.</w:t>
      </w:r>
    </w:p>
    <w:p>
      <w:pPr>
        <w:spacing w:line="360" w:lineRule="auto"/>
        <w:ind w:firstLine="480"/>
        <w:jc w:val="both"/>
      </w:pPr>
      <w:r>
        <w:rPr>
          <w:rFonts w:ascii="Book Antiqua" w:hAnsi="Book Antiqua" w:eastAsia="Book Antiqua" w:cs="Book Antiqua"/>
          <w:color w:val="000000"/>
          <w:shd w:val="clear" w:color="auto" w:fill="FFFFFF"/>
        </w:rPr>
        <w:t>Notably, the results revealed that high expression of SLC2A1 and low expression of SLC2A2 had positive correlations with Treg</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marker TGFβ and T cell exhaustion markers (PD-1, CTLA4, LAG3, TIM-3, and GZMB). Furthermore, high expression of SLC2A1 and low expression of SLC2A2 had the potential to induce T cell exhaustion. The PD-1/PD-L1 axis inhibited T cell activation, proliferation, survival, and cytotoxic secretion in tumors</w:t>
      </w:r>
      <w:r>
        <w:rPr>
          <w:rFonts w:ascii="Book Antiqua" w:hAnsi="Book Antiqua" w:eastAsia="Book Antiqua" w:cs="Book Antiqua"/>
          <w:color w:val="000000"/>
          <w:szCs w:val="30"/>
          <w:shd w:val="clear" w:color="auto" w:fill="FFFFFF"/>
          <w:vertAlign w:val="superscript"/>
        </w:rPr>
        <w:t>[52]</w:t>
      </w:r>
      <w:r>
        <w:rPr>
          <w:rFonts w:ascii="Book Antiqua" w:hAnsi="Book Antiqua" w:eastAsia="Book Antiqua" w:cs="Book Antiqua"/>
          <w:color w:val="000000"/>
          <w:shd w:val="clear" w:color="auto" w:fill="FFFFFF"/>
        </w:rPr>
        <w:t>. CTLA4 interacted with its ligand to inhibit T cell activation, but the precise mechanism was not fully understood</w:t>
      </w:r>
      <w:r>
        <w:rPr>
          <w:rFonts w:ascii="Book Antiqua" w:hAnsi="Book Antiqua" w:eastAsia="Book Antiqua" w:cs="Book Antiqua"/>
          <w:color w:val="000000"/>
          <w:szCs w:val="30"/>
          <w:shd w:val="clear" w:color="auto" w:fill="FFFFFF"/>
          <w:vertAlign w:val="superscript"/>
        </w:rPr>
        <w:t>[53]</w:t>
      </w:r>
      <w:r>
        <w:rPr>
          <w:rFonts w:ascii="Book Antiqua" w:hAnsi="Book Antiqua" w:eastAsia="Book Antiqua" w:cs="Book Antiqua"/>
          <w:color w:val="000000"/>
          <w:shd w:val="clear" w:color="auto" w:fill="FFFFFF"/>
        </w:rPr>
        <w:t>. Increased TGFβ caused T cell exhaustion by up-regulation of PD-1, and inhibiting TGFβ might directly enhance antitumor immunity in HCC</w:t>
      </w:r>
      <w:r>
        <w:rPr>
          <w:rFonts w:ascii="Book Antiqua" w:hAnsi="Book Antiqua" w:eastAsia="Book Antiqua" w:cs="Book Antiqua"/>
          <w:color w:val="000000"/>
          <w:szCs w:val="30"/>
          <w:shd w:val="clear" w:color="auto" w:fill="FFFFFF"/>
          <w:vertAlign w:val="superscript"/>
        </w:rPr>
        <w:t>[54]</w:t>
      </w:r>
      <w:r>
        <w:rPr>
          <w:rFonts w:ascii="Book Antiqua" w:hAnsi="Book Antiqua" w:eastAsia="Book Antiqua" w:cs="Book Antiqua"/>
          <w:color w:val="000000"/>
          <w:shd w:val="clear" w:color="auto" w:fill="FFFFFF"/>
        </w:rPr>
        <w:t>. High expression of TIM-3 indicated T cell exhaustion</w:t>
      </w:r>
      <w:r>
        <w:rPr>
          <w:rFonts w:ascii="Book Antiqua" w:hAnsi="Book Antiqua" w:eastAsia="Book Antiqua" w:cs="Book Antiqua"/>
          <w:color w:val="000000"/>
          <w:szCs w:val="30"/>
          <w:shd w:val="clear" w:color="auto" w:fill="FFFFFF"/>
          <w:vertAlign w:val="superscript"/>
        </w:rPr>
        <w:t>[55]</w:t>
      </w:r>
      <w:r>
        <w:rPr>
          <w:rFonts w:ascii="Book Antiqua" w:hAnsi="Book Antiqua" w:eastAsia="Book Antiqua" w:cs="Book Antiqua"/>
          <w:color w:val="000000"/>
          <w:shd w:val="clear" w:color="auto" w:fill="FFFFFF"/>
        </w:rPr>
        <w:t>, which together with Tregs supported exhausted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 development and limiting the expansion of CD4</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and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w:t>
      </w:r>
      <w:r>
        <w:rPr>
          <w:rFonts w:ascii="Book Antiqua" w:hAnsi="Book Antiqua" w:eastAsia="Book Antiqua" w:cs="Book Antiqua"/>
          <w:color w:val="000000"/>
          <w:szCs w:val="30"/>
          <w:shd w:val="clear" w:color="auto" w:fill="FFFFFF"/>
          <w:vertAlign w:val="superscript"/>
        </w:rPr>
        <w:t>[56]</w:t>
      </w:r>
      <w:r>
        <w:rPr>
          <w:rFonts w:ascii="Book Antiqua" w:hAnsi="Book Antiqua" w:eastAsia="Book Antiqua" w:cs="Book Antiqua"/>
          <w:color w:val="000000"/>
          <w:shd w:val="clear" w:color="auto" w:fill="FFFFFF"/>
        </w:rPr>
        <w:t>. TIM-3 expression inhibited glucose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uptake, glucose consumption, and lactic acid release. Concomitantly, TIM-3 expression inhibited SLC2A1 expression but not SLC2A2 expression in Jurkat T cells</w:t>
      </w:r>
      <w:r>
        <w:rPr>
          <w:rFonts w:ascii="Book Antiqua" w:hAnsi="Book Antiqua" w:eastAsia="Book Antiqua" w:cs="Book Antiqua"/>
          <w:color w:val="000000"/>
          <w:szCs w:val="30"/>
          <w:shd w:val="clear" w:color="auto" w:fill="FFFFFF"/>
          <w:vertAlign w:val="superscript"/>
        </w:rPr>
        <w:t>[57]</w:t>
      </w:r>
      <w:r>
        <w:rPr>
          <w:rFonts w:ascii="Book Antiqua" w:hAnsi="Book Antiqua" w:eastAsia="Book Antiqua" w:cs="Book Antiqua"/>
          <w:color w:val="000000"/>
          <w:shd w:val="clear" w:color="auto" w:fill="FFFFFF"/>
        </w:rPr>
        <w:t>.</w:t>
      </w:r>
    </w:p>
    <w:p>
      <w:pPr>
        <w:spacing w:line="360" w:lineRule="auto"/>
        <w:ind w:firstLine="480" w:firstLineChars="200"/>
        <w:jc w:val="both"/>
      </w:pPr>
      <w:r>
        <w:rPr>
          <w:rFonts w:ascii="Book Antiqua" w:hAnsi="Book Antiqua" w:eastAsia="Book Antiqua" w:cs="Book Antiqua"/>
          <w:color w:val="000000"/>
          <w:shd w:val="clear" w:color="auto" w:fill="FFFFFF"/>
        </w:rPr>
        <w:t>Notably, previous studies have found that the reduced expression of SLC2A2 in HCC was due to the methylation of SLC2A2</w:t>
      </w:r>
      <w:r>
        <w:rPr>
          <w:rFonts w:ascii="Book Antiqua" w:hAnsi="Book Antiqua" w:eastAsia="Book Antiqua" w:cs="Book Antiqua"/>
          <w:color w:val="000000"/>
          <w:szCs w:val="30"/>
          <w:shd w:val="clear" w:color="auto" w:fill="FFFFFF"/>
          <w:vertAlign w:val="superscript"/>
        </w:rPr>
        <w:t>[32]</w:t>
      </w:r>
      <w:r>
        <w:rPr>
          <w:rFonts w:ascii="Book Antiqua" w:hAnsi="Book Antiqua" w:eastAsia="Book Antiqua" w:cs="Book Antiqua"/>
          <w:color w:val="000000"/>
          <w:shd w:val="clear" w:color="auto" w:fill="FFFFFF"/>
        </w:rPr>
        <w:t>, and we analyzed the correlation between SLC2A2 methylation and immune cells. These results suggested that SLC2A2 methylation or low expression SLC2A2 was positively correlated with immune cells.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However, larger studies are required to elucidate further the relationship between expressions of SLC2A1 and SLC2A2 and the immune microenvironment.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hd w:val="clear" w:color="auto" w:fill="FFFFFF"/>
        </w:rPr>
        <w:t>Collectively, SLC2A1 and SLC2A2 are independent therapeutic targets for HCC. Both high SLC2A1 and low SLC2A2 expression pointed to a common outcome of high levels of immune cell infiltration. However, larger studies are required to clarify the preliminary findings.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shd w:val="clear" w:color="auto" w:fill="FFFFFF"/>
        </w:rPr>
        <w:t>Metabolic reprogramming has been identified as a core hallmark of cancer. Solute carrier family 2 is a major glucose carrier family. The solute carrier family 2 is an important carrier</w:t>
      </w:r>
      <w:r>
        <w:rPr>
          <w:rFonts w:ascii="Book Antiqua" w:hAnsi="Book Antiqua" w:eastAsia="Book Antiqua" w:cs="Book Antiqua"/>
          <w:color w:val="000000"/>
          <w:szCs w:val="21"/>
        </w:rPr>
        <w:t xml:space="preserve"> </w:t>
      </w:r>
      <w:r>
        <w:rPr>
          <w:rFonts w:ascii="Book Antiqua" w:hAnsi="Book Antiqua" w:eastAsia="Book Antiqua" w:cs="Book Antiqua"/>
          <w:color w:val="000000"/>
          <w:shd w:val="clear" w:color="auto" w:fill="FFFFFF"/>
        </w:rPr>
        <w:t>for glucose to enter target cells,</w:t>
      </w:r>
      <w:r>
        <w:rPr>
          <w:rFonts w:ascii="Book Antiqua" w:hAnsi="Book Antiqua" w:eastAsia="Book Antiqua" w:cs="Book Antiqua"/>
          <w:color w:val="000000"/>
          <w:szCs w:val="21"/>
        </w:rPr>
        <w:t xml:space="preserve"> </w:t>
      </w:r>
      <w:r>
        <w:rPr>
          <w:rFonts w:ascii="Book Antiqua" w:hAnsi="Book Antiqua" w:eastAsia="Book Antiqua" w:cs="Book Antiqua"/>
          <w:color w:val="000000"/>
          <w:shd w:val="clear" w:color="auto" w:fill="FFFFFF"/>
        </w:rPr>
        <w:t>and its ability to transport glucose is the first rate-determining step in tumor metabolic reprogramming. It consists of 14 members, and we mainly study solute carrier family 2 member 1 (SLC2A1) and solute carrier family 2 member 2 (SLC2A2) here.</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shd w:val="clear" w:color="auto" w:fill="FFFFFF"/>
        </w:rPr>
        <w:t>Hepatocellular carcinoma (HCC) is still characterized by late diagnosis and limited effective treatment options.</w:t>
      </w:r>
      <w:r>
        <w:rPr>
          <w:rFonts w:ascii="Book Antiqua" w:hAnsi="Book Antiqua" w:eastAsia="Book Antiqua" w:cs="Book Antiqua"/>
          <w:color w:val="000000"/>
          <w:szCs w:val="21"/>
        </w:rPr>
        <w:t xml:space="preserve"> </w:t>
      </w:r>
      <w:r>
        <w:rPr>
          <w:rFonts w:ascii="Book Antiqua" w:hAnsi="Book Antiqua" w:eastAsia="Book Antiqua" w:cs="Book Antiqua"/>
          <w:color w:val="000000"/>
          <w:shd w:val="clear" w:color="auto" w:fill="FFFFFF"/>
        </w:rPr>
        <w:t>Immune checkpoint inhibitors are also less effective than expected. The discovery of new biomarkers indicating the patient's immune status is essential for the treatment of HCC with immune checkpoint inhibitors.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shd w:val="clear" w:color="auto" w:fill="FFFFFF"/>
        </w:rPr>
        <w:t>To identify if SLC2A1 and SLC2A2 were associated with immune infiltration in addition to participating in the metabolic reprogramming in HCC.</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shd w:val="clear" w:color="auto" w:fill="FFFFFF"/>
        </w:rPr>
        <w:t>SLC2A1 and SLC2A2 expression were tested in HepG2 cells, HepG215 cells, and multiple databases. The clinical characteristics of SLC2A1 and SLC2A2 were examined by multiple databases. The correlation between SLC2A1 and SLC2A2 was analyzed by multiple databases. The functions and pathways in which SLC2A1, SLC2A2, and neighbor genes were involved were discussed. Immune infiltration levels and immune marker genes associated with SLC2A1 and SLC2A2 were discussed by multiple databases.</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shd w:val="clear" w:color="auto" w:fill="FFFFFF"/>
        </w:rPr>
        <w:t>SLC2A1 was increased but the expression level SLC2A2 was decreased in HepG2 cells, HepG215 cells, and liver cancer patients. The expression levels of SLC2A1 and SLC2A2 were related to HCC progression. Interestingly, the expression levels of SLC2A1 and SLC2A2 were negatively correlated. Further, high SLC2A1 expression and low SLC2A2 expression were related to poor overall survival and relapse-free survival. Moreover, SLC2A1, SLC2A2, and neighbor genes played a major role in the occurrence and development of tumors. Notably, SLC2A1 was positively correlated with tumor immune infiltration, while SLC2A2 was negatively correlated with tumor immune infiltration. Particularly, SLC2A2 methylation was positively correlated with lymphocytes.</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shd w:val="clear" w:color="auto" w:fill="FFFFFF"/>
        </w:rPr>
        <w:t>SLC2A1 and SLC2A2 are independent therapeutic targets for HCC, and they are quintessential marker molecules for predicting and regulating the number and status of immune cells in HCC.</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shd w:val="clear" w:color="auto" w:fill="FFFFFF"/>
        </w:rPr>
        <w:t>Clinical trials showed that programmed cell death 1 and cytotoxic T-lymphocyte associated protein 4 antibodies improved clinical outcomes in a few patients or were not effective at all in HCC. Therefore, recognition molecules representing the patient's immune status will help identify subgroups sensitive to immunomodulatory drugs. Moreover, some independent target molecules associated with the tumor immune microenvironment are worth exploring in HCC.</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shd w:val="clear" w:color="auto" w:fill="FFFFFF"/>
        </w:rPr>
        <w:t>The authors would like to acknowledge Yu-Qiang Xue for the statistical methods of this study.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4" w:name="OLE_LINK276"/>
      <w:bookmarkStart w:id="5" w:name="OLE_LINK277"/>
      <w:bookmarkStart w:id="6" w:name="OLE_LINK5"/>
      <w:r>
        <w:rPr>
          <w:rFonts w:ascii="Book Antiqua" w:hAnsi="Book Antiqua" w:eastAsia="Book Antiqua" w:cs="Book Antiqua"/>
          <w:color w:val="000000"/>
        </w:rPr>
        <w:t xml:space="preserve">1 </w:t>
      </w:r>
      <w:r>
        <w:rPr>
          <w:rFonts w:ascii="Book Antiqua" w:hAnsi="Book Antiqua" w:eastAsia="Book Antiqua" w:cs="Book Antiqua"/>
          <w:b/>
          <w:bCs/>
          <w:color w:val="000000"/>
        </w:rPr>
        <w:t>Bray F</w:t>
      </w:r>
      <w:r>
        <w:rPr>
          <w:rFonts w:ascii="Book Antiqua" w:hAnsi="Book Antiqua" w:eastAsia="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2018; </w:t>
      </w:r>
      <w:r>
        <w:rPr>
          <w:rFonts w:ascii="Book Antiqua" w:hAnsi="Book Antiqua" w:eastAsia="Book Antiqua" w:cs="Book Antiqua"/>
          <w:b/>
          <w:bCs/>
          <w:color w:val="000000"/>
        </w:rPr>
        <w:t>68</w:t>
      </w:r>
      <w:r>
        <w:rPr>
          <w:rFonts w:ascii="Book Antiqua" w:hAnsi="Book Antiqua" w:eastAsia="Book Antiqua" w:cs="Book Antiqua"/>
          <w:color w:val="000000"/>
        </w:rPr>
        <w:t>: 394-424 [PMID: 30207593 DOI: 10.3322/caac.21492]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Omata M</w:t>
      </w:r>
      <w:r>
        <w:rPr>
          <w:rFonts w:ascii="Book Antiqua" w:hAnsi="Book Antiqua" w:eastAsia="Book Antiqua" w:cs="Book Antiqua"/>
          <w:color w:val="000000"/>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Pr>
          <w:rFonts w:ascii="Book Antiqua" w:hAnsi="Book Antiqua" w:eastAsia="Book Antiqua" w:cs="Book Antiqua"/>
          <w:i/>
          <w:iCs/>
          <w:color w:val="000000"/>
        </w:rPr>
        <w:t>Hepatol Int</w:t>
      </w:r>
      <w:r>
        <w:rPr>
          <w:rFonts w:ascii="Book Antiqua" w:hAnsi="Book Antiqua" w:eastAsia="Book Antiqua" w:cs="Book Antiqua"/>
          <w:color w:val="000000"/>
        </w:rPr>
        <w:t xml:space="preserve"> 2017; </w:t>
      </w:r>
      <w:r>
        <w:rPr>
          <w:rFonts w:ascii="Book Antiqua" w:hAnsi="Book Antiqua" w:eastAsia="Book Antiqua" w:cs="Book Antiqua"/>
          <w:b/>
          <w:bCs/>
          <w:color w:val="000000"/>
        </w:rPr>
        <w:t>11</w:t>
      </w:r>
      <w:r>
        <w:rPr>
          <w:rFonts w:ascii="Book Antiqua" w:hAnsi="Book Antiqua" w:eastAsia="Book Antiqua" w:cs="Book Antiqua"/>
          <w:color w:val="000000"/>
        </w:rPr>
        <w:t>: 317-370 [PMID: 28620797 DOI: 10.1007/s12072-017-9799-9]</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Shlomai A</w:t>
      </w:r>
      <w:r>
        <w:rPr>
          <w:rFonts w:ascii="Book Antiqua" w:hAnsi="Book Antiqua" w:eastAsia="Book Antiqua" w:cs="Book Antiqua"/>
          <w:color w:val="000000"/>
        </w:rPr>
        <w:t xml:space="preserve">, de Jong YP, Rice CM. Virus associated malignancies: the role of viral hepatitis in hepatocellular carcinoma. </w:t>
      </w:r>
      <w:r>
        <w:rPr>
          <w:rFonts w:ascii="Book Antiqua" w:hAnsi="Book Antiqua" w:eastAsia="Book Antiqua" w:cs="Book Antiqua"/>
          <w:i/>
          <w:iCs/>
          <w:color w:val="000000"/>
        </w:rPr>
        <w:t>Semin Cancer Biol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26</w:t>
      </w:r>
      <w:r>
        <w:rPr>
          <w:rFonts w:ascii="Book Antiqua" w:hAnsi="Book Antiqua" w:eastAsia="Book Antiqua" w:cs="Book Antiqua"/>
          <w:color w:val="000000"/>
        </w:rPr>
        <w:t>: 78-88 [PMID: 24457013 DOI: 10.1016/j.semcancer.2014.01.004]</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Ruf B</w:t>
      </w:r>
      <w:r>
        <w:rPr>
          <w:rFonts w:ascii="Book Antiqua" w:hAnsi="Book Antiqua" w:eastAsia="Book Antiqua" w:cs="Book Antiqua"/>
          <w:color w:val="000000"/>
        </w:rPr>
        <w:t xml:space="preserve">, Heinrich B, Greten TF. Immunobiology and immunotherapy of HCC: spotlight on innate and innate-like immune cells. </w:t>
      </w:r>
      <w:r>
        <w:rPr>
          <w:rFonts w:ascii="Book Antiqua" w:hAnsi="Book Antiqua" w:eastAsia="Book Antiqua" w:cs="Book Antiqua"/>
          <w:i/>
          <w:iCs/>
          <w:color w:val="000000"/>
        </w:rPr>
        <w:t>Cell Mol Immunol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18</w:t>
      </w:r>
      <w:r>
        <w:rPr>
          <w:rFonts w:ascii="Book Antiqua" w:hAnsi="Book Antiqua" w:eastAsia="Book Antiqua" w:cs="Book Antiqua"/>
          <w:color w:val="000000"/>
        </w:rPr>
        <w:t>: 112-127 [PMID: 33235387 DOI: 10.1038/s41423-020-00572-w]</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Donisi C</w:t>
      </w:r>
      <w:r>
        <w:rPr>
          <w:rFonts w:ascii="Book Antiqua" w:hAnsi="Book Antiqua" w:eastAsia="Book Antiqua" w:cs="Book Antiqua"/>
          <w:color w:val="000000"/>
        </w:rPr>
        <w:t xml:space="preserve">, Puzzoni M, Ziranu P, Lai E, Mariani S, Saba G, Impera V, Dubois M, Persano M, Migliari M, Pretta A, Liscia N, Astara G, Scartozzi M. Immune Checkpoint Inhibitors in the Treatment of HCC.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601240 [PMID: 33585218 DOI: 10.3389/fonc.2020.601240]</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El-Khoueiry AB</w:t>
      </w:r>
      <w:r>
        <w:rPr>
          <w:rFonts w:ascii="Book Antiqua" w:hAnsi="Book Antiqua" w:eastAsia="Book Antiqua" w:cs="Book Antiqua"/>
          <w:color w:val="000000"/>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2017; </w:t>
      </w:r>
      <w:r>
        <w:rPr>
          <w:rFonts w:ascii="Book Antiqua" w:hAnsi="Book Antiqua" w:eastAsia="Book Antiqua" w:cs="Book Antiqua"/>
          <w:b/>
          <w:bCs/>
          <w:color w:val="000000"/>
        </w:rPr>
        <w:t>389</w:t>
      </w:r>
      <w:r>
        <w:rPr>
          <w:rFonts w:ascii="Book Antiqua" w:hAnsi="Book Antiqua" w:eastAsia="Book Antiqua" w:cs="Book Antiqua"/>
          <w:color w:val="000000"/>
        </w:rPr>
        <w:t xml:space="preserve">: 2492-2502 [PMID: </w:t>
      </w:r>
      <w:bookmarkStart w:id="7" w:name="OLE_LINK7"/>
      <w:bookmarkStart w:id="8" w:name="OLE_LINK6"/>
      <w:r>
        <w:rPr>
          <w:rFonts w:ascii="Book Antiqua" w:hAnsi="Book Antiqua" w:eastAsia="Book Antiqua" w:cs="Book Antiqua"/>
          <w:color w:val="000000"/>
        </w:rPr>
        <w:t xml:space="preserve">28434648 </w:t>
      </w:r>
      <w:bookmarkEnd w:id="7"/>
      <w:bookmarkEnd w:id="8"/>
      <w:r>
        <w:rPr>
          <w:rFonts w:ascii="Book Antiqua" w:hAnsi="Book Antiqua" w:eastAsia="Book Antiqua" w:cs="Book Antiqua"/>
          <w:color w:val="000000"/>
        </w:rPr>
        <w:t>DOI: 10.1016/S0140-6736(17)31046-2]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Finn RS</w:t>
      </w:r>
      <w:r>
        <w:rPr>
          <w:rFonts w:ascii="Book Antiqua" w:hAnsi="Book Antiqua" w:eastAsia="Book Antiqua" w:cs="Book Antiqua"/>
          <w:color w:val="000000"/>
        </w:rPr>
        <w:t xml:space="preserve">, Ryoo BY, Merle P, Kudo M, Bouattour M, Lim HY, Breder V, Edeline J, Chao Y, Ogasawara S, Yau T, Garrido M, Chan SL, Knox J, Daniele B, Ebbinghaus SW, Chen E, Siegel AB, Zhu AX, Cheng AL; KEYNOTE-240 investigators. Pembrolizumab As Second-Line Therapy in Patients With Advanced Hepatocellular Carcinoma in KEYNOTE-240: A Randomized, Double-Blind, Phase III Trial.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38</w:t>
      </w:r>
      <w:r>
        <w:rPr>
          <w:rFonts w:ascii="Book Antiqua" w:hAnsi="Book Antiqua" w:eastAsia="Book Antiqua" w:cs="Book Antiqua"/>
          <w:color w:val="000000"/>
        </w:rPr>
        <w:t xml:space="preserve">: 193-202 [PMID: </w:t>
      </w:r>
      <w:bookmarkStart w:id="9" w:name="OLE_LINK9"/>
      <w:bookmarkStart w:id="10" w:name="OLE_LINK8"/>
      <w:r>
        <w:rPr>
          <w:rFonts w:ascii="Book Antiqua" w:hAnsi="Book Antiqua" w:eastAsia="Book Antiqua" w:cs="Book Antiqua"/>
          <w:color w:val="000000"/>
        </w:rPr>
        <w:t xml:space="preserve">31790344 </w:t>
      </w:r>
      <w:bookmarkEnd w:id="9"/>
      <w:bookmarkEnd w:id="10"/>
      <w:r>
        <w:rPr>
          <w:rFonts w:ascii="Book Antiqua" w:hAnsi="Book Antiqua" w:eastAsia="Book Antiqua" w:cs="Book Antiqua"/>
          <w:color w:val="000000"/>
        </w:rPr>
        <w:t>DOI: 10.1200/</w:t>
      </w:r>
      <w:r>
        <w:rPr>
          <w:rFonts w:ascii="Book Antiqua" w:hAnsi="Book Antiqua" w:eastAsia="Book Antiqua" w:cs="Book Antiqua"/>
          <w:caps/>
          <w:color w:val="000000"/>
        </w:rPr>
        <w:t>jco</w:t>
      </w:r>
      <w:r>
        <w:rPr>
          <w:rFonts w:ascii="Book Antiqua" w:hAnsi="Book Antiqua" w:eastAsia="Book Antiqua" w:cs="Book Antiqua"/>
          <w:color w:val="000000"/>
        </w:rPr>
        <w:t>.19.01307]</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Duffy AG</w:t>
      </w:r>
      <w:r>
        <w:rPr>
          <w:rFonts w:ascii="Book Antiqua" w:hAnsi="Book Antiqua" w:eastAsia="Book Antiqua" w:cs="Book Antiqua"/>
          <w:color w:val="000000"/>
        </w:rPr>
        <w:t xml:space="preserve">,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advanced hepatocellular carcinoma.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66</w:t>
      </w:r>
      <w:r>
        <w:rPr>
          <w:rFonts w:ascii="Book Antiqua" w:hAnsi="Book Antiqua" w:eastAsia="Book Antiqua" w:cs="Book Antiqua"/>
          <w:color w:val="000000"/>
        </w:rPr>
        <w:t>: 545-551 [PMID: 27816492 DOI: 10.1016/j.jhep.2016.10.029]</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Hay N</w:t>
      </w:r>
      <w:r>
        <w:rPr>
          <w:rFonts w:ascii="Book Antiqua" w:hAnsi="Book Antiqua" w:eastAsia="Book Antiqua" w:cs="Book Antiqua"/>
          <w:color w:val="000000"/>
        </w:rPr>
        <w:t xml:space="preserve">. Reprogramming glucose metabolism in cancer: can it be exploited for cancer therapy? </w:t>
      </w:r>
      <w:r>
        <w:rPr>
          <w:rFonts w:ascii="Book Antiqua" w:hAnsi="Book Antiqua" w:eastAsia="Book Antiqua" w:cs="Book Antiqua"/>
          <w:i/>
          <w:iCs/>
          <w:color w:val="000000"/>
        </w:rPr>
        <w:t>Nat Rev Cancer</w:t>
      </w:r>
      <w:r>
        <w:rPr>
          <w:rFonts w:ascii="Book Antiqua" w:hAnsi="Book Antiqua" w:eastAsia="Book Antiqua" w:cs="Book Antiqua"/>
          <w:color w:val="000000"/>
        </w:rPr>
        <w:t xml:space="preserve"> 2016; </w:t>
      </w:r>
      <w:r>
        <w:rPr>
          <w:rFonts w:ascii="Book Antiqua" w:hAnsi="Book Antiqua" w:eastAsia="Book Antiqua" w:cs="Book Antiqua"/>
          <w:b/>
          <w:bCs/>
          <w:color w:val="000000"/>
        </w:rPr>
        <w:t>16</w:t>
      </w:r>
      <w:r>
        <w:rPr>
          <w:rFonts w:ascii="Book Antiqua" w:hAnsi="Book Antiqua" w:eastAsia="Book Antiqua" w:cs="Book Antiqua"/>
          <w:color w:val="000000"/>
        </w:rPr>
        <w:t>: 635-649 [PMID: 27634447 DOI: 10.1038/nrc.2016.77]</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Hatanaka M</w:t>
      </w:r>
      <w:r>
        <w:rPr>
          <w:rFonts w:ascii="Book Antiqua" w:hAnsi="Book Antiqua" w:eastAsia="Book Antiqua" w:cs="Book Antiqua"/>
          <w:color w:val="000000"/>
        </w:rPr>
        <w:t xml:space="preserve">. Transport of sugars in tumor cell membranes. </w:t>
      </w:r>
      <w:r>
        <w:rPr>
          <w:rFonts w:ascii="Book Antiqua" w:hAnsi="Book Antiqua" w:eastAsia="Book Antiqua" w:cs="Book Antiqua"/>
          <w:i/>
          <w:iCs/>
          <w:color w:val="000000"/>
        </w:rPr>
        <w:t>Biochim Biophys Acta</w:t>
      </w:r>
      <w:r>
        <w:rPr>
          <w:rFonts w:ascii="Book Antiqua" w:hAnsi="Book Antiqua" w:eastAsia="Book Antiqua" w:cs="Book Antiqua"/>
          <w:color w:val="000000"/>
        </w:rPr>
        <w:t xml:space="preserve"> 1974; </w:t>
      </w:r>
      <w:r>
        <w:rPr>
          <w:rFonts w:ascii="Book Antiqua" w:hAnsi="Book Antiqua" w:eastAsia="Book Antiqua" w:cs="Book Antiqua"/>
          <w:b/>
          <w:bCs/>
          <w:color w:val="000000"/>
        </w:rPr>
        <w:t>355</w:t>
      </w:r>
      <w:r>
        <w:rPr>
          <w:rFonts w:ascii="Book Antiqua" w:hAnsi="Book Antiqua" w:eastAsia="Book Antiqua" w:cs="Book Antiqua"/>
          <w:color w:val="000000"/>
        </w:rPr>
        <w:t>: 77-104 [PMID: 4371599 DOI: 10.1016/0304-419x(74)90008-0]</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Mueckler M</w:t>
      </w:r>
      <w:r>
        <w:rPr>
          <w:rFonts w:ascii="Book Antiqua" w:hAnsi="Book Antiqua" w:eastAsia="Book Antiqua" w:cs="Book Antiqua"/>
          <w:color w:val="000000"/>
        </w:rPr>
        <w:t xml:space="preserve">, Thorens B. The SLC2 (GLUT) family of membrane transporters. </w:t>
      </w:r>
      <w:r>
        <w:rPr>
          <w:rFonts w:ascii="Book Antiqua" w:hAnsi="Book Antiqua" w:eastAsia="Book Antiqua" w:cs="Book Antiqua"/>
          <w:i/>
          <w:iCs/>
          <w:color w:val="000000"/>
        </w:rPr>
        <w:t>Mol Aspects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34</w:t>
      </w:r>
      <w:r>
        <w:rPr>
          <w:rFonts w:ascii="Book Antiqua" w:hAnsi="Book Antiqua" w:eastAsia="Book Antiqua" w:cs="Book Antiqua"/>
          <w:color w:val="000000"/>
        </w:rPr>
        <w:t>: 121-138 [PMID: 23506862 DOI: 10.1016/j.mam.2012.07.001]</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Amann T</w:t>
      </w:r>
      <w:r>
        <w:rPr>
          <w:rFonts w:ascii="Book Antiqua" w:hAnsi="Book Antiqua" w:eastAsia="Book Antiqua" w:cs="Book Antiqua"/>
          <w:color w:val="000000"/>
        </w:rPr>
        <w:t xml:space="preserve">, Maegdefrau U, Hartmann A, Agaimy A, Marienhagen J, Weiss TS, Stoeltzing O, Warnecke C, Schölmerich J, Oefner PJ, Kreutz M, Bosserhoff AK, Hellerbrand C. GLUT1 expression is increased in hepatocellular carcinoma and promotes tumorigenesis. </w:t>
      </w:r>
      <w:r>
        <w:rPr>
          <w:rFonts w:ascii="Book Antiqua" w:hAnsi="Book Antiqua" w:eastAsia="Book Antiqua" w:cs="Book Antiqua"/>
          <w:i/>
          <w:iCs/>
          <w:color w:val="000000"/>
        </w:rPr>
        <w:t>Am J Pathol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174</w:t>
      </w:r>
      <w:r>
        <w:rPr>
          <w:rFonts w:ascii="Book Antiqua" w:hAnsi="Book Antiqua" w:eastAsia="Book Antiqua" w:cs="Book Antiqua"/>
          <w:color w:val="000000"/>
        </w:rPr>
        <w:t>: 1544-1552 [PMID: 19286567 DOI: 10.2353/ajpath.2009.080596]</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Thorens B</w:t>
      </w:r>
      <w:r>
        <w:rPr>
          <w:rFonts w:ascii="Book Antiqua" w:hAnsi="Book Antiqua" w:eastAsia="Book Antiqua" w:cs="Book Antiqua"/>
          <w:color w:val="000000"/>
        </w:rPr>
        <w:t xml:space="preserve">, Cheng ZQ, Brown D, Lodish HF. Liver glucose transporter: a basolateral protein in hepatocytes and intestine and kidney cells. </w:t>
      </w:r>
      <w:r>
        <w:rPr>
          <w:rFonts w:ascii="Book Antiqua" w:hAnsi="Book Antiqua" w:eastAsia="Book Antiqua" w:cs="Book Antiqua"/>
          <w:i/>
          <w:iCs/>
          <w:color w:val="000000"/>
        </w:rPr>
        <w:t>Am J Physiol</w:t>
      </w:r>
      <w:r>
        <w:rPr>
          <w:rFonts w:ascii="Book Antiqua" w:hAnsi="Book Antiqua" w:eastAsia="Book Antiqua" w:cs="Book Antiqua"/>
          <w:color w:val="000000"/>
        </w:rPr>
        <w:t xml:space="preserve"> 1990; </w:t>
      </w:r>
      <w:r>
        <w:rPr>
          <w:rFonts w:ascii="Book Antiqua" w:hAnsi="Book Antiqua" w:eastAsia="Book Antiqua" w:cs="Book Antiqua"/>
          <w:b/>
          <w:bCs/>
          <w:color w:val="000000"/>
        </w:rPr>
        <w:t>259</w:t>
      </w:r>
      <w:r>
        <w:rPr>
          <w:rFonts w:ascii="Book Antiqua" w:hAnsi="Book Antiqua" w:eastAsia="Book Antiqua" w:cs="Book Antiqua"/>
          <w:color w:val="000000"/>
        </w:rPr>
        <w:t>: C279-C285 [PMID: 1701966 DOI: 10.1152/ajpcell.1990.259.2.C279]</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Kim YH</w:t>
      </w:r>
      <w:r>
        <w:rPr>
          <w:rFonts w:ascii="Book Antiqua" w:hAnsi="Book Antiqua" w:eastAsia="Book Antiqua" w:cs="Book Antiqua"/>
          <w:color w:val="000000"/>
        </w:rPr>
        <w:t xml:space="preserve">, Jeong DC, Pak K, Han ME, Kim JY, Liangwen L, Kim HJ, Kim TW, Kim TH, Hyun DW, Oh SO. SLC2A2 (GLUT2) as a novel prognostic factor for hepatocellular carcinoma.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2017; </w:t>
      </w:r>
      <w:r>
        <w:rPr>
          <w:rFonts w:ascii="Book Antiqua" w:hAnsi="Book Antiqua" w:eastAsia="Book Antiqua" w:cs="Book Antiqua"/>
          <w:b/>
          <w:bCs/>
          <w:color w:val="000000"/>
        </w:rPr>
        <w:t>8</w:t>
      </w:r>
      <w:r>
        <w:rPr>
          <w:rFonts w:ascii="Book Antiqua" w:hAnsi="Book Antiqua" w:eastAsia="Book Antiqua" w:cs="Book Antiqua"/>
          <w:color w:val="000000"/>
        </w:rPr>
        <w:t>: 68381-68392 [PMID: 28978124 DOI: 10.18632/oncotarget.20266]</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Harmon C</w:t>
      </w:r>
      <w:r>
        <w:rPr>
          <w:rFonts w:ascii="Book Antiqua" w:hAnsi="Book Antiqua" w:eastAsia="Book Antiqua" w:cs="Book Antiqua"/>
          <w:color w:val="000000"/>
        </w:rPr>
        <w:t xml:space="preserve">, O'Farrelly C, Robinson MW. The Immune Consequences of Lactate in the Tumor Microenvironment. </w:t>
      </w:r>
      <w:r>
        <w:rPr>
          <w:rFonts w:ascii="Book Antiqua" w:hAnsi="Book Antiqua" w:eastAsia="Book Antiqua" w:cs="Book Antiqua"/>
          <w:i/>
          <w:iCs/>
          <w:color w:val="000000"/>
        </w:rPr>
        <w:t>Adv Exp Med Biol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1259</w:t>
      </w:r>
      <w:r>
        <w:rPr>
          <w:rFonts w:ascii="Book Antiqua" w:hAnsi="Book Antiqua" w:eastAsia="Book Antiqua" w:cs="Book Antiqua"/>
          <w:color w:val="000000"/>
        </w:rPr>
        <w:t>: 113-124 [PMID: 32578174 DOI: 10.1007/978-3-030-43093-1_7]</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Min KW</w:t>
      </w:r>
      <w:r>
        <w:rPr>
          <w:rFonts w:ascii="Book Antiqua" w:hAnsi="Book Antiqua" w:eastAsia="Book Antiqua" w:cs="Book Antiqua"/>
          <w:color w:val="000000"/>
        </w:rPr>
        <w:t xml:space="preserve">, Kim DH, Son BK, Moon KM, Kim SM, Intazur Rahaman M, Kim SW, Kim EK, Kwon MJ, Koh YW, Oh IH. High SLC2A1 expression associated with suppressing CD8 T cells and B cells promoted cancer survival in gastric cancer.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2021; </w:t>
      </w:r>
      <w:r>
        <w:rPr>
          <w:rFonts w:ascii="Book Antiqua" w:hAnsi="Book Antiqua" w:eastAsia="Book Antiqua" w:cs="Book Antiqua"/>
          <w:b/>
          <w:bCs/>
          <w:color w:val="000000"/>
        </w:rPr>
        <w:t>16</w:t>
      </w:r>
      <w:r>
        <w:rPr>
          <w:rFonts w:ascii="Book Antiqua" w:hAnsi="Book Antiqua" w:eastAsia="Book Antiqua" w:cs="Book Antiqua"/>
          <w:color w:val="000000"/>
        </w:rPr>
        <w:t>: e0245075 [PMID: 33735188 DOI: 10.1371/journal.pone.0245075]</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Brown GR</w:t>
      </w:r>
      <w:r>
        <w:rPr>
          <w:rFonts w:ascii="Book Antiqua" w:hAnsi="Book Antiqua" w:eastAsia="Book Antiqua" w:cs="Book Antiqua"/>
          <w:color w:val="000000"/>
        </w:rPr>
        <w:t xml:space="preserve">, Hem V, Katz KS, Ovetsky M, Wallin C, Ermolaeva O, Tolstoy I, Tatusova T, Pruitt KD, Maglott DR, Murphy TD. Gene: a gene-centered information resource at NCBI. </w:t>
      </w:r>
      <w:r>
        <w:rPr>
          <w:rFonts w:ascii="Book Antiqua" w:hAnsi="Book Antiqua" w:eastAsia="Book Antiqua" w:cs="Book Antiqua"/>
          <w:i/>
          <w:iCs/>
          <w:color w:val="000000"/>
        </w:rPr>
        <w:t>Nucleic Acids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43</w:t>
      </w:r>
      <w:r>
        <w:rPr>
          <w:rFonts w:ascii="Book Antiqua" w:hAnsi="Book Antiqua" w:eastAsia="Book Antiqua" w:cs="Book Antiqua"/>
          <w:color w:val="000000"/>
        </w:rPr>
        <w:t>: D36-D42 [PMID: 25355515 DOI: 10.1093/nar/gku1055]</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Barrett T</w:t>
      </w:r>
      <w:r>
        <w:rPr>
          <w:rFonts w:ascii="Book Antiqua" w:hAnsi="Book Antiqua" w:eastAsia="Book Antiqua" w:cs="Book Antiqua"/>
          <w:color w:val="000000"/>
        </w:rPr>
        <w:t xml:space="preserve">, Wilhite SE, Ledoux P, Evangelista C, Kim IF, Tomashevsky M, Marshall KA, Phillippy KH, Sherman PM, Holko M, Yefanov A, Lee H, Zhang N, Robertson CL, Serova N, Davis S, Soboleva A. NCBI GEO: archive for functional genomics data sets--update. </w:t>
      </w:r>
      <w:r>
        <w:rPr>
          <w:rFonts w:ascii="Book Antiqua" w:hAnsi="Book Antiqua" w:eastAsia="Book Antiqua" w:cs="Book Antiqua"/>
          <w:i/>
          <w:iCs/>
          <w:color w:val="000000"/>
        </w:rPr>
        <w:t>Nucleic Acids Res</w:t>
      </w:r>
      <w:r>
        <w:rPr>
          <w:rFonts w:ascii="Book Antiqua" w:hAnsi="Book Antiqua" w:eastAsia="Book Antiqua" w:cs="Book Antiqua"/>
          <w:color w:val="000000"/>
        </w:rPr>
        <w:t xml:space="preserve"> 2013; </w:t>
      </w:r>
      <w:r>
        <w:rPr>
          <w:rFonts w:ascii="Book Antiqua" w:hAnsi="Book Antiqua" w:eastAsia="Book Antiqua" w:cs="Book Antiqua"/>
          <w:b/>
          <w:bCs/>
          <w:color w:val="000000"/>
        </w:rPr>
        <w:t>41</w:t>
      </w:r>
      <w:r>
        <w:rPr>
          <w:rFonts w:ascii="Book Antiqua" w:hAnsi="Book Antiqua" w:eastAsia="Book Antiqua" w:cs="Book Antiqua"/>
          <w:color w:val="000000"/>
        </w:rPr>
        <w:t>: D991-D995 [PMID: 23193258 DOI: 10.1093/nar/gks1193]</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Wang SM</w:t>
      </w:r>
      <w:r>
        <w:rPr>
          <w:rFonts w:ascii="Book Antiqua" w:hAnsi="Book Antiqua" w:eastAsia="Book Antiqua" w:cs="Book Antiqua"/>
          <w:color w:val="000000"/>
        </w:rPr>
        <w:t xml:space="preserve">, Ooi LL, Hui KM. Identification and validation of a novel gene signature associated with the recurrence of human hepatocellular carcinoma.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2007; </w:t>
      </w:r>
      <w:r>
        <w:rPr>
          <w:rFonts w:ascii="Book Antiqua" w:hAnsi="Book Antiqua" w:eastAsia="Book Antiqua" w:cs="Book Antiqua"/>
          <w:b/>
          <w:bCs/>
          <w:color w:val="000000"/>
        </w:rPr>
        <w:t>13</w:t>
      </w:r>
      <w:r>
        <w:rPr>
          <w:rFonts w:ascii="Book Antiqua" w:hAnsi="Book Antiqua" w:eastAsia="Book Antiqua" w:cs="Book Antiqua"/>
          <w:color w:val="000000"/>
        </w:rPr>
        <w:t>: 6275-6283 [PMID: 17975138 DOI: 10.1158/1078-0432.Ccr-06-2236]</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Cancer Genome Atlas Research Network</w:t>
      </w:r>
      <w:r>
        <w:rPr>
          <w:rFonts w:ascii="Book Antiqua" w:hAnsi="Book Antiqua" w:eastAsia="Book Antiqua" w:cs="Book Antiqua"/>
          <w:color w:val="000000"/>
        </w:rPr>
        <w:t xml:space="preserve">, Weinstein JN, Collisson EA, Mills GB, Shaw KR, Ozenberger BA, Ellrott K, Shmulevich I, Sander C, Stuart JM. The Cancer Genome Atlas Pan-Cancer analysis project. </w:t>
      </w:r>
      <w:r>
        <w:rPr>
          <w:rFonts w:ascii="Book Antiqua" w:hAnsi="Book Antiqua" w:eastAsia="Book Antiqua" w:cs="Book Antiqua"/>
          <w:i/>
          <w:iCs/>
          <w:color w:val="000000"/>
        </w:rPr>
        <w:t>Nat Genet</w:t>
      </w:r>
      <w:r>
        <w:rPr>
          <w:rFonts w:ascii="Book Antiqua" w:hAnsi="Book Antiqua" w:eastAsia="Book Antiqua" w:cs="Book Antiqua"/>
          <w:color w:val="000000"/>
        </w:rPr>
        <w:t xml:space="preserve"> 2013; </w:t>
      </w:r>
      <w:r>
        <w:rPr>
          <w:rFonts w:ascii="Book Antiqua" w:hAnsi="Book Antiqua" w:eastAsia="Book Antiqua" w:cs="Book Antiqua"/>
          <w:b/>
          <w:bCs/>
          <w:color w:val="000000"/>
        </w:rPr>
        <w:t>45</w:t>
      </w:r>
      <w:r>
        <w:rPr>
          <w:rFonts w:ascii="Book Antiqua" w:hAnsi="Book Antiqua" w:eastAsia="Book Antiqua" w:cs="Book Antiqua"/>
          <w:color w:val="000000"/>
        </w:rPr>
        <w:t>: 1113-1120 [PMID: 24071849 DOI: 10.1038/ng.2764]</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Uhlen M</w:t>
      </w:r>
      <w:r>
        <w:rPr>
          <w:rFonts w:ascii="Book Antiqua" w:hAnsi="Book Antiqua" w:eastAsia="Book Antiqua" w:cs="Book Antiqua"/>
          <w:color w:val="000000"/>
        </w:rPr>
        <w:t xml:space="preserve">, Zhang C, Lee S, Sjöstedt E, Fagerberg L, Bidkhori G, Benfeitas R, Arif M, Liu Z, Edfors F, Sanli K, von Feilitzen K, Oksvold P, Lundberg E, Hober S, Nilsson P, Mattsson J, Schwenk JM, Brunnström H, Glimelius B, Sjöblom T, Edqvist PH, Djureinovic D, Micke P, Lindskog C, Mardinoglu A, Ponten F. A pathology atlas of the human cancer transcriptome.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2017; </w:t>
      </w:r>
      <w:r>
        <w:rPr>
          <w:rFonts w:ascii="Book Antiqua" w:hAnsi="Book Antiqua" w:eastAsia="Book Antiqua" w:cs="Book Antiqua"/>
          <w:b/>
          <w:bCs/>
          <w:color w:val="000000"/>
        </w:rPr>
        <w:t>357</w:t>
      </w:r>
      <w:r>
        <w:rPr>
          <w:rFonts w:ascii="Book Antiqua" w:hAnsi="Book Antiqua" w:eastAsia="Book Antiqua" w:cs="Book Antiqua"/>
          <w:color w:val="000000"/>
        </w:rPr>
        <w:t xml:space="preserve"> [PMID: 28818916 DOI: 10.1126/science.aan2507]</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Li T</w:t>
      </w:r>
      <w:r>
        <w:rPr>
          <w:rFonts w:ascii="Book Antiqua" w:hAnsi="Book Antiqua" w:eastAsia="Book Antiqua" w:cs="Book Antiqua"/>
          <w:color w:val="000000"/>
        </w:rPr>
        <w:t xml:space="preserve">, Fan J, Wang B, Traugh N, Chen Q, Liu JS, Li B, Liu XS. TIMER: A Web Server for Comprehensive Analysis of Tumor-Infiltrating Immune Cells.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2017; </w:t>
      </w:r>
      <w:r>
        <w:rPr>
          <w:rFonts w:ascii="Book Antiqua" w:hAnsi="Book Antiqua" w:eastAsia="Book Antiqua" w:cs="Book Antiqua"/>
          <w:b/>
          <w:bCs/>
          <w:color w:val="000000"/>
        </w:rPr>
        <w:t>77</w:t>
      </w:r>
      <w:r>
        <w:rPr>
          <w:rFonts w:ascii="Book Antiqua" w:hAnsi="Book Antiqua" w:eastAsia="Book Antiqua" w:cs="Book Antiqua"/>
          <w:color w:val="000000"/>
        </w:rPr>
        <w:t xml:space="preserve">: e108-e110 [PMID: </w:t>
      </w:r>
      <w:bookmarkStart w:id="11" w:name="OLE_LINK10"/>
      <w:bookmarkStart w:id="12" w:name="OLE_LINK11"/>
      <w:r>
        <w:rPr>
          <w:rFonts w:ascii="Book Antiqua" w:hAnsi="Book Antiqua" w:eastAsia="Book Antiqua" w:cs="Book Antiqua"/>
          <w:color w:val="000000"/>
        </w:rPr>
        <w:t xml:space="preserve">29092952 </w:t>
      </w:r>
      <w:bookmarkEnd w:id="11"/>
      <w:bookmarkEnd w:id="12"/>
      <w:r>
        <w:rPr>
          <w:rFonts w:ascii="Book Antiqua" w:hAnsi="Book Antiqua" w:eastAsia="Book Antiqua" w:cs="Book Antiqua"/>
          <w:color w:val="000000"/>
        </w:rPr>
        <w:t>DOI: 10.1158/0008-5472.</w:t>
      </w:r>
      <w:r>
        <w:rPr>
          <w:rFonts w:ascii="Book Antiqua" w:hAnsi="Book Antiqua" w:eastAsia="Book Antiqua" w:cs="Book Antiqua"/>
          <w:caps/>
          <w:color w:val="000000"/>
        </w:rPr>
        <w:t>Can</w:t>
      </w:r>
      <w:r>
        <w:rPr>
          <w:rFonts w:ascii="Book Antiqua" w:hAnsi="Book Antiqua" w:eastAsia="Book Antiqua" w:cs="Book Antiqua"/>
          <w:color w:val="000000"/>
        </w:rPr>
        <w:t>-17-0307]</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Rhodes DR</w:t>
      </w:r>
      <w:r>
        <w:rPr>
          <w:rFonts w:ascii="Book Antiqua" w:hAnsi="Book Antiqua" w:eastAsia="Book Antiqua" w:cs="Book Antiqua"/>
          <w:color w:val="000000"/>
        </w:rPr>
        <w:t xml:space="preserve">, Kalyana-Sundaram S, Mahavisno V, Varambally R, Yu J, Briggs BB, Barrette TR, Anstet MJ, Kincead-Beal C, Kulkarni P, Varambally S, Ghosh D, Chinnaiyan AM. Oncomine 3.0: genes, pathways, and networks in a collection of 18,000 cancer gene expression profiles. </w:t>
      </w:r>
      <w:r>
        <w:rPr>
          <w:rFonts w:ascii="Book Antiqua" w:hAnsi="Book Antiqua" w:eastAsia="Book Antiqua" w:cs="Book Antiqua"/>
          <w:i/>
          <w:iCs/>
          <w:color w:val="000000"/>
        </w:rPr>
        <w:t>Neoplasia</w:t>
      </w:r>
      <w:r>
        <w:rPr>
          <w:rFonts w:ascii="Book Antiqua" w:hAnsi="Book Antiqua" w:eastAsia="Book Antiqua" w:cs="Book Antiqua"/>
          <w:color w:val="000000"/>
        </w:rPr>
        <w:t xml:space="preserve"> 2007; </w:t>
      </w:r>
      <w:r>
        <w:rPr>
          <w:rFonts w:ascii="Book Antiqua" w:hAnsi="Book Antiqua" w:eastAsia="Book Antiqua" w:cs="Book Antiqua"/>
          <w:b/>
          <w:bCs/>
          <w:color w:val="000000"/>
        </w:rPr>
        <w:t>9</w:t>
      </w:r>
      <w:r>
        <w:rPr>
          <w:rFonts w:ascii="Book Antiqua" w:hAnsi="Book Antiqua" w:eastAsia="Book Antiqua" w:cs="Book Antiqua"/>
          <w:color w:val="000000"/>
        </w:rPr>
        <w:t>: 166-180 [PMID: 17356713 DOI: 10.1593/neo.07112]</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Chandrashekar DS</w:t>
      </w:r>
      <w:r>
        <w:rPr>
          <w:rFonts w:ascii="Book Antiqua" w:hAnsi="Book Antiqua" w:eastAsia="Book Antiqua" w:cs="Book Antiqua"/>
          <w:color w:val="000000"/>
        </w:rPr>
        <w:t xml:space="preserve">, Bashel B, Balasubramanya SAH, Creighton CJ, Ponce-Rodriguez I, Chakravarthi BVSK, Varambally S. UALCAN: A Portal for Facilitating Tumor Subgroup Gene Expression and Survival Analyses. </w:t>
      </w:r>
      <w:r>
        <w:rPr>
          <w:rFonts w:ascii="Book Antiqua" w:hAnsi="Book Antiqua" w:eastAsia="Book Antiqua" w:cs="Book Antiqua"/>
          <w:i/>
          <w:iCs/>
          <w:color w:val="000000"/>
        </w:rPr>
        <w:t>Neoplasia</w:t>
      </w:r>
      <w:r>
        <w:rPr>
          <w:rFonts w:ascii="Book Antiqua" w:hAnsi="Book Antiqua" w:eastAsia="Book Antiqua" w:cs="Book Antiqua"/>
          <w:color w:val="000000"/>
        </w:rPr>
        <w:t xml:space="preserve"> 2017; </w:t>
      </w:r>
      <w:r>
        <w:rPr>
          <w:rFonts w:ascii="Book Antiqua" w:hAnsi="Book Antiqua" w:eastAsia="Book Antiqua" w:cs="Book Antiqua"/>
          <w:b/>
          <w:bCs/>
          <w:color w:val="000000"/>
        </w:rPr>
        <w:t>19</w:t>
      </w:r>
      <w:r>
        <w:rPr>
          <w:rFonts w:ascii="Book Antiqua" w:hAnsi="Book Antiqua" w:eastAsia="Book Antiqua" w:cs="Book Antiqua"/>
          <w:color w:val="000000"/>
        </w:rPr>
        <w:t>: 649-658 [PMID: 28732212 DOI: 10.1016/j.neo.2017.05.002]</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Tang Z</w:t>
      </w:r>
      <w:r>
        <w:rPr>
          <w:rFonts w:ascii="Book Antiqua" w:hAnsi="Book Antiqua" w:eastAsia="Book Antiqua" w:cs="Book Antiqua"/>
          <w:color w:val="000000"/>
        </w:rPr>
        <w:t xml:space="preserve">, Li C, Kang B, Gao G, Li C, Zhang Z. GEPIA: a web server for cancer and normal gene expression profiling and interactive analyses. </w:t>
      </w:r>
      <w:r>
        <w:rPr>
          <w:rFonts w:ascii="Book Antiqua" w:hAnsi="Book Antiqua" w:eastAsia="Book Antiqua" w:cs="Book Antiqua"/>
          <w:i/>
          <w:iCs/>
          <w:color w:val="000000"/>
        </w:rPr>
        <w:t>Nucleic Acids Res</w:t>
      </w:r>
      <w:r>
        <w:rPr>
          <w:rFonts w:ascii="Book Antiqua" w:hAnsi="Book Antiqua" w:eastAsia="Book Antiqua" w:cs="Book Antiqua"/>
          <w:color w:val="000000"/>
        </w:rPr>
        <w:t xml:space="preserve"> 2017; </w:t>
      </w:r>
      <w:r>
        <w:rPr>
          <w:rFonts w:ascii="Book Antiqua" w:hAnsi="Book Antiqua" w:eastAsia="Book Antiqua" w:cs="Book Antiqua"/>
          <w:b/>
          <w:bCs/>
          <w:color w:val="000000"/>
        </w:rPr>
        <w:t>45</w:t>
      </w:r>
      <w:r>
        <w:rPr>
          <w:rFonts w:ascii="Book Antiqua" w:hAnsi="Book Antiqua" w:eastAsia="Book Antiqua" w:cs="Book Antiqua"/>
          <w:color w:val="000000"/>
        </w:rPr>
        <w:t>: W98-W102 [PMID: 28407145 DOI: 10.1093/nar/gkx247]</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Menyhárt O</w:t>
      </w:r>
      <w:r>
        <w:rPr>
          <w:rFonts w:ascii="Book Antiqua" w:hAnsi="Book Antiqua" w:eastAsia="Book Antiqua" w:cs="Book Antiqua"/>
          <w:color w:val="000000"/>
        </w:rPr>
        <w:t xml:space="preserve">, Nagy Á, Győrffy B. Determining consistent prognostic biomarkers of overall survival and vascular invasion in hepatocellular carcinoma. </w:t>
      </w:r>
      <w:r>
        <w:rPr>
          <w:rFonts w:ascii="Book Antiqua" w:hAnsi="Book Antiqua" w:eastAsia="Book Antiqua" w:cs="Book Antiqua"/>
          <w:i/>
          <w:iCs/>
          <w:color w:val="000000"/>
        </w:rPr>
        <w:t>R Soc Open Sci</w:t>
      </w:r>
      <w:r>
        <w:rPr>
          <w:rFonts w:ascii="Book Antiqua" w:hAnsi="Book Antiqua" w:eastAsia="Book Antiqua" w:cs="Book Antiqua"/>
          <w:color w:val="000000"/>
        </w:rPr>
        <w:t xml:space="preserve"> 2018; </w:t>
      </w:r>
      <w:r>
        <w:rPr>
          <w:rFonts w:ascii="Book Antiqua" w:hAnsi="Book Antiqua" w:eastAsia="Book Antiqua" w:cs="Book Antiqua"/>
          <w:b/>
          <w:bCs/>
          <w:color w:val="000000"/>
        </w:rPr>
        <w:t>5</w:t>
      </w:r>
      <w:r>
        <w:rPr>
          <w:rFonts w:ascii="Book Antiqua" w:hAnsi="Book Antiqua" w:eastAsia="Book Antiqua" w:cs="Book Antiqua"/>
          <w:color w:val="000000"/>
        </w:rPr>
        <w:t>: 181006 [PMID: 30662724 DOI: 10.1098/rsos.181006]</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Szklarczyk D</w:t>
      </w:r>
      <w:r>
        <w:rPr>
          <w:rFonts w:ascii="Book Antiqua" w:hAnsi="Book Antiqua" w:eastAsia="Book Antiqua" w:cs="Book Antiqua"/>
          <w:color w:val="000000"/>
        </w:rPr>
        <w:t xml:space="preserve">, Franceschini A, Wyder S, Forslund K, Heller D, Huerta-Cepas J, Simonovic M, Roth A, Santos A, Tsafou KP, Kuhn M, Bork P, Jensen LJ, von Mering C. STRING v10: protein-protein interaction networks, integrated over the tree of life. </w:t>
      </w:r>
      <w:r>
        <w:rPr>
          <w:rFonts w:ascii="Book Antiqua" w:hAnsi="Book Antiqua" w:eastAsia="Book Antiqua" w:cs="Book Antiqua"/>
          <w:i/>
          <w:iCs/>
          <w:color w:val="000000"/>
        </w:rPr>
        <w:t>Nucleic Acids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43</w:t>
      </w:r>
      <w:r>
        <w:rPr>
          <w:rFonts w:ascii="Book Antiqua" w:hAnsi="Book Antiqua" w:eastAsia="Book Antiqua" w:cs="Book Antiqua"/>
          <w:color w:val="000000"/>
        </w:rPr>
        <w:t>: D447-D452 [PMID: 25352553 DOI: 10.1093/nar/gku1003]</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Shannon P</w:t>
      </w:r>
      <w:r>
        <w:rPr>
          <w:rFonts w:ascii="Book Antiqua" w:hAnsi="Book Antiqua" w:eastAsia="Book Antiqua" w:cs="Book Antiqua"/>
          <w:color w:val="000000"/>
        </w:rPr>
        <w:t xml:space="preserve">, Markiel A, Ozier O, Baliga NS, Wang JT, Ramage D, Amin N, Schwikowski B, Ideker T. Cytoscape: a software environment for integrated models of biomolecular interaction networks. </w:t>
      </w:r>
      <w:r>
        <w:rPr>
          <w:rFonts w:ascii="Book Antiqua" w:hAnsi="Book Antiqua" w:eastAsia="Book Antiqua" w:cs="Book Antiqua"/>
          <w:i/>
          <w:iCs/>
          <w:color w:val="000000"/>
        </w:rPr>
        <w:t>Genome Res</w:t>
      </w:r>
      <w:r>
        <w:rPr>
          <w:rFonts w:ascii="Book Antiqua" w:hAnsi="Book Antiqua" w:eastAsia="Book Antiqua" w:cs="Book Antiqua"/>
          <w:color w:val="000000"/>
        </w:rPr>
        <w:t xml:space="preserve"> 2003; </w:t>
      </w:r>
      <w:r>
        <w:rPr>
          <w:rFonts w:ascii="Book Antiqua" w:hAnsi="Book Antiqua" w:eastAsia="Book Antiqua" w:cs="Book Antiqua"/>
          <w:b/>
          <w:bCs/>
          <w:color w:val="000000"/>
        </w:rPr>
        <w:t>13</w:t>
      </w:r>
      <w:r>
        <w:rPr>
          <w:rFonts w:ascii="Book Antiqua" w:hAnsi="Book Antiqua" w:eastAsia="Book Antiqua" w:cs="Book Antiqua"/>
          <w:color w:val="000000"/>
        </w:rPr>
        <w:t>: 2498-2504 [PMID: 14597658 DOI: 10.1101/gr.1239303]</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Ru B</w:t>
      </w:r>
      <w:r>
        <w:rPr>
          <w:rFonts w:ascii="Book Antiqua" w:hAnsi="Book Antiqua" w:eastAsia="Book Antiqua" w:cs="Book Antiqua"/>
          <w:color w:val="000000"/>
        </w:rPr>
        <w:t xml:space="preserve">, Wong CN, Tong Y, Zhong JY, Zhong SSW, Wu WC, Chu KC, Wong CY, Lau CY, Chen I, Chan NW, Zhang J. TISIDB: an integrated repository portal for tumor-immune system interactions. </w:t>
      </w:r>
      <w:r>
        <w:rPr>
          <w:rFonts w:ascii="Book Antiqua" w:hAnsi="Book Antiqua" w:eastAsia="Book Antiqua" w:cs="Book Antiqua"/>
          <w:i/>
          <w:iCs/>
          <w:color w:val="000000"/>
        </w:rPr>
        <w:t>Bioinformatics</w:t>
      </w:r>
      <w:r>
        <w:rPr>
          <w:rFonts w:ascii="Book Antiqua" w:hAnsi="Book Antiqua" w:eastAsia="Book Antiqua" w:cs="Book Antiqua"/>
          <w:color w:val="000000"/>
        </w:rPr>
        <w:t xml:space="preserve"> 2019; </w:t>
      </w:r>
      <w:r>
        <w:rPr>
          <w:rFonts w:ascii="Book Antiqua" w:hAnsi="Book Antiqua" w:eastAsia="Book Antiqua" w:cs="Book Antiqua"/>
          <w:b/>
          <w:bCs/>
          <w:color w:val="000000"/>
        </w:rPr>
        <w:t>35</w:t>
      </w:r>
      <w:r>
        <w:rPr>
          <w:rFonts w:ascii="Book Antiqua" w:hAnsi="Book Antiqua" w:eastAsia="Book Antiqua" w:cs="Book Antiqua"/>
          <w:color w:val="000000"/>
        </w:rPr>
        <w:t>: 4200-4202 [PMID: 30903160 DOI: 10.1093/bioinformatics/btz210]</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Icard P</w:t>
      </w:r>
      <w:r>
        <w:rPr>
          <w:rFonts w:ascii="Book Antiqua" w:hAnsi="Book Antiqua" w:eastAsia="Book Antiqua" w:cs="Book Antiqua"/>
          <w:color w:val="000000"/>
        </w:rPr>
        <w:t xml:space="preserve">, Shulman S, Farhat D, Steyaert JM, Alifano M, Lincet H. How the Warburg effect supports aggressiveness and drug resistance of cancer cells? </w:t>
      </w:r>
      <w:r>
        <w:rPr>
          <w:rFonts w:ascii="Book Antiqua" w:hAnsi="Book Antiqua" w:eastAsia="Book Antiqua" w:cs="Book Antiqua"/>
          <w:i/>
          <w:iCs/>
          <w:color w:val="000000"/>
        </w:rPr>
        <w:t>Drug Resist Updat</w:t>
      </w:r>
      <w:r>
        <w:rPr>
          <w:rFonts w:ascii="Book Antiqua" w:hAnsi="Book Antiqua" w:eastAsia="Book Antiqua" w:cs="Book Antiqua"/>
          <w:color w:val="000000"/>
        </w:rPr>
        <w:t xml:space="preserve"> 2018; </w:t>
      </w:r>
      <w:r>
        <w:rPr>
          <w:rFonts w:ascii="Book Antiqua" w:hAnsi="Book Antiqua" w:eastAsia="Book Antiqua" w:cs="Book Antiqua"/>
          <w:b/>
          <w:bCs/>
          <w:color w:val="000000"/>
        </w:rPr>
        <w:t>38</w:t>
      </w:r>
      <w:r>
        <w:rPr>
          <w:rFonts w:ascii="Book Antiqua" w:hAnsi="Book Antiqua" w:eastAsia="Book Antiqua" w:cs="Book Antiqua"/>
          <w:color w:val="000000"/>
        </w:rPr>
        <w:t>: 1-11 [PMID: 29857814 DOI: 10.1016/j.drup.2018.03.001]</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Singer K</w:t>
      </w:r>
      <w:r>
        <w:rPr>
          <w:rFonts w:ascii="Book Antiqua" w:hAnsi="Book Antiqua" w:eastAsia="Book Antiqua" w:cs="Book Antiqua"/>
          <w:color w:val="000000"/>
        </w:rPr>
        <w:t xml:space="preserve">, Kastenberger M, Gottfried E, Hammerschmied CG, Büttner M, Aigner M, Seliger B, Walter B, Schlösser H, Hartmann A, Andreesen R, Mackensen A, Kreutz M. Warburg phenotype in renal cell carcinoma: high expression of glucose-transporter 1 (GLUT-1) correlates with low CD8(+) T-cell infiltration in the tumor. </w:t>
      </w:r>
      <w:r>
        <w:rPr>
          <w:rFonts w:ascii="Book Antiqua" w:hAnsi="Book Antiqua" w:eastAsia="Book Antiqua" w:cs="Book Antiqua"/>
          <w:i/>
          <w:iCs/>
          <w:color w:val="000000"/>
        </w:rPr>
        <w:t>Int J Cancer</w:t>
      </w:r>
      <w:r>
        <w:rPr>
          <w:rFonts w:ascii="Book Antiqua" w:hAnsi="Book Antiqua" w:eastAsia="Book Antiqua" w:cs="Book Antiqua"/>
          <w:color w:val="000000"/>
        </w:rPr>
        <w:t xml:space="preserve"> 2011; </w:t>
      </w:r>
      <w:r>
        <w:rPr>
          <w:rFonts w:ascii="Book Antiqua" w:hAnsi="Book Antiqua" w:eastAsia="Book Antiqua" w:cs="Book Antiqua"/>
          <w:b/>
          <w:bCs/>
          <w:color w:val="000000"/>
        </w:rPr>
        <w:t>128</w:t>
      </w:r>
      <w:r>
        <w:rPr>
          <w:rFonts w:ascii="Book Antiqua" w:hAnsi="Book Antiqua" w:eastAsia="Book Antiqua" w:cs="Book Antiqua"/>
          <w:color w:val="000000"/>
        </w:rPr>
        <w:t>: 2085-2095 [PMID: 20607826 DOI: 10.1002/ijc.25543]</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Jin B</w:t>
      </w:r>
      <w:r>
        <w:rPr>
          <w:rFonts w:ascii="Book Antiqua" w:hAnsi="Book Antiqua" w:eastAsia="Book Antiqua" w:cs="Book Antiqua"/>
          <w:color w:val="000000"/>
        </w:rPr>
        <w:t xml:space="preserve">, Seong JK, Ryu DY. Tissue-specific and de novo promoter methylation of the mouse glucose transporter 2. </w:t>
      </w:r>
      <w:r>
        <w:rPr>
          <w:rFonts w:ascii="Book Antiqua" w:hAnsi="Book Antiqua" w:eastAsia="Book Antiqua" w:cs="Book Antiqua"/>
          <w:i/>
          <w:iCs/>
          <w:color w:val="000000"/>
        </w:rPr>
        <w:t>Biol Pharm Bull</w:t>
      </w:r>
      <w:r>
        <w:rPr>
          <w:rFonts w:ascii="Book Antiqua" w:hAnsi="Book Antiqua" w:eastAsia="Book Antiqua" w:cs="Book Antiqua"/>
          <w:color w:val="000000"/>
        </w:rPr>
        <w:t xml:space="preserve"> 2005; </w:t>
      </w:r>
      <w:r>
        <w:rPr>
          <w:rFonts w:ascii="Book Antiqua" w:hAnsi="Book Antiqua" w:eastAsia="Book Antiqua" w:cs="Book Antiqua"/>
          <w:b/>
          <w:bCs/>
          <w:color w:val="000000"/>
        </w:rPr>
        <w:t>28</w:t>
      </w:r>
      <w:r>
        <w:rPr>
          <w:rFonts w:ascii="Book Antiqua" w:hAnsi="Book Antiqua" w:eastAsia="Book Antiqua" w:cs="Book Antiqua"/>
          <w:color w:val="000000"/>
        </w:rPr>
        <w:t>: 2054-2057 [PMID: 16272688 DOI: 10.1248/bpb.28.2054]</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Barron CC</w:t>
      </w:r>
      <w:r>
        <w:rPr>
          <w:rFonts w:ascii="Book Antiqua" w:hAnsi="Book Antiqua" w:eastAsia="Book Antiqua" w:cs="Book Antiqua"/>
          <w:color w:val="000000"/>
        </w:rPr>
        <w:t xml:space="preserve">, Bilan PJ, Tsakiridis T, Tsiani E. Facilitative glucose transporters: Implications for cancer detection, prognosis and treatment. </w:t>
      </w:r>
      <w:r>
        <w:rPr>
          <w:rFonts w:ascii="Book Antiqua" w:hAnsi="Book Antiqua" w:eastAsia="Book Antiqua" w:cs="Book Antiqua"/>
          <w:i/>
          <w:iCs/>
          <w:color w:val="000000"/>
        </w:rPr>
        <w:t>Metabolism</w:t>
      </w:r>
      <w:r>
        <w:rPr>
          <w:rFonts w:ascii="Book Antiqua" w:hAnsi="Book Antiqua" w:eastAsia="Book Antiqua" w:cs="Book Antiqua"/>
          <w:color w:val="000000"/>
        </w:rPr>
        <w:t xml:space="preserve"> 2016; </w:t>
      </w:r>
      <w:r>
        <w:rPr>
          <w:rFonts w:ascii="Book Antiqua" w:hAnsi="Book Antiqua" w:eastAsia="Book Antiqua" w:cs="Book Antiqua"/>
          <w:b/>
          <w:bCs/>
          <w:color w:val="000000"/>
        </w:rPr>
        <w:t>65</w:t>
      </w:r>
      <w:r>
        <w:rPr>
          <w:rFonts w:ascii="Book Antiqua" w:hAnsi="Book Antiqua" w:eastAsia="Book Antiqua" w:cs="Book Antiqua"/>
          <w:color w:val="000000"/>
        </w:rPr>
        <w:t>: 124-139 [PMID: 26773935 DOI: 10.1016/j.metabol.2015.10.007]</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Zhao J</w:t>
      </w:r>
      <w:r>
        <w:rPr>
          <w:rFonts w:ascii="Book Antiqua" w:hAnsi="Book Antiqua" w:eastAsia="Book Antiqua" w:cs="Book Antiqua"/>
          <w:color w:val="000000"/>
        </w:rPr>
        <w:t xml:space="preserve">, Zhang Z, Nie D, Ma H, Yuan G, Su S, Liu S, Liu S, Tang G. PET Imaging of Hepatocellular Carcinomas: </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F-Fluoropropionic Acid as a Complementary Radiotracer for </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F-Fluorodeoxyglucose. </w:t>
      </w:r>
      <w:r>
        <w:rPr>
          <w:rFonts w:ascii="Book Antiqua" w:hAnsi="Book Antiqua" w:eastAsia="Book Antiqua" w:cs="Book Antiqua"/>
          <w:i/>
          <w:iCs/>
          <w:color w:val="000000"/>
        </w:rPr>
        <w:t>Mol Imaging</w:t>
      </w:r>
      <w:r>
        <w:rPr>
          <w:rFonts w:ascii="Book Antiqua" w:hAnsi="Book Antiqua" w:eastAsia="Book Antiqua" w:cs="Book Antiqua"/>
          <w:color w:val="000000"/>
        </w:rPr>
        <w:t xml:space="preserve"> 2019; </w:t>
      </w:r>
      <w:r>
        <w:rPr>
          <w:rFonts w:ascii="Book Antiqua" w:hAnsi="Book Antiqua" w:eastAsia="Book Antiqua" w:cs="Book Antiqua"/>
          <w:b/>
          <w:bCs/>
          <w:color w:val="000000"/>
        </w:rPr>
        <w:t>18</w:t>
      </w:r>
      <w:r>
        <w:rPr>
          <w:rFonts w:ascii="Book Antiqua" w:hAnsi="Book Antiqua" w:eastAsia="Book Antiqua" w:cs="Book Antiqua"/>
          <w:color w:val="000000"/>
        </w:rPr>
        <w:t>: 1536012118821032 [PMID: 30799682 DOI: 10.1177/1536012118821032]</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Lei Y</w:t>
      </w:r>
      <w:r>
        <w:rPr>
          <w:rFonts w:ascii="Book Antiqua" w:hAnsi="Book Antiqua" w:eastAsia="Book Antiqua" w:cs="Book Antiqua"/>
          <w:color w:val="000000"/>
        </w:rPr>
        <w:t xml:space="preserve">, Hu Q, Gu J. Expressions of Carbohydrate Response Element Binding Protein and Glucose Transporters in Liver Cancer and Clinical Significance. </w:t>
      </w:r>
      <w:r>
        <w:rPr>
          <w:rFonts w:ascii="Book Antiqua" w:hAnsi="Book Antiqua" w:eastAsia="Book Antiqua" w:cs="Book Antiqua"/>
          <w:i/>
          <w:iCs/>
          <w:color w:val="000000"/>
        </w:rPr>
        <w:t>Pathol Oncol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1331-1340 [PMID: 31407220 DOI: 10.1007/s12253-019-00708-y]</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Yun J</w:t>
      </w:r>
      <w:r>
        <w:rPr>
          <w:rFonts w:ascii="Book Antiqua" w:hAnsi="Book Antiqua" w:eastAsia="Book Antiqua" w:cs="Book Antiqua"/>
          <w:color w:val="000000"/>
        </w:rPr>
        <w:t xml:space="preserve">, Rago C, Cheong I, Pagliarini R, Angenendt P, Rajagopalan H, Schmidt K, Willson JK, Markowitz S, Zhou S, Diaz LA Jr, Velculescu VE, Lengauer C, Kinzler KW, Vogelstein B, Papadopoulos N. Glucose deprivation contributes to the development of KRAS pathway mutations in tumor cells.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2009; </w:t>
      </w:r>
      <w:r>
        <w:rPr>
          <w:rFonts w:ascii="Book Antiqua" w:hAnsi="Book Antiqua" w:eastAsia="Book Antiqua" w:cs="Book Antiqua"/>
          <w:b/>
          <w:bCs/>
          <w:color w:val="000000"/>
        </w:rPr>
        <w:t>325</w:t>
      </w:r>
      <w:r>
        <w:rPr>
          <w:rFonts w:ascii="Book Antiqua" w:hAnsi="Book Antiqua" w:eastAsia="Book Antiqua" w:cs="Book Antiqua"/>
          <w:color w:val="000000"/>
        </w:rPr>
        <w:t>: 1555-1559 [PMID: 19661383 DOI: 10.1126/science.1174229]</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Hassani-Nezhad-Gashti F</w:t>
      </w:r>
      <w:r>
        <w:rPr>
          <w:rFonts w:ascii="Book Antiqua" w:hAnsi="Book Antiqua" w:eastAsia="Book Antiqua" w:cs="Book Antiqua"/>
          <w:color w:val="000000"/>
        </w:rPr>
        <w:t xml:space="preserve">, Rysä J, Kummu O, Näpänkangas J, Buler M, Karpale M, Hukkanen J, Hakkola J. Activation of nuclear receptor PXR impairs glucose tolerance and dysregulates GLUT2 expression and subcellular localization in liver. </w:t>
      </w:r>
      <w:r>
        <w:rPr>
          <w:rFonts w:ascii="Book Antiqua" w:hAnsi="Book Antiqua" w:eastAsia="Book Antiqua" w:cs="Book Antiqua"/>
          <w:i/>
          <w:iCs/>
          <w:color w:val="000000"/>
        </w:rPr>
        <w:t>Biochem Pharmacol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148</w:t>
      </w:r>
      <w:r>
        <w:rPr>
          <w:rFonts w:ascii="Book Antiqua" w:hAnsi="Book Antiqua" w:eastAsia="Book Antiqua" w:cs="Book Antiqua"/>
          <w:color w:val="000000"/>
        </w:rPr>
        <w:t>: 253-264 [PMID: 29309761 DOI: 10.1016/j.bcp.2018.01.001]</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Lamontagne J</w:t>
      </w:r>
      <w:r>
        <w:rPr>
          <w:rFonts w:ascii="Book Antiqua" w:hAnsi="Book Antiqua" w:eastAsia="Book Antiqua" w:cs="Book Antiqua"/>
          <w:color w:val="000000"/>
        </w:rPr>
        <w:t xml:space="preserve">, Mell JC, Bouchard MJ. Transcriptome-Wide Analysis of Hepatitis B Virus-Mediated Changes to Normal Hepatocyte Gene Expression. </w:t>
      </w:r>
      <w:r>
        <w:rPr>
          <w:rFonts w:ascii="Book Antiqua" w:hAnsi="Book Antiqua" w:eastAsia="Book Antiqua" w:cs="Book Antiqua"/>
          <w:i/>
          <w:iCs/>
          <w:color w:val="000000"/>
        </w:rPr>
        <w:t>PLoS Pathog</w:t>
      </w:r>
      <w:r>
        <w:rPr>
          <w:rFonts w:ascii="Book Antiqua" w:hAnsi="Book Antiqua" w:eastAsia="Book Antiqua" w:cs="Book Antiqua"/>
          <w:color w:val="000000"/>
        </w:rPr>
        <w:t xml:space="preserve"> 2016; </w:t>
      </w:r>
      <w:r>
        <w:rPr>
          <w:rFonts w:ascii="Book Antiqua" w:hAnsi="Book Antiqua" w:eastAsia="Book Antiqua" w:cs="Book Antiqua"/>
          <w:b/>
          <w:bCs/>
          <w:color w:val="000000"/>
        </w:rPr>
        <w:t>12</w:t>
      </w:r>
      <w:r>
        <w:rPr>
          <w:rFonts w:ascii="Book Antiqua" w:hAnsi="Book Antiqua" w:eastAsia="Book Antiqua" w:cs="Book Antiqua"/>
          <w:color w:val="000000"/>
        </w:rPr>
        <w:t>: e1005438 [PMID: 26891448 DOI: 10.1371/journal.ppat.1005438]</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Teng CF</w:t>
      </w:r>
      <w:r>
        <w:rPr>
          <w:rFonts w:ascii="Book Antiqua" w:hAnsi="Book Antiqua" w:eastAsia="Book Antiqua" w:cs="Book Antiqua"/>
          <w:color w:val="000000"/>
        </w:rPr>
        <w:t xml:space="preserve">, Hsieh WC, Wu HC, Lin YJ, Tsai HW, Huang W, Su IJ. Hepatitis B Virus Pre-S2 Mutant Induces Aerobic Glycolysis through Mammalian Target of Rapamycin Signal Cascade.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2015; </w:t>
      </w:r>
      <w:r>
        <w:rPr>
          <w:rFonts w:ascii="Book Antiqua" w:hAnsi="Book Antiqua" w:eastAsia="Book Antiqua" w:cs="Book Antiqua"/>
          <w:b/>
          <w:bCs/>
          <w:color w:val="000000"/>
        </w:rPr>
        <w:t>10</w:t>
      </w:r>
      <w:r>
        <w:rPr>
          <w:rFonts w:ascii="Book Antiqua" w:hAnsi="Book Antiqua" w:eastAsia="Book Antiqua" w:cs="Book Antiqua"/>
          <w:color w:val="000000"/>
        </w:rPr>
        <w:t>: e0122373 [PMID: 25909713 DOI: 10.1371/journal.pone.0122373]</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Jagya N</w:t>
      </w:r>
      <w:r>
        <w:rPr>
          <w:rFonts w:ascii="Book Antiqua" w:hAnsi="Book Antiqua" w:eastAsia="Book Antiqua" w:cs="Book Antiqua"/>
          <w:color w:val="000000"/>
        </w:rPr>
        <w:t xml:space="preserve">, Varma SP, Thakral D, Joshi P, Durgapal H, Panda SK. RNA-seq based transcriptome analysis of hepatitis E virus (HEV) and hepatitis B virus (HBV) replicon transfected Huh-7 cells.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2014; </w:t>
      </w:r>
      <w:r>
        <w:rPr>
          <w:rFonts w:ascii="Book Antiqua" w:hAnsi="Book Antiqua" w:eastAsia="Book Antiqua" w:cs="Book Antiqua"/>
          <w:b/>
          <w:bCs/>
          <w:color w:val="000000"/>
        </w:rPr>
        <w:t>9</w:t>
      </w:r>
      <w:r>
        <w:rPr>
          <w:rFonts w:ascii="Book Antiqua" w:hAnsi="Book Antiqua" w:eastAsia="Book Antiqua" w:cs="Book Antiqua"/>
          <w:color w:val="000000"/>
        </w:rPr>
        <w:t>: e87835 [PMID: 24505321 DOI: 10.1371/journal.pone.0087835]</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Kawamura T</w:t>
      </w:r>
      <w:r>
        <w:rPr>
          <w:rFonts w:ascii="Book Antiqua" w:hAnsi="Book Antiqua" w:eastAsia="Book Antiqua" w:cs="Book Antiqua"/>
          <w:color w:val="000000"/>
        </w:rPr>
        <w:t xml:space="preserve">, Kusakabe T, Sugino T, Watanabe K, Fukuda T, Nashimoto A, Honma K, Suzuki T. Expression of glucose transporter-1 in human gastric carcinoma: association with tumor aggressiveness, metastasis, and patient survival.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2001; </w:t>
      </w:r>
      <w:r>
        <w:rPr>
          <w:rFonts w:ascii="Book Antiqua" w:hAnsi="Book Antiqua" w:eastAsia="Book Antiqua" w:cs="Book Antiqua"/>
          <w:b/>
          <w:bCs/>
          <w:color w:val="000000"/>
        </w:rPr>
        <w:t>92</w:t>
      </w:r>
      <w:r>
        <w:rPr>
          <w:rFonts w:ascii="Book Antiqua" w:hAnsi="Book Antiqua" w:eastAsia="Book Antiqua" w:cs="Book Antiqua"/>
          <w:color w:val="000000"/>
        </w:rPr>
        <w:t>: 634-641 [PMID: 11505409 DOI: 10.1002/1097-0142(20010801)92:3&lt;634::aid-cncr1364&gt;3.0.co;2-x]</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Mori Y</w:t>
      </w:r>
      <w:r>
        <w:rPr>
          <w:rFonts w:ascii="Book Antiqua" w:hAnsi="Book Antiqua" w:eastAsia="Book Antiqua" w:cs="Book Antiqua"/>
          <w:color w:val="000000"/>
        </w:rPr>
        <w:t xml:space="preserve">, Tsukinoki K, Yasuda M, Miyazawa M, Kaneko A, Watanabe Y. Glucose transporter type 1 expression are associated with poor prognosis in patients with salivary gland tumors. </w:t>
      </w:r>
      <w:r>
        <w:rPr>
          <w:rFonts w:ascii="Book Antiqua" w:hAnsi="Book Antiqua" w:eastAsia="Book Antiqua" w:cs="Book Antiqua"/>
          <w:i/>
          <w:iCs/>
          <w:color w:val="000000"/>
        </w:rPr>
        <w:t>Oral Oncol</w:t>
      </w:r>
      <w:r>
        <w:rPr>
          <w:rFonts w:ascii="Book Antiqua" w:hAnsi="Book Antiqua" w:eastAsia="Book Antiqua" w:cs="Book Antiqua"/>
          <w:color w:val="000000"/>
        </w:rPr>
        <w:t xml:space="preserve"> 2007; </w:t>
      </w:r>
      <w:r>
        <w:rPr>
          <w:rFonts w:ascii="Book Antiqua" w:hAnsi="Book Antiqua" w:eastAsia="Book Antiqua" w:cs="Book Antiqua"/>
          <w:b/>
          <w:bCs/>
          <w:color w:val="000000"/>
        </w:rPr>
        <w:t>43</w:t>
      </w:r>
      <w:r>
        <w:rPr>
          <w:rFonts w:ascii="Book Antiqua" w:hAnsi="Book Antiqua" w:eastAsia="Book Antiqua" w:cs="Book Antiqua"/>
          <w:color w:val="000000"/>
        </w:rPr>
        <w:t>: 563-569 [PMID: 17071132 DOI: 10.1016/j.oraloncology.2006.06.006]</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Kim E</w:t>
      </w:r>
      <w:r>
        <w:rPr>
          <w:rFonts w:ascii="Book Antiqua" w:hAnsi="Book Antiqua" w:eastAsia="Book Antiqua" w:cs="Book Antiqua"/>
          <w:color w:val="000000"/>
        </w:rPr>
        <w:t xml:space="preserve">, Wu HG, Keam B, Kim TM, Kim DW, Paeng JC, Kim HJ, Chang JH. Significance of </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F-FDG PET Parameters According to Histologic Subtype in the Treatment Outcome of Stage III Non-small-cell Lung Cancer Undergoing Definitive Concurrent Chemoradiotherapy. </w:t>
      </w:r>
      <w:r>
        <w:rPr>
          <w:rFonts w:ascii="Book Antiqua" w:hAnsi="Book Antiqua" w:eastAsia="Book Antiqua" w:cs="Book Antiqua"/>
          <w:i/>
          <w:iCs/>
          <w:color w:val="000000"/>
        </w:rPr>
        <w:t>Clin Lung Cancer</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e9-e23 [PMID: 30266585 DOI: 10.1016/j.cllc.2018.08.018]</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Zhang C</w:t>
      </w:r>
      <w:r>
        <w:rPr>
          <w:rFonts w:ascii="Book Antiqua" w:hAnsi="Book Antiqua" w:eastAsia="Book Antiqua" w:cs="Book Antiqua"/>
          <w:color w:val="000000"/>
        </w:rPr>
        <w:t xml:space="preserve">, Liu J, Liang Y, Wu R, Zhao Y, Hong X, Lin M, Yu H, Liu L, Levine AJ, Hu W, Feng Z. Tumour-associated mutant p53 drives the Warburg effect.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2013; </w:t>
      </w:r>
      <w:r>
        <w:rPr>
          <w:rFonts w:ascii="Book Antiqua" w:hAnsi="Book Antiqua" w:eastAsia="Book Antiqua" w:cs="Book Antiqua"/>
          <w:b/>
          <w:bCs/>
          <w:color w:val="000000"/>
        </w:rPr>
        <w:t>4</w:t>
      </w:r>
      <w:r>
        <w:rPr>
          <w:rFonts w:ascii="Book Antiqua" w:hAnsi="Book Antiqua" w:eastAsia="Book Antiqua" w:cs="Book Antiqua"/>
          <w:color w:val="000000"/>
        </w:rPr>
        <w:t>: 2935 [PMID: 24343302 DOI: 10.1038/ncomms3935]</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Schito L</w:t>
      </w:r>
      <w:r>
        <w:rPr>
          <w:rFonts w:ascii="Book Antiqua" w:hAnsi="Book Antiqua" w:eastAsia="Book Antiqua" w:cs="Book Antiqua"/>
          <w:color w:val="000000"/>
        </w:rPr>
        <w:t xml:space="preserve">, Semenza GL. Hypoxia-Inducible Factors: Master Regulators of Cancer Progression. </w:t>
      </w:r>
      <w:r>
        <w:rPr>
          <w:rFonts w:ascii="Book Antiqua" w:hAnsi="Book Antiqua" w:eastAsia="Book Antiqua" w:cs="Book Antiqua"/>
          <w:i/>
          <w:iCs/>
          <w:color w:val="000000"/>
        </w:rPr>
        <w:t>Trends Cancer</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758-770 [PMID: 28741521 DOI: 10.1016/j.trecan.2016.10.016]</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Farhan M</w:t>
      </w:r>
      <w:r>
        <w:rPr>
          <w:rFonts w:ascii="Book Antiqua" w:hAnsi="Book Antiqua" w:eastAsia="Book Antiqua" w:cs="Book Antiqua"/>
          <w:color w:val="000000"/>
        </w:rPr>
        <w:t xml:space="preserve">, Wang H, Gaur U, Little PJ, Xu J, Zheng W. FOXO Signaling Pathways as Therapeutic Targets in Cancer. </w:t>
      </w:r>
      <w:r>
        <w:rPr>
          <w:rFonts w:ascii="Book Antiqua" w:hAnsi="Book Antiqua" w:eastAsia="Book Antiqua" w:cs="Book Antiqua"/>
          <w:i/>
          <w:iCs/>
          <w:color w:val="000000"/>
        </w:rPr>
        <w:t>Int J Biol Sci</w:t>
      </w:r>
      <w:r>
        <w:rPr>
          <w:rFonts w:ascii="Book Antiqua" w:hAnsi="Book Antiqua" w:eastAsia="Book Antiqua" w:cs="Book Antiqua"/>
          <w:color w:val="000000"/>
        </w:rPr>
        <w:t xml:space="preserve"> 2017; </w:t>
      </w:r>
      <w:r>
        <w:rPr>
          <w:rFonts w:ascii="Book Antiqua" w:hAnsi="Book Antiqua" w:eastAsia="Book Antiqua" w:cs="Book Antiqua"/>
          <w:b/>
          <w:bCs/>
          <w:color w:val="000000"/>
        </w:rPr>
        <w:t>13</w:t>
      </w:r>
      <w:r>
        <w:rPr>
          <w:rFonts w:ascii="Book Antiqua" w:hAnsi="Book Antiqua" w:eastAsia="Book Antiqua" w:cs="Book Antiqua"/>
          <w:color w:val="000000"/>
        </w:rPr>
        <w:t>: 815-827 [PMID: 28808415 DOI: 10.7150/ijbs.20052]</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Kim BH</w:t>
      </w:r>
      <w:r>
        <w:rPr>
          <w:rFonts w:ascii="Book Antiqua" w:hAnsi="Book Antiqua" w:eastAsia="Book Antiqua" w:cs="Book Antiqua"/>
          <w:color w:val="000000"/>
        </w:rPr>
        <w:t xml:space="preserve">, Chang JH. Differential effect of GLUT1 overexpression on survival and tumor immune microenvironment of human papilloma virus type 16-positive and -negative cervical cancer.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13301 [PMID: 31527827 DOI: 10.1038/s41598-019-49928-x]</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Makarova-Rusher OV</w:t>
      </w:r>
      <w:r>
        <w:rPr>
          <w:rFonts w:ascii="Book Antiqua" w:hAnsi="Book Antiqua" w:eastAsia="Book Antiqua" w:cs="Book Antiqua"/>
          <w:color w:val="000000"/>
        </w:rPr>
        <w:t xml:space="preserve">, Medina-Echeverz J, Duffy AG, Greten TF. The yin and yang of evasion and immune activation in HCC.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62</w:t>
      </w:r>
      <w:r>
        <w:rPr>
          <w:rFonts w:ascii="Book Antiqua" w:hAnsi="Book Antiqua" w:eastAsia="Book Antiqua" w:cs="Book Antiqua"/>
          <w:color w:val="000000"/>
        </w:rPr>
        <w:t>: 1420-1429 [PMID: 25733155 DOI: 10.1016/j.jhep.2015.02.038]</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Gouveia-Fernandes S</w:t>
      </w:r>
      <w:r>
        <w:rPr>
          <w:rFonts w:ascii="Book Antiqua" w:hAnsi="Book Antiqua" w:eastAsia="Book Antiqua" w:cs="Book Antiqua"/>
          <w:color w:val="000000"/>
        </w:rPr>
        <w:t xml:space="preserve">. Monocytes and Macrophages in Cancer: Unsuspected Roles. </w:t>
      </w:r>
      <w:r>
        <w:rPr>
          <w:rFonts w:ascii="Book Antiqua" w:hAnsi="Book Antiqua" w:eastAsia="Book Antiqua" w:cs="Book Antiqua"/>
          <w:i/>
          <w:iCs/>
          <w:color w:val="000000"/>
        </w:rPr>
        <w:t>Adv Exp Med Biol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1219</w:t>
      </w:r>
      <w:r>
        <w:rPr>
          <w:rFonts w:ascii="Book Antiqua" w:hAnsi="Book Antiqua" w:eastAsia="Book Antiqua" w:cs="Book Antiqua"/>
          <w:color w:val="000000"/>
        </w:rPr>
        <w:t>: 161-185 [PMID: 32130699 DOI: 10.1007/978-3-030-34025-4_9]</w:t>
      </w:r>
    </w:p>
    <w:p>
      <w:pPr>
        <w:spacing w:line="360" w:lineRule="auto"/>
        <w:jc w:val="both"/>
      </w:pPr>
      <w:r>
        <w:rPr>
          <w:rFonts w:ascii="Book Antiqua" w:hAnsi="Book Antiqua" w:eastAsia="Book Antiqua" w:cs="Book Antiqua"/>
          <w:color w:val="000000"/>
        </w:rPr>
        <w:t xml:space="preserve">50 </w:t>
      </w:r>
      <w:r>
        <w:rPr>
          <w:rFonts w:ascii="Book Antiqua" w:hAnsi="Book Antiqua" w:eastAsia="Book Antiqua" w:cs="Book Antiqua"/>
          <w:b/>
          <w:bCs/>
          <w:color w:val="000000"/>
        </w:rPr>
        <w:t>Shan T</w:t>
      </w:r>
      <w:r>
        <w:rPr>
          <w:rFonts w:ascii="Book Antiqua" w:hAnsi="Book Antiqua" w:eastAsia="Book Antiqua" w:cs="Book Antiqua"/>
          <w:color w:val="000000"/>
        </w:rPr>
        <w:t>, Chen S, Chen X, Wu T, Yang Y, Li S, Ma J, Zhao J, Lin W, Li W, Cui X, Kang Y. M2</w:t>
      </w:r>
      <w:r>
        <w:rPr>
          <w:rFonts w:ascii="Book Antiqua" w:hAnsi="Book Antiqua" w:eastAsia="Book Antiqua" w:cs="Book Antiqua"/>
          <w:color w:val="000000"/>
        </w:rPr>
        <w:noBreakHyphen/>
      </w:r>
      <w:r>
        <w:rPr>
          <w:rFonts w:ascii="Book Antiqua" w:hAnsi="Book Antiqua" w:eastAsia="Book Antiqua" w:cs="Book Antiqua"/>
          <w:color w:val="000000"/>
        </w:rPr>
        <w:t>TAM subsets altered by lactic acid promote T</w:t>
      </w:r>
      <w:r>
        <w:rPr>
          <w:rFonts w:ascii="Book Antiqua" w:hAnsi="Book Antiqua" w:eastAsia="Book Antiqua" w:cs="Book Antiqua"/>
          <w:color w:val="000000"/>
        </w:rPr>
        <w:noBreakHyphen/>
      </w:r>
      <w:r>
        <w:rPr>
          <w:rFonts w:ascii="Book Antiqua" w:hAnsi="Book Antiqua" w:eastAsia="Book Antiqua" w:cs="Book Antiqua"/>
          <w:color w:val="000000"/>
        </w:rPr>
        <w:t>cell apoptosis through the PD</w:t>
      </w:r>
      <w:r>
        <w:rPr>
          <w:rFonts w:ascii="Book Antiqua" w:hAnsi="Book Antiqua" w:eastAsia="Book Antiqua" w:cs="Book Antiqua"/>
          <w:color w:val="000000"/>
        </w:rPr>
        <w:noBreakHyphen/>
      </w:r>
      <w:r>
        <w:rPr>
          <w:rFonts w:ascii="Book Antiqua" w:hAnsi="Book Antiqua" w:eastAsia="Book Antiqua" w:cs="Book Antiqua"/>
          <w:color w:val="000000"/>
        </w:rPr>
        <w:t>L1/PD</w:t>
      </w:r>
      <w:r>
        <w:rPr>
          <w:rFonts w:ascii="Book Antiqua" w:hAnsi="Book Antiqua" w:eastAsia="Book Antiqua" w:cs="Book Antiqua"/>
          <w:color w:val="000000"/>
        </w:rPr>
        <w:noBreakHyphen/>
      </w:r>
      <w:r>
        <w:rPr>
          <w:rFonts w:ascii="Book Antiqua" w:hAnsi="Book Antiqua" w:eastAsia="Book Antiqua" w:cs="Book Antiqua"/>
          <w:color w:val="000000"/>
        </w:rPr>
        <w:t xml:space="preserve">1 pathway. </w:t>
      </w:r>
      <w:r>
        <w:rPr>
          <w:rFonts w:ascii="Book Antiqua" w:hAnsi="Book Antiqua" w:eastAsia="Book Antiqua" w:cs="Book Antiqua"/>
          <w:i/>
          <w:iCs/>
          <w:color w:val="000000"/>
        </w:rPr>
        <w:t>Oncol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44</w:t>
      </w:r>
      <w:r>
        <w:rPr>
          <w:rFonts w:ascii="Book Antiqua" w:hAnsi="Book Antiqua" w:eastAsia="Book Antiqua" w:cs="Book Antiqua"/>
          <w:color w:val="000000"/>
        </w:rPr>
        <w:t>: 1885-1894 [PMID: 33000216 DOI: 10.3892/or.2020.7767]</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Gottfried E</w:t>
      </w:r>
      <w:r>
        <w:rPr>
          <w:rFonts w:ascii="Book Antiqua" w:hAnsi="Book Antiqua" w:eastAsia="Book Antiqua" w:cs="Book Antiqua"/>
          <w:color w:val="000000"/>
        </w:rPr>
        <w:t xml:space="preserve">, Kunz-Schughart LA, Ebner S, Mueller-Klieser W, Hoves S, Andreesen R, Mackensen A, Kreutz M. Tumor-derived lactic acid modulates dendritic cell activation and antigen expression.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2006; </w:t>
      </w:r>
      <w:r>
        <w:rPr>
          <w:rFonts w:ascii="Book Antiqua" w:hAnsi="Book Antiqua" w:eastAsia="Book Antiqua" w:cs="Book Antiqua"/>
          <w:b/>
          <w:bCs/>
          <w:color w:val="000000"/>
        </w:rPr>
        <w:t>107</w:t>
      </w:r>
      <w:r>
        <w:rPr>
          <w:rFonts w:ascii="Book Antiqua" w:hAnsi="Book Antiqua" w:eastAsia="Book Antiqua" w:cs="Book Antiqua"/>
          <w:color w:val="000000"/>
        </w:rPr>
        <w:t>: 2013-2021 [PMID: 16278308 DOI: 10.1182/blood-2005-05-1795]</w:t>
      </w:r>
    </w:p>
    <w:p>
      <w:pPr>
        <w:spacing w:line="360" w:lineRule="auto"/>
        <w:jc w:val="both"/>
      </w:pPr>
      <w:r>
        <w:rPr>
          <w:rFonts w:ascii="Book Antiqua" w:hAnsi="Book Antiqua" w:eastAsia="Book Antiqua" w:cs="Book Antiqua"/>
          <w:color w:val="000000"/>
        </w:rPr>
        <w:t xml:space="preserve">52 </w:t>
      </w:r>
      <w:r>
        <w:rPr>
          <w:rFonts w:ascii="Book Antiqua" w:hAnsi="Book Antiqua" w:eastAsia="Book Antiqua" w:cs="Book Antiqua"/>
          <w:b/>
          <w:bCs/>
          <w:color w:val="000000"/>
        </w:rPr>
        <w:t>Han Y</w:t>
      </w:r>
      <w:r>
        <w:rPr>
          <w:rFonts w:ascii="Book Antiqua" w:hAnsi="Book Antiqua" w:eastAsia="Book Antiqua" w:cs="Book Antiqua"/>
          <w:color w:val="000000"/>
        </w:rPr>
        <w:t xml:space="preserve">, Liu D, Li L. PD-1/PD-L1 pathway: current researches in cancer. </w:t>
      </w:r>
      <w:r>
        <w:rPr>
          <w:rFonts w:ascii="Book Antiqua" w:hAnsi="Book Antiqua" w:eastAsia="Book Antiqua" w:cs="Book Antiqua"/>
          <w:i/>
          <w:iCs/>
          <w:color w:val="000000"/>
        </w:rPr>
        <w:t>Am J Cancer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727-742 [PMID: 32266087]</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Rowshanravan B</w:t>
      </w:r>
      <w:r>
        <w:rPr>
          <w:rFonts w:ascii="Book Antiqua" w:hAnsi="Book Antiqua" w:eastAsia="Book Antiqua" w:cs="Book Antiqua"/>
          <w:color w:val="000000"/>
        </w:rPr>
        <w:t xml:space="preserve">, Halliday N, Sansom DM. CTLA-4: a moving target in immunotherapy.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2018; </w:t>
      </w:r>
      <w:r>
        <w:rPr>
          <w:rFonts w:ascii="Book Antiqua" w:hAnsi="Book Antiqua" w:eastAsia="Book Antiqua" w:cs="Book Antiqua"/>
          <w:b/>
          <w:bCs/>
          <w:color w:val="000000"/>
        </w:rPr>
        <w:t>131</w:t>
      </w:r>
      <w:r>
        <w:rPr>
          <w:rFonts w:ascii="Book Antiqua" w:hAnsi="Book Antiqua" w:eastAsia="Book Antiqua" w:cs="Book Antiqua"/>
          <w:color w:val="000000"/>
        </w:rPr>
        <w:t>: 58-67 [PMID: 29118008 DOI: 10.1182/blood-2017-06-741033]</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Chen J</w:t>
      </w:r>
      <w:r>
        <w:rPr>
          <w:rFonts w:ascii="Book Antiqua" w:hAnsi="Book Antiqua" w:eastAsia="Book Antiqua" w:cs="Book Antiqua"/>
          <w:color w:val="000000"/>
        </w:rPr>
        <w:t xml:space="preserve">, Gingold JA, Su X. Immunomodulatory TGF-β Signaling in Hepatocellular Carcinoma. </w:t>
      </w:r>
      <w:r>
        <w:rPr>
          <w:rFonts w:ascii="Book Antiqua" w:hAnsi="Book Antiqua" w:eastAsia="Book Antiqua" w:cs="Book Antiqua"/>
          <w:i/>
          <w:iCs/>
          <w:color w:val="000000"/>
        </w:rPr>
        <w:t>Trends Mol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25</w:t>
      </w:r>
      <w:r>
        <w:rPr>
          <w:rFonts w:ascii="Book Antiqua" w:hAnsi="Book Antiqua" w:eastAsia="Book Antiqua" w:cs="Book Antiqua"/>
          <w:color w:val="000000"/>
        </w:rPr>
        <w:t>: 1010-1023 [PMID: 31353124 DOI: 10.1016/j.molmed.2019.06.007]</w:t>
      </w:r>
    </w:p>
    <w:p>
      <w:pPr>
        <w:spacing w:line="360" w:lineRule="auto"/>
        <w:jc w:val="both"/>
      </w:pPr>
      <w:r>
        <w:rPr>
          <w:rFonts w:ascii="Book Antiqua" w:hAnsi="Book Antiqua" w:eastAsia="Book Antiqua" w:cs="Book Antiqua"/>
          <w:color w:val="000000"/>
        </w:rPr>
        <w:t xml:space="preserve">55 </w:t>
      </w:r>
      <w:r>
        <w:rPr>
          <w:rFonts w:ascii="Book Antiqua" w:hAnsi="Book Antiqua" w:eastAsia="Book Antiqua" w:cs="Book Antiqua"/>
          <w:b/>
          <w:bCs/>
          <w:color w:val="000000"/>
        </w:rPr>
        <w:t>Huang YH</w:t>
      </w:r>
      <w:r>
        <w:rPr>
          <w:rFonts w:ascii="Book Antiqua" w:hAnsi="Book Antiqua" w:eastAsia="Book Antiqua" w:cs="Book Antiqua"/>
          <w:color w:val="000000"/>
        </w:rPr>
        <w:t xml:space="preserve">, Zhu C, Kondo Y, Anderson AC, Gandhi A, Russell A, Dougan SK, Petersen BS, Melum E, Pertel T, Clayton KL, Raab M, Chen Q, Beauchemin N, Yazaki PJ, Pyzik M, Ostrowski MA, Glickman JN, Rudd CE, Ploegh HL, Franke A, Petsko GA, Kuchroo VK, Blumberg RS. CEACAM1 regulates TIM-3-mediated tolerance and exhaustion.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2015; </w:t>
      </w:r>
      <w:r>
        <w:rPr>
          <w:rFonts w:ascii="Book Antiqua" w:hAnsi="Book Antiqua" w:eastAsia="Book Antiqua" w:cs="Book Antiqua"/>
          <w:b/>
          <w:bCs/>
          <w:color w:val="000000"/>
        </w:rPr>
        <w:t>517</w:t>
      </w:r>
      <w:r>
        <w:rPr>
          <w:rFonts w:ascii="Book Antiqua" w:hAnsi="Book Antiqua" w:eastAsia="Book Antiqua" w:cs="Book Antiqua"/>
          <w:color w:val="000000"/>
        </w:rPr>
        <w:t>: 386-390 [PMID: 25363763 DOI: 10.1038/nature13848]</w:t>
      </w:r>
    </w:p>
    <w:p>
      <w:pPr>
        <w:spacing w:line="360" w:lineRule="auto"/>
        <w:jc w:val="both"/>
      </w:pPr>
      <w:r>
        <w:rPr>
          <w:rFonts w:ascii="Book Antiqua" w:hAnsi="Book Antiqua" w:eastAsia="Book Antiqua" w:cs="Book Antiqua"/>
          <w:color w:val="000000"/>
        </w:rPr>
        <w:t xml:space="preserve">56 </w:t>
      </w:r>
      <w:r>
        <w:rPr>
          <w:rFonts w:ascii="Book Antiqua" w:hAnsi="Book Antiqua" w:eastAsia="Book Antiqua" w:cs="Book Antiqua"/>
          <w:b/>
          <w:bCs/>
          <w:color w:val="000000"/>
        </w:rPr>
        <w:t>Sakuishi K</w:t>
      </w:r>
      <w:r>
        <w:rPr>
          <w:rFonts w:ascii="Book Antiqua" w:hAnsi="Book Antiqua" w:eastAsia="Book Antiqua" w:cs="Book Antiqua"/>
          <w:color w:val="000000"/>
        </w:rPr>
        <w:t>, Ngiow SF, Sullivan JM, Teng MW, Kuchroo VK, Smyth MJ, Anderson AC. TIM3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FOXP3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regulatory T cells are tissue-specific promoters of T-cell dysfunction in cancer. </w:t>
      </w:r>
      <w:r>
        <w:rPr>
          <w:rFonts w:ascii="Book Antiqua" w:hAnsi="Book Antiqua" w:eastAsia="Book Antiqua" w:cs="Book Antiqua"/>
          <w:i/>
          <w:iCs/>
          <w:color w:val="000000"/>
        </w:rPr>
        <w:t>Oncoimmunology</w:t>
      </w:r>
      <w:r>
        <w:rPr>
          <w:rFonts w:ascii="Book Antiqua" w:hAnsi="Book Antiqua" w:eastAsia="Book Antiqua" w:cs="Book Antiqua"/>
          <w:color w:val="000000"/>
        </w:rPr>
        <w:t xml:space="preserve"> 2013; </w:t>
      </w:r>
      <w:r>
        <w:rPr>
          <w:rFonts w:ascii="Book Antiqua" w:hAnsi="Book Antiqua" w:eastAsia="Book Antiqua" w:cs="Book Antiqua"/>
          <w:b/>
          <w:bCs/>
          <w:color w:val="000000"/>
        </w:rPr>
        <w:t>2</w:t>
      </w:r>
      <w:r>
        <w:rPr>
          <w:rFonts w:ascii="Book Antiqua" w:hAnsi="Book Antiqua" w:eastAsia="Book Antiqua" w:cs="Book Antiqua"/>
          <w:color w:val="000000"/>
        </w:rPr>
        <w:t>: e23849 [PMID: 23734331 DOI: 10.4161/onci.23849]</w:t>
      </w:r>
    </w:p>
    <w:p>
      <w:pPr>
        <w:spacing w:line="360" w:lineRule="auto"/>
        <w:jc w:val="both"/>
      </w:pPr>
      <w:r>
        <w:rPr>
          <w:rFonts w:ascii="Book Antiqua" w:hAnsi="Book Antiqua" w:eastAsia="Book Antiqua" w:cs="Book Antiqua"/>
          <w:color w:val="000000"/>
        </w:rPr>
        <w:t xml:space="preserve">57 </w:t>
      </w:r>
      <w:r>
        <w:rPr>
          <w:rFonts w:ascii="Book Antiqua" w:hAnsi="Book Antiqua" w:eastAsia="Book Antiqua" w:cs="Book Antiqua"/>
          <w:b/>
          <w:bCs/>
          <w:color w:val="000000"/>
        </w:rPr>
        <w:t>Lee MJ</w:t>
      </w:r>
      <w:r>
        <w:rPr>
          <w:rFonts w:ascii="Book Antiqua" w:hAnsi="Book Antiqua" w:eastAsia="Book Antiqua" w:cs="Book Antiqua"/>
          <w:color w:val="000000"/>
        </w:rPr>
        <w:t xml:space="preserve">, Yun SJ, Lee B, Jeong E, Yoon G, Kim K, Park S. Association of TIM-3 expression with glucose metabolism in Jurkat T cells. </w:t>
      </w:r>
      <w:r>
        <w:rPr>
          <w:rFonts w:ascii="Book Antiqua" w:hAnsi="Book Antiqua" w:eastAsia="Book Antiqua" w:cs="Book Antiqua"/>
          <w:i/>
          <w:iCs/>
          <w:color w:val="000000"/>
        </w:rPr>
        <w:t>BMC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48 [PMID: 32819283 DOI: 10.1186/s12865-020-00377-6]</w:t>
      </w:r>
      <w:bookmarkEnd w:id="4"/>
      <w:bookmarkEnd w:id="5"/>
      <w:bookmarkEnd w:id="6"/>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competing interest.</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Pr>
          <w:rFonts w:hint="eastAsia" w:ascii="Book Antiqua" w:hAnsi="Book Antiqua" w:cs="Book Antiqua"/>
          <w:color w:val="000000"/>
        </w:rPr>
        <w:t>s</w:t>
      </w:r>
      <w:r>
        <w:rPr>
          <w:rFonts w:ascii="Book Antiqua" w:hAnsi="Book Antiqua" w:eastAsia="Book Antiqua" w:cs="Book Antiqua"/>
          <w:color w:val="000000"/>
        </w:rPr>
        <w:t>://creativecommons.org/Licenses/by-nc/4.0/</w:t>
      </w:r>
    </w:p>
    <w:p>
      <w:pPr>
        <w:spacing w:line="360" w:lineRule="auto"/>
        <w:jc w:val="both"/>
      </w:pPr>
    </w:p>
    <w:p>
      <w:pPr>
        <w:spacing w:line="360" w:lineRule="auto"/>
        <w:rPr>
          <w:rFonts w:ascii="Book Antiqua" w:hAnsi="Book Antiqua"/>
        </w:rPr>
      </w:pPr>
      <w:bookmarkStart w:id="13" w:name="OLE_LINK437"/>
      <w:bookmarkStart w:id="14" w:name="OLE_LINK436"/>
      <w:r>
        <w:rPr>
          <w:rFonts w:ascii="Book Antiqua" w:hAnsi="Book Antiqua"/>
          <w:b/>
          <w:bCs/>
          <w:color w:val="000000"/>
        </w:rPr>
        <w:t>Provenance and peer review:</w:t>
      </w:r>
      <w:r>
        <w:rPr>
          <w:rStyle w:val="16"/>
          <w:rFonts w:hint="eastAsia" w:ascii="Book Antiqua" w:hAnsi="Book Antiqua"/>
          <w:b/>
          <w:bCs/>
          <w:color w:val="000000"/>
        </w:rPr>
        <w:t xml:space="preserve"> </w:t>
      </w:r>
      <w:r>
        <w:rPr>
          <w:rFonts w:ascii="Book Antiqua" w:hAnsi="Book Antiqua" w:eastAsia="Book Antiqua" w:cs="Book Antiqua"/>
          <w:color w:val="000000"/>
        </w:rPr>
        <w:t xml:space="preserve">Invited </w:t>
      </w:r>
      <w:r>
        <w:rPr>
          <w:rFonts w:ascii="Book Antiqua" w:hAnsi="Book Antiqua"/>
          <w:color w:val="000000"/>
        </w:rPr>
        <w:t>article; Externally peer reviewed.</w:t>
      </w:r>
    </w:p>
    <w:p>
      <w:pPr>
        <w:spacing w:line="360" w:lineRule="auto"/>
        <w:rPr>
          <w:rFonts w:ascii="Book Antiqua" w:hAnsi="Book Antiqua"/>
        </w:rPr>
      </w:pPr>
      <w:bookmarkStart w:id="15" w:name="OLE_LINK439"/>
      <w:bookmarkStart w:id="16" w:name="OLE_LINK438"/>
      <w:r>
        <w:rPr>
          <w:rFonts w:ascii="Book Antiqua" w:hAnsi="Book Antiqua"/>
          <w:b/>
        </w:rPr>
        <w:t>Peer-review model</w:t>
      </w:r>
      <w:r>
        <w:rPr>
          <w:rFonts w:ascii="Book Antiqua" w:hAnsi="Book Antiqua"/>
        </w:rPr>
        <w:t>: Single blind</w:t>
      </w:r>
      <w:bookmarkEnd w:id="13"/>
      <w:bookmarkEnd w:id="14"/>
      <w:bookmarkEnd w:id="15"/>
      <w:bookmarkEnd w:id="16"/>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21,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8,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February 25,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eastAsiaTheme="minorEastAsi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Farid K, Egypt</w:t>
      </w:r>
      <w:r>
        <w:rPr>
          <w:rFonts w:hint="eastAsia" w:ascii="Book Antiqua" w:hAnsi="Book Antiqua" w:cs="Book Antiqua" w:eastAsiaTheme="minorEastAsia"/>
          <w:color w:val="000000"/>
        </w:rPr>
        <w:t>;</w:t>
      </w:r>
      <w:r>
        <w:rPr>
          <w:rFonts w:ascii="Book Antiqua" w:hAnsi="Book Antiqua" w:eastAsia="Book Antiqua" w:cs="Book Antiqua"/>
          <w:color w:val="000000"/>
        </w:rPr>
        <w:t xml:space="preserve"> Florentino RM</w:t>
      </w:r>
      <w:r>
        <w:rPr>
          <w:rFonts w:hint="eastAsia" w:ascii="Book Antiqua" w:hAnsi="Book Antiqua" w:cs="Book Antiqua" w:eastAsiaTheme="minorEastAsia"/>
          <w:color w:val="000000"/>
        </w:rPr>
        <w:t xml:space="preserve">, </w:t>
      </w:r>
      <w:r>
        <w:rPr>
          <w:rFonts w:ascii="Book Antiqua" w:hAnsi="Book Antiqua"/>
          <w:color w:val="000000" w:themeColor="text1"/>
          <w14:textFill>
            <w14:solidFill>
              <w14:schemeClr w14:val="tx1"/>
            </w14:solidFill>
          </w14:textFill>
        </w:rPr>
        <w:t>United States</w:t>
      </w:r>
      <w:r>
        <w:rPr>
          <w:rFonts w:ascii="Book Antiqua" w:hAnsi="Book Antiqua" w:eastAsia="Book Antiqua" w:cs="Book Antiqua"/>
          <w:b/>
          <w:color w:val="000000"/>
        </w:rPr>
        <w:t xml:space="preserve"> S-Editor: </w:t>
      </w:r>
      <w:r>
        <w:rPr>
          <w:rFonts w:hint="eastAsia" w:ascii="Book Antiqua" w:hAnsi="Book Antiqua" w:cs="Book Antiqua"/>
          <w:color w:val="000000"/>
        </w:rPr>
        <w:t>Ma YJ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hint="eastAsia" w:ascii="Book Antiqua" w:hAnsi="Book Antiqua" w:eastAsia="Book Antiqua" w:cs="Book Antiqua"/>
          <w:color w:val="000000"/>
        </w:rPr>
        <w:t>Wu</w:t>
      </w:r>
      <w:r>
        <w:rPr>
          <w:rFonts w:ascii="Book Antiqua" w:hAnsi="Book Antiqua" w:eastAsia="Book Antiqua" w:cs="Book Antiqua"/>
          <w:color w:val="000000"/>
        </w:rPr>
        <w:t xml:space="preserve"> </w:t>
      </w:r>
      <w:r>
        <w:rPr>
          <w:rFonts w:hint="eastAsia" w:ascii="Book Antiqua" w:hAnsi="Book Antiqua" w:eastAsia="Book Antiqua" w:cs="Book Antiqua"/>
          <w:color w:val="000000"/>
        </w:rPr>
        <w:t>RR</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宋体"/>
          <w:lang w:eastAsia="zh-CN"/>
        </w:rPr>
      </w:pPr>
      <w:r>
        <w:rPr>
          <w:rFonts w:hint="eastAsia" w:eastAsia="宋体"/>
          <w:lang w:eastAsia="zh-CN"/>
        </w:rPr>
        <w:drawing>
          <wp:inline distT="0" distB="0" distL="114300" distR="114300">
            <wp:extent cx="5269865" cy="7525385"/>
            <wp:effectExtent l="0" t="0" r="3175" b="3175"/>
            <wp:docPr id="12" name="图片 12" descr="WJCC-10-398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3989-g001"/>
                    <pic:cNvPicPr>
                      <a:picLocks noChangeAspect="1"/>
                    </pic:cNvPicPr>
                  </pic:nvPicPr>
                  <pic:blipFill>
                    <a:blip r:embed="rId5"/>
                    <a:stretch>
                      <a:fillRect/>
                    </a:stretch>
                  </pic:blipFill>
                  <pic:spPr>
                    <a:xfrm>
                      <a:off x="0" y="0"/>
                      <a:ext cx="5269865" cy="7525385"/>
                    </a:xfrm>
                    <a:prstGeom prst="rect">
                      <a:avLst/>
                    </a:prstGeom>
                  </pic:spPr>
                </pic:pic>
              </a:graphicData>
            </a:graphic>
          </wp:inline>
        </w:drawing>
      </w:r>
    </w:p>
    <w:p>
      <w:pPr>
        <w:spacing w:line="360" w:lineRule="auto"/>
        <w:jc w:val="both"/>
        <w:rPr>
          <w:rFonts w:hint="eastAsia" w:eastAsia="宋体"/>
          <w:lang w:eastAsia="zh-CN"/>
        </w:rPr>
      </w:pPr>
      <w:r>
        <w:rPr>
          <w:rFonts w:ascii="Book Antiqua" w:hAnsi="Book Antiqua" w:eastAsia="Book Antiqua" w:cs="Book Antiqua"/>
          <w:b/>
          <w:bCs/>
          <w:color w:val="000000"/>
          <w:shd w:val="clear" w:color="auto" w:fill="FFFFFF"/>
        </w:rPr>
        <w:t>Figure 1 Solute carrier family 2 member 1 expression was increased whereas solute carrier family 2 member 2 expression was decreased in liver cancer.</w:t>
      </w:r>
      <w:r>
        <w:rPr>
          <w:rFonts w:ascii="Book Antiqua" w:hAnsi="Book Antiqua" w:eastAsia="Book Antiqua" w:cs="Book Antiqua"/>
          <w:color w:val="000000"/>
          <w:shd w:val="clear" w:color="auto" w:fill="FFFFFF"/>
        </w:rPr>
        <w:t xml:space="preserve"> A: The reads per kilobase million (RPKM) of solute carrier family 2 in normal liver tissues from 95 human individuals by National Center for Biotechnology Information's gene database. The RPKM of solute carrier family 2 member 2 (SLC2A2) was 193.619, while solute carrier family 2 member 1 (SLC2A1) was almost undetectable; B: The fragments per kilobase million (FPKM) of solute carrier family 2 in HepG2 cells by RNA sequencing. The FPKM of SLC2A1 was 314.336 while SLC2A2 was 2.68857 in HepG2 cells; C: The FPKM of solute carrier family 2 in HepG2215 cells by RNA sequencing. The FPKM of SLC2A1 was 412.048 while SLC2A2 was 12.0905 in HepG2215 cells; D: The messenger RNA expression level of SLC2A1 was increased while that of SLC2A2 was decreased in hepatocellular carcinoma (HCC) in the cohort </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gene expression series 121248 (GSE121248)</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E: The messenger RNA expression level of SLC2A1 was increased while that of SLC2A2 was decreased in HCC compared with normal tissues in The Cancer Genome Atlas (TCGA); F: Immunofluorescence analysis revealed that SLC2A1 protein expression was expressed and SLC2A2 protein expression was weakly expressed in HepG2 cells in the Human Protein Atlas; G: Immunohistochemical analysis showed the expression level of SLC2A1 was increased while SLC2A2 was decreased in liver cancer compared with normal tissues in the Human Protein Atlas. </w:t>
      </w:r>
      <w:bookmarkStart w:id="17" w:name="OLE_LINK12"/>
      <w:bookmarkStart w:id="18" w:name="OLE_LINK13"/>
      <w:bookmarkStart w:id="19" w:name="OLE_LINK14"/>
      <w:bookmarkStart w:id="20" w:name="OLE_LINK15"/>
      <w:r>
        <w:rPr>
          <w:rFonts w:hint="eastAsia" w:ascii="Book Antiqua" w:hAnsi="Book Antiqua" w:cs="Book Antiqua"/>
          <w:color w:val="000000"/>
          <w:shd w:val="clear" w:color="auto" w:fill="FFFFFF"/>
          <w:vertAlign w:val="superscript"/>
        </w:rPr>
        <w:t>a</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w:t>
      </w:r>
      <w:bookmarkEnd w:id="17"/>
      <w:bookmarkEnd w:id="18"/>
      <w:r>
        <w:rPr>
          <w:rFonts w:ascii="Book Antiqua" w:hAnsi="Book Antiqua" w:eastAsia="Book Antiqua" w:cs="Book Antiqua"/>
          <w:color w:val="000000"/>
          <w:shd w:val="clear" w:color="auto" w:fill="FFFFFF"/>
        </w:rPr>
        <w:t xml:space="preserve"> 0.05; </w:t>
      </w:r>
      <w:r>
        <w:rPr>
          <w:rFonts w:hint="eastAsia" w:ascii="Book Antiqua" w:hAnsi="Book Antiqua" w:cs="Book Antiqua"/>
          <w:color w:val="000000"/>
          <w:shd w:val="clear" w:color="auto" w:fill="FFFFFF"/>
          <w:vertAlign w:val="superscript"/>
        </w:rPr>
        <w:t>b</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0.01; </w:t>
      </w:r>
      <w:r>
        <w:rPr>
          <w:rFonts w:hint="eastAsia" w:ascii="Book Antiqua" w:hAnsi="Book Antiqua" w:cs="Book Antiqua"/>
          <w:color w:val="000000"/>
          <w:shd w:val="clear" w:color="auto" w:fill="FFFFFF"/>
          <w:vertAlign w:val="superscript"/>
        </w:rPr>
        <w:t>c</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0.001</w:t>
      </w:r>
      <w:bookmarkEnd w:id="19"/>
      <w:bookmarkEnd w:id="20"/>
      <w:r>
        <w:rPr>
          <w:rFonts w:hint="eastAsia" w:ascii="Book Antiqua" w:hAnsi="Book Antiqua" w:cs="Book Antiqua"/>
          <w:color w:val="000000"/>
          <w:shd w:val="clear" w:color="auto" w:fill="FFFFFF"/>
        </w:rPr>
        <w:t>.</w:t>
      </w:r>
      <w:r>
        <w:rPr>
          <w:rFonts w:ascii="Book Antiqua" w:hAnsi="Book Antiqua" w:cs="Book Antiqua"/>
          <w:color w:val="000000"/>
          <w:shd w:val="clear" w:color="auto" w:fill="FFFFFF"/>
        </w:rPr>
        <w:t xml:space="preserve"> </w:t>
      </w:r>
      <w:r>
        <w:br w:type="page"/>
      </w:r>
      <w:r>
        <w:rPr>
          <w:rFonts w:hint="eastAsia" w:eastAsia="宋体"/>
          <w:lang w:eastAsia="zh-CN"/>
        </w:rPr>
        <w:drawing>
          <wp:inline distT="0" distB="0" distL="114300" distR="114300">
            <wp:extent cx="5274310" cy="2624455"/>
            <wp:effectExtent l="0" t="0" r="13970" b="12065"/>
            <wp:docPr id="1" name="图片 1" descr="WJCC-10-398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3989-g002"/>
                    <pic:cNvPicPr>
                      <a:picLocks noChangeAspect="1"/>
                    </pic:cNvPicPr>
                  </pic:nvPicPr>
                  <pic:blipFill>
                    <a:blip r:embed="rId6"/>
                    <a:stretch>
                      <a:fillRect/>
                    </a:stretch>
                  </pic:blipFill>
                  <pic:spPr>
                    <a:xfrm>
                      <a:off x="0" y="0"/>
                      <a:ext cx="5274310" cy="2624455"/>
                    </a:xfrm>
                    <a:prstGeom prst="rect">
                      <a:avLst/>
                    </a:prstGeom>
                  </pic:spPr>
                </pic:pic>
              </a:graphicData>
            </a:graphic>
          </wp:inline>
        </w:drawing>
      </w:r>
      <w:bookmarkStart w:id="21" w:name="_GoBack"/>
      <w:bookmarkEnd w:id="21"/>
    </w:p>
    <w:p>
      <w:pPr>
        <w:spacing w:line="360" w:lineRule="auto"/>
        <w:jc w:val="both"/>
      </w:pPr>
      <w:r>
        <w:rPr>
          <w:rFonts w:ascii="Book Antiqua" w:hAnsi="Book Antiqua" w:eastAsia="Book Antiqua" w:cs="Book Antiqua"/>
          <w:b/>
          <w:bCs/>
          <w:color w:val="000000"/>
          <w:shd w:val="clear" w:color="auto" w:fill="FFFFFF"/>
        </w:rPr>
        <w:t xml:space="preserve">Figure 2 Solute carrier family 2 member 1 and solute carrier family 2 member 2 messenger RNA expression levels in different human cancers were changed by using </w:t>
      </w:r>
      <w:r>
        <w:rPr>
          <w:rFonts w:hint="eastAsia" w:ascii="Book Antiqua" w:hAnsi="Book Antiqua" w:eastAsia="Book Antiqua" w:cs="Book Antiqua"/>
          <w:b/>
          <w:bCs/>
          <w:color w:val="000000"/>
          <w:shd w:val="clear" w:color="auto" w:fill="FFFFFF"/>
        </w:rPr>
        <w:t>t</w:t>
      </w:r>
      <w:r>
        <w:rPr>
          <w:rFonts w:ascii="Book Antiqua" w:hAnsi="Book Antiqua" w:eastAsia="Book Antiqua" w:cs="Book Antiqua"/>
          <w:b/>
          <w:bCs/>
          <w:color w:val="000000"/>
          <w:shd w:val="clear" w:color="auto" w:fill="FFFFFF"/>
        </w:rPr>
        <w:t>umor immune estimation resource and ONCOMINE databases.</w:t>
      </w:r>
      <w:r>
        <w:rPr>
          <w:rFonts w:ascii="Book Antiqua" w:hAnsi="Book Antiqua" w:eastAsia="Book Antiqua" w:cs="Book Antiqua"/>
          <w:color w:val="000000"/>
          <w:shd w:val="clear" w:color="auto" w:fill="FFFFFF"/>
        </w:rPr>
        <w:t xml:space="preserve"> A: The messenger RNA expression levels of solute carrier family 2 member 1 (SLC2A1) and solute carrier family 2 member 2 (SLC2A2) in different types of human cancers by the Tumor Immune Estimation Resource database; B: The messenger RNA expression levels of SLC2A1 and SLC2A2 in different human cancers by ONCOMINE database. </w:t>
      </w:r>
      <w:r>
        <w:rPr>
          <w:rFonts w:hint="eastAsia" w:ascii="Book Antiqua" w:hAnsi="Book Antiqua" w:cs="Book Antiqua"/>
          <w:color w:val="000000"/>
          <w:shd w:val="clear" w:color="auto" w:fill="FFFFFF"/>
          <w:vertAlign w:val="superscript"/>
        </w:rPr>
        <w:t>a</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0.05, </w:t>
      </w:r>
      <w:r>
        <w:rPr>
          <w:rFonts w:hint="eastAsia" w:ascii="Book Antiqua" w:hAnsi="Book Antiqua" w:cs="Book Antiqua"/>
          <w:color w:val="000000"/>
          <w:shd w:val="clear" w:color="auto" w:fill="FFFFFF"/>
          <w:vertAlign w:val="superscript"/>
        </w:rPr>
        <w:t>b</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0.01, </w:t>
      </w:r>
      <w:r>
        <w:rPr>
          <w:rFonts w:hint="eastAsia" w:ascii="Book Antiqua" w:hAnsi="Book Antiqua" w:cs="Book Antiqua"/>
          <w:color w:val="000000"/>
          <w:shd w:val="clear" w:color="auto" w:fill="FFFFFF"/>
          <w:vertAlign w:val="superscript"/>
        </w:rPr>
        <w:t>c</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0.001. TPM: Transcripts per million;</w:t>
      </w:r>
      <w:r>
        <w:rPr>
          <w:rFonts w:ascii="Book Antiqua" w:hAnsi="Book Antiqua" w:eastAsia="Book Antiqua" w:cs="Book Antiqua"/>
          <w:color w:val="000000"/>
        </w:rPr>
        <w:t xml:space="preserve"> ACC:</w:t>
      </w:r>
      <w:r>
        <w:rPr>
          <w:rFonts w:ascii="Book Antiqua" w:hAnsi="Book Antiqua" w:eastAsia="Book Antiqua" w:cs="Book Antiqua"/>
          <w:color w:val="000000"/>
          <w:szCs w:val="21"/>
        </w:rPr>
        <w:t xml:space="preserve"> </w:t>
      </w:r>
      <w:r>
        <w:rPr>
          <w:rFonts w:ascii="Book Antiqua" w:hAnsi="Book Antiqua" w:eastAsia="Book Antiqua" w:cs="Book Antiqua"/>
          <w:color w:val="000000"/>
        </w:rPr>
        <w:t>Adrenocortical carcinoma; BLCA: Bladder urothelial carcinoma; BRCA: Breast invasive carcinoma; CESC: Cervical squamous cell carcinoma and endometrial adenocarcinoma; CHOL: Cholangiocarcinoma; COAD: Colon adenocarcinoma; ESCA: Esophageal carcinoma; GBM: Glioblastoma multiforme; HNSC: Head and neck cancer; KICH: Kidney chromophobe; KIRC: Kidney renal clear cell carcinoma; KIRP: Kidney renal papillary cell carcinoma; LAML:</w:t>
      </w:r>
      <w:r>
        <w:rPr>
          <w:rFonts w:ascii="Book Antiqua" w:hAnsi="Book Antiqua" w:eastAsia="Book Antiqua" w:cs="Book Antiqua"/>
          <w:color w:val="000000"/>
          <w:szCs w:val="21"/>
        </w:rPr>
        <w:t xml:space="preserve"> </w:t>
      </w:r>
      <w:r>
        <w:rPr>
          <w:rFonts w:ascii="Book Antiqua" w:hAnsi="Book Antiqua" w:eastAsia="Book Antiqua" w:cs="Book Antiqua"/>
          <w:color w:val="000000"/>
        </w:rPr>
        <w:t>Acute Myeloid Leukemia; LGG:</w:t>
      </w:r>
      <w:r>
        <w:rPr>
          <w:rFonts w:ascii="Book Antiqua" w:hAnsi="Book Antiqua" w:eastAsia="Book Antiqua" w:cs="Book Antiqua"/>
          <w:color w:val="000000"/>
          <w:szCs w:val="21"/>
        </w:rPr>
        <w:t xml:space="preserve"> </w:t>
      </w:r>
      <w:r>
        <w:rPr>
          <w:rFonts w:ascii="Book Antiqua" w:hAnsi="Book Antiqua" w:eastAsia="Book Antiqua" w:cs="Book Antiqua"/>
          <w:color w:val="000000"/>
        </w:rPr>
        <w:t>Brain Lower Grade Glioma; LIHC: Liver hepatocellular carcinoma; LUAD: Lung adenocarcinoma; LUSC: Lung squamous cell carcinoma; MESO:</w:t>
      </w:r>
      <w:r>
        <w:rPr>
          <w:rFonts w:ascii="Book Antiqua" w:hAnsi="Book Antiqua" w:eastAsia="Book Antiqua" w:cs="Book Antiqua"/>
          <w:color w:val="000000"/>
          <w:szCs w:val="21"/>
        </w:rPr>
        <w:t xml:space="preserve"> </w:t>
      </w:r>
      <w:r>
        <w:rPr>
          <w:rFonts w:ascii="Book Antiqua" w:hAnsi="Book Antiqua" w:eastAsia="Book Antiqua" w:cs="Book Antiqua"/>
          <w:color w:val="000000"/>
        </w:rPr>
        <w:t>Mesothelioma; OV:</w:t>
      </w:r>
      <w:r>
        <w:rPr>
          <w:rFonts w:ascii="Book Antiqua" w:hAnsi="Book Antiqua" w:eastAsia="Book Antiqua" w:cs="Book Antiqua"/>
          <w:color w:val="000000"/>
          <w:szCs w:val="21"/>
        </w:rPr>
        <w:t xml:space="preserve"> </w:t>
      </w:r>
      <w:r>
        <w:rPr>
          <w:rFonts w:ascii="Book Antiqua" w:hAnsi="Book Antiqua" w:eastAsia="Book Antiqua" w:cs="Book Antiqua"/>
          <w:color w:val="000000"/>
        </w:rPr>
        <w:t>Ovarian serous cystadenocarcinoma; PAAD:</w:t>
      </w:r>
      <w:r>
        <w:rPr>
          <w:rFonts w:ascii="Book Antiqua" w:hAnsi="Book Antiqua" w:eastAsia="Book Antiqua" w:cs="Book Antiqua"/>
          <w:color w:val="000000"/>
          <w:szCs w:val="21"/>
        </w:rPr>
        <w:t xml:space="preserve"> </w:t>
      </w:r>
      <w:r>
        <w:rPr>
          <w:rFonts w:ascii="Book Antiqua" w:hAnsi="Book Antiqua" w:eastAsia="Book Antiqua" w:cs="Book Antiqua"/>
          <w:color w:val="000000"/>
        </w:rPr>
        <w:t>Pancreatic adenocarcinoma; PCPG:</w:t>
      </w:r>
      <w:r>
        <w:rPr>
          <w:rFonts w:ascii="Book Antiqua" w:hAnsi="Book Antiqua" w:eastAsia="Book Antiqua" w:cs="Book Antiqua"/>
          <w:color w:val="000000"/>
          <w:szCs w:val="21"/>
        </w:rPr>
        <w:t xml:space="preserve"> </w:t>
      </w:r>
      <w:r>
        <w:rPr>
          <w:rFonts w:ascii="Book Antiqua" w:hAnsi="Book Antiqua" w:eastAsia="Book Antiqua" w:cs="Book Antiqua"/>
          <w:color w:val="000000"/>
        </w:rPr>
        <w:t>Pheochromocytoma and paraganglioma; PRAD: Prostate adenocarcinoma; READ: Rectum adenocarcinoma; SARC:</w:t>
      </w:r>
      <w:r>
        <w:rPr>
          <w:rFonts w:ascii="Book Antiqua" w:hAnsi="Book Antiqua" w:eastAsia="Book Antiqua" w:cs="Book Antiqua"/>
          <w:color w:val="000000"/>
          <w:szCs w:val="21"/>
        </w:rPr>
        <w:t xml:space="preserve"> </w:t>
      </w:r>
      <w:r>
        <w:rPr>
          <w:rFonts w:ascii="Book Antiqua" w:hAnsi="Book Antiqua" w:eastAsia="Book Antiqua" w:cs="Book Antiqua"/>
          <w:color w:val="000000"/>
        </w:rPr>
        <w:t>Sarcoma; SKCM:</w:t>
      </w:r>
      <w:r>
        <w:rPr>
          <w:rFonts w:ascii="Book Antiqua" w:hAnsi="Book Antiqua" w:eastAsia="Book Antiqua" w:cs="Book Antiqua"/>
          <w:color w:val="000000"/>
          <w:szCs w:val="21"/>
        </w:rPr>
        <w:t xml:space="preserve"> </w:t>
      </w:r>
      <w:r>
        <w:rPr>
          <w:rFonts w:ascii="Book Antiqua" w:hAnsi="Book Antiqua" w:eastAsia="Book Antiqua" w:cs="Book Antiqua"/>
          <w:color w:val="000000"/>
        </w:rPr>
        <w:t>Skin Cutaneous Melanoma; STAD stomach adenocarcinoma; TGCT:</w:t>
      </w:r>
      <w:r>
        <w:rPr>
          <w:rFonts w:ascii="Book Antiqua" w:hAnsi="Book Antiqua" w:eastAsia="Book Antiqua" w:cs="Book Antiqua"/>
          <w:color w:val="000000"/>
          <w:szCs w:val="21"/>
        </w:rPr>
        <w:t xml:space="preserve"> </w:t>
      </w:r>
      <w:r>
        <w:rPr>
          <w:rFonts w:ascii="Book Antiqua" w:hAnsi="Book Antiqua" w:eastAsia="Book Antiqua" w:cs="Book Antiqua"/>
          <w:color w:val="000000"/>
        </w:rPr>
        <w:t>Testicular Germ Cell Tumors; THCA: Thyroid carcinoma; THYM</w:t>
      </w:r>
      <w:r>
        <w:rPr>
          <w:rFonts w:ascii="Book Antiqua" w:hAnsi="Book Antiqua" w:eastAsia="Book Antiqua" w:cs="Book Antiqua"/>
          <w:color w:val="000000"/>
          <w:szCs w:val="21"/>
        </w:rPr>
        <w:t xml:space="preserve">: </w:t>
      </w:r>
      <w:r>
        <w:rPr>
          <w:rFonts w:ascii="Book Antiqua" w:hAnsi="Book Antiqua" w:eastAsia="Book Antiqua" w:cs="Book Antiqua"/>
          <w:color w:val="000000"/>
        </w:rPr>
        <w:t>Thymoma; UCEC: Uterine corpus endometrial carcinoma; UCS</w:t>
      </w:r>
      <w:r>
        <w:rPr>
          <w:rFonts w:hint="eastAsia" w:ascii="Book Antiqua" w:hAnsi="Book Antiqua" w:cs="Book Antiqua"/>
          <w:color w:val="000000"/>
        </w:rPr>
        <w:t>:</w:t>
      </w:r>
      <w:r>
        <w:rPr>
          <w:rFonts w:ascii="Book Antiqua" w:hAnsi="Book Antiqua" w:eastAsia="Book Antiqua" w:cs="Book Antiqua"/>
          <w:color w:val="000000"/>
          <w:szCs w:val="21"/>
        </w:rPr>
        <w:t xml:space="preserve"> </w:t>
      </w:r>
      <w:r>
        <w:rPr>
          <w:rFonts w:ascii="Book Antiqua" w:hAnsi="Book Antiqua" w:eastAsia="Book Antiqua" w:cs="Book Antiqua"/>
          <w:color w:val="000000"/>
        </w:rPr>
        <w:t>Uterine carcinosarcoma; UVM:</w:t>
      </w:r>
      <w:r>
        <w:rPr>
          <w:rFonts w:ascii="Book Antiqua" w:hAnsi="Book Antiqua" w:eastAsia="Book Antiqua" w:cs="Book Antiqua"/>
          <w:color w:val="000000"/>
          <w:szCs w:val="21"/>
        </w:rPr>
        <w:t xml:space="preserve"> </w:t>
      </w:r>
      <w:r>
        <w:rPr>
          <w:rFonts w:ascii="Book Antiqua" w:hAnsi="Book Antiqua" w:eastAsia="Book Antiqua" w:cs="Book Antiqua"/>
          <w:color w:val="000000"/>
        </w:rPr>
        <w:t>Uveal melanoma.</w:t>
      </w:r>
    </w:p>
    <w:p>
      <w:pPr>
        <w:spacing w:line="360" w:lineRule="auto"/>
        <w:jc w:val="both"/>
      </w:pPr>
      <w:r>
        <w:br w:type="page"/>
      </w:r>
      <w:r>
        <w:drawing>
          <wp:inline distT="0" distB="0" distL="0" distR="0">
            <wp:extent cx="5486400" cy="2119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86400" cy="211963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hd w:val="clear" w:color="auto" w:fill="FFFFFF"/>
        </w:rPr>
        <w:t>Figure 3</w:t>
      </w:r>
      <w:r>
        <w:rPr>
          <w:rFonts w:hint="eastAsia"/>
        </w:rPr>
        <w:t xml:space="preserve"> </w:t>
      </w:r>
      <w:r>
        <w:rPr>
          <w:rFonts w:ascii="Book Antiqua" w:hAnsi="Book Antiqua" w:eastAsia="Book Antiqua" w:cs="Book Antiqua"/>
          <w:b/>
          <w:bCs/>
          <w:color w:val="000000"/>
          <w:shd w:val="clear" w:color="auto" w:fill="FFFFFF"/>
        </w:rPr>
        <w:t>Solute carrier family 2 member 1 and solute carrier family 2 member 2 transcription levels in hepatocellular carcinoma patients were correlated with tumor volume, grade, and stage.</w:t>
      </w:r>
      <w:r>
        <w:rPr>
          <w:rFonts w:ascii="Book Antiqua" w:hAnsi="Book Antiqua" w:eastAsia="Book Antiqua" w:cs="Book Antiqua"/>
          <w:color w:val="000000"/>
          <w:shd w:val="clear" w:color="auto" w:fill="FFFFFF"/>
        </w:rPr>
        <w:t xml:space="preserve"> A: Solute carrier family 2 member 1 (SLC2A1) level gradually increased whereas solute carrier family 2 member 2 (SLC2A2) level gradually decreased with the process of primary tumor volume enlargement in The Cancer Genome Atlas (TCGA) data</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B: SLC2A1 level gradually increased, whereas SLC2A2 level gradually decreased with the process of hepatocellular carcinoma (HCC) grade in TCGA data</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C: SLC2A1 level gradually increased whereas SLC2A2 level gradually decreased with the process of HCC grade in the UALCAN database</w:t>
      </w:r>
      <w:r>
        <w:rPr>
          <w:rFonts w:hint="eastAsia" w:ascii="Book Antiqua" w:hAnsi="Book Antiqua" w:cs="Book Antiqua"/>
          <w:color w:val="000000"/>
          <w:shd w:val="clear" w:color="auto" w:fill="FFFFFF"/>
        </w:rPr>
        <w:t>;</w:t>
      </w:r>
      <w:r>
        <w:rPr>
          <w:rFonts w:ascii="Book Antiqua" w:hAnsi="Book Antiqua" w:eastAsia="Book Antiqua" w:cs="Book Antiqua"/>
          <w:color w:val="000000"/>
          <w:shd w:val="clear" w:color="auto" w:fill="FFFFFF"/>
        </w:rPr>
        <w:t xml:space="preserve"> D: SLC2A1 level gradually increased, whereas SLC2A2 level gradually decreased with the process of HCC stage in UALCAN database. </w:t>
      </w:r>
      <w:r>
        <w:rPr>
          <w:rFonts w:hint="eastAsia" w:ascii="Book Antiqua" w:hAnsi="Book Antiqua" w:cs="Book Antiqua"/>
          <w:color w:val="000000"/>
          <w:shd w:val="clear" w:color="auto" w:fill="FFFFFF"/>
          <w:vertAlign w:val="superscript"/>
        </w:rPr>
        <w:t>a</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0.05; </w:t>
      </w:r>
      <w:r>
        <w:rPr>
          <w:rFonts w:hint="eastAsia" w:ascii="Book Antiqua" w:hAnsi="Book Antiqua" w:cs="Book Antiqua"/>
          <w:color w:val="000000"/>
          <w:shd w:val="clear" w:color="auto" w:fill="FFFFFF"/>
          <w:vertAlign w:val="superscript"/>
        </w:rPr>
        <w:t>b</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0.01; </w:t>
      </w:r>
      <w:r>
        <w:rPr>
          <w:rFonts w:hint="eastAsia" w:ascii="Book Antiqua" w:hAnsi="Book Antiqua" w:cs="Book Antiqua"/>
          <w:color w:val="000000"/>
          <w:shd w:val="clear" w:color="auto" w:fill="FFFFFF"/>
          <w:vertAlign w:val="superscript"/>
        </w:rPr>
        <w:t>c</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0.001.</w:t>
      </w:r>
    </w:p>
    <w:p>
      <w:pPr>
        <w:spacing w:line="360" w:lineRule="auto"/>
        <w:jc w:val="both"/>
        <w:rPr>
          <w:rFonts w:hint="eastAsia" w:eastAsia="宋体"/>
          <w:lang w:eastAsia="zh-CN"/>
        </w:rPr>
      </w:pPr>
      <w:r>
        <w:br w:type="page"/>
      </w:r>
      <w:r>
        <w:rPr>
          <w:rFonts w:hint="eastAsia" w:eastAsia="宋体"/>
          <w:lang w:eastAsia="zh-CN"/>
        </w:rPr>
        <w:drawing>
          <wp:inline distT="0" distB="0" distL="114300" distR="114300">
            <wp:extent cx="5270500" cy="3867785"/>
            <wp:effectExtent l="0" t="0" r="2540" b="3175"/>
            <wp:docPr id="14" name="图片 14" descr="WJCC-10-398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C-10-3989-g004"/>
                    <pic:cNvPicPr>
                      <a:picLocks noChangeAspect="1"/>
                    </pic:cNvPicPr>
                  </pic:nvPicPr>
                  <pic:blipFill>
                    <a:blip r:embed="rId8"/>
                    <a:stretch>
                      <a:fillRect/>
                    </a:stretch>
                  </pic:blipFill>
                  <pic:spPr>
                    <a:xfrm>
                      <a:off x="0" y="0"/>
                      <a:ext cx="5270500" cy="386778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hd w:val="clear" w:color="auto" w:fill="FFFFFF"/>
        </w:rPr>
        <w:t>Figure 4 Solute carrier family 2 member 1 and solute carrier family 2 member 2 messenger RNA levels were correlated with survival rates</w:t>
      </w:r>
      <w:r>
        <w:rPr>
          <w:rFonts w:ascii="Book Antiqua" w:hAnsi="Book Antiqua" w:eastAsia="Book Antiqua" w:cs="Book Antiqua"/>
          <w:color w:val="000000"/>
          <w:shd w:val="clear" w:color="auto" w:fill="FFFFFF"/>
        </w:rPr>
        <w:t xml:space="preserve"> </w:t>
      </w:r>
      <w:r>
        <w:rPr>
          <w:rFonts w:ascii="Book Antiqua" w:hAnsi="Book Antiqua" w:eastAsia="Book Antiqua" w:cs="Book Antiqua"/>
          <w:b/>
          <w:bCs/>
          <w:color w:val="000000"/>
          <w:shd w:val="clear" w:color="auto" w:fill="FFFFFF"/>
        </w:rPr>
        <w:t xml:space="preserve">of hepatocellular carcinoma patients in The Cancer Genome Atlas data and the Kaplan-Meier Plotter database. </w:t>
      </w:r>
      <w:r>
        <w:rPr>
          <w:rFonts w:ascii="Book Antiqua" w:hAnsi="Book Antiqua" w:eastAsia="Book Antiqua" w:cs="Book Antiqua"/>
          <w:color w:val="000000"/>
          <w:shd w:val="clear" w:color="auto" w:fill="FFFFFF"/>
        </w:rPr>
        <w:t xml:space="preserve">A: In The Cancer Genome Atlas (TCGA) database, the top graph represents the scatter graph of solute carrier family 2 member 1 (SLC2A1) expression from low to high, where the blue represented the low expression group and the red represented the high expression group. The middle graph represents the scatter graph of the survival time and survival state corresponding to the SLC2A1 expression level of different samples. The bottom graph is a heat map of the expression of SLC2A1 in diverse samples; B: According to the expression level of SLC2A1, the patients were divided into the high expression group and the low expression group, and the results suggested that the low expression group had better overall survival (OS); C: Area under the curve (AUC) of SLC2A1 in 1, 3, and 5 years. The higher the value was, the stronger the predictive ability of the gene was; D: In TCGA database, the top graph represents the scatter graph of solute carrier family 2 member 2 (SLC2A2) expression from low to high, where the blue represents the low expression group and the red represents the high expression group. The middle graph represents the scatter graph of the survival time and survival state corresponding to the SLC2A2 expression level of different samples. The bottom graph is a heat map of the expression of SLC2A2 in diverse samples; E: According to the expression level of SLC2A2, the patients were divided into the high expression group and the low expression group and the results suggested that the low expression group had poor OS; F: AUC of SLC2A2 in 1, 3, and 5 years. The higher the value was, the stronger the prognostic ability of the gene; G: Hepatocellular carcinoma (HCC) patients with high expression of SLC2A1 had poorer OS [hazard ratio (HR): 2.25,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3.7e-06] and relapse-free survival (RFS) (HR:</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1.4,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0.075); H: HCC patients with high expression of SLC2A2 had better OS (HR:</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2.25,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3.7e-06) and RFS (HR:</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0.55,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6.6e-04). </w:t>
      </w:r>
    </w:p>
    <w:p>
      <w:pPr>
        <w:spacing w:line="360" w:lineRule="auto"/>
        <w:jc w:val="both"/>
        <w:rPr>
          <w:rFonts w:hint="eastAsia" w:eastAsia="宋体"/>
          <w:lang w:eastAsia="zh-CN"/>
        </w:rPr>
      </w:pPr>
      <w:r>
        <w:br w:type="page"/>
      </w:r>
      <w:r>
        <w:rPr>
          <w:rFonts w:hint="eastAsia" w:eastAsia="宋体"/>
          <w:lang w:eastAsia="zh-CN"/>
        </w:rPr>
        <w:drawing>
          <wp:inline distT="0" distB="0" distL="114300" distR="114300">
            <wp:extent cx="4855210" cy="4819015"/>
            <wp:effectExtent l="0" t="0" r="6350" b="12065"/>
            <wp:docPr id="15" name="图片 15" descr="WJCC-10-398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C-10-3989-g005"/>
                    <pic:cNvPicPr>
                      <a:picLocks noChangeAspect="1"/>
                    </pic:cNvPicPr>
                  </pic:nvPicPr>
                  <pic:blipFill>
                    <a:blip r:embed="rId9"/>
                    <a:stretch>
                      <a:fillRect/>
                    </a:stretch>
                  </pic:blipFill>
                  <pic:spPr>
                    <a:xfrm>
                      <a:off x="0" y="0"/>
                      <a:ext cx="4855210" cy="481901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hd w:val="clear" w:color="auto" w:fill="FFFFFF"/>
        </w:rPr>
        <w:t xml:space="preserve">Figure 5 Solute carrier family 2 member 1 and solute carrier family 2 member 2 showed negative correlations in hepatocellular carcinoma patients in multiple databases. </w:t>
      </w:r>
      <w:r>
        <w:rPr>
          <w:rFonts w:ascii="Book Antiqua" w:hAnsi="Book Antiqua" w:eastAsia="Book Antiqua" w:cs="Book Antiqua"/>
          <w:color w:val="000000"/>
          <w:shd w:val="clear" w:color="auto" w:fill="FFFFFF"/>
        </w:rPr>
        <w:t>A: solute carrier family 2 member 1 (SLC2A1) was negatively correlated with solute carrier family 2 member 2 (SLC2A2) in the cohort gene expression series 121248 (</w:t>
      </w:r>
      <w:r>
        <w:rPr>
          <w:rFonts w:ascii="Book Antiqua" w:hAnsi="Book Antiqua" w:eastAsia="Book Antiqua" w:cs="Book Antiqua"/>
          <w:i/>
          <w:color w:val="000000"/>
          <w:shd w:val="clear" w:color="auto" w:fill="FFFFFF"/>
        </w:rPr>
        <w:t>r</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-0.4756, </w:t>
      </w:r>
      <w:r>
        <w:rPr>
          <w:rFonts w:ascii="Book Antiqua" w:hAnsi="Book Antiqua" w:eastAsia="Book Antiqua" w:cs="Book Antiqua"/>
          <w:i/>
          <w:color w:val="000000"/>
          <w:shd w:val="clear" w:color="auto" w:fill="FFFFFF"/>
        </w:rPr>
        <w:t>P</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&lt;</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0.0001); </w:t>
      </w:r>
      <w:r>
        <w:rPr>
          <w:rFonts w:ascii="Book Antiqua" w:hAnsi="Book Antiqua" w:eastAsia="Book Antiqua" w:cs="Book Antiqua"/>
          <w:color w:val="000000"/>
        </w:rPr>
        <w:t xml:space="preserve">B: SLC2A1 was negatively correlated with SLC2A2 in </w:t>
      </w:r>
      <w:r>
        <w:rPr>
          <w:rFonts w:ascii="Book Antiqua" w:hAnsi="Book Antiqua" w:eastAsia="Book Antiqua" w:cs="Book Antiqua"/>
          <w:color w:val="000000"/>
          <w:shd w:val="clear" w:color="auto" w:fill="FFFFFF"/>
        </w:rPr>
        <w:t>The Cancer Genome Atlas</w:t>
      </w:r>
      <w:r>
        <w:rPr>
          <w:rFonts w:ascii="Book Antiqua" w:hAnsi="Book Antiqua" w:eastAsia="Book Antiqua" w:cs="Book Antiqua"/>
          <w:color w:val="000000"/>
        </w:rPr>
        <w:t xml:space="preserve"> data (</w:t>
      </w:r>
      <w:r>
        <w:rPr>
          <w:rFonts w:ascii="Book Antiqua" w:hAnsi="Book Antiqua" w:eastAsia="Book Antiqua" w:cs="Book Antiqua"/>
          <w:i/>
          <w:color w:val="000000"/>
        </w:rPr>
        <w:t>r</w:t>
      </w:r>
      <w:r>
        <w:rPr>
          <w:rFonts w:hint="eastAsia" w:ascii="Book Antiqua" w:hAnsi="Book Antiqua" w:cs="Book Antiqua"/>
          <w:color w:val="000000"/>
        </w:rPr>
        <w:t xml:space="preserve"> </w:t>
      </w:r>
      <w:r>
        <w:rPr>
          <w:rFonts w:ascii="Book Antiqua" w:hAnsi="Book Antiqua" w:eastAsia="Book Antiqua" w:cs="Book Antiqua"/>
          <w:color w:val="000000"/>
        </w:rPr>
        <w:t>=</w:t>
      </w:r>
      <w:r>
        <w:rPr>
          <w:rFonts w:hint="eastAsia" w:ascii="Book Antiqua" w:hAnsi="Book Antiqua" w:cs="Book Antiqua"/>
          <w:color w:val="000000"/>
        </w:rPr>
        <w:t xml:space="preserve"> </w:t>
      </w:r>
      <w:r>
        <w:rPr>
          <w:rFonts w:ascii="Book Antiqua" w:hAnsi="Book Antiqua" w:eastAsia="Book Antiqua" w:cs="Book Antiqua"/>
          <w:color w:val="000000"/>
        </w:rPr>
        <w:t xml:space="preserve">-0.28, </w:t>
      </w:r>
      <w:r>
        <w:rPr>
          <w:rFonts w:ascii="Book Antiqua" w:hAnsi="Book Antiqua" w:eastAsia="Book Antiqua" w:cs="Book Antiqua"/>
          <w:i/>
          <w:iCs/>
          <w:color w:val="000000"/>
        </w:rPr>
        <w:t>P</w:t>
      </w:r>
      <w:r>
        <w:rPr>
          <w:rFonts w:ascii="Book Antiqua" w:hAnsi="Book Antiqua" w:eastAsia="Book Antiqua" w:cs="Book Antiqua"/>
          <w:color w:val="000000"/>
        </w:rPr>
        <w:t xml:space="preserve"> = 6.41e-08);</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C: SLC2A1 was negatively correlated with SLC2A2 in the </w:t>
      </w:r>
      <w:r>
        <w:rPr>
          <w:rFonts w:ascii="Book Antiqua" w:hAnsi="Book Antiqua" w:eastAsia="Book Antiqua" w:cs="Book Antiqua"/>
          <w:color w:val="000000"/>
          <w:shd w:val="clear" w:color="auto" w:fill="FFFFFF"/>
        </w:rPr>
        <w:t>Tumor Immune Estimation Resource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database </w:t>
      </w:r>
      <w:r>
        <w:rPr>
          <w:rFonts w:ascii="Book Antiqua" w:hAnsi="Book Antiqua" w:eastAsia="Book Antiqua" w:cs="Book Antiqua"/>
          <w:color w:val="000000"/>
        </w:rPr>
        <w:t>(</w:t>
      </w:r>
      <w:r>
        <w:rPr>
          <w:rFonts w:ascii="Book Antiqua" w:hAnsi="Book Antiqua" w:eastAsia="Book Antiqua" w:cs="Book Antiqua"/>
          <w:i/>
          <w:color w:val="000000"/>
        </w:rPr>
        <w:t>r</w:t>
      </w:r>
      <w:r>
        <w:rPr>
          <w:rFonts w:hint="eastAsia" w:ascii="Book Antiqua" w:hAnsi="Book Antiqua" w:cs="Book Antiqua"/>
          <w:color w:val="000000"/>
        </w:rPr>
        <w:t xml:space="preserve"> </w:t>
      </w:r>
      <w:r>
        <w:rPr>
          <w:rFonts w:ascii="Book Antiqua" w:hAnsi="Book Antiqua" w:eastAsia="Book Antiqua" w:cs="Book Antiqua"/>
          <w:color w:val="000000"/>
        </w:rPr>
        <w:t>=</w:t>
      </w:r>
      <w:r>
        <w:rPr>
          <w:rFonts w:hint="eastAsia" w:ascii="Book Antiqua" w:hAnsi="Book Antiqua" w:cs="Book Antiqua"/>
          <w:color w:val="000000"/>
        </w:rPr>
        <w:t xml:space="preserve"> </w:t>
      </w:r>
      <w:r>
        <w:rPr>
          <w:rFonts w:ascii="Book Antiqua" w:hAnsi="Book Antiqua" w:eastAsia="Book Antiqua" w:cs="Book Antiqua"/>
          <w:color w:val="000000"/>
        </w:rPr>
        <w:t xml:space="preserve">-0.252, </w:t>
      </w:r>
      <w:r>
        <w:rPr>
          <w:rFonts w:ascii="Book Antiqua" w:hAnsi="Book Antiqua" w:eastAsia="Book Antiqua" w:cs="Book Antiqua"/>
          <w:i/>
          <w:iCs/>
          <w:color w:val="000000"/>
        </w:rPr>
        <w:t>P</w:t>
      </w:r>
      <w:r>
        <w:rPr>
          <w:rFonts w:ascii="Book Antiqua" w:hAnsi="Book Antiqua" w:eastAsia="Book Antiqua" w:cs="Book Antiqua"/>
          <w:color w:val="000000"/>
        </w:rPr>
        <w:t xml:space="preserve"> = 8.4e-07);</w:t>
      </w:r>
      <w:r>
        <w:rPr>
          <w:rFonts w:ascii="Book Antiqua" w:hAnsi="Book Antiqua" w:eastAsia="Book Antiqua" w:cs="Book Antiqua"/>
          <w:color w:val="000000"/>
          <w:shd w:val="clear" w:color="auto" w:fill="FFFFFF"/>
        </w:rPr>
        <w:t xml:space="preserve"> D: SLC2A1 was negatively correlated with SLC2A2 in the gene expression profiling interactive analysis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database </w:t>
      </w:r>
      <w:r>
        <w:rPr>
          <w:rFonts w:ascii="Book Antiqua" w:hAnsi="Book Antiqua" w:eastAsia="Book Antiqua" w:cs="Book Antiqua"/>
          <w:color w:val="000000"/>
        </w:rPr>
        <w:t>(</w:t>
      </w:r>
      <w:r>
        <w:rPr>
          <w:rFonts w:ascii="Book Antiqua" w:hAnsi="Book Antiqua" w:eastAsia="Book Antiqua" w:cs="Book Antiqua"/>
          <w:i/>
          <w:color w:val="000000"/>
        </w:rPr>
        <w:t>r</w:t>
      </w:r>
      <w:r>
        <w:rPr>
          <w:rFonts w:hint="eastAsia" w:ascii="Book Antiqua" w:hAnsi="Book Antiqua" w:cs="Book Antiqua"/>
          <w:color w:val="000000"/>
        </w:rPr>
        <w:t xml:space="preserve"> </w:t>
      </w:r>
      <w:r>
        <w:rPr>
          <w:rFonts w:ascii="Book Antiqua" w:hAnsi="Book Antiqua" w:eastAsia="Book Antiqua" w:cs="Book Antiqua"/>
          <w:color w:val="000000"/>
        </w:rPr>
        <w:t>=</w:t>
      </w:r>
      <w:r>
        <w:rPr>
          <w:rFonts w:hint="eastAsia" w:ascii="Book Antiqua" w:hAnsi="Book Antiqua" w:cs="Book Antiqua"/>
          <w:color w:val="000000"/>
        </w:rPr>
        <w:t xml:space="preserve"> </w:t>
      </w:r>
      <w:r>
        <w:rPr>
          <w:rFonts w:ascii="Book Antiqua" w:hAnsi="Book Antiqua" w:eastAsia="Book Antiqua" w:cs="Book Antiqua"/>
          <w:color w:val="000000"/>
        </w:rPr>
        <w:t xml:space="preserve">-0.19, </w:t>
      </w:r>
      <w:r>
        <w:rPr>
          <w:rFonts w:ascii="Book Antiqua" w:hAnsi="Book Antiqua" w:eastAsia="Book Antiqua" w:cs="Book Antiqua"/>
          <w:i/>
          <w:iCs/>
          <w:color w:val="000000"/>
        </w:rPr>
        <w:t>P</w:t>
      </w:r>
      <w:r>
        <w:rPr>
          <w:rFonts w:ascii="Book Antiqua" w:hAnsi="Book Antiqua" w:eastAsia="Book Antiqua" w:cs="Book Antiqua"/>
          <w:color w:val="000000"/>
        </w:rPr>
        <w:t xml:space="preserve"> = 1.3e-04); </w:t>
      </w:r>
      <w:r>
        <w:rPr>
          <w:rFonts w:ascii="Book Antiqua" w:hAnsi="Book Antiqua" w:eastAsia="Book Antiqua" w:cs="Book Antiqua"/>
          <w:color w:val="000000"/>
          <w:shd w:val="clear" w:color="auto" w:fill="FFFFFF"/>
        </w:rPr>
        <w:t>TPM: Transcripts per million.</w:t>
      </w:r>
    </w:p>
    <w:p>
      <w:pPr>
        <w:spacing w:line="360" w:lineRule="auto"/>
        <w:jc w:val="both"/>
        <w:rPr>
          <w:rFonts w:hint="eastAsia" w:eastAsia="宋体"/>
          <w:lang w:eastAsia="zh-CN"/>
        </w:rPr>
      </w:pPr>
      <w:r>
        <w:br w:type="page"/>
      </w:r>
      <w:r>
        <w:rPr>
          <w:rFonts w:hint="eastAsia" w:eastAsia="宋体"/>
          <w:lang w:eastAsia="zh-CN"/>
        </w:rPr>
        <w:drawing>
          <wp:inline distT="0" distB="0" distL="114300" distR="114300">
            <wp:extent cx="5271770" cy="7584440"/>
            <wp:effectExtent l="0" t="0" r="1270" b="5080"/>
            <wp:docPr id="16" name="图片 16" descr="WJCC-10-398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CC-10-3989-g006"/>
                    <pic:cNvPicPr>
                      <a:picLocks noChangeAspect="1"/>
                    </pic:cNvPicPr>
                  </pic:nvPicPr>
                  <pic:blipFill>
                    <a:blip r:embed="rId10"/>
                    <a:stretch>
                      <a:fillRect/>
                    </a:stretch>
                  </pic:blipFill>
                  <pic:spPr>
                    <a:xfrm>
                      <a:off x="0" y="0"/>
                      <a:ext cx="5271770" cy="758444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hd w:val="clear" w:color="auto" w:fill="FFFFFF"/>
        </w:rPr>
        <w:t>Figure 6 The String database was used to predict the effects of solute carrier family 2 member 1, solute carrier family 2</w:t>
      </w:r>
      <w:r>
        <w:rPr>
          <w:rFonts w:ascii="Book Antiqua" w:hAnsi="Book Antiqua" w:eastAsia="Book Antiqua" w:cs="Book Antiqua"/>
          <w:color w:val="000000"/>
        </w:rPr>
        <w:t xml:space="preserve"> </w:t>
      </w:r>
      <w:r>
        <w:rPr>
          <w:rFonts w:ascii="Book Antiqua" w:hAnsi="Book Antiqua" w:eastAsia="Book Antiqua" w:cs="Book Antiqua"/>
          <w:b/>
          <w:bCs/>
          <w:color w:val="000000"/>
          <w:shd w:val="clear" w:color="auto" w:fill="FFFFFF"/>
        </w:rPr>
        <w:t xml:space="preserve">member 2, and frequently altered adjacent genes expression changes on functions and pathways. </w:t>
      </w:r>
      <w:r>
        <w:rPr>
          <w:rFonts w:ascii="Book Antiqua" w:hAnsi="Book Antiqua" w:eastAsia="Book Antiqua" w:cs="Book Antiqua"/>
          <w:color w:val="000000"/>
        </w:rPr>
        <w:t xml:space="preserve">A: </w:t>
      </w:r>
      <w:r>
        <w:rPr>
          <w:rFonts w:ascii="Book Antiqua" w:hAnsi="Book Antiqua" w:eastAsia="Book Antiqua" w:cs="Book Antiqua"/>
          <w:color w:val="000000"/>
          <w:shd w:val="clear" w:color="auto" w:fill="FFFFFF"/>
        </w:rPr>
        <w:t>The protein-protein interaction networks of solute carrier family 2 member 1 (SLC2A1), solute carrier family 2</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member 2 (SLC2A2), and their neighbor genes in the String database were constructed, which contained 22 nodes and 107 edges. In this networks diagram, genes </w:t>
      </w:r>
      <w:r>
        <w:rPr>
          <w:rFonts w:ascii="Book Antiqua" w:hAnsi="Book Antiqua" w:eastAsia="Book Antiqua" w:cs="Book Antiqua"/>
          <w:color w:val="000000"/>
        </w:rPr>
        <w:t>tumor protein p53</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ATM serine/threonine kinase</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MDM2 proto-oncogene</w:t>
      </w:r>
      <w:r>
        <w:rPr>
          <w:rFonts w:ascii="Book Antiqua" w:hAnsi="Book Antiqua" w:eastAsia="Book Antiqua" w:cs="Book Antiqua"/>
          <w:color w:val="000000"/>
          <w:shd w:val="clear" w:color="auto" w:fill="FFFFFF"/>
        </w:rPr>
        <w:t xml:space="preserve">, protein kinase-B, hypoxia inducible factor 1 subunit alpha, </w:t>
      </w:r>
      <w:r>
        <w:rPr>
          <w:rFonts w:ascii="Book Antiqua" w:hAnsi="Book Antiqua" w:eastAsia="Book Antiqua" w:cs="Book Antiqua"/>
          <w:color w:val="000000"/>
        </w:rPr>
        <w:t>binding protein p300</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insulin</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glucokinase</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color w:val="000000"/>
        </w:rPr>
        <w:t>hexokinase 2</w:t>
      </w:r>
      <w:r>
        <w:rPr>
          <w:rFonts w:ascii="Book Antiqua" w:hAnsi="Book Antiqua" w:eastAsia="Book Antiqua" w:cs="Book Antiqua"/>
          <w:color w:val="000000"/>
          <w:shd w:val="clear" w:color="auto" w:fill="FFFFFF"/>
        </w:rPr>
        <w:t xml:space="preserve"> were included; B: SLC2A1, SLC2A2, and their neighbors were analyzed by Kyoto Encyclopedia of Genes and Genomes, and the top 20 genes were ranked by </w:t>
      </w:r>
      <w:r>
        <w:rPr>
          <w:rFonts w:ascii="Book Antiqua" w:hAnsi="Book Antiqua" w:eastAsia="Book Antiqua" w:cs="Book Antiqua"/>
          <w:i/>
          <w:color w:val="000000"/>
          <w:shd w:val="clear" w:color="auto" w:fill="FFFFFF"/>
        </w:rPr>
        <w:t>P</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value from small to large in the String database; C: SLC2A1, SLC2A2, and their neighbors were analyzed by biological process (BP), and the top 20 genes were ranked by </w:t>
      </w:r>
      <w:r>
        <w:rPr>
          <w:rFonts w:ascii="Book Antiqua" w:hAnsi="Book Antiqua" w:eastAsia="Book Antiqua" w:cs="Book Antiqua"/>
          <w:i/>
          <w:color w:val="000000"/>
          <w:shd w:val="clear" w:color="auto" w:fill="FFFFFF"/>
        </w:rPr>
        <w:t>P</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value from small to large in the String database; D: SLC2A1, SLC2A2, and their neighbors were analyzed by biological process (MF), and the top 20 genes were ranked by </w:t>
      </w:r>
      <w:r>
        <w:rPr>
          <w:rFonts w:ascii="Book Antiqua" w:hAnsi="Book Antiqua" w:eastAsia="Book Antiqua" w:cs="Book Antiqua"/>
          <w:i/>
          <w:color w:val="000000"/>
          <w:shd w:val="clear" w:color="auto" w:fill="FFFFFF"/>
        </w:rPr>
        <w:t>P</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 xml:space="preserve">value from small to large in the String database; E: SLC2A1, SLC2A2, and their neighbors were analyzed by cellular component (CC), and the top 20 genes were ranked by </w:t>
      </w:r>
      <w:r>
        <w:rPr>
          <w:rFonts w:ascii="Book Antiqua" w:hAnsi="Book Antiqua" w:eastAsia="Book Antiqua" w:cs="Book Antiqua"/>
          <w:i/>
          <w:color w:val="000000"/>
          <w:shd w:val="clear" w:color="auto" w:fill="FFFFFF"/>
        </w:rPr>
        <w:t>P</w:t>
      </w:r>
      <w:r>
        <w:rPr>
          <w:rFonts w:hint="eastAsia" w:ascii="Book Antiqua" w:hAnsi="Book Antiqua" w:cs="Book Antiqua"/>
          <w:color w:val="000000"/>
          <w:shd w:val="clear" w:color="auto" w:fill="FFFFFF"/>
        </w:rPr>
        <w:t xml:space="preserve"> </w:t>
      </w:r>
      <w:r>
        <w:rPr>
          <w:rFonts w:ascii="Book Antiqua" w:hAnsi="Book Antiqua" w:eastAsia="Book Antiqua" w:cs="Book Antiqua"/>
          <w:color w:val="000000"/>
          <w:shd w:val="clear" w:color="auto" w:fill="FFFFFF"/>
        </w:rPr>
        <w:t>value from small to large in the String database. HIF1AN: Hypoxia inducible factor 1 subunit alpha inhibitor; GSK3B: Glycogen synthase kinase 3 beta; GIPC1: GIPC PDZ domain containing family member 1; CREBBP: CREB binding protein; BCL2L1: BCL2 Like 1; VHL: von Hippel-Lindau tumor suppressor; SMUG1: Single-strand-selective monofunctional uracil-DNA glycosylase 1; SLC5A1: Solute carrier family 5 member 1; NOS3: Nitric oxide synthase 3; INSR:</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Insulin receptor; HNF1A: HNF1 homeobox A.</w:t>
      </w:r>
    </w:p>
    <w:p>
      <w:pPr>
        <w:spacing w:line="360" w:lineRule="auto"/>
        <w:jc w:val="both"/>
        <w:rPr>
          <w:rFonts w:hint="eastAsia" w:eastAsia="宋体"/>
          <w:lang w:eastAsia="zh-CN"/>
        </w:rPr>
      </w:pPr>
      <w:r>
        <w:br w:type="page"/>
      </w:r>
      <w:r>
        <w:rPr>
          <w:rFonts w:hint="eastAsia" w:eastAsia="宋体"/>
          <w:lang w:eastAsia="zh-CN"/>
        </w:rPr>
        <w:drawing>
          <wp:inline distT="0" distB="0" distL="114300" distR="114300">
            <wp:extent cx="3449320" cy="8815705"/>
            <wp:effectExtent l="0" t="0" r="10160" b="8255"/>
            <wp:docPr id="17" name="图片 17" descr="WJCC-10-3989-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CC-10-3989-g007"/>
                    <pic:cNvPicPr>
                      <a:picLocks noChangeAspect="1"/>
                    </pic:cNvPicPr>
                  </pic:nvPicPr>
                  <pic:blipFill>
                    <a:blip r:embed="rId11"/>
                    <a:stretch>
                      <a:fillRect/>
                    </a:stretch>
                  </pic:blipFill>
                  <pic:spPr>
                    <a:xfrm>
                      <a:off x="0" y="0"/>
                      <a:ext cx="3449320" cy="881570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hd w:val="clear" w:color="auto" w:fill="FFFFFF"/>
        </w:rPr>
        <w:t xml:space="preserve">Figure 7 </w:t>
      </w:r>
      <w:r>
        <w:rPr>
          <w:rFonts w:ascii="Book Antiqua" w:hAnsi="Book Antiqua" w:eastAsia="Book Antiqua" w:cs="Book Antiqua"/>
          <w:b/>
          <w:bCs/>
          <w:color w:val="000000"/>
        </w:rPr>
        <w:t>The landscape of infiltrating immune cells in hepatocellular carcinoma was different from that in normal liver tissues and expressions of solute carrier family 2 member 1 and solute carrier family 2 member 2 correlated with immune infiltration level in hepatocellular carcinoma.</w:t>
      </w:r>
      <w:r>
        <w:rPr>
          <w:rFonts w:ascii="Book Antiqua" w:hAnsi="Book Antiqua" w:eastAsia="Book Antiqua" w:cs="Book Antiqua"/>
          <w:color w:val="000000"/>
          <w:shd w:val="clear" w:color="auto" w:fill="FFFFFF"/>
        </w:rPr>
        <w:t xml:space="preserve"> A and B: The pattern of immune cells by the signature gene expression profile in </w:t>
      </w:r>
      <w:r>
        <w:rPr>
          <w:rFonts w:ascii="Book Antiqua" w:hAnsi="Book Antiqua" w:eastAsia="Book Antiqua" w:cs="Book Antiqua"/>
          <w:color w:val="000000"/>
        </w:rPr>
        <w:t>hepatocellular carcinoma</w:t>
      </w:r>
      <w:r>
        <w:rPr>
          <w:rFonts w:ascii="Book Antiqua" w:hAnsi="Book Antiqua" w:eastAsia="Book Antiqua" w:cs="Book Antiqua"/>
          <w:color w:val="000000"/>
          <w:shd w:val="clear" w:color="auto" w:fill="FFFFFF"/>
        </w:rPr>
        <w:t xml:space="preserve"> compared with normal samples with </w:t>
      </w:r>
      <w:r>
        <w:rPr>
          <w:rFonts w:ascii="Book Antiqua" w:hAnsi="Book Antiqua" w:eastAsia="Book Antiqua" w:cs="Book Antiqua"/>
          <w:color w:val="000000"/>
        </w:rPr>
        <w:t xml:space="preserve">the Cell Type Identification by Estimating Relative RNA Transcript subsets </w:t>
      </w:r>
      <w:r>
        <w:rPr>
          <w:rFonts w:ascii="Book Antiqua" w:hAnsi="Book Antiqua" w:eastAsia="Book Antiqua" w:cs="Book Antiqua"/>
          <w:color w:val="000000"/>
          <w:shd w:val="clear" w:color="auto" w:fill="FFFFFF"/>
        </w:rPr>
        <w:t>method. In comparison to normal tissues, the proportions of B cell memory, regulatory T, T cell gamma delta, monocyte, macrophage M0, macrophage M2, myeloid dendritic cell resting, mast cell activated, mast cell resting, and neutrophil had changed; C: Correlation analysis between solute carrier family 2 member 1 (SLC2A1) transcription level and immune cell infiltration level. The immune cells included B cells (partial.cor (</w:t>
      </w:r>
      <w:r>
        <w:rPr>
          <w:rFonts w:ascii="Book Antiqua" w:hAnsi="Book Antiqua" w:eastAsia="Book Antiqua" w:cs="Book Antiqua"/>
          <w:i/>
          <w:color w:val="000000"/>
          <w:shd w:val="clear" w:color="auto" w:fill="FFFFFF"/>
        </w:rPr>
        <w:t>r</w:t>
      </w:r>
      <w:r>
        <w:rPr>
          <w:rFonts w:ascii="Book Antiqua" w:hAnsi="Book Antiqua" w:eastAsia="Book Antiqua" w:cs="Book Antiqua"/>
          <w:color w:val="000000"/>
          <w:shd w:val="clear" w:color="auto" w:fill="FFFFFF"/>
        </w:rPr>
        <w:t>) = 0.291), CD8</w:t>
      </w:r>
      <w:r>
        <w:rPr>
          <w:rFonts w:ascii="Book Antiqua" w:hAnsi="Book Antiqua" w:eastAsia="Book Antiqua" w:cs="Book Antiqua"/>
          <w:color w:val="000000"/>
          <w:szCs w:val="30"/>
          <w:shd w:val="clear" w:color="auto" w:fill="FFFFFF"/>
          <w:vertAlign w:val="superscript"/>
        </w:rPr>
        <w:t xml:space="preserve">+ </w:t>
      </w:r>
      <w:r>
        <w:rPr>
          <w:rFonts w:ascii="Book Antiqua" w:hAnsi="Book Antiqua" w:eastAsia="Book Antiqua" w:cs="Book Antiqua"/>
          <w:color w:val="000000"/>
          <w:shd w:val="clear" w:color="auto" w:fill="FFFFFF"/>
        </w:rPr>
        <w:t>T cells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0.296), CD4</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0.238), macrophages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0.425), neutrophils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0.424), and dendritic cells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0.368); D: Correlation analysis between solute carrier family 2 member 1 (SLC2A2) transcription level and immune cell infiltration level. The immune cells included B cells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-0.188), CD8</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hd w:val="clear" w:color="auto" w:fill="FFFFFF"/>
        </w:rPr>
        <w:t xml:space="preserve"> T cells (</w:t>
      </w:r>
      <w:r>
        <w:rPr>
          <w:rFonts w:ascii="Book Antiqua" w:hAnsi="Book Antiqua" w:eastAsia="Book Antiqua" w:cs="Book Antiqua"/>
          <w:i/>
          <w:color w:val="000000"/>
          <w:shd w:val="clear" w:color="auto" w:fill="FFFFFF"/>
        </w:rPr>
        <w:t>r</w:t>
      </w:r>
      <w:r>
        <w:rPr>
          <w:rFonts w:ascii="Book Antiqua" w:hAnsi="Book Antiqua" w:eastAsia="Book Antiqua" w:cs="Book Antiqua"/>
          <w:color w:val="000000"/>
          <w:shd w:val="clear" w:color="auto" w:fill="FFFFFF"/>
        </w:rPr>
        <w:t xml:space="preserve"> = -0.188), macrophages (</w:t>
      </w:r>
      <w:r>
        <w:rPr>
          <w:rFonts w:ascii="Book Antiqua" w:hAnsi="Book Antiqua" w:eastAsia="Book Antiqua" w:cs="Book Antiqua"/>
          <w:i/>
          <w:color w:val="000000"/>
          <w:shd w:val="clear" w:color="auto" w:fill="FFFFFF"/>
        </w:rPr>
        <w:t>r</w:t>
      </w:r>
      <w:r>
        <w:rPr>
          <w:rFonts w:ascii="Book Antiqua" w:hAnsi="Book Antiqua" w:eastAsia="Book Antiqua" w:cs="Book Antiqua"/>
          <w:color w:val="000000"/>
          <w:shd w:val="clear" w:color="auto" w:fill="FFFFFF"/>
        </w:rPr>
        <w:t xml:space="preserve"> = -0.148), neutrophils (</w:t>
      </w:r>
      <w:r>
        <w:rPr>
          <w:rFonts w:ascii="Book Antiqua" w:hAnsi="Book Antiqua" w:eastAsia="Book Antiqua" w:cs="Book Antiqua"/>
          <w:i/>
          <w:color w:val="000000"/>
          <w:shd w:val="clear" w:color="auto" w:fill="FFFFFF"/>
        </w:rPr>
        <w:t>r</w:t>
      </w:r>
      <w:r>
        <w:rPr>
          <w:rFonts w:ascii="Book Antiqua" w:hAnsi="Book Antiqua" w:eastAsia="Book Antiqua" w:cs="Book Antiqua"/>
          <w:color w:val="000000"/>
          <w:shd w:val="clear" w:color="auto" w:fill="FFFFFF"/>
        </w:rPr>
        <w:t xml:space="preserve"> = -0.115) and dendritic cells (</w:t>
      </w:r>
      <w:r>
        <w:rPr>
          <w:rFonts w:ascii="Book Antiqua" w:hAnsi="Book Antiqua" w:eastAsia="Book Antiqua" w:cs="Book Antiqua"/>
          <w:i/>
          <w:color w:val="000000"/>
          <w:shd w:val="clear" w:color="auto" w:fill="FFFFFF"/>
        </w:rPr>
        <w:t>r</w:t>
      </w:r>
      <w:r>
        <w:rPr>
          <w:rFonts w:ascii="Book Antiqua" w:hAnsi="Book Antiqua" w:eastAsia="Book Antiqua" w:cs="Book Antiqua"/>
          <w:color w:val="000000"/>
          <w:shd w:val="clear" w:color="auto" w:fill="FFFFFF"/>
        </w:rPr>
        <w:t xml:space="preserve"> = -0.17). </w:t>
      </w:r>
      <w:r>
        <w:rPr>
          <w:rFonts w:hint="eastAsia" w:ascii="Book Antiqua" w:hAnsi="Book Antiqua" w:cs="Book Antiqua"/>
          <w:color w:val="000000"/>
          <w:shd w:val="clear" w:color="auto" w:fill="FFFFFF"/>
          <w:vertAlign w:val="superscript"/>
        </w:rPr>
        <w:t>a</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0.05;</w:t>
      </w:r>
      <w:r>
        <w:rPr>
          <w:rFonts w:hint="eastAsia" w:ascii="Book Antiqua" w:hAnsi="Book Antiqua" w:cs="Book Antiqua"/>
          <w:color w:val="000000"/>
          <w:shd w:val="clear" w:color="auto" w:fill="FFFFFF"/>
        </w:rPr>
        <w:t xml:space="preserve"> </w:t>
      </w:r>
      <w:r>
        <w:rPr>
          <w:rFonts w:hint="eastAsia" w:ascii="Book Antiqua" w:hAnsi="Book Antiqua" w:cs="Book Antiqua"/>
          <w:color w:val="000000"/>
          <w:shd w:val="clear" w:color="auto" w:fill="FFFFFF"/>
          <w:vertAlign w:val="superscript"/>
        </w:rPr>
        <w:t>c</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&lt; 0.001. </w:t>
      </w:r>
    </w:p>
    <w:p>
      <w:pPr>
        <w:spacing w:line="360" w:lineRule="auto"/>
        <w:jc w:val="both"/>
        <w:rPr>
          <w:rFonts w:hint="eastAsia" w:eastAsia="宋体"/>
          <w:lang w:eastAsia="zh-CN"/>
        </w:rPr>
      </w:pPr>
      <w:r>
        <w:br w:type="page"/>
      </w:r>
      <w:r>
        <w:rPr>
          <w:rFonts w:hint="eastAsia" w:eastAsia="宋体"/>
          <w:lang w:eastAsia="zh-CN"/>
        </w:rPr>
        <w:drawing>
          <wp:inline distT="0" distB="0" distL="114300" distR="114300">
            <wp:extent cx="3968750" cy="8812530"/>
            <wp:effectExtent l="0" t="0" r="8890" b="11430"/>
            <wp:docPr id="18" name="图片 18" descr="WJCC-10-3989-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CC-10-3989-g008"/>
                    <pic:cNvPicPr>
                      <a:picLocks noChangeAspect="1"/>
                    </pic:cNvPicPr>
                  </pic:nvPicPr>
                  <pic:blipFill>
                    <a:blip r:embed="rId12"/>
                    <a:stretch>
                      <a:fillRect/>
                    </a:stretch>
                  </pic:blipFill>
                  <pic:spPr>
                    <a:xfrm>
                      <a:off x="0" y="0"/>
                      <a:ext cx="3968750" cy="8812530"/>
                    </a:xfrm>
                    <a:prstGeom prst="rect">
                      <a:avLst/>
                    </a:prstGeom>
                  </pic:spPr>
                </pic:pic>
              </a:graphicData>
            </a:graphic>
          </wp:inline>
        </w:drawing>
      </w:r>
    </w:p>
    <w:p>
      <w:pPr>
        <w:pStyle w:val="25"/>
        <w:spacing w:line="360" w:lineRule="auto"/>
        <w:jc w:val="both"/>
        <w:rPr>
          <w:rFonts w:ascii="Book Antiqua" w:hAnsi="Book Antiqua" w:cs="Times New Roman"/>
          <w:kern w:val="0"/>
          <w:lang w:eastAsia="en-US" w:bidi="ar"/>
        </w:rPr>
      </w:pPr>
      <w:r>
        <w:rPr>
          <w:rFonts w:ascii="Book Antiqua" w:hAnsi="Book Antiqua" w:eastAsia="Book Antiqua" w:cs="Book Antiqua"/>
          <w:b/>
          <w:bCs/>
          <w:color w:val="000000"/>
          <w:sz w:val="24"/>
          <w:szCs w:val="24"/>
          <w:shd w:val="clear" w:color="auto" w:fill="FFFFFF"/>
        </w:rPr>
        <w:t xml:space="preserve">Figure 8 </w:t>
      </w:r>
      <w:r>
        <w:rPr>
          <w:rFonts w:ascii="Book Antiqua" w:hAnsi="Book Antiqua" w:eastAsia="Book Antiqua" w:cs="Book Antiqua"/>
          <w:b/>
          <w:bCs/>
          <w:color w:val="000000"/>
          <w:sz w:val="24"/>
          <w:szCs w:val="24"/>
        </w:rPr>
        <w:t>Solute carrier family 2 member 1 and solute carrier family 2 member 2</w:t>
      </w:r>
      <w:r>
        <w:rPr>
          <w:rFonts w:ascii="Book Antiqua" w:hAnsi="Book Antiqua" w:eastAsia="Book Antiqua" w:cs="Book Antiqua"/>
          <w:b/>
          <w:bCs/>
          <w:color w:val="000000"/>
          <w:sz w:val="24"/>
          <w:szCs w:val="24"/>
          <w:shd w:val="clear" w:color="auto" w:fill="FFFFFF"/>
        </w:rPr>
        <w:t xml:space="preserve"> expressions correlated with immune marker genes in </w:t>
      </w:r>
      <w:r>
        <w:rPr>
          <w:rFonts w:ascii="Book Antiqua" w:hAnsi="Book Antiqua" w:eastAsia="Book Antiqua" w:cs="Book Antiqua"/>
          <w:b/>
          <w:bCs/>
          <w:color w:val="000000"/>
          <w:sz w:val="24"/>
          <w:szCs w:val="24"/>
        </w:rPr>
        <w:t>hepatocellular carcinoma</w:t>
      </w:r>
      <w:r>
        <w:rPr>
          <w:rFonts w:ascii="Book Antiqua" w:hAnsi="Book Antiqua" w:eastAsia="Book Antiqua" w:cs="Book Antiqua"/>
          <w:b/>
          <w:bCs/>
          <w:color w:val="000000"/>
          <w:sz w:val="24"/>
          <w:szCs w:val="24"/>
          <w:shd w:val="clear" w:color="auto" w:fill="FFFFFF"/>
        </w:rPr>
        <w:t xml:space="preserve"> by using tumor immune estimation resource and gene expression profiling interactive analysis databases. </w:t>
      </w:r>
      <w:r>
        <w:rPr>
          <w:rFonts w:ascii="Book Antiqua" w:hAnsi="Book Antiqua" w:eastAsia="Book Antiqua" w:cs="Book Antiqua"/>
          <w:color w:val="000000"/>
          <w:sz w:val="24"/>
          <w:szCs w:val="24"/>
          <w:shd w:val="clear" w:color="auto" w:fill="FFFFFF"/>
        </w:rPr>
        <w:t>A:</w:t>
      </w:r>
      <w:r>
        <w:rPr>
          <w:rFonts w:ascii="Book Antiqua" w:hAnsi="Book Antiqua" w:eastAsia="Book Antiqua" w:cs="Book Antiqua"/>
          <w:b/>
          <w:bCs/>
          <w:color w:val="000000"/>
          <w:sz w:val="24"/>
          <w:szCs w:val="24"/>
          <w:shd w:val="clear" w:color="auto" w:fill="FFFFFF"/>
        </w:rPr>
        <w:t xml:space="preserve"> </w:t>
      </w:r>
      <w:r>
        <w:rPr>
          <w:rFonts w:ascii="Book Antiqua" w:hAnsi="Book Antiqua" w:eastAsia="Book Antiqua" w:cs="Book Antiqua"/>
          <w:color w:val="000000"/>
          <w:sz w:val="24"/>
          <w:szCs w:val="24"/>
          <w:shd w:val="clear" w:color="auto" w:fill="FFFFFF"/>
        </w:rPr>
        <w:t xml:space="preserve">Solute carrier family 2 member 1 (SLC2A1) expression correlated with macrophage polarization in </w:t>
      </w:r>
      <w:r>
        <w:rPr>
          <w:rFonts w:ascii="Book Antiqua" w:hAnsi="Book Antiqua" w:eastAsia="Book Antiqua" w:cs="Book Antiqua"/>
          <w:color w:val="000000"/>
          <w:sz w:val="24"/>
          <w:szCs w:val="24"/>
        </w:rPr>
        <w:t>hepatocellular carcinoma</w:t>
      </w:r>
      <w:r>
        <w:rPr>
          <w:rFonts w:ascii="Book Antiqua" w:hAnsi="Book Antiqua" w:eastAsia="Book Antiqua" w:cs="Book Antiqua"/>
          <w:color w:val="000000"/>
          <w:sz w:val="24"/>
          <w:szCs w:val="24"/>
          <w:shd w:val="clear" w:color="auto" w:fill="FFFFFF"/>
        </w:rPr>
        <w:t xml:space="preserve"> (HCC). Markers included CD86 and CD115 of monocytes; C-C motif chemokine ligand 2, CD68, and interleukin (IL) 10 of tumor-associated macrophage; nitric oxide synthase 2, interferon regulatory factor 5, and COX2 cytochrome c oxidase subunit II of M1 macrophages; and CD163, V-set and immunoglobulin domain containing 4, and membrane spanning 4-domains A4A of M2 macrophages;</w:t>
      </w:r>
      <w:r>
        <w:rPr>
          <w:rFonts w:ascii="Book Antiqua" w:hAnsi="Book Antiqua" w:eastAsia="Book Antiqua" w:cs="Book Antiqua"/>
          <w:b/>
          <w:bCs/>
          <w:color w:val="000000"/>
          <w:sz w:val="24"/>
          <w:szCs w:val="24"/>
          <w:shd w:val="clear" w:color="auto" w:fill="FFFFFF"/>
        </w:rPr>
        <w:t xml:space="preserve"> </w:t>
      </w:r>
      <w:r>
        <w:rPr>
          <w:rFonts w:ascii="Book Antiqua" w:hAnsi="Book Antiqua" w:eastAsia="Book Antiqua" w:cs="Book Antiqua"/>
          <w:color w:val="000000"/>
          <w:sz w:val="24"/>
          <w:szCs w:val="24"/>
          <w:shd w:val="clear" w:color="auto" w:fill="FFFFFF"/>
        </w:rPr>
        <w:t>B: Solute carrier family 2 member 2 (SLC2A2) expression correlated with macrophage polarization in HCC. Markers included CD86 and CD115 of monocytes; C-C motif chemokine ligand 2, CD68, and IL10 of tumor-associated macrophage; nitric oxide synthase 2, interferon regulatory factor 5, and COX2 cytochrome c oxidase subunit II of M1 macrophages; and CD163, V-set and immunoglobulin domain containing 4, and membrane spanning 4-domains A4A of M2 macrophages;</w:t>
      </w:r>
      <w:r>
        <w:rPr>
          <w:rFonts w:ascii="Book Antiqua" w:hAnsi="Book Antiqua" w:eastAsia="Book Antiqua" w:cs="Book Antiqua"/>
          <w:b/>
          <w:bCs/>
          <w:color w:val="000000"/>
          <w:sz w:val="24"/>
          <w:szCs w:val="24"/>
          <w:shd w:val="clear" w:color="auto" w:fill="FFFFFF"/>
        </w:rPr>
        <w:t xml:space="preserve"> </w:t>
      </w:r>
      <w:r>
        <w:rPr>
          <w:rFonts w:ascii="Book Antiqua" w:hAnsi="Book Antiqua" w:eastAsia="Book Antiqua" w:cs="Book Antiqua"/>
          <w:color w:val="000000"/>
          <w:sz w:val="24"/>
          <w:szCs w:val="24"/>
          <w:shd w:val="clear" w:color="auto" w:fill="FFFFFF"/>
        </w:rPr>
        <w:t xml:space="preserve">C: SLC2A1 expression was correlated with functional T cells in HCC. Markers included BCL6 transcription repressor and IL21 of follicular helper T; C-C motif chemokine receptor 8, signal transducer and activator of transcription (STAT) 5B, and transforming growth factor-beta markers of T cell regulatory; STAT1, </w:t>
      </w:r>
      <w:r>
        <w:rPr>
          <w:rFonts w:ascii="Book Antiqua" w:hAnsi="Book Antiqua" w:cs="Times New Roman"/>
          <w:iCs/>
          <w:sz w:val="24"/>
          <w:szCs w:val="24"/>
          <w:shd w:val="clear" w:color="auto" w:fill="FFFFFF"/>
        </w:rPr>
        <w:t>interferon gamma</w:t>
      </w:r>
      <w:r>
        <w:rPr>
          <w:rFonts w:ascii="Book Antiqua" w:hAnsi="Book Antiqua" w:eastAsia="Book Antiqua" w:cs="Book Antiqua"/>
          <w:color w:val="000000"/>
          <w:sz w:val="24"/>
          <w:szCs w:val="24"/>
          <w:shd w:val="clear" w:color="auto" w:fill="FFFFFF"/>
        </w:rPr>
        <w:t xml:space="preserve">, and tumor necrosis factor of </w:t>
      </w:r>
      <w:r>
        <w:rPr>
          <w:rFonts w:ascii="Book Antiqua" w:hAnsi="Book Antiqua" w:cs="Times New Roman"/>
          <w:iCs/>
          <w:sz w:val="24"/>
          <w:szCs w:val="24"/>
          <w:shd w:val="clear" w:color="auto" w:fill="FFFFFF"/>
        </w:rPr>
        <w:t>T helper</w:t>
      </w:r>
      <w:r>
        <w:rPr>
          <w:rFonts w:ascii="Book Antiqua" w:hAnsi="Book Antiqua" w:eastAsia="Book Antiqua" w:cs="Book Antiqua"/>
          <w:color w:val="000000"/>
          <w:sz w:val="24"/>
          <w:szCs w:val="24"/>
          <w:shd w:val="clear" w:color="auto" w:fill="FFFFFF"/>
        </w:rPr>
        <w:t xml:space="preserve"> (Th)1; and GATA binding protein 3, STAT6, and STAT5A of Th2;</w:t>
      </w:r>
      <w:r>
        <w:rPr>
          <w:rFonts w:ascii="Book Antiqua" w:hAnsi="Book Antiqua" w:eastAsia="Book Antiqua" w:cs="Book Antiqua"/>
          <w:b/>
          <w:bCs/>
          <w:color w:val="000000"/>
          <w:sz w:val="24"/>
          <w:szCs w:val="24"/>
          <w:shd w:val="clear" w:color="auto" w:fill="FFFFFF"/>
        </w:rPr>
        <w:t xml:space="preserve"> </w:t>
      </w:r>
      <w:r>
        <w:rPr>
          <w:rFonts w:ascii="Book Antiqua" w:hAnsi="Book Antiqua" w:eastAsia="Book Antiqua" w:cs="Book Antiqua"/>
          <w:color w:val="000000"/>
          <w:sz w:val="24"/>
          <w:szCs w:val="24"/>
          <w:shd w:val="clear" w:color="auto" w:fill="FFFFFF"/>
        </w:rPr>
        <w:t xml:space="preserve">D: SLC2A2 expression was correlated with functional T cells in HCC. Markers included BCL6 transcription repressor and IL21 of follicular helper T; C-C motif chemokine receptor 8,, STAT5B, and transforming growth factor-beta markers of </w:t>
      </w:r>
      <w:r>
        <w:rPr>
          <w:rFonts w:ascii="Book Antiqua" w:hAnsi="Book Antiqua"/>
          <w:color w:val="000000"/>
          <w:sz w:val="24"/>
          <w:szCs w:val="24"/>
          <w:shd w:val="clear" w:color="auto" w:fill="FFFFFF"/>
        </w:rPr>
        <w:t>T cell regulatory</w:t>
      </w:r>
      <w:r>
        <w:rPr>
          <w:rFonts w:ascii="Book Antiqua" w:hAnsi="Book Antiqua" w:eastAsia="Book Antiqua" w:cs="Book Antiqua"/>
          <w:color w:val="000000"/>
          <w:sz w:val="24"/>
          <w:szCs w:val="24"/>
          <w:shd w:val="clear" w:color="auto" w:fill="FFFFFF"/>
        </w:rPr>
        <w:t>; STAT1, interferon gamma, and tumor necrosis factor alpha of Th1 and GATA binding protein 3, STAT6 and STAT5A of Th2;</w:t>
      </w:r>
      <w:r>
        <w:rPr>
          <w:rFonts w:ascii="Book Antiqua" w:hAnsi="Book Antiqua" w:eastAsia="Book Antiqua" w:cs="Book Antiqua"/>
          <w:b/>
          <w:bCs/>
          <w:color w:val="000000"/>
          <w:sz w:val="24"/>
          <w:szCs w:val="24"/>
          <w:shd w:val="clear" w:color="auto" w:fill="FFFFFF"/>
        </w:rPr>
        <w:t xml:space="preserve"> </w:t>
      </w:r>
      <w:r>
        <w:rPr>
          <w:rFonts w:ascii="Book Antiqua" w:hAnsi="Book Antiqua" w:eastAsia="Book Antiqua" w:cs="Book Antiqua"/>
          <w:color w:val="000000"/>
          <w:sz w:val="24"/>
          <w:szCs w:val="24"/>
          <w:shd w:val="clear" w:color="auto" w:fill="FFFFFF"/>
        </w:rPr>
        <w:t xml:space="preserve">E: SLC2A1 expression correlated with T cell exhaustion in HCC. Markers included programmed cell death 1, cytotoxic T-lymphocyte associated protein 4, lymphocyte activating 3, hepatitis A virus cellular receptor 2, and granzyme B; F: SLC2A2 expression correlated with T cell exhaustion in HCC. Markers included programmed cell death 1, </w:t>
      </w:r>
      <w:r>
        <w:rPr>
          <w:rFonts w:ascii="Book Antiqua" w:hAnsi="Book Antiqua" w:cs="Times New Roman"/>
          <w:sz w:val="24"/>
          <w:szCs w:val="24"/>
          <w:shd w:val="clear" w:color="auto" w:fill="FFFFFF"/>
        </w:rPr>
        <w:t>cytotoxic T-lymphocyte associated protein 4</w:t>
      </w:r>
      <w:r>
        <w:rPr>
          <w:rFonts w:ascii="Book Antiqua" w:hAnsi="Book Antiqua" w:eastAsia="Book Antiqua" w:cs="Book Antiqua"/>
          <w:color w:val="000000"/>
          <w:sz w:val="24"/>
          <w:szCs w:val="24"/>
          <w:shd w:val="clear" w:color="auto" w:fill="FFFFFF"/>
        </w:rPr>
        <w:t xml:space="preserve">, </w:t>
      </w:r>
      <w:r>
        <w:rPr>
          <w:rFonts w:ascii="Book Antiqua" w:hAnsi="Book Antiqua" w:cs="Times New Roman"/>
          <w:iCs/>
          <w:sz w:val="24"/>
          <w:szCs w:val="24"/>
          <w:shd w:val="clear" w:color="auto" w:fill="FFFFFF"/>
        </w:rPr>
        <w:t>lymphocyte activating 3</w:t>
      </w:r>
      <w:r>
        <w:rPr>
          <w:rFonts w:ascii="Book Antiqua" w:hAnsi="Book Antiqua" w:eastAsia="Book Antiqua" w:cs="Book Antiqua"/>
          <w:color w:val="000000"/>
          <w:sz w:val="24"/>
          <w:szCs w:val="24"/>
          <w:shd w:val="clear" w:color="auto" w:fill="FFFFFF"/>
        </w:rPr>
        <w:t xml:space="preserve">, </w:t>
      </w:r>
      <w:r>
        <w:rPr>
          <w:rFonts w:ascii="Book Antiqua" w:hAnsi="Book Antiqua" w:cs="Times New Roman"/>
          <w:iCs/>
          <w:sz w:val="24"/>
          <w:szCs w:val="24"/>
          <w:shd w:val="clear" w:color="auto" w:fill="FFFFFF"/>
        </w:rPr>
        <w:t>hepatitis A virus cellular receptor 2</w:t>
      </w:r>
      <w:r>
        <w:rPr>
          <w:rFonts w:ascii="Book Antiqua" w:hAnsi="Book Antiqua" w:eastAsia="Book Antiqua" w:cs="Book Antiqua"/>
          <w:color w:val="000000"/>
          <w:sz w:val="24"/>
          <w:szCs w:val="24"/>
          <w:shd w:val="clear" w:color="auto" w:fill="FFFFFF"/>
        </w:rPr>
        <w:t>, and</w:t>
      </w:r>
      <w:r>
        <w:rPr>
          <w:rFonts w:ascii="Book Antiqua" w:hAnsi="Book Antiqua" w:cs="Times New Roman"/>
          <w:iCs/>
          <w:sz w:val="24"/>
          <w:szCs w:val="24"/>
          <w:shd w:val="clear" w:color="auto" w:fill="FFFFFF"/>
        </w:rPr>
        <w:t xml:space="preserve"> granzyme B</w:t>
      </w:r>
      <w:r>
        <w:rPr>
          <w:rFonts w:ascii="Book Antiqua" w:hAnsi="Book Antiqua" w:eastAsia="Book Antiqua" w:cs="Book Antiqua"/>
          <w:color w:val="000000"/>
          <w:sz w:val="24"/>
          <w:szCs w:val="24"/>
          <w:shd w:val="clear" w:color="auto" w:fill="FFFFFF"/>
        </w:rPr>
        <w:t xml:space="preserve">. </w:t>
      </w:r>
      <w:r>
        <w:rPr>
          <w:rFonts w:ascii="Book Antiqua" w:hAnsi="Book Antiqua"/>
          <w:sz w:val="24"/>
          <w:szCs w:val="24"/>
        </w:rPr>
        <w:t xml:space="preserve">TAM: </w:t>
      </w:r>
      <w:r>
        <w:rPr>
          <w:rFonts w:ascii="Book Antiqua" w:hAnsi="Book Antiqua" w:eastAsia="Book Antiqua" w:cs="Book Antiqua"/>
          <w:color w:val="000000"/>
          <w:sz w:val="24"/>
          <w:szCs w:val="24"/>
          <w:shd w:val="clear" w:color="auto" w:fill="FFFFFF"/>
        </w:rPr>
        <w:t>Tumor-associated macrophage</w:t>
      </w:r>
      <w:r>
        <w:rPr>
          <w:rFonts w:ascii="Book Antiqua" w:hAnsi="Book Antiqua" w:eastAsia="Book Antiqua" w:cs="Book Antiqua"/>
          <w:color w:val="000000"/>
          <w:sz w:val="24"/>
          <w:szCs w:val="24"/>
        </w:rPr>
        <w:t xml:space="preserve">; </w:t>
      </w:r>
      <w:r>
        <w:rPr>
          <w:rFonts w:ascii="Book Antiqua" w:hAnsi="Book Antiqua"/>
          <w:color w:val="000000"/>
          <w:sz w:val="24"/>
          <w:szCs w:val="24"/>
          <w:shd w:val="clear" w:color="auto" w:fill="FFFFFF"/>
        </w:rPr>
        <w:t xml:space="preserve">CCL2: C-C motif chemokine ligand 2; IL10: interleukin 10; NOS2: nitric oxide synthase 2; IRF5: interferon regulatory factor 5; </w:t>
      </w:r>
      <w:r>
        <w:rPr>
          <w:rFonts w:ascii="Book Antiqua" w:hAnsi="Book Antiqua"/>
          <w:sz w:val="24"/>
          <w:szCs w:val="24"/>
        </w:rPr>
        <w:t xml:space="preserve">PTGS2: </w:t>
      </w:r>
      <w:r>
        <w:rPr>
          <w:rFonts w:ascii="Book Antiqua" w:hAnsi="Book Antiqua"/>
          <w:color w:val="000000"/>
          <w:sz w:val="24"/>
          <w:szCs w:val="24"/>
          <w:shd w:val="clear" w:color="auto" w:fill="FFFFFF"/>
        </w:rPr>
        <w:t xml:space="preserve">COX2 cytochrome c oxidase subunit II;VSIG4: V-set and immunoglobulin domain containing 4; MS4A4A: membrane spanning 4-domains A4A; </w:t>
      </w:r>
      <w:r>
        <w:rPr>
          <w:rFonts w:ascii="Book Antiqua" w:hAnsi="Book Antiqua" w:eastAsia="Book Antiqua" w:cs="Book Antiqua"/>
          <w:color w:val="000000"/>
          <w:sz w:val="24"/>
          <w:szCs w:val="24"/>
        </w:rPr>
        <w:t>Tfh</w:t>
      </w:r>
      <w:r>
        <w:rPr>
          <w:rFonts w:ascii="Book Antiqua" w:hAnsi="Book Antiqua" w:cs="Book Antiqua"/>
          <w:color w:val="000000"/>
          <w:sz w:val="24"/>
          <w:szCs w:val="24"/>
        </w:rPr>
        <w:t>:</w:t>
      </w:r>
      <w:r>
        <w:rPr>
          <w:rFonts w:ascii="Book Antiqua" w:hAnsi="Book Antiqua" w:eastAsia="Book Antiqua" w:cs="Book Antiqua"/>
          <w:color w:val="000000"/>
          <w:sz w:val="24"/>
          <w:szCs w:val="24"/>
        </w:rPr>
        <w:t xml:space="preserve"> </w:t>
      </w:r>
      <w:r>
        <w:rPr>
          <w:rFonts w:ascii="Book Antiqua" w:hAnsi="Book Antiqua" w:cs="Times New Roman"/>
          <w:iCs/>
          <w:sz w:val="24"/>
          <w:szCs w:val="24"/>
          <w:shd w:val="clear" w:color="auto" w:fill="FFFFFF"/>
        </w:rPr>
        <w:t>Follicular helper T</w:t>
      </w:r>
      <w:r>
        <w:rPr>
          <w:rFonts w:ascii="Book Antiqua" w:hAnsi="Book Antiqua" w:eastAsia="Book Antiqua" w:cs="Book Antiqua"/>
          <w:color w:val="000000"/>
          <w:sz w:val="24"/>
          <w:szCs w:val="24"/>
        </w:rPr>
        <w:t xml:space="preserve">; </w:t>
      </w:r>
      <w:r>
        <w:rPr>
          <w:rFonts w:ascii="Book Antiqua" w:hAnsi="Book Antiqua"/>
          <w:color w:val="000000"/>
          <w:sz w:val="24"/>
          <w:szCs w:val="24"/>
          <w:shd w:val="clear" w:color="auto" w:fill="FFFFFF"/>
        </w:rPr>
        <w:t xml:space="preserve">BCL6: BCL6 transcription repressor; </w:t>
      </w:r>
      <w:r>
        <w:rPr>
          <w:rFonts w:ascii="Book Antiqua" w:hAnsi="Book Antiqua" w:cs="Times New Roman"/>
          <w:kern w:val="0"/>
          <w:sz w:val="24"/>
          <w:szCs w:val="24"/>
          <w:lang w:bidi="ar"/>
        </w:rPr>
        <w:t>IL21:</w:t>
      </w:r>
      <w:r>
        <w:rPr>
          <w:rFonts w:ascii="Book Antiqua" w:hAnsi="Book Antiqua"/>
          <w:sz w:val="24"/>
          <w:szCs w:val="24"/>
        </w:rPr>
        <w:t xml:space="preserve"> </w:t>
      </w:r>
      <w:r>
        <w:rPr>
          <w:rFonts w:ascii="Book Antiqua" w:hAnsi="Book Antiqua" w:cs="Times New Roman"/>
          <w:kern w:val="0"/>
          <w:sz w:val="24"/>
          <w:szCs w:val="24"/>
          <w:lang w:bidi="ar"/>
        </w:rPr>
        <w:t>Interleukin 21;</w:t>
      </w:r>
      <w:r>
        <w:rPr>
          <w:rFonts w:ascii="Book Antiqua" w:hAnsi="Book Antiqua" w:eastAsia="Book Antiqua" w:cs="Book Antiqua"/>
          <w:color w:val="000000"/>
          <w:sz w:val="24"/>
          <w:szCs w:val="24"/>
        </w:rPr>
        <w:t xml:space="preserve"> </w:t>
      </w:r>
      <w:r>
        <w:rPr>
          <w:rFonts w:ascii="Book Antiqua" w:hAnsi="Book Antiqua"/>
          <w:color w:val="000000"/>
          <w:sz w:val="24"/>
          <w:szCs w:val="24"/>
          <w:shd w:val="clear" w:color="auto" w:fill="FFFFFF"/>
        </w:rPr>
        <w:t>Treg: T cell regulatory; CCR8: C-C motif chemokine receptor 8; STAT5B: signal transducer and activator of transcription 5B; TGFB1: transforming growth factor-beta;</w:t>
      </w:r>
      <w:r>
        <w:rPr>
          <w:rFonts w:ascii="Book Antiqua" w:hAnsi="Book Antiqua" w:eastAsia="Book Antiqua" w:cs="Book Antiqua"/>
          <w:color w:val="000000"/>
          <w:sz w:val="24"/>
          <w:szCs w:val="24"/>
        </w:rPr>
        <w:t xml:space="preserve"> Th: </w:t>
      </w:r>
      <w:r>
        <w:rPr>
          <w:rFonts w:ascii="Book Antiqua" w:hAnsi="Book Antiqua" w:cs="Times New Roman"/>
          <w:iCs/>
          <w:sz w:val="24"/>
          <w:szCs w:val="24"/>
          <w:shd w:val="clear" w:color="auto" w:fill="FFFFFF"/>
        </w:rPr>
        <w:t xml:space="preserve">T helper; </w:t>
      </w:r>
      <w:r>
        <w:rPr>
          <w:rFonts w:ascii="Book Antiqua" w:hAnsi="Book Antiqua" w:cs="Times New Roman"/>
          <w:kern w:val="0"/>
          <w:sz w:val="24"/>
          <w:szCs w:val="24"/>
          <w:lang w:bidi="ar"/>
        </w:rPr>
        <w:t>STAT1:</w:t>
      </w:r>
      <w:r>
        <w:rPr>
          <w:rFonts w:ascii="Book Antiqua" w:hAnsi="Book Antiqua"/>
          <w:sz w:val="24"/>
          <w:szCs w:val="24"/>
        </w:rPr>
        <w:t xml:space="preserve"> </w:t>
      </w:r>
      <w:r>
        <w:rPr>
          <w:rFonts w:ascii="Book Antiqua" w:hAnsi="Book Antiqua" w:cs="Times New Roman"/>
          <w:kern w:val="0"/>
          <w:sz w:val="24"/>
          <w:szCs w:val="24"/>
          <w:lang w:bidi="ar"/>
        </w:rPr>
        <w:t>signal transducer and activator of transcription 1; IFNG:</w:t>
      </w:r>
      <w:r>
        <w:rPr>
          <w:rFonts w:ascii="Book Antiqua" w:hAnsi="Book Antiqua" w:cs="Times New Roman"/>
          <w:iCs/>
          <w:sz w:val="24"/>
          <w:szCs w:val="24"/>
          <w:shd w:val="clear" w:color="auto" w:fill="FFFFFF"/>
        </w:rPr>
        <w:t xml:space="preserve"> interferon gamma</w:t>
      </w:r>
      <w:r>
        <w:rPr>
          <w:rFonts w:ascii="Book Antiqua" w:hAnsi="Book Antiqua" w:cs="Times New Roman"/>
          <w:kern w:val="0"/>
          <w:sz w:val="24"/>
          <w:szCs w:val="24"/>
          <w:lang w:bidi="ar"/>
        </w:rPr>
        <w:t>; TNF:</w:t>
      </w:r>
      <w:r>
        <w:rPr>
          <w:rFonts w:ascii="Book Antiqua" w:hAnsi="Book Antiqua"/>
          <w:sz w:val="24"/>
          <w:szCs w:val="24"/>
        </w:rPr>
        <w:t xml:space="preserve"> </w:t>
      </w:r>
      <w:r>
        <w:rPr>
          <w:rFonts w:ascii="Book Antiqua" w:hAnsi="Book Antiqua" w:cs="Times New Roman"/>
          <w:kern w:val="0"/>
          <w:sz w:val="24"/>
          <w:szCs w:val="24"/>
          <w:lang w:bidi="ar"/>
        </w:rPr>
        <w:t>tumor necrosis factor; GATA3:</w:t>
      </w:r>
      <w:r>
        <w:rPr>
          <w:rFonts w:ascii="Book Antiqua" w:hAnsi="Book Antiqua"/>
          <w:sz w:val="24"/>
          <w:szCs w:val="24"/>
        </w:rPr>
        <w:t xml:space="preserve"> </w:t>
      </w:r>
      <w:r>
        <w:rPr>
          <w:rFonts w:ascii="Book Antiqua" w:hAnsi="Book Antiqua" w:cs="Times New Roman"/>
          <w:kern w:val="0"/>
          <w:sz w:val="24"/>
          <w:szCs w:val="24"/>
          <w:lang w:bidi="ar"/>
        </w:rPr>
        <w:t>GATA binding protein 3; STAT6: signal transducer and activator of transcription 6; STAT5A:</w:t>
      </w:r>
      <w:r>
        <w:rPr>
          <w:rFonts w:ascii="Book Antiqua" w:hAnsi="Book Antiqua"/>
          <w:sz w:val="24"/>
          <w:szCs w:val="24"/>
        </w:rPr>
        <w:t xml:space="preserve"> </w:t>
      </w:r>
      <w:r>
        <w:rPr>
          <w:rFonts w:ascii="Book Antiqua" w:hAnsi="Book Antiqua" w:cs="Times New Roman"/>
          <w:kern w:val="0"/>
          <w:sz w:val="24"/>
          <w:szCs w:val="24"/>
          <w:lang w:bidi="ar"/>
        </w:rPr>
        <w:t>signal transducer and activator of transcription 5A;</w:t>
      </w:r>
      <w:r>
        <w:rPr>
          <w:rFonts w:ascii="Book Antiqua" w:hAnsi="Book Antiqua" w:cs="Times New Roman"/>
          <w:kern w:val="0"/>
          <w:sz w:val="24"/>
          <w:szCs w:val="24"/>
          <w:lang w:eastAsia="en-US" w:bidi="ar"/>
        </w:rPr>
        <w:t xml:space="preserve"> </w:t>
      </w:r>
      <w:r>
        <w:rPr>
          <w:rFonts w:ascii="Book Antiqua" w:hAnsi="Book Antiqua"/>
          <w:sz w:val="24"/>
          <w:szCs w:val="24"/>
          <w:lang w:bidi="ar"/>
        </w:rPr>
        <w:t>PDCD1</w:t>
      </w:r>
      <w:r>
        <w:rPr>
          <w:rFonts w:ascii="Book Antiqua" w:hAnsi="Book Antiqua" w:cs="Times New Roman"/>
          <w:kern w:val="0"/>
          <w:sz w:val="24"/>
          <w:szCs w:val="24"/>
          <w:lang w:bidi="ar"/>
        </w:rPr>
        <w:t>:</w:t>
      </w:r>
      <w:r>
        <w:rPr>
          <w:rFonts w:ascii="Book Antiqua" w:hAnsi="Book Antiqua" w:cs="Times New Roman"/>
          <w:sz w:val="24"/>
          <w:szCs w:val="24"/>
          <w:shd w:val="clear" w:color="auto" w:fill="FFFFFF"/>
        </w:rPr>
        <w:t xml:space="preserve"> programmed cell death 1</w:t>
      </w:r>
      <w:r>
        <w:rPr>
          <w:rFonts w:ascii="Book Antiqua" w:hAnsi="Book Antiqua" w:cs="Times New Roman"/>
          <w:kern w:val="0"/>
          <w:sz w:val="24"/>
          <w:szCs w:val="24"/>
          <w:lang w:bidi="ar"/>
        </w:rPr>
        <w:t>; CTLA4:</w:t>
      </w:r>
      <w:r>
        <w:rPr>
          <w:rFonts w:ascii="Book Antiqua" w:hAnsi="Book Antiqua" w:cs="Times New Roman"/>
          <w:sz w:val="24"/>
          <w:szCs w:val="24"/>
          <w:shd w:val="clear" w:color="auto" w:fill="FFFFFF"/>
        </w:rPr>
        <w:t xml:space="preserve"> cytotoxic T-lymphocyte associated protein 4</w:t>
      </w:r>
      <w:r>
        <w:rPr>
          <w:rFonts w:ascii="Book Antiqua" w:hAnsi="Book Antiqua" w:cs="Times New Roman"/>
          <w:kern w:val="0"/>
          <w:sz w:val="24"/>
          <w:szCs w:val="24"/>
          <w:lang w:bidi="ar"/>
        </w:rPr>
        <w:t>; LAG3:</w:t>
      </w:r>
      <w:r>
        <w:rPr>
          <w:rFonts w:ascii="Book Antiqua" w:hAnsi="Book Antiqua" w:cs="Times New Roman"/>
          <w:iCs/>
          <w:sz w:val="24"/>
          <w:szCs w:val="24"/>
          <w:shd w:val="clear" w:color="auto" w:fill="FFFFFF"/>
        </w:rPr>
        <w:t xml:space="preserve"> lymphocyte activating 3</w:t>
      </w:r>
      <w:r>
        <w:rPr>
          <w:rFonts w:ascii="Book Antiqua" w:hAnsi="Book Antiqua" w:cs="Times New Roman"/>
          <w:kern w:val="0"/>
          <w:sz w:val="24"/>
          <w:szCs w:val="24"/>
          <w:lang w:bidi="ar"/>
        </w:rPr>
        <w:t xml:space="preserve">; </w:t>
      </w:r>
      <w:r>
        <w:rPr>
          <w:rFonts w:ascii="Book Antiqua" w:hAnsi="Book Antiqua"/>
          <w:sz w:val="24"/>
          <w:szCs w:val="24"/>
          <w:lang w:bidi="ar"/>
        </w:rPr>
        <w:t>HAVCR2</w:t>
      </w:r>
      <w:r>
        <w:rPr>
          <w:rFonts w:ascii="Book Antiqua" w:hAnsi="Book Antiqua" w:cs="Times New Roman"/>
          <w:kern w:val="0"/>
          <w:sz w:val="24"/>
          <w:szCs w:val="24"/>
          <w:lang w:bidi="ar"/>
        </w:rPr>
        <w:t>:</w:t>
      </w:r>
      <w:r>
        <w:rPr>
          <w:rFonts w:ascii="Book Antiqua" w:hAnsi="Book Antiqua" w:cs="Times New Roman"/>
          <w:iCs/>
          <w:sz w:val="24"/>
          <w:szCs w:val="24"/>
          <w:shd w:val="clear" w:color="auto" w:fill="FFFFFF"/>
        </w:rPr>
        <w:t xml:space="preserve"> hepatitis A virus cellular receptor 2</w:t>
      </w:r>
      <w:r>
        <w:rPr>
          <w:rFonts w:ascii="Book Antiqua" w:hAnsi="Book Antiqua" w:cs="Times New Roman"/>
          <w:kern w:val="0"/>
          <w:sz w:val="24"/>
          <w:szCs w:val="24"/>
          <w:lang w:bidi="ar"/>
        </w:rPr>
        <w:t>; GZMB:</w:t>
      </w:r>
      <w:r>
        <w:rPr>
          <w:rFonts w:ascii="Book Antiqua" w:hAnsi="Book Antiqua" w:cs="Times New Roman"/>
          <w:iCs/>
          <w:sz w:val="24"/>
          <w:szCs w:val="24"/>
          <w:shd w:val="clear" w:color="auto" w:fill="FFFFFF"/>
        </w:rPr>
        <w:t xml:space="preserve"> granzyme B. </w:t>
      </w:r>
    </w:p>
    <w:p>
      <w:pPr>
        <w:spacing w:line="360" w:lineRule="auto"/>
        <w:jc w:val="both"/>
        <w:rPr>
          <w:rFonts w:ascii="Times New Roman" w:hAnsi="Times New Roman" w:cs="Times New Roman" w:eastAsiaTheme="minorEastAsia"/>
          <w:lang w:eastAsia="en-US"/>
        </w:rPr>
      </w:pPr>
    </w:p>
    <w:p>
      <w:pPr>
        <w:spacing w:line="360" w:lineRule="auto"/>
        <w:jc w:val="both"/>
        <w:rPr>
          <w:rFonts w:hint="eastAsia" w:eastAsia="宋体"/>
          <w:lang w:eastAsia="zh-CN"/>
        </w:rPr>
      </w:pPr>
      <w:r>
        <w:br w:type="page"/>
      </w:r>
      <w:r>
        <w:rPr>
          <w:rFonts w:hint="eastAsia" w:eastAsia="宋体"/>
          <w:lang w:eastAsia="zh-CN"/>
        </w:rPr>
        <w:drawing>
          <wp:inline distT="0" distB="0" distL="114300" distR="114300">
            <wp:extent cx="4872355" cy="8820150"/>
            <wp:effectExtent l="0" t="0" r="4445" b="3810"/>
            <wp:docPr id="19" name="图片 19" descr="WJCC-10-3989-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CC-10-3989-g009"/>
                    <pic:cNvPicPr>
                      <a:picLocks noChangeAspect="1"/>
                    </pic:cNvPicPr>
                  </pic:nvPicPr>
                  <pic:blipFill>
                    <a:blip r:embed="rId13"/>
                    <a:stretch>
                      <a:fillRect/>
                    </a:stretch>
                  </pic:blipFill>
                  <pic:spPr>
                    <a:xfrm>
                      <a:off x="0" y="0"/>
                      <a:ext cx="4872355" cy="882015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9 </w:t>
      </w:r>
      <w:r>
        <w:rPr>
          <w:rFonts w:ascii="Book Antiqua" w:hAnsi="Book Antiqua" w:eastAsia="Book Antiqua" w:cs="Book Antiqua"/>
          <w:b/>
          <w:bCs/>
          <w:color w:val="000000"/>
        </w:rPr>
        <w:t>Solute carrier family 2 member 2</w:t>
      </w:r>
      <w:r>
        <w:rPr>
          <w:rFonts w:ascii="Book Antiqua" w:hAnsi="Book Antiqua" w:eastAsia="Book Antiqua" w:cs="Book Antiqua"/>
          <w:b/>
          <w:bCs/>
          <w:color w:val="000000"/>
          <w:shd w:val="clear" w:color="auto" w:fill="FFFFFF"/>
        </w:rPr>
        <w:t xml:space="preserve"> methylation correlated with immune cells in </w:t>
      </w:r>
      <w:r>
        <w:rPr>
          <w:rFonts w:ascii="Book Antiqua" w:hAnsi="Book Antiqua" w:eastAsia="Book Antiqua" w:cs="Book Antiqua"/>
          <w:b/>
          <w:bCs/>
          <w:color w:val="000000"/>
        </w:rPr>
        <w:t>hepatocellular carcinoma</w:t>
      </w:r>
      <w:r>
        <w:rPr>
          <w:rFonts w:ascii="Book Antiqua" w:hAnsi="Book Antiqua" w:eastAsia="Book Antiqua" w:cs="Book Antiqua"/>
          <w:b/>
          <w:bCs/>
          <w:color w:val="000000"/>
          <w:shd w:val="clear" w:color="auto" w:fill="FFFFFF"/>
        </w:rPr>
        <w:t xml:space="preserve"> by using the tumor and immune system interaction database. </w:t>
      </w:r>
      <w:r>
        <w:rPr>
          <w:rFonts w:ascii="Book Antiqua" w:hAnsi="Book Antiqua" w:eastAsia="Book Antiqua" w:cs="Book Antiqua"/>
          <w:color w:val="000000"/>
          <w:shd w:val="clear" w:color="auto" w:fill="FFFFFF"/>
        </w:rPr>
        <w:t xml:space="preserve">A: Heat map of the correlation between </w:t>
      </w:r>
      <w:r>
        <w:rPr>
          <w:rFonts w:ascii="Book Antiqua" w:hAnsi="Book Antiqua" w:eastAsia="Book Antiqua" w:cs="Book Antiqua"/>
          <w:color w:val="000000"/>
        </w:rPr>
        <w:t>solute carrier family 2 member 2 (</w:t>
      </w:r>
      <w:r>
        <w:rPr>
          <w:rFonts w:ascii="Book Antiqua" w:hAnsi="Book Antiqua" w:eastAsia="Book Antiqua" w:cs="Book Antiqua"/>
          <w:color w:val="000000"/>
          <w:shd w:val="clear" w:color="auto" w:fill="FFFFFF"/>
        </w:rPr>
        <w:t xml:space="preserve">SLC2A2) transcription level and the level of immune cell infiltration; B: Scatter plot of the correlation between SLC2A2 transcription level and the level of immune cell infiltration.Act: </w:t>
      </w:r>
      <w:r>
        <w:rPr>
          <w:rFonts w:ascii="Book Antiqua" w:hAnsi="Book Antiqua" w:cs="Arial"/>
          <w:color w:val="3D3D3D"/>
        </w:rPr>
        <w:t xml:space="preserve">activated; </w:t>
      </w:r>
      <w:r>
        <w:rPr>
          <w:rFonts w:ascii="Book Antiqua" w:hAnsi="Book Antiqua" w:eastAsia="Book Antiqua" w:cs="Book Antiqua"/>
          <w:color w:val="000000"/>
          <w:shd w:val="clear" w:color="auto" w:fill="FFFFFF"/>
        </w:rPr>
        <w:t xml:space="preserve">Tcm: </w:t>
      </w:r>
      <w:r>
        <w:rPr>
          <w:rFonts w:ascii="Book Antiqua" w:hAnsi="Book Antiqua" w:cs="Segoe UI"/>
          <w:color w:val="212121"/>
          <w:shd w:val="clear" w:color="auto" w:fill="FFFFFF"/>
        </w:rPr>
        <w:t>central memory T;</w:t>
      </w:r>
      <w:r>
        <w:rPr>
          <w:rFonts w:ascii="Book Antiqua" w:hAnsi="Book Antiqua"/>
          <w:color w:val="000000"/>
          <w:shd w:val="clear" w:color="auto" w:fill="FFFFFF"/>
        </w:rPr>
        <w:t xml:space="preserve"> Tem:</w:t>
      </w:r>
      <w:r>
        <w:rPr>
          <w:rFonts w:ascii="Book Antiqua" w:hAnsi="Book Antiqua" w:cs="Segoe UI"/>
          <w:color w:val="212121"/>
          <w:shd w:val="clear" w:color="auto" w:fill="FFFFFF"/>
        </w:rPr>
        <w:t xml:space="preserve"> effector memory T</w:t>
      </w:r>
      <w:r>
        <w:rPr>
          <w:rFonts w:ascii="Book Antiqua" w:hAnsi="Book Antiqua"/>
          <w:color w:val="000000"/>
          <w:shd w:val="clear" w:color="auto" w:fill="FFFFFF"/>
        </w:rPr>
        <w:t>; Tfh:</w:t>
      </w:r>
      <w:r>
        <w:rPr>
          <w:rFonts w:ascii="Book Antiqua" w:hAnsi="Book Antiqua" w:cs="Times New Roman"/>
          <w:iCs/>
          <w:shd w:val="clear" w:color="auto" w:fill="FFFFFF"/>
        </w:rPr>
        <w:t xml:space="preserve"> Follicular helper T</w:t>
      </w:r>
      <w:r>
        <w:rPr>
          <w:rFonts w:ascii="Book Antiqua" w:hAnsi="Book Antiqua"/>
          <w:color w:val="000000"/>
          <w:shd w:val="clear" w:color="auto" w:fill="FFFFFF"/>
        </w:rPr>
        <w:t>; Tgd:</w:t>
      </w:r>
      <w:r>
        <w:rPr>
          <w:rFonts w:ascii="Book Antiqua" w:hAnsi="Book Antiqua"/>
          <w:color w:val="333333"/>
          <w:shd w:val="clear" w:color="auto" w:fill="FFFCF0"/>
        </w:rPr>
        <w:t xml:space="preserve"> </w:t>
      </w:r>
      <w:r>
        <w:rPr>
          <w:rFonts w:ascii="Book Antiqua" w:hAnsi="Book Antiqua" w:cs="Segoe UI"/>
          <w:color w:val="212121"/>
          <w:shd w:val="clear" w:color="auto" w:fill="FFFFFF"/>
        </w:rPr>
        <w:t>gamma-delta T cells; T</w:t>
      </w:r>
      <w:r>
        <w:rPr>
          <w:rFonts w:ascii="Book Antiqua" w:hAnsi="Book Antiqua"/>
          <w:color w:val="000000"/>
          <w:shd w:val="clear" w:color="auto" w:fill="FFFFFF"/>
        </w:rPr>
        <w:t>h: T helper; Imm: immune; Mem: memory; NK: natural</w:t>
      </w:r>
      <w:r>
        <w:rPr>
          <w:rFonts w:hint="eastAsia" w:ascii="Book Antiqua" w:hAnsi="Book Antiqua"/>
          <w:color w:val="000000"/>
          <w:shd w:val="clear" w:color="auto" w:fill="FFFFFF"/>
        </w:rPr>
        <w:t xml:space="preserve"> </w:t>
      </w:r>
      <w:r>
        <w:rPr>
          <w:rFonts w:ascii="Book Antiqua" w:hAnsi="Book Antiqua"/>
          <w:color w:val="000000"/>
          <w:shd w:val="clear" w:color="auto" w:fill="FFFFFF"/>
        </w:rPr>
        <w:t>killer; MDSC: myeloid-derived suppressor; NKT: natural killer T; pDC: plasmacytoid dendritic cells; iDC: interstitial dendritic cells.</w:t>
      </w:r>
    </w:p>
    <w:p>
      <w:pPr>
        <w:spacing w:line="360" w:lineRule="auto"/>
        <w:jc w:val="both"/>
        <w:textAlignment w:val="center"/>
        <w:rPr>
          <w:rFonts w:ascii="Book Antiqua" w:hAnsi="Book Antiqua"/>
          <w:iCs/>
          <w:shd w:val="clear" w:color="auto" w:fill="FFFFFF"/>
        </w:rPr>
      </w:pPr>
      <w:r>
        <w:rPr>
          <w:rFonts w:ascii="Book Antiqua" w:hAnsi="Book Antiqua" w:cs="Book Antiqua"/>
          <w:color w:val="000000"/>
          <w:shd w:val="clear" w:color="auto" w:fill="FFFFFF"/>
        </w:rPr>
        <w:br w:type="page"/>
      </w:r>
      <w:r>
        <w:rPr>
          <w:rFonts w:ascii="Book Antiqua" w:hAnsi="Book Antiqua"/>
          <w:b/>
          <w:bCs/>
        </w:rPr>
        <w:t>Table</w:t>
      </w:r>
      <w:r>
        <w:rPr>
          <w:rFonts w:hint="eastAsia" w:ascii="Book Antiqua" w:hAnsi="Book Antiqua"/>
          <w:b/>
          <w:bCs/>
        </w:rPr>
        <w:t xml:space="preserve"> </w:t>
      </w:r>
      <w:r>
        <w:rPr>
          <w:rFonts w:ascii="Book Antiqua" w:hAnsi="Book Antiqua"/>
          <w:b/>
          <w:bCs/>
        </w:rPr>
        <w:t xml:space="preserve">1 </w:t>
      </w:r>
      <w:r>
        <w:rPr>
          <w:rFonts w:ascii="Book Antiqua" w:hAnsi="Book Antiqua"/>
          <w:b/>
        </w:rPr>
        <w:t xml:space="preserve">Clinical information description of </w:t>
      </w:r>
      <w:r>
        <w:rPr>
          <w:rFonts w:ascii="Book Antiqua" w:hAnsi="Book Antiqua"/>
          <w:b/>
          <w:bCs/>
        </w:rPr>
        <w:t>hepatocellular carcinoma</w:t>
      </w:r>
      <w:r>
        <w:rPr>
          <w:rFonts w:ascii="Book Antiqua" w:hAnsi="Book Antiqua"/>
          <w:b/>
        </w:rPr>
        <w:t xml:space="preserve"> patients in </w:t>
      </w:r>
      <w:r>
        <w:rPr>
          <w:rFonts w:ascii="Book Antiqua" w:hAnsi="Book Antiqua"/>
          <w:b/>
          <w:bCs/>
          <w:shd w:val="clear" w:color="auto" w:fill="FFFFFF"/>
        </w:rPr>
        <w:t>The Cancer Genome Atlas</w:t>
      </w:r>
    </w:p>
    <w:tbl>
      <w:tblPr>
        <w:tblStyle w:val="9"/>
        <w:tblW w:w="8505" w:type="dxa"/>
        <w:jc w:val="center"/>
        <w:tblLayout w:type="fixed"/>
        <w:tblCellMar>
          <w:top w:w="0" w:type="dxa"/>
          <w:left w:w="108" w:type="dxa"/>
          <w:bottom w:w="0" w:type="dxa"/>
          <w:right w:w="108" w:type="dxa"/>
        </w:tblCellMar>
      </w:tblPr>
      <w:tblGrid>
        <w:gridCol w:w="2835"/>
        <w:gridCol w:w="2835"/>
        <w:gridCol w:w="2835"/>
      </w:tblGrid>
      <w:tr>
        <w:tblPrEx>
          <w:tblCellMar>
            <w:top w:w="0" w:type="dxa"/>
            <w:left w:w="108" w:type="dxa"/>
            <w:bottom w:w="0" w:type="dxa"/>
            <w:right w:w="108" w:type="dxa"/>
          </w:tblCellMar>
        </w:tblPrEx>
        <w:trPr>
          <w:trHeight w:val="90" w:hRule="atLeast"/>
          <w:jc w:val="center"/>
        </w:trPr>
        <w:tc>
          <w:tcPr>
            <w:tcW w:w="2835" w:type="dxa"/>
            <w:tcBorders>
              <w:top w:val="single" w:color="auto" w:sz="4" w:space="0"/>
              <w:left w:val="nil"/>
              <w:bottom w:val="single" w:color="auto" w:sz="4" w:space="0"/>
              <w:right w:val="nil"/>
            </w:tcBorders>
            <w:shd w:val="clear" w:color="auto" w:fill="auto"/>
            <w:noWrap/>
            <w:vAlign w:val="center"/>
          </w:tcPr>
          <w:p>
            <w:pPr>
              <w:spacing w:line="360" w:lineRule="auto"/>
              <w:textAlignment w:val="center"/>
              <w:rPr>
                <w:rFonts w:ascii="Book Antiqua" w:hAnsi="Book Antiqua"/>
                <w:b/>
                <w:bCs/>
              </w:rPr>
            </w:pPr>
            <w:r>
              <w:rPr>
                <w:rFonts w:ascii="Book Antiqua" w:hAnsi="Book Antiqua"/>
                <w:b/>
                <w:bCs/>
              </w:rPr>
              <w:t>Description</w:t>
            </w:r>
          </w:p>
        </w:tc>
        <w:tc>
          <w:tcPr>
            <w:tcW w:w="2835" w:type="dxa"/>
            <w:tcBorders>
              <w:top w:val="single" w:color="auto" w:sz="4" w:space="0"/>
              <w:left w:val="nil"/>
              <w:bottom w:val="single" w:color="auto" w:sz="4" w:space="0"/>
              <w:right w:val="nil"/>
            </w:tcBorders>
            <w:shd w:val="clear" w:color="auto" w:fill="auto"/>
            <w:noWrap/>
            <w:vAlign w:val="center"/>
          </w:tcPr>
          <w:p>
            <w:pPr>
              <w:spacing w:line="360" w:lineRule="auto"/>
              <w:jc w:val="center"/>
              <w:textAlignment w:val="center"/>
              <w:rPr>
                <w:rFonts w:ascii="Book Antiqua" w:hAnsi="Book Antiqua"/>
                <w:b/>
                <w:bCs/>
              </w:rPr>
            </w:pPr>
            <w:r>
              <w:rPr>
                <w:rFonts w:ascii="Book Antiqua" w:hAnsi="Book Antiqua"/>
                <w:b/>
                <w:bCs/>
                <w:lang w:bidi="ar"/>
              </w:rPr>
              <w:t>Samples,</w:t>
            </w:r>
            <w:r>
              <w:rPr>
                <w:rFonts w:hint="eastAsia" w:ascii="Book Antiqua" w:hAnsi="Book Antiqua"/>
                <w:b/>
                <w:bCs/>
                <w:lang w:bidi="ar"/>
              </w:rPr>
              <w:t xml:space="preserve"> </w:t>
            </w:r>
            <w:r>
              <w:rPr>
                <w:rFonts w:ascii="Book Antiqua" w:hAnsi="Book Antiqua"/>
                <w:b/>
                <w:bCs/>
                <w:i/>
                <w:iCs/>
                <w:lang w:bidi="ar"/>
              </w:rPr>
              <w:t>n</w:t>
            </w:r>
            <w:r>
              <w:rPr>
                <w:rFonts w:ascii="Book Antiqua" w:hAnsi="Book Antiqua"/>
                <w:b/>
                <w:bCs/>
                <w:lang w:bidi="ar"/>
              </w:rPr>
              <w:t xml:space="preserve"> = 371</w:t>
            </w:r>
          </w:p>
        </w:tc>
        <w:tc>
          <w:tcPr>
            <w:tcW w:w="2835" w:type="dxa"/>
            <w:tcBorders>
              <w:top w:val="single" w:color="auto" w:sz="4" w:space="0"/>
              <w:left w:val="nil"/>
              <w:bottom w:val="single" w:color="auto" w:sz="4" w:space="0"/>
              <w:right w:val="nil"/>
            </w:tcBorders>
            <w:shd w:val="clear" w:color="auto" w:fill="auto"/>
            <w:noWrap/>
            <w:vAlign w:val="center"/>
          </w:tcPr>
          <w:p>
            <w:pPr>
              <w:spacing w:line="360" w:lineRule="auto"/>
              <w:jc w:val="center"/>
              <w:textAlignment w:val="center"/>
              <w:rPr>
                <w:rFonts w:ascii="Book Antiqua" w:hAnsi="Book Antiqua"/>
                <w:b/>
                <w:bCs/>
                <w:lang w:bidi="ar"/>
              </w:rPr>
            </w:pPr>
            <w:r>
              <w:rPr>
                <w:rFonts w:ascii="Book Antiqua" w:hAnsi="Book Antiqua"/>
                <w:b/>
                <w:bCs/>
                <w:lang w:bidi="ar"/>
              </w:rPr>
              <w:t xml:space="preserve">Percentage </w:t>
            </w:r>
          </w:p>
        </w:tc>
      </w:tr>
      <w:tr>
        <w:tblPrEx>
          <w:tblCellMar>
            <w:top w:w="0" w:type="dxa"/>
            <w:left w:w="108" w:type="dxa"/>
            <w:bottom w:w="0" w:type="dxa"/>
            <w:right w:w="108" w:type="dxa"/>
          </w:tblCellMar>
        </w:tblPrEx>
        <w:trPr>
          <w:trHeight w:val="270" w:hRule="atLeast"/>
          <w:jc w:val="center"/>
        </w:trPr>
        <w:tc>
          <w:tcPr>
            <w:tcW w:w="2835" w:type="dxa"/>
            <w:tcBorders>
              <w:top w:val="single" w:color="auto" w:sz="4" w:space="0"/>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Sex</w:t>
            </w:r>
          </w:p>
        </w:tc>
        <w:tc>
          <w:tcPr>
            <w:tcW w:w="2835" w:type="dxa"/>
            <w:tcBorders>
              <w:top w:val="single" w:color="auto" w:sz="4" w:space="0"/>
              <w:left w:val="nil"/>
              <w:bottom w:val="nil"/>
              <w:right w:val="nil"/>
            </w:tcBorders>
            <w:shd w:val="clear" w:color="auto" w:fill="auto"/>
            <w:noWrap/>
            <w:vAlign w:val="center"/>
          </w:tcPr>
          <w:p>
            <w:pPr>
              <w:spacing w:line="360" w:lineRule="auto"/>
              <w:jc w:val="center"/>
              <w:rPr>
                <w:rFonts w:ascii="Book Antiqua" w:hAnsi="Book Antiqua"/>
              </w:rPr>
            </w:pPr>
          </w:p>
        </w:tc>
        <w:tc>
          <w:tcPr>
            <w:tcW w:w="2835" w:type="dxa"/>
            <w:tcBorders>
              <w:top w:val="single" w:color="auto" w:sz="4" w:space="0"/>
              <w:left w:val="nil"/>
              <w:bottom w:val="nil"/>
              <w:right w:val="nil"/>
            </w:tcBorders>
            <w:shd w:val="clear" w:color="auto" w:fill="auto"/>
            <w:noWrap/>
            <w:vAlign w:val="center"/>
          </w:tcPr>
          <w:p>
            <w:pPr>
              <w:spacing w:line="360" w:lineRule="auto"/>
              <w:jc w:val="center"/>
              <w:rPr>
                <w:rFonts w:ascii="Book Antiqua" w:hAnsi="Book Antiqua"/>
              </w:rPr>
            </w:pP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Male</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249</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67.11</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Female</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121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32.61</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Race</w:t>
            </w: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White</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184</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49.60</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Asian</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158</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42.59</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Black or African American</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16</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4.31</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13</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3.50</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Vital status</w:t>
            </w: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Alive</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240</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64.69</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Dead</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130</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35.14</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Age at diagnosis</w:t>
            </w: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w:t>
            </w:r>
            <w:r>
              <w:rPr>
                <w:rFonts w:hint="eastAsia" w:ascii="Book Antiqua" w:hAnsi="Book Antiqua"/>
                <w:lang w:bidi="ar"/>
              </w:rPr>
              <w:t xml:space="preserve"> </w:t>
            </w:r>
            <w:r>
              <w:rPr>
                <w:rFonts w:ascii="Book Antiqua" w:hAnsi="Book Antiqua"/>
                <w:lang w:bidi="ar"/>
              </w:rPr>
              <w:t>60-years-old</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197</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53.10</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&lt;</w:t>
            </w:r>
            <w:r>
              <w:rPr>
                <w:rFonts w:hint="eastAsia" w:ascii="Book Antiqua" w:hAnsi="Book Antiqua"/>
                <w:lang w:bidi="ar"/>
              </w:rPr>
              <w:t xml:space="preserve"> </w:t>
            </w:r>
            <w:r>
              <w:rPr>
                <w:rFonts w:ascii="Book Antiqua" w:hAnsi="Book Antiqua"/>
                <w:lang w:bidi="ar"/>
              </w:rPr>
              <w:t>60-years-old</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169</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45.55</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5</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1.35</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AJCC pathologic T</w:t>
            </w: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b/>
                <w:bCs/>
              </w:rPr>
            </w:pP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b/>
                <w:bCs/>
              </w:rPr>
            </w:pP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180</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48.52</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T2</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92</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24.80</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T2a</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T2b</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T3</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45</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12.13</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T3a</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29</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7.82</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T3b</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6</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1.62</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T4</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13</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3.50</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TX</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8505" w:type="dxa"/>
            <w:gridSpan w:val="3"/>
            <w:tcBorders>
              <w:top w:val="nil"/>
              <w:left w:val="nil"/>
              <w:bottom w:val="nil"/>
              <w:right w:val="nil"/>
            </w:tcBorders>
            <w:shd w:val="clear" w:color="auto" w:fill="auto"/>
            <w:noWrap/>
            <w:vAlign w:val="center"/>
          </w:tcPr>
          <w:p>
            <w:pPr>
              <w:spacing w:line="360" w:lineRule="auto"/>
              <w:rPr>
                <w:rFonts w:ascii="Book Antiqua" w:hAnsi="Book Antiqua"/>
              </w:rPr>
            </w:pPr>
            <w:r>
              <w:rPr>
                <w:rFonts w:ascii="Book Antiqua" w:hAnsi="Book Antiqua"/>
                <w:lang w:bidi="ar"/>
              </w:rPr>
              <w:t>AJCC system for tumor staging</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N0</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239</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64.42</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N1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4</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1.08</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Nx</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91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24.53</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2</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0.54</w:t>
            </w:r>
          </w:p>
        </w:tc>
      </w:tr>
      <w:tr>
        <w:tblPrEx>
          <w:tblCellMar>
            <w:top w:w="0" w:type="dxa"/>
            <w:left w:w="108" w:type="dxa"/>
            <w:bottom w:w="0" w:type="dxa"/>
            <w:right w:w="108" w:type="dxa"/>
          </w:tblCellMar>
        </w:tblPrEx>
        <w:trPr>
          <w:trHeight w:val="270" w:hRule="atLeast"/>
          <w:jc w:val="center"/>
        </w:trPr>
        <w:tc>
          <w:tcPr>
            <w:tcW w:w="8505" w:type="dxa"/>
            <w:gridSpan w:val="3"/>
            <w:tcBorders>
              <w:top w:val="nil"/>
              <w:left w:val="nil"/>
              <w:bottom w:val="nil"/>
            </w:tcBorders>
            <w:shd w:val="clear" w:color="auto" w:fill="auto"/>
            <w:noWrap/>
            <w:vAlign w:val="center"/>
          </w:tcPr>
          <w:p>
            <w:pPr>
              <w:spacing w:line="360" w:lineRule="auto"/>
              <w:rPr>
                <w:rFonts w:ascii="Book Antiqua" w:hAnsi="Book Antiqua"/>
              </w:rPr>
            </w:pPr>
            <w:r>
              <w:rPr>
                <w:rFonts w:ascii="Book Antiqua" w:hAnsi="Book Antiqua"/>
                <w:lang w:bidi="ar"/>
              </w:rPr>
              <w:t>AJCC system for metastasis staging</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M0</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265</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71.43</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M1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4</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1.08</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Mx</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101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27.22</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8505" w:type="dxa"/>
            <w:gridSpan w:val="3"/>
            <w:tcBorders>
              <w:top w:val="nil"/>
              <w:left w:val="nil"/>
              <w:bottom w:val="nil"/>
            </w:tcBorders>
            <w:shd w:val="clear" w:color="auto" w:fill="auto"/>
            <w:noWrap/>
            <w:vAlign w:val="center"/>
          </w:tcPr>
          <w:p>
            <w:pPr>
              <w:spacing w:line="360" w:lineRule="auto"/>
              <w:rPr>
                <w:rFonts w:ascii="Book Antiqua" w:hAnsi="Book Antiqua"/>
              </w:rPr>
            </w:pPr>
            <w:r>
              <w:rPr>
                <w:rFonts w:ascii="Book Antiqua" w:hAnsi="Book Antiqua"/>
                <w:lang w:bidi="ar"/>
              </w:rPr>
              <w:t>AJCC system for stage</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170</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45.82</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II</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86</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23.18</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III</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3</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0.81</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IIIA</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65</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17.52</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IIIB</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8</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2.16</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IIIC</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9</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2.43</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IV</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2</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0.54</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IVA</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Stage IVB</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2</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0.54</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rPr>
              <w:t>25</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6.74</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Prior malignancy</w:t>
            </w: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Yes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35</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9.43</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No</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335</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90.30</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1</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0.27</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Treatment or therapy</w:t>
            </w: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c>
          <w:tcPr>
            <w:tcW w:w="2835" w:type="dxa"/>
            <w:tcBorders>
              <w:top w:val="nil"/>
              <w:left w:val="nil"/>
              <w:bottom w:val="nil"/>
              <w:right w:val="nil"/>
            </w:tcBorders>
            <w:shd w:val="clear" w:color="auto" w:fill="auto"/>
            <w:noWrap/>
            <w:vAlign w:val="center"/>
          </w:tcPr>
          <w:p>
            <w:pPr>
              <w:spacing w:line="360" w:lineRule="auto"/>
              <w:jc w:val="center"/>
              <w:rPr>
                <w:rFonts w:ascii="Book Antiqua" w:hAnsi="Book Antiqua"/>
              </w:rPr>
            </w:pP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Yes</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38</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10.24</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nil"/>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No</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309</w:t>
            </w:r>
          </w:p>
        </w:tc>
        <w:tc>
          <w:tcPr>
            <w:tcW w:w="2835" w:type="dxa"/>
            <w:tcBorders>
              <w:top w:val="nil"/>
              <w:left w:val="nil"/>
              <w:bottom w:val="nil"/>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83.28</w:t>
            </w:r>
          </w:p>
        </w:tc>
      </w:tr>
      <w:tr>
        <w:tblPrEx>
          <w:tblCellMar>
            <w:top w:w="0" w:type="dxa"/>
            <w:left w:w="108" w:type="dxa"/>
            <w:bottom w:w="0" w:type="dxa"/>
            <w:right w:w="108" w:type="dxa"/>
          </w:tblCellMar>
        </w:tblPrEx>
        <w:trPr>
          <w:trHeight w:val="270" w:hRule="atLeast"/>
          <w:jc w:val="center"/>
        </w:trPr>
        <w:tc>
          <w:tcPr>
            <w:tcW w:w="2835" w:type="dxa"/>
            <w:tcBorders>
              <w:top w:val="nil"/>
              <w:left w:val="nil"/>
              <w:bottom w:val="single" w:color="auto" w:sz="4" w:space="0"/>
              <w:right w:val="nil"/>
            </w:tcBorders>
            <w:shd w:val="clear" w:color="auto" w:fill="auto"/>
            <w:noWrap/>
            <w:vAlign w:val="center"/>
          </w:tcPr>
          <w:p>
            <w:pPr>
              <w:spacing w:line="360" w:lineRule="auto"/>
              <w:textAlignment w:val="center"/>
              <w:rPr>
                <w:rFonts w:ascii="Book Antiqua" w:hAnsi="Book Antiqua"/>
              </w:rPr>
            </w:pPr>
            <w:r>
              <w:rPr>
                <w:rFonts w:ascii="Book Antiqua" w:hAnsi="Book Antiqua"/>
                <w:lang w:bidi="ar"/>
              </w:rPr>
              <w:t>Others</w:t>
            </w:r>
          </w:p>
        </w:tc>
        <w:tc>
          <w:tcPr>
            <w:tcW w:w="2835" w:type="dxa"/>
            <w:tcBorders>
              <w:top w:val="nil"/>
              <w:left w:val="nil"/>
              <w:bottom w:val="single" w:color="auto" w:sz="4" w:space="0"/>
              <w:right w:val="nil"/>
            </w:tcBorders>
            <w:shd w:val="clear" w:color="auto" w:fill="auto"/>
            <w:noWrap/>
            <w:vAlign w:val="center"/>
          </w:tcPr>
          <w:p>
            <w:pPr>
              <w:spacing w:line="360" w:lineRule="auto"/>
              <w:jc w:val="center"/>
              <w:textAlignment w:val="center"/>
              <w:rPr>
                <w:rFonts w:ascii="Book Antiqua" w:hAnsi="Book Antiqua"/>
              </w:rPr>
            </w:pPr>
            <w:r>
              <w:rPr>
                <w:rFonts w:ascii="Book Antiqua" w:hAnsi="Book Antiqua"/>
                <w:lang w:bidi="ar"/>
              </w:rPr>
              <w:t>24</w:t>
            </w:r>
          </w:p>
        </w:tc>
        <w:tc>
          <w:tcPr>
            <w:tcW w:w="2835" w:type="dxa"/>
            <w:tcBorders>
              <w:top w:val="nil"/>
              <w:left w:val="nil"/>
              <w:bottom w:val="single" w:color="auto" w:sz="4" w:space="0"/>
              <w:right w:val="nil"/>
            </w:tcBorders>
            <w:shd w:val="clear" w:color="auto" w:fill="auto"/>
            <w:noWrap/>
            <w:vAlign w:val="center"/>
          </w:tcPr>
          <w:p>
            <w:pPr>
              <w:spacing w:line="360" w:lineRule="auto"/>
              <w:jc w:val="center"/>
              <w:textAlignment w:val="center"/>
              <w:rPr>
                <w:rFonts w:ascii="Book Antiqua" w:hAnsi="Book Antiqua"/>
                <w:lang w:bidi="ar"/>
              </w:rPr>
            </w:pPr>
            <w:r>
              <w:rPr>
                <w:rFonts w:ascii="Book Antiqua" w:hAnsi="Book Antiqua"/>
                <w:lang w:bidi="ar"/>
              </w:rPr>
              <w:t>6.47</w:t>
            </w:r>
          </w:p>
        </w:tc>
      </w:tr>
    </w:tbl>
    <w:p>
      <w:pPr>
        <w:pStyle w:val="25"/>
        <w:spacing w:line="360" w:lineRule="auto"/>
        <w:jc w:val="both"/>
        <w:rPr>
          <w:rFonts w:ascii="Book Antiqua" w:hAnsi="Book Antiqua" w:cs="Times New Roman"/>
          <w:iCs/>
          <w:sz w:val="24"/>
          <w:szCs w:val="24"/>
          <w:shd w:val="clear" w:color="auto" w:fill="FFFFFF"/>
        </w:rPr>
        <w:sectPr>
          <w:pgSz w:w="11906" w:h="16838"/>
          <w:pgMar w:top="1440" w:right="1800" w:bottom="1440" w:left="1800" w:header="851" w:footer="992" w:gutter="0"/>
          <w:cols w:space="425" w:num="1"/>
          <w:docGrid w:type="lines" w:linePitch="312" w:charSpace="0"/>
        </w:sectPr>
      </w:pPr>
      <w:r>
        <w:rPr>
          <w:rFonts w:ascii="Book Antiqua" w:hAnsi="Book Antiqua" w:cs="Times New Roman"/>
          <w:iCs/>
          <w:sz w:val="24"/>
          <w:szCs w:val="24"/>
          <w:shd w:val="clear" w:color="auto" w:fill="FFFFFF"/>
        </w:rPr>
        <w:t xml:space="preserve">AJCC: </w:t>
      </w:r>
      <w:r>
        <w:rPr>
          <w:rFonts w:ascii="Book Antiqua" w:hAnsi="Book Antiqua" w:eastAsia="Book Antiqua" w:cs="Book Antiqua"/>
          <w:color w:val="000000"/>
          <w:sz w:val="24"/>
          <w:szCs w:val="24"/>
          <w:shd w:val="clear" w:color="auto" w:fill="FFFFFF"/>
        </w:rPr>
        <w:t>American Joint Committee on Cancer.</w:t>
      </w:r>
    </w:p>
    <w:p>
      <w:pPr>
        <w:spacing w:line="360" w:lineRule="auto"/>
        <w:jc w:val="both"/>
        <w:rPr>
          <w:rFonts w:ascii="Book Antiqua" w:hAnsi="Book Antiqua"/>
          <w:iCs/>
          <w:shd w:val="clear" w:color="auto" w:fill="FFFFFF"/>
        </w:rPr>
      </w:pPr>
      <w:r>
        <w:rPr>
          <w:rFonts w:ascii="Book Antiqua" w:hAnsi="Book Antiqua"/>
          <w:b/>
          <w:bCs/>
        </w:rPr>
        <w:t>Table</w:t>
      </w:r>
      <w:r>
        <w:rPr>
          <w:rFonts w:hint="eastAsia" w:ascii="Book Antiqua" w:hAnsi="Book Antiqua"/>
          <w:b/>
          <w:bCs/>
        </w:rPr>
        <w:t xml:space="preserve"> </w:t>
      </w:r>
      <w:r>
        <w:rPr>
          <w:rFonts w:ascii="Book Antiqua" w:hAnsi="Book Antiqua"/>
          <w:b/>
          <w:bCs/>
        </w:rPr>
        <w:t>2</w:t>
      </w:r>
      <w:r>
        <w:rPr>
          <w:rFonts w:ascii="Book Antiqua" w:hAnsi="Book Antiqua"/>
          <w:b/>
        </w:rPr>
        <w:t xml:space="preserve"> Correlation of solute carrier family 2 member 1 and solute carrier family 2 expression and clinical prognosis in hepatocellular carcinoma with different clinicopathological factors in Kaplan-Meier plotter</w:t>
      </w:r>
    </w:p>
    <w:tbl>
      <w:tblPr>
        <w:tblStyle w:val="9"/>
        <w:tblW w:w="14812" w:type="dxa"/>
        <w:jc w:val="center"/>
        <w:tblLayout w:type="fixed"/>
        <w:tblCellMar>
          <w:top w:w="0" w:type="dxa"/>
          <w:left w:w="0" w:type="dxa"/>
          <w:bottom w:w="0" w:type="dxa"/>
          <w:right w:w="0" w:type="dxa"/>
        </w:tblCellMar>
      </w:tblPr>
      <w:tblGrid>
        <w:gridCol w:w="2291"/>
        <w:gridCol w:w="453"/>
        <w:gridCol w:w="1656"/>
        <w:gridCol w:w="972"/>
        <w:gridCol w:w="612"/>
        <w:gridCol w:w="1530"/>
        <w:gridCol w:w="954"/>
        <w:gridCol w:w="567"/>
        <w:gridCol w:w="1731"/>
        <w:gridCol w:w="1158"/>
        <w:gridCol w:w="445"/>
        <w:gridCol w:w="1569"/>
        <w:gridCol w:w="874"/>
      </w:tblGrid>
      <w:tr>
        <w:tblPrEx>
          <w:tblCellMar>
            <w:top w:w="0" w:type="dxa"/>
            <w:left w:w="0" w:type="dxa"/>
            <w:bottom w:w="0" w:type="dxa"/>
            <w:right w:w="0" w:type="dxa"/>
          </w:tblCellMar>
        </w:tblPrEx>
        <w:trPr>
          <w:trHeight w:val="270" w:hRule="atLeast"/>
          <w:jc w:val="center"/>
        </w:trPr>
        <w:tc>
          <w:tcPr>
            <w:tcW w:w="2291" w:type="dxa"/>
            <w:vMerge w:val="restart"/>
            <w:tcBorders>
              <w:top w:val="single" w:color="auto" w:sz="4" w:space="0"/>
              <w:left w:val="nil"/>
            </w:tcBorders>
            <w:shd w:val="clear" w:color="auto" w:fill="auto"/>
            <w:noWrap/>
            <w:tcMar>
              <w:top w:w="15" w:type="dxa"/>
              <w:left w:w="15" w:type="dxa"/>
              <w:right w:w="15" w:type="dxa"/>
            </w:tcMar>
            <w:vAlign w:val="center"/>
          </w:tcPr>
          <w:p>
            <w:pPr>
              <w:spacing w:line="360" w:lineRule="auto"/>
              <w:rPr>
                <w:rFonts w:ascii="Book Antiqua" w:hAnsi="Book Antiqua"/>
                <w:b/>
                <w:bCs/>
              </w:rPr>
            </w:pPr>
            <w:r>
              <w:rPr>
                <w:rFonts w:ascii="Book Antiqua" w:hAnsi="Book Antiqua"/>
                <w:b/>
                <w:bCs/>
              </w:rPr>
              <w:t>Clinicopathological characteristics</w:t>
            </w:r>
          </w:p>
        </w:tc>
        <w:tc>
          <w:tcPr>
            <w:tcW w:w="6177" w:type="dxa"/>
            <w:gridSpan w:val="6"/>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rPr>
              <w:t>Solute carrier family 2 member 1</w:t>
            </w:r>
          </w:p>
        </w:tc>
        <w:tc>
          <w:tcPr>
            <w:tcW w:w="6344" w:type="dxa"/>
            <w:gridSpan w:val="6"/>
            <w:tcBorders>
              <w:top w:val="single" w:color="auto" w:sz="4" w:space="0"/>
              <w:bottom w:val="single" w:color="auto" w:sz="4" w:space="0"/>
              <w:right w:val="nil"/>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rPr>
              <w:t>Solute carrier family 2 member 2</w:t>
            </w:r>
          </w:p>
        </w:tc>
      </w:tr>
      <w:tr>
        <w:tblPrEx>
          <w:tblCellMar>
            <w:top w:w="0" w:type="dxa"/>
            <w:left w:w="0" w:type="dxa"/>
            <w:bottom w:w="0" w:type="dxa"/>
            <w:right w:w="0" w:type="dxa"/>
          </w:tblCellMar>
        </w:tblPrEx>
        <w:trPr>
          <w:trHeight w:val="90" w:hRule="atLeast"/>
          <w:jc w:val="center"/>
        </w:trPr>
        <w:tc>
          <w:tcPr>
            <w:tcW w:w="2291" w:type="dxa"/>
            <w:vMerge w:val="continue"/>
            <w:tcBorders>
              <w:left w:val="nil"/>
            </w:tcBorders>
            <w:shd w:val="clear" w:color="auto" w:fill="auto"/>
            <w:noWrap/>
            <w:tcMar>
              <w:top w:w="15" w:type="dxa"/>
              <w:left w:w="15" w:type="dxa"/>
              <w:right w:w="15" w:type="dxa"/>
            </w:tcMar>
            <w:vAlign w:val="center"/>
          </w:tcPr>
          <w:p>
            <w:pPr>
              <w:spacing w:line="360" w:lineRule="auto"/>
              <w:rPr>
                <w:rFonts w:ascii="Book Antiqua" w:hAnsi="Book Antiqua"/>
                <w:b/>
              </w:rPr>
            </w:pPr>
          </w:p>
        </w:tc>
        <w:tc>
          <w:tcPr>
            <w:tcW w:w="3081" w:type="dxa"/>
            <w:gridSpan w:val="3"/>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rPr>
              <w:t xml:space="preserve">Overall survival </w:t>
            </w:r>
          </w:p>
        </w:tc>
        <w:tc>
          <w:tcPr>
            <w:tcW w:w="3096" w:type="dxa"/>
            <w:gridSpan w:val="3"/>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rPr>
              <w:t>Relapse-free survival</w:t>
            </w:r>
          </w:p>
        </w:tc>
        <w:tc>
          <w:tcPr>
            <w:tcW w:w="3456" w:type="dxa"/>
            <w:gridSpan w:val="3"/>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rPr>
              <w:t>Overall survival</w:t>
            </w:r>
          </w:p>
        </w:tc>
        <w:tc>
          <w:tcPr>
            <w:tcW w:w="2888" w:type="dxa"/>
            <w:gridSpan w:val="3"/>
            <w:tcBorders>
              <w:top w:val="single" w:color="auto" w:sz="4" w:space="0"/>
              <w:bottom w:val="single" w:color="auto" w:sz="4" w:space="0"/>
              <w:right w:val="nil"/>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rPr>
              <w:t>Relapse-free survival</w:t>
            </w:r>
          </w:p>
        </w:tc>
      </w:tr>
      <w:tr>
        <w:tblPrEx>
          <w:tblCellMar>
            <w:top w:w="0" w:type="dxa"/>
            <w:left w:w="0" w:type="dxa"/>
            <w:bottom w:w="0" w:type="dxa"/>
            <w:right w:w="0" w:type="dxa"/>
          </w:tblCellMar>
        </w:tblPrEx>
        <w:trPr>
          <w:trHeight w:val="270" w:hRule="atLeast"/>
          <w:jc w:val="center"/>
        </w:trPr>
        <w:tc>
          <w:tcPr>
            <w:tcW w:w="2291" w:type="dxa"/>
            <w:vMerge w:val="continue"/>
            <w:tcBorders>
              <w:left w:val="nil"/>
              <w:bottom w:val="single" w:color="auto" w:sz="4" w:space="0"/>
            </w:tcBorders>
            <w:shd w:val="clear" w:color="auto" w:fill="auto"/>
            <w:noWrap/>
            <w:tcMar>
              <w:top w:w="15" w:type="dxa"/>
              <w:left w:w="15" w:type="dxa"/>
              <w:right w:w="15" w:type="dxa"/>
            </w:tcMar>
            <w:vAlign w:val="center"/>
          </w:tcPr>
          <w:p>
            <w:pPr>
              <w:spacing w:line="360" w:lineRule="auto"/>
              <w:rPr>
                <w:rFonts w:ascii="Book Antiqua" w:hAnsi="Book Antiqua"/>
                <w:b/>
              </w:rPr>
            </w:pPr>
          </w:p>
        </w:tc>
        <w:tc>
          <w:tcPr>
            <w:tcW w:w="453"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i/>
              </w:rPr>
            </w:pPr>
            <w:r>
              <w:rPr>
                <w:rFonts w:ascii="Book Antiqua" w:hAnsi="Book Antiqua"/>
                <w:b/>
                <w:i/>
                <w:lang w:bidi="ar"/>
              </w:rPr>
              <w:t>n</w:t>
            </w:r>
          </w:p>
        </w:tc>
        <w:tc>
          <w:tcPr>
            <w:tcW w:w="1656"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lang w:bidi="ar"/>
              </w:rPr>
              <w:t>Hazard ratio</w:t>
            </w:r>
          </w:p>
        </w:tc>
        <w:tc>
          <w:tcPr>
            <w:tcW w:w="972"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i/>
                <w:lang w:bidi="ar"/>
              </w:rPr>
              <w:t>P</w:t>
            </w:r>
            <w:r>
              <w:rPr>
                <w:rFonts w:hint="eastAsia" w:ascii="Book Antiqua" w:hAnsi="Book Antiqua"/>
                <w:b/>
                <w:lang w:bidi="ar"/>
              </w:rPr>
              <w:t xml:space="preserve"> </w:t>
            </w:r>
            <w:r>
              <w:rPr>
                <w:rFonts w:ascii="Book Antiqua" w:hAnsi="Book Antiqua"/>
                <w:b/>
                <w:lang w:bidi="ar"/>
              </w:rPr>
              <w:t>value</w:t>
            </w:r>
          </w:p>
        </w:tc>
        <w:tc>
          <w:tcPr>
            <w:tcW w:w="612"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i/>
              </w:rPr>
            </w:pPr>
            <w:r>
              <w:rPr>
                <w:rFonts w:ascii="Book Antiqua" w:hAnsi="Book Antiqua"/>
                <w:b/>
                <w:i/>
                <w:lang w:bidi="ar"/>
              </w:rPr>
              <w:t>n</w:t>
            </w:r>
          </w:p>
        </w:tc>
        <w:tc>
          <w:tcPr>
            <w:tcW w:w="1530"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lang w:bidi="ar"/>
              </w:rPr>
              <w:t>Hazard ratio</w:t>
            </w:r>
          </w:p>
        </w:tc>
        <w:tc>
          <w:tcPr>
            <w:tcW w:w="954"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i/>
                <w:lang w:bidi="ar"/>
              </w:rPr>
              <w:t>P</w:t>
            </w:r>
            <w:r>
              <w:rPr>
                <w:rFonts w:hint="eastAsia" w:ascii="Book Antiqua" w:hAnsi="Book Antiqua"/>
                <w:b/>
                <w:lang w:bidi="ar"/>
              </w:rPr>
              <w:t xml:space="preserve"> </w:t>
            </w:r>
            <w:r>
              <w:rPr>
                <w:rFonts w:ascii="Book Antiqua" w:hAnsi="Book Antiqua"/>
                <w:b/>
                <w:lang w:bidi="ar"/>
              </w:rPr>
              <w:t>value</w:t>
            </w:r>
          </w:p>
        </w:tc>
        <w:tc>
          <w:tcPr>
            <w:tcW w:w="567"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i/>
              </w:rPr>
            </w:pPr>
            <w:r>
              <w:rPr>
                <w:rFonts w:ascii="Book Antiqua" w:hAnsi="Book Antiqua"/>
                <w:b/>
                <w:i/>
                <w:lang w:bidi="ar"/>
              </w:rPr>
              <w:t>n</w:t>
            </w:r>
          </w:p>
        </w:tc>
        <w:tc>
          <w:tcPr>
            <w:tcW w:w="1731"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lang w:bidi="ar"/>
              </w:rPr>
              <w:t>Hazard ratio</w:t>
            </w:r>
          </w:p>
        </w:tc>
        <w:tc>
          <w:tcPr>
            <w:tcW w:w="1158"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i/>
                <w:lang w:bidi="ar"/>
              </w:rPr>
              <w:t>P</w:t>
            </w:r>
            <w:r>
              <w:rPr>
                <w:rFonts w:hint="eastAsia" w:ascii="Book Antiqua" w:hAnsi="Book Antiqua"/>
                <w:b/>
                <w:lang w:bidi="ar"/>
              </w:rPr>
              <w:t xml:space="preserve"> </w:t>
            </w:r>
            <w:r>
              <w:rPr>
                <w:rFonts w:ascii="Book Antiqua" w:hAnsi="Book Antiqua"/>
                <w:b/>
                <w:lang w:bidi="ar"/>
              </w:rPr>
              <w:t>value</w:t>
            </w:r>
          </w:p>
        </w:tc>
        <w:tc>
          <w:tcPr>
            <w:tcW w:w="445"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i/>
              </w:rPr>
            </w:pPr>
            <w:r>
              <w:rPr>
                <w:rFonts w:ascii="Book Antiqua" w:hAnsi="Book Antiqua"/>
                <w:b/>
                <w:i/>
                <w:lang w:bidi="ar"/>
              </w:rPr>
              <w:t>n</w:t>
            </w:r>
          </w:p>
        </w:tc>
        <w:tc>
          <w:tcPr>
            <w:tcW w:w="1569" w:type="dxa"/>
            <w:tcBorders>
              <w:top w:val="single" w:color="auto" w:sz="4" w:space="0"/>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lang w:bidi="ar"/>
              </w:rPr>
              <w:t>Hazard ratio</w:t>
            </w:r>
          </w:p>
        </w:tc>
        <w:tc>
          <w:tcPr>
            <w:tcW w:w="874" w:type="dxa"/>
            <w:tcBorders>
              <w:top w:val="single" w:color="auto" w:sz="4" w:space="0"/>
              <w:bottom w:val="single" w:color="auto" w:sz="4" w:space="0"/>
              <w:right w:val="nil"/>
            </w:tcBorders>
            <w:shd w:val="clear" w:color="auto" w:fill="auto"/>
            <w:noWrap/>
            <w:tcMar>
              <w:top w:w="15" w:type="dxa"/>
              <w:left w:w="15" w:type="dxa"/>
              <w:right w:w="15" w:type="dxa"/>
            </w:tcMar>
            <w:vAlign w:val="center"/>
          </w:tcPr>
          <w:p>
            <w:pPr>
              <w:spacing w:line="360" w:lineRule="auto"/>
              <w:jc w:val="center"/>
              <w:rPr>
                <w:rFonts w:ascii="Book Antiqua" w:hAnsi="Book Antiqua"/>
                <w:b/>
              </w:rPr>
            </w:pPr>
            <w:r>
              <w:rPr>
                <w:rFonts w:ascii="Book Antiqua" w:hAnsi="Book Antiqua"/>
                <w:b/>
                <w:i/>
                <w:lang w:bidi="ar"/>
              </w:rPr>
              <w:t>P</w:t>
            </w:r>
            <w:r>
              <w:rPr>
                <w:rFonts w:hint="eastAsia" w:ascii="Book Antiqua" w:hAnsi="Book Antiqua"/>
                <w:b/>
                <w:lang w:bidi="ar"/>
              </w:rPr>
              <w:t xml:space="preserve"> </w:t>
            </w:r>
            <w:r>
              <w:rPr>
                <w:rFonts w:ascii="Book Antiqua" w:hAnsi="Book Antiqua"/>
                <w:b/>
                <w:lang w:bidi="ar"/>
              </w:rPr>
              <w:t>value</w:t>
            </w:r>
          </w:p>
        </w:tc>
      </w:tr>
      <w:tr>
        <w:tblPrEx>
          <w:tblCellMar>
            <w:top w:w="0" w:type="dxa"/>
            <w:left w:w="0" w:type="dxa"/>
            <w:bottom w:w="0" w:type="dxa"/>
            <w:right w:w="0" w:type="dxa"/>
          </w:tblCellMar>
        </w:tblPrEx>
        <w:trPr>
          <w:trHeight w:val="270" w:hRule="atLeast"/>
          <w:jc w:val="center"/>
        </w:trPr>
        <w:tc>
          <w:tcPr>
            <w:tcW w:w="8468" w:type="dxa"/>
            <w:gridSpan w:val="7"/>
            <w:tcBorders>
              <w:top w:val="single" w:color="auto" w:sz="4" w:space="0"/>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Sex</w:t>
            </w:r>
          </w:p>
        </w:tc>
        <w:tc>
          <w:tcPr>
            <w:tcW w:w="6344" w:type="dxa"/>
            <w:gridSpan w:val="6"/>
            <w:tcBorders>
              <w:top w:val="single" w:color="auto" w:sz="4" w:space="0"/>
              <w:bottom w:val="nil"/>
              <w:right w:val="nil"/>
            </w:tcBorders>
            <w:shd w:val="clear" w:color="auto" w:fill="auto"/>
            <w:vAlign w:val="center"/>
          </w:tcPr>
          <w:p>
            <w:pPr>
              <w:spacing w:line="360" w:lineRule="auto"/>
              <w:rPr>
                <w:rFonts w:ascii="Book Antiqua" w:hAnsi="Book Antiqua"/>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Male</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246</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2.71 (1.73-4.24)</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5.40E-06</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210</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1.36 (0.89-2.08)</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0.149</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246</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 (0.0.19-0.48)</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5.80E-08</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210</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0.5 (0.34-0.75)</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0.00068</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Female</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118</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1.89 (1.06-3.38)</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0.0287</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106</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1.61 (0.89-2.9)</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0.1109</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118</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1.48 (0.75-2.93)</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0.26</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106</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0.47 (0.26-0.85)</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0.0108</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Race</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Asian</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155</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3.14 (1.71-5.77)</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1.00E-04</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143</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1.54 (0.93-2.56)</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0.092</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155</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0.2 (0.11-0.38)</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3.80E-08</w:t>
            </w:r>
          </w:p>
        </w:tc>
        <w:tc>
          <w:tcPr>
            <w:tcW w:w="445" w:type="dxa"/>
            <w:tcBorders>
              <w:top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rPr>
              <w:t>143</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lang w:bidi="ar"/>
              </w:rPr>
            </w:pPr>
            <w:r>
              <w:rPr>
                <w:rFonts w:ascii="Book Antiqua" w:hAnsi="Book Antiqua"/>
                <w:bCs/>
                <w:lang w:bidi="ar"/>
              </w:rPr>
              <w:t>0.41 (0.23-0.73)</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0.0017</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White</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181</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1.98 (1.24-3.16)</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0.0034</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147</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1.41 (0.88-2.27)</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0.1527</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181</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0.61 (0.35-1.05)</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0.072</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147</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lang w:bidi="ar"/>
              </w:rPr>
            </w:pPr>
            <w:r>
              <w:rPr>
                <w:rFonts w:ascii="Book Antiqua" w:hAnsi="Book Antiqua"/>
                <w:bCs/>
                <w:lang w:bidi="ar"/>
              </w:rPr>
              <w:t>0.53 (0.33-0.84)</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0.0065</w:t>
            </w:r>
          </w:p>
        </w:tc>
      </w:tr>
      <w:tr>
        <w:tblPrEx>
          <w:tblCellMar>
            <w:top w:w="0" w:type="dxa"/>
            <w:left w:w="0" w:type="dxa"/>
            <w:bottom w:w="0" w:type="dxa"/>
            <w:right w:w="0" w:type="dxa"/>
          </w:tblCellMar>
        </w:tblPrEx>
        <w:trPr>
          <w:trHeight w:val="270" w:hRule="atLeast"/>
          <w:jc w:val="center"/>
        </w:trPr>
        <w:tc>
          <w:tcPr>
            <w:tcW w:w="2291" w:type="dxa"/>
            <w:tcBorders>
              <w:top w:val="nil"/>
              <w:left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Black or African American</w:t>
            </w:r>
          </w:p>
        </w:tc>
        <w:tc>
          <w:tcPr>
            <w:tcW w:w="453"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w:t>
            </w:r>
          </w:p>
        </w:tc>
        <w:tc>
          <w:tcPr>
            <w:tcW w:w="1656"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72"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612"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w:t>
            </w:r>
          </w:p>
        </w:tc>
        <w:tc>
          <w:tcPr>
            <w:tcW w:w="1530"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54"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567"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w:t>
            </w:r>
          </w:p>
        </w:tc>
        <w:tc>
          <w:tcPr>
            <w:tcW w:w="1731"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158"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445"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w:t>
            </w:r>
          </w:p>
        </w:tc>
        <w:tc>
          <w:tcPr>
            <w:tcW w:w="1569"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lang w:bidi="ar"/>
              </w:rPr>
            </w:pPr>
            <w:r>
              <w:rPr>
                <w:rFonts w:ascii="Book Antiqua" w:hAnsi="Book Antiqua"/>
                <w:bCs/>
                <w:lang w:bidi="ar"/>
              </w:rPr>
              <w:t>NA</w:t>
            </w:r>
          </w:p>
        </w:tc>
        <w:tc>
          <w:tcPr>
            <w:tcW w:w="874" w:type="dxa"/>
            <w:tcBorders>
              <w:top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lang w:bidi="ar"/>
              </w:rPr>
            </w:pPr>
            <w:r>
              <w:rPr>
                <w:rFonts w:ascii="Book Antiqua" w:hAnsi="Book Antiqua"/>
                <w:bCs/>
                <w:lang w:bidi="ar"/>
              </w:rPr>
              <w:t>Sorafenib treatment</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lang w:bidi="ar"/>
              </w:rPr>
            </w:pPr>
          </w:p>
        </w:tc>
      </w:tr>
      <w:tr>
        <w:tblPrEx>
          <w:tblCellMar>
            <w:top w:w="0" w:type="dxa"/>
            <w:left w:w="0" w:type="dxa"/>
            <w:bottom w:w="0" w:type="dxa"/>
            <w:right w:w="0" w:type="dxa"/>
          </w:tblCellMar>
        </w:tblPrEx>
        <w:trPr>
          <w:trHeight w:val="285"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Yes</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29</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2.19 (0.61-7.89)</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0.219</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1.43 (0.59-3.47)</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0.4312</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29</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0.23 (0.06-0.88)</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0.0205</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0.61 (0.24-1.53)</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0.2867</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None</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Risk factors</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rPr>
            </w:pP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Alcohol consumption</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Yes</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115</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1.94 (1-3.78)</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0.0464</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99</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1.61 (0.86-3.03)</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0.1365</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115</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0.42 (0.22-0.8)</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lang w:bidi="ar"/>
              </w:rPr>
            </w:pPr>
            <w:r>
              <w:rPr>
                <w:rFonts w:ascii="Book Antiqua" w:hAnsi="Book Antiqua"/>
                <w:bCs/>
                <w:lang w:bidi="ar"/>
              </w:rPr>
              <w:t>0.0063</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99</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0.37 (0.2-0.67)</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0.00061</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None</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202</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2.34 (1.46-3.73)</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0.00025</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183</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1.42 (0.9-2.23)</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0.1284</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202</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0.41 (0.26-0.65)</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lang w:bidi="ar"/>
              </w:rPr>
            </w:pPr>
            <w:r>
              <w:rPr>
                <w:rFonts w:ascii="Book Antiqua" w:hAnsi="Book Antiqua"/>
                <w:bCs/>
                <w:lang w:bidi="ar"/>
              </w:rPr>
              <w:t>9.70E-05</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183</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0.57 (0.34-0.96)</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0.0337</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lang w:bidi="ar"/>
              </w:rPr>
            </w:pPr>
            <w:r>
              <w:rPr>
                <w:rFonts w:ascii="Book Antiqua" w:hAnsi="Book Antiqua"/>
                <w:bCs/>
                <w:lang w:bidi="ar"/>
              </w:rPr>
              <w:t>Hepatitis virus</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lang w:bidi="ar"/>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Yes</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150</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2.99 (1.5-5.95)</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0.0011</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139</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1.45 (0.87-2.39)</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0.149</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150</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0.32 (0.16-0.62)</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lang w:bidi="ar"/>
              </w:rPr>
            </w:pPr>
            <w:r>
              <w:rPr>
                <w:rFonts w:ascii="Book Antiqua" w:hAnsi="Book Antiqua"/>
                <w:bCs/>
                <w:lang w:bidi="ar"/>
              </w:rPr>
              <w:t>0.0004</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139</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0.63 (0.37-1.05)</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0.0749</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None</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167</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2.39 (1.45-3.96)</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0.00046</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143</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1.92 (1.12-3.32)</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0.0168</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167</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0.47 (0.27-0.83)</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lang w:bidi="ar"/>
              </w:rPr>
            </w:pPr>
            <w:r>
              <w:rPr>
                <w:rFonts w:ascii="Book Antiqua" w:hAnsi="Book Antiqua"/>
                <w:bCs/>
                <w:lang w:bidi="ar"/>
              </w:rPr>
              <w:t>0.0083</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143</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0.41 (0.25-0.68)</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0.00038</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Pathology</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rPr>
            </w:pP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Stage</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1</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170</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2.49 (1.33-4.64)</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0.0031</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153</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1.67 (0.97-2.89)</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0.0617</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170</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0.42 (0.22-0.77)</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0.0044</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153</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0.41 (0.22-0.76)</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0.0035</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1+2</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253</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2.09 (1.27-3.44)</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0.003</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228</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1.22 (0.8-1.86)</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0.35</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253</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0.54 (0.33-0.87)</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0.0107</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228</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 (0.23-0.7)</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0.00091</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2</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83</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2.12 (0.79-5.64)</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0.1258</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75</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0.5 (0.25-0.99)</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0.0424</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83</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0.34 (0.1-1.14)</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0.0665</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75</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0.56 (0.27-1.14)</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0.1046</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2+3</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166</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2.27 (1.39-3.7)</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0.00072</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145</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1.44 (0.89-2.35)</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0.1389</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166</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0.47 (0.26-0.83)</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0.0077</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145</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0.65 (0.41-1.03)</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0.064</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3</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83</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2.78 (1.52-5.06)</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0.00052</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70</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2.29 (1.21-4.3)</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0.0086</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83</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0.31 (0.16-0.57)</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0.00011</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70</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0.54 (0.29-0.99)</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0.0428</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3+4</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87</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2.67 (1.49-4.78)</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6.00E-01</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70</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2.29 (1.21-4.3)</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0.0086</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87</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0.34 (0.19-0.62)</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0.0003</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70</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0.54 (0.29-0.99)</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0.0428</w:t>
            </w:r>
          </w:p>
        </w:tc>
      </w:tr>
      <w:tr>
        <w:tblPrEx>
          <w:tblCellMar>
            <w:top w:w="0" w:type="dxa"/>
            <w:left w:w="0" w:type="dxa"/>
            <w:bottom w:w="0" w:type="dxa"/>
            <w:right w:w="0" w:type="dxa"/>
          </w:tblCellMar>
        </w:tblPrEx>
        <w:trPr>
          <w:trHeight w:val="270" w:hRule="atLeast"/>
          <w:jc w:val="center"/>
        </w:trPr>
        <w:tc>
          <w:tcPr>
            <w:tcW w:w="2291" w:type="dxa"/>
            <w:tcBorders>
              <w:top w:val="nil"/>
              <w:left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4</w:t>
            </w:r>
          </w:p>
        </w:tc>
        <w:tc>
          <w:tcPr>
            <w:tcW w:w="453"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5</w:t>
            </w:r>
          </w:p>
        </w:tc>
        <w:tc>
          <w:tcPr>
            <w:tcW w:w="1656"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72"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612"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w:t>
            </w:r>
          </w:p>
        </w:tc>
        <w:tc>
          <w:tcPr>
            <w:tcW w:w="1530"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54"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567"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4</w:t>
            </w:r>
          </w:p>
        </w:tc>
        <w:tc>
          <w:tcPr>
            <w:tcW w:w="1731"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158"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445"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w:t>
            </w:r>
          </w:p>
        </w:tc>
        <w:tc>
          <w:tcPr>
            <w:tcW w:w="1569" w:type="dxa"/>
            <w:tcBorders>
              <w:top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874" w:type="dxa"/>
            <w:tcBorders>
              <w:top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lang w:bidi="ar"/>
              </w:rPr>
            </w:pPr>
            <w:r>
              <w:rPr>
                <w:rFonts w:ascii="Book Antiqua" w:hAnsi="Book Antiqua"/>
                <w:bCs/>
                <w:lang w:bidi="ar"/>
              </w:rPr>
              <w:t>Grade</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lang w:bidi="ar"/>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1</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55</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0.67 (0.26-1.7)</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0.3967</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45</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3.65 (0.83-16.1)</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0.067</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55</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0.42 (0.14-1.27)</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0.1114</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45</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0.45 (0.17-1.17)</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0.0919</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rPr>
            </w:pPr>
            <w:r>
              <w:rPr>
                <w:rFonts w:ascii="Book Antiqua" w:hAnsi="Book Antiqua"/>
                <w:bCs/>
                <w:lang w:bidi="ar"/>
              </w:rPr>
              <w:t>2</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174</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2.16 (1.29-3.61)</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0.0025</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149</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1.49 (0.89-2.5)</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0.1246</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174</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0.48 (0.28-0.81)</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0.0051</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149</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0.48 (0.29-0.78)</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0.0029</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3</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118</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3.11 (1.69-5.7)</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0.00012</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107</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2.16 (1.2-3.86)</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0.0082</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118</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 (0.14-0.66)</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0.0014</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107</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0.62 (0.34-1,.14)</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0.1221</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4</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12</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12</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11</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lang w:bidi="ar"/>
              </w:rPr>
            </w:pPr>
            <w:r>
              <w:rPr>
                <w:rFonts w:ascii="Book Antiqua" w:hAnsi="Book Antiqua"/>
                <w:bCs/>
                <w:lang w:bidi="ar"/>
              </w:rPr>
              <w:t>American Joint Committee on Cancer system for tumor staging</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lang w:bidi="ar"/>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1</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180</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2.31 (1.27-4.21)</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0.0047</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160</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1.51 (0.89-2.58</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0.1245</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180</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0.39 (0.22-0.71)</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0.0014</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160</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0.41 (0.22-0.75)</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0.0027</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2</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90</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2.07 (0.79-5.44)</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0.1303</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80</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0.48 (0.25-0.92)</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0.023</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90</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0.45 (0.16-1.29)</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0.1272</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80</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2.02 (0.9-4.56)</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0.0836</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3</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78</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3.04 (1.64-5.64)</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0.00022</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67</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2.23 (1.11-4.48)</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0.0209</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78</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0.29 (0.15-0.57)</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0.00011</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67</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0.43 (0.22-0.83)</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0.01</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4</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6</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6</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r>
      <w:tr>
        <w:tblPrEx>
          <w:tblCellMar>
            <w:top w:w="0" w:type="dxa"/>
            <w:left w:w="0" w:type="dxa"/>
            <w:bottom w:w="0" w:type="dxa"/>
            <w:right w:w="0" w:type="dxa"/>
          </w:tblCellMar>
        </w:tblPrEx>
        <w:trPr>
          <w:trHeight w:val="270" w:hRule="atLeast"/>
          <w:jc w:val="center"/>
        </w:trPr>
        <w:tc>
          <w:tcPr>
            <w:tcW w:w="8468" w:type="dxa"/>
            <w:gridSpan w:val="7"/>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bCs/>
                <w:lang w:bidi="ar"/>
              </w:rPr>
            </w:pPr>
            <w:r>
              <w:rPr>
                <w:rFonts w:ascii="Book Antiqua" w:hAnsi="Book Antiqua"/>
                <w:bCs/>
                <w:lang w:bidi="ar"/>
              </w:rPr>
              <w:t>Vascular invasion</w:t>
            </w:r>
          </w:p>
        </w:tc>
        <w:tc>
          <w:tcPr>
            <w:tcW w:w="6344" w:type="dxa"/>
            <w:gridSpan w:val="6"/>
            <w:tcBorders>
              <w:top w:val="nil"/>
              <w:bottom w:val="nil"/>
              <w:right w:val="nil"/>
            </w:tcBorders>
            <w:shd w:val="clear" w:color="auto" w:fill="auto"/>
            <w:vAlign w:val="center"/>
          </w:tcPr>
          <w:p>
            <w:pPr>
              <w:spacing w:line="360" w:lineRule="auto"/>
              <w:rPr>
                <w:rFonts w:ascii="Book Antiqua" w:hAnsi="Book Antiqua"/>
                <w:bCs/>
                <w:lang w:bidi="ar"/>
              </w:rPr>
            </w:pP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None</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203</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2.18 (91.26-3.78)</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0.0043</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175</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1.32 (0.77-2.28)</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0.3144</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203</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0.39 (0.23-0.66)</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0.00027</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175</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0.45 (0.25-0.83)</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0.0089</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nil"/>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Micro</w:t>
            </w:r>
          </w:p>
        </w:tc>
        <w:tc>
          <w:tcPr>
            <w:tcW w:w="453"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90</w:t>
            </w:r>
          </w:p>
        </w:tc>
        <w:tc>
          <w:tcPr>
            <w:tcW w:w="1656"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2.16 (1.01-4.62)</w:t>
            </w:r>
          </w:p>
        </w:tc>
        <w:tc>
          <w:tcPr>
            <w:tcW w:w="97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0.042</w:t>
            </w:r>
          </w:p>
        </w:tc>
        <w:tc>
          <w:tcPr>
            <w:tcW w:w="612"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82</w:t>
            </w:r>
          </w:p>
        </w:tc>
        <w:tc>
          <w:tcPr>
            <w:tcW w:w="1530"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0.46 (0.24-0.88)</w:t>
            </w:r>
          </w:p>
        </w:tc>
        <w:tc>
          <w:tcPr>
            <w:tcW w:w="954"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0.0163</w:t>
            </w:r>
          </w:p>
        </w:tc>
        <w:tc>
          <w:tcPr>
            <w:tcW w:w="567"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90</w:t>
            </w:r>
          </w:p>
        </w:tc>
        <w:tc>
          <w:tcPr>
            <w:tcW w:w="1731"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0.32 (0.1-1.08)</w:t>
            </w:r>
          </w:p>
        </w:tc>
        <w:tc>
          <w:tcPr>
            <w:tcW w:w="1158"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0.0531</w:t>
            </w:r>
          </w:p>
        </w:tc>
        <w:tc>
          <w:tcPr>
            <w:tcW w:w="445"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82</w:t>
            </w:r>
          </w:p>
        </w:tc>
        <w:tc>
          <w:tcPr>
            <w:tcW w:w="1569" w:type="dxa"/>
            <w:tcBorders>
              <w:top w:val="nil"/>
              <w:bottom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0.73 (0.37-1.44)</w:t>
            </w:r>
          </w:p>
        </w:tc>
        <w:tc>
          <w:tcPr>
            <w:tcW w:w="874" w:type="dxa"/>
            <w:tcBorders>
              <w:top w:val="nil"/>
              <w:bottom w:val="nil"/>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0.3593</w:t>
            </w:r>
          </w:p>
        </w:tc>
      </w:tr>
      <w:tr>
        <w:tblPrEx>
          <w:tblCellMar>
            <w:top w:w="0" w:type="dxa"/>
            <w:left w:w="0" w:type="dxa"/>
            <w:bottom w:w="0" w:type="dxa"/>
            <w:right w:w="0" w:type="dxa"/>
          </w:tblCellMar>
        </w:tblPrEx>
        <w:trPr>
          <w:trHeight w:val="270" w:hRule="atLeast"/>
          <w:jc w:val="center"/>
        </w:trPr>
        <w:tc>
          <w:tcPr>
            <w:tcW w:w="2291" w:type="dxa"/>
            <w:tcBorders>
              <w:top w:val="nil"/>
              <w:left w:val="nil"/>
              <w:bottom w:val="single" w:color="auto" w:sz="4" w:space="0"/>
            </w:tcBorders>
            <w:shd w:val="clear" w:color="auto" w:fill="auto"/>
            <w:noWrap/>
            <w:tcMar>
              <w:top w:w="15" w:type="dxa"/>
              <w:left w:w="15" w:type="dxa"/>
              <w:right w:w="15" w:type="dxa"/>
            </w:tcMar>
            <w:vAlign w:val="center"/>
          </w:tcPr>
          <w:p>
            <w:pPr>
              <w:spacing w:line="360" w:lineRule="auto"/>
              <w:rPr>
                <w:rFonts w:ascii="Book Antiqua" w:hAnsi="Book Antiqua"/>
              </w:rPr>
            </w:pPr>
            <w:r>
              <w:rPr>
                <w:rFonts w:ascii="Book Antiqua" w:hAnsi="Book Antiqua"/>
                <w:lang w:bidi="ar"/>
              </w:rPr>
              <w:t>Macro</w:t>
            </w:r>
          </w:p>
        </w:tc>
        <w:tc>
          <w:tcPr>
            <w:tcW w:w="453"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w:t>
            </w:r>
          </w:p>
        </w:tc>
        <w:tc>
          <w:tcPr>
            <w:tcW w:w="1656"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72"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612"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w:t>
            </w:r>
          </w:p>
        </w:tc>
        <w:tc>
          <w:tcPr>
            <w:tcW w:w="1530"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954"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567"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16</w:t>
            </w:r>
          </w:p>
        </w:tc>
        <w:tc>
          <w:tcPr>
            <w:tcW w:w="1731"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1158"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445"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14</w:t>
            </w:r>
          </w:p>
        </w:tc>
        <w:tc>
          <w:tcPr>
            <w:tcW w:w="1569" w:type="dxa"/>
            <w:tcBorders>
              <w:top w:val="nil"/>
              <w:bottom w:val="single" w:color="auto" w:sz="4" w:space="0"/>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c>
          <w:tcPr>
            <w:tcW w:w="874" w:type="dxa"/>
            <w:tcBorders>
              <w:top w:val="nil"/>
              <w:bottom w:val="single" w:color="auto" w:sz="4" w:space="0"/>
              <w:right w:val="nil"/>
            </w:tcBorders>
            <w:shd w:val="clear" w:color="auto" w:fill="auto"/>
            <w:noWrap/>
            <w:tcMar>
              <w:top w:w="15" w:type="dxa"/>
              <w:left w:w="15" w:type="dxa"/>
              <w:right w:w="15" w:type="dxa"/>
            </w:tcMar>
            <w:vAlign w:val="center"/>
          </w:tcPr>
          <w:p>
            <w:pPr>
              <w:spacing w:line="360" w:lineRule="auto"/>
              <w:jc w:val="center"/>
              <w:rPr>
                <w:rFonts w:ascii="Book Antiqua" w:hAnsi="Book Antiqua"/>
                <w:bCs/>
              </w:rPr>
            </w:pPr>
            <w:r>
              <w:rPr>
                <w:rFonts w:ascii="Book Antiqua" w:hAnsi="Book Antiqua"/>
                <w:bCs/>
                <w:lang w:bidi="ar"/>
              </w:rPr>
              <w:t>NA</w:t>
            </w:r>
          </w:p>
        </w:tc>
      </w:tr>
    </w:tbl>
    <w:p>
      <w:pPr>
        <w:spacing w:line="360" w:lineRule="auto"/>
        <w:jc w:val="both"/>
        <w:rPr>
          <w:rFonts w:ascii="Book Antiqua" w:hAnsi="Book Antiqua"/>
        </w:rPr>
        <w:sectPr>
          <w:pgSz w:w="16838" w:h="11906" w:orient="landscape"/>
          <w:pgMar w:top="1803" w:right="1440" w:bottom="1803" w:left="1440" w:header="851" w:footer="992" w:gutter="0"/>
          <w:cols w:space="0" w:num="1"/>
          <w:docGrid w:type="lines" w:linePitch="319" w:charSpace="0"/>
        </w:sectPr>
      </w:pPr>
      <w:r>
        <w:rPr>
          <w:rFonts w:ascii="Book Antiqua" w:hAnsi="Book Antiqua"/>
        </w:rPr>
        <w:t>NA: Not applicable.</w:t>
      </w:r>
    </w:p>
    <w:p>
      <w:pPr>
        <w:spacing w:line="360" w:lineRule="auto"/>
        <w:jc w:val="both"/>
        <w:rPr>
          <w:rFonts w:ascii="Book Antiqua" w:hAnsi="Book Antiqua"/>
          <w:b/>
        </w:rPr>
      </w:pPr>
      <w:r>
        <w:rPr>
          <w:rFonts w:ascii="Book Antiqua" w:hAnsi="Book Antiqua"/>
          <w:b/>
        </w:rPr>
        <w:t>Table</w:t>
      </w:r>
      <w:r>
        <w:rPr>
          <w:rFonts w:hint="eastAsia" w:ascii="Book Antiqua" w:hAnsi="Book Antiqua"/>
          <w:b/>
        </w:rPr>
        <w:t xml:space="preserve"> </w:t>
      </w:r>
      <w:r>
        <w:rPr>
          <w:rFonts w:ascii="Book Antiqua" w:hAnsi="Book Antiqua"/>
          <w:b/>
        </w:rPr>
        <w:t xml:space="preserve">3 Correlation analysis between solute carrier family 2 member 1 and solute carrier family 2 and genes markers of immune cells in </w:t>
      </w:r>
      <w:r>
        <w:rPr>
          <w:rFonts w:hint="eastAsia" w:ascii="Book Antiqua" w:hAnsi="Book Antiqua"/>
          <w:b/>
        </w:rPr>
        <w:t>t</w:t>
      </w:r>
      <w:r>
        <w:rPr>
          <w:rFonts w:ascii="Book Antiqua" w:hAnsi="Book Antiqua"/>
          <w:b/>
        </w:rPr>
        <w:t>umor immune estimation resource</w:t>
      </w:r>
    </w:p>
    <w:p>
      <w:pPr>
        <w:spacing w:line="360" w:lineRule="auto"/>
        <w:jc w:val="both"/>
        <w:rPr>
          <w:rFonts w:ascii="Book Antiqua" w:hAnsi="Book Antiqua"/>
          <w:b/>
          <w:bCs/>
          <w:shd w:val="clear" w:color="auto" w:fill="FFFFFF"/>
        </w:rPr>
      </w:pPr>
    </w:p>
    <w:tbl>
      <w:tblPr>
        <w:tblStyle w:val="9"/>
        <w:tblW w:w="13320" w:type="dxa"/>
        <w:tblInd w:w="0" w:type="dxa"/>
        <w:tblLayout w:type="autofit"/>
        <w:tblCellMar>
          <w:top w:w="0" w:type="dxa"/>
          <w:left w:w="108" w:type="dxa"/>
          <w:bottom w:w="0" w:type="dxa"/>
          <w:right w:w="108" w:type="dxa"/>
        </w:tblCellMar>
      </w:tblPr>
      <w:tblGrid>
        <w:gridCol w:w="2122"/>
        <w:gridCol w:w="2126"/>
        <w:gridCol w:w="756"/>
        <w:gridCol w:w="1275"/>
        <w:gridCol w:w="777"/>
        <w:gridCol w:w="1360"/>
        <w:gridCol w:w="851"/>
        <w:gridCol w:w="1265"/>
        <w:gridCol w:w="992"/>
        <w:gridCol w:w="1843"/>
      </w:tblGrid>
      <w:tr>
        <w:tblPrEx>
          <w:tblCellMar>
            <w:top w:w="0" w:type="dxa"/>
            <w:left w:w="108" w:type="dxa"/>
            <w:bottom w:w="0" w:type="dxa"/>
            <w:right w:w="108" w:type="dxa"/>
          </w:tblCellMar>
        </w:tblPrEx>
        <w:trPr>
          <w:trHeight w:val="397" w:hRule="atLeast"/>
        </w:trPr>
        <w:tc>
          <w:tcPr>
            <w:tcW w:w="2122" w:type="dxa"/>
            <w:vMerge w:val="restart"/>
            <w:tcBorders>
              <w:top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Description</w:t>
            </w:r>
          </w:p>
        </w:tc>
        <w:tc>
          <w:tcPr>
            <w:tcW w:w="2126" w:type="dxa"/>
            <w:vMerge w:val="restart"/>
            <w:tcBorders>
              <w:top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Gene markers</w:t>
            </w:r>
          </w:p>
        </w:tc>
        <w:tc>
          <w:tcPr>
            <w:tcW w:w="4121" w:type="dxa"/>
            <w:gridSpan w:val="4"/>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Solute carrier family 2 member 1</w:t>
            </w:r>
          </w:p>
        </w:tc>
        <w:tc>
          <w:tcPr>
            <w:tcW w:w="4951" w:type="dxa"/>
            <w:gridSpan w:val="4"/>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Solute carrier family 2 member 2</w:t>
            </w:r>
          </w:p>
        </w:tc>
      </w:tr>
      <w:tr>
        <w:tblPrEx>
          <w:tblCellMar>
            <w:top w:w="0" w:type="dxa"/>
            <w:left w:w="108" w:type="dxa"/>
            <w:bottom w:w="0" w:type="dxa"/>
            <w:right w:w="108" w:type="dxa"/>
          </w:tblCellMar>
        </w:tblPrEx>
        <w:trPr>
          <w:trHeight w:val="397" w:hRule="atLeast"/>
        </w:trPr>
        <w:tc>
          <w:tcPr>
            <w:tcW w:w="2122" w:type="dxa"/>
            <w:vMerge w:val="continue"/>
            <w:shd w:val="clear" w:color="auto" w:fill="auto"/>
            <w:noWrap/>
            <w:vAlign w:val="center"/>
          </w:tcPr>
          <w:p>
            <w:pPr>
              <w:rPr>
                <w:rFonts w:ascii="Book Antiqua" w:hAnsi="Book Antiqua"/>
                <w:b/>
                <w:lang w:bidi="ar"/>
              </w:rPr>
            </w:pPr>
          </w:p>
        </w:tc>
        <w:tc>
          <w:tcPr>
            <w:tcW w:w="2126" w:type="dxa"/>
            <w:vMerge w:val="continue"/>
            <w:shd w:val="clear" w:color="auto" w:fill="auto"/>
            <w:noWrap/>
            <w:vAlign w:val="center"/>
          </w:tcPr>
          <w:p>
            <w:pPr>
              <w:rPr>
                <w:rFonts w:ascii="Book Antiqua" w:hAnsi="Book Antiqua"/>
                <w:b/>
                <w:lang w:bidi="ar"/>
              </w:rPr>
            </w:pPr>
          </w:p>
        </w:tc>
        <w:tc>
          <w:tcPr>
            <w:tcW w:w="1984" w:type="dxa"/>
            <w:gridSpan w:val="2"/>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None</w:t>
            </w:r>
          </w:p>
        </w:tc>
        <w:tc>
          <w:tcPr>
            <w:tcW w:w="2137" w:type="dxa"/>
            <w:gridSpan w:val="2"/>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Purity</w:t>
            </w:r>
          </w:p>
        </w:tc>
        <w:tc>
          <w:tcPr>
            <w:tcW w:w="2116" w:type="dxa"/>
            <w:gridSpan w:val="2"/>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None</w:t>
            </w:r>
          </w:p>
        </w:tc>
        <w:tc>
          <w:tcPr>
            <w:tcW w:w="2835" w:type="dxa"/>
            <w:gridSpan w:val="2"/>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Purity</w:t>
            </w:r>
          </w:p>
        </w:tc>
      </w:tr>
      <w:tr>
        <w:tblPrEx>
          <w:tblCellMar>
            <w:top w:w="0" w:type="dxa"/>
            <w:left w:w="108" w:type="dxa"/>
            <w:bottom w:w="0" w:type="dxa"/>
            <w:right w:w="108" w:type="dxa"/>
          </w:tblCellMar>
        </w:tblPrEx>
        <w:trPr>
          <w:trHeight w:val="397" w:hRule="atLeast"/>
        </w:trPr>
        <w:tc>
          <w:tcPr>
            <w:tcW w:w="2122" w:type="dxa"/>
            <w:vMerge w:val="continue"/>
            <w:tcBorders>
              <w:bottom w:val="single" w:color="auto" w:sz="4" w:space="0"/>
            </w:tcBorders>
            <w:shd w:val="clear" w:color="auto" w:fill="auto"/>
            <w:noWrap/>
            <w:vAlign w:val="center"/>
          </w:tcPr>
          <w:p>
            <w:pPr>
              <w:rPr>
                <w:rFonts w:ascii="Book Antiqua" w:hAnsi="Book Antiqua"/>
                <w:b/>
                <w:lang w:bidi="ar"/>
              </w:rPr>
            </w:pPr>
          </w:p>
        </w:tc>
        <w:tc>
          <w:tcPr>
            <w:tcW w:w="2126" w:type="dxa"/>
            <w:vMerge w:val="continue"/>
            <w:tcBorders>
              <w:bottom w:val="single" w:color="auto" w:sz="4" w:space="0"/>
            </w:tcBorders>
            <w:shd w:val="clear" w:color="auto" w:fill="auto"/>
            <w:noWrap/>
            <w:vAlign w:val="center"/>
          </w:tcPr>
          <w:p>
            <w:pPr>
              <w:rPr>
                <w:rFonts w:ascii="Book Antiqua" w:hAnsi="Book Antiqua"/>
                <w:b/>
                <w:lang w:bidi="ar"/>
              </w:rPr>
            </w:pPr>
          </w:p>
        </w:tc>
        <w:tc>
          <w:tcPr>
            <w:tcW w:w="709"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cor</w:t>
            </w:r>
          </w:p>
        </w:tc>
        <w:tc>
          <w:tcPr>
            <w:tcW w:w="1275"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i/>
                <w:iCs/>
                <w:lang w:bidi="ar"/>
              </w:rPr>
              <w:t>P</w:t>
            </w:r>
            <w:r>
              <w:rPr>
                <w:rFonts w:hint="eastAsia" w:ascii="Book Antiqua" w:hAnsi="Book Antiqua"/>
                <w:b/>
                <w:lang w:bidi="ar"/>
              </w:rPr>
              <w:t xml:space="preserve"> value</w:t>
            </w:r>
          </w:p>
        </w:tc>
        <w:tc>
          <w:tcPr>
            <w:tcW w:w="777"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cor</w:t>
            </w:r>
          </w:p>
        </w:tc>
        <w:tc>
          <w:tcPr>
            <w:tcW w:w="1360"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i/>
                <w:iCs/>
                <w:lang w:bidi="ar"/>
              </w:rPr>
              <w:t>P</w:t>
            </w:r>
            <w:r>
              <w:rPr>
                <w:rFonts w:hint="eastAsia" w:ascii="Book Antiqua" w:hAnsi="Book Antiqua"/>
                <w:b/>
                <w:lang w:bidi="ar"/>
              </w:rPr>
              <w:t xml:space="preserve"> value</w:t>
            </w:r>
          </w:p>
        </w:tc>
        <w:tc>
          <w:tcPr>
            <w:tcW w:w="851"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cor</w:t>
            </w:r>
          </w:p>
        </w:tc>
        <w:tc>
          <w:tcPr>
            <w:tcW w:w="1265"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i/>
                <w:iCs/>
                <w:lang w:bidi="ar"/>
              </w:rPr>
              <w:t>P</w:t>
            </w:r>
            <w:r>
              <w:rPr>
                <w:rFonts w:hint="eastAsia" w:ascii="Book Antiqua" w:hAnsi="Book Antiqua"/>
                <w:b/>
                <w:lang w:bidi="ar"/>
              </w:rPr>
              <w:t xml:space="preserve"> value</w:t>
            </w:r>
          </w:p>
        </w:tc>
        <w:tc>
          <w:tcPr>
            <w:tcW w:w="992"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lang w:bidi="ar"/>
              </w:rPr>
              <w:t>cor</w:t>
            </w:r>
          </w:p>
        </w:tc>
        <w:tc>
          <w:tcPr>
            <w:tcW w:w="1843" w:type="dxa"/>
            <w:tcBorders>
              <w:top w:val="single" w:color="auto" w:sz="4" w:space="0"/>
              <w:bottom w:val="single" w:color="auto" w:sz="4" w:space="0"/>
            </w:tcBorders>
            <w:shd w:val="clear" w:color="auto" w:fill="auto"/>
            <w:noWrap/>
            <w:vAlign w:val="center"/>
          </w:tcPr>
          <w:p>
            <w:pPr>
              <w:rPr>
                <w:rFonts w:ascii="Book Antiqua" w:hAnsi="Book Antiqua"/>
                <w:b/>
                <w:lang w:bidi="ar"/>
              </w:rPr>
            </w:pPr>
            <w:r>
              <w:rPr>
                <w:rFonts w:hint="eastAsia" w:ascii="Book Antiqua" w:hAnsi="Book Antiqua"/>
                <w:b/>
                <w:i/>
                <w:iCs/>
                <w:lang w:bidi="ar"/>
              </w:rPr>
              <w:t>P</w:t>
            </w:r>
            <w:r>
              <w:rPr>
                <w:rFonts w:hint="eastAsia" w:ascii="Book Antiqua" w:hAnsi="Book Antiqua"/>
                <w:b/>
                <w:lang w:bidi="ar"/>
              </w:rPr>
              <w:t xml:space="preserve"> value</w:t>
            </w:r>
          </w:p>
        </w:tc>
      </w:tr>
      <w:tr>
        <w:tblPrEx>
          <w:tblCellMar>
            <w:top w:w="0" w:type="dxa"/>
            <w:left w:w="108" w:type="dxa"/>
            <w:bottom w:w="0" w:type="dxa"/>
            <w:right w:w="108" w:type="dxa"/>
          </w:tblCellMar>
        </w:tblPrEx>
        <w:trPr>
          <w:trHeight w:val="397" w:hRule="atLeast"/>
        </w:trPr>
        <w:tc>
          <w:tcPr>
            <w:tcW w:w="13320" w:type="dxa"/>
            <w:gridSpan w:val="10"/>
            <w:tcBorders>
              <w:top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CD8+ T cell</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CD8A</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0.216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2.88E-05</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0.173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1.27E-03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-0.103</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4.85E-02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-0.027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6.15E-01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CD8B</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0.229</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8.60E-06</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0.195</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2.72E-04</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-0.199</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1.14E-04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-0.138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1.04E-02</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 cell (general)</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CD3D</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0.241</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2.75E-06</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3.73E-05</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-0.327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1.33E-10</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-0.276</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1.88E-07</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CD3E</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0.201</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1.01E-04</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0.162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2.59E-03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-0.165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1.44E-03</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-0.087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1.08E-01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CD2</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0.178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5.64E-04</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0.138</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1.04E-02</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-0.194</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1.75E-04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-0.121</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2.48E-02</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B cell</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CD19</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0.208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5.50E-05</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0.176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1.04E-03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-0.137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8.06E-03</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-0.089</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9.95E-02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CD79A</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0.099</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5.72E-02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0.045</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4.01E-01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-0.138</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7.84-03</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1.92E-01</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Monocyte</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CD86</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0.413</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0.00E+00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0.415</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8.08E-16</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-0.196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1.50E-04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-0.15</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5.21E-03</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CD115 (CSF1R)</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0.41</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0.00E+00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0.408</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3.06E-15</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-0.175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7.02E-04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-0.126</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1.96E-02</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Tumor-associated macrophage</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CCL2</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0.206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6.86E-05</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0.162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2.53E-03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-0.117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2.47E-02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-0.042</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4.32E-01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CD68</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4.24E-14</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0.381</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2.40E-13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-0.235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5.28E-06</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-0.192</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3.26E-04</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IL10</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0.326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1.26E-10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0.309</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4.43E-09</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-0.131</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1.15E-02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-0.078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1.48E-01</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M1 macrophage</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INOS (NOS2)</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0.068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1.91E-01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0.052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3.39E-01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0.175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7.12E-04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7.95E-04</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IRF5</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0.142</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6.33E-03</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0.138</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1.05E-02</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0.011</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8.39E-01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0.003</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9.63E-01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COX2 (PTGS2)</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0.32</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2.91E-10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0.313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2.80E-09</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2.45E-01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-0.007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9.03E-01</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M2 macrophage</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CD163</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3.94E-08</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0.253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1.91E-06</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0.046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3.72E-01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0.125</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2.00E-02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VSIG4</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0.353</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3.65E-12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0.336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1.56E-10</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2.46E-01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-0.007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8.96E-01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MS4A4A</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0.337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3.49E-11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3.15E-10</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-0.057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2.69E-01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0.01</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9.85E-01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CD66b (CEACAM8)</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0.086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9.68E-02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0.084</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1.20E-01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-0.036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4.89E-01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-0.027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6.12E-01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CD11b (ITGAM)</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0.428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0.00E+00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0.405</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4.71E-15</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-0.18</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5.06E-04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-0.156</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3.75E-03</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CCR7</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0.088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8.89E-02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0.016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7.70E-01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-0.032</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5.35E-01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-0.045</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4.00E-01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KIR2DL1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0.083</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1.09E-01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0.063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2.46E-01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-0.003</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9.51E-01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0.019</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7.23E-01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KIR2DL3</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0.179</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5.16E-04</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0.167</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1.82E-03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-0.006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9.15E-01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-0.038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4.79E-01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KIR2DL4</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0.234</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5.38E-06</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0.212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7.12E-05</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-0.133</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1.06E-02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-0.107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4.78E-02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KIR3DL1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0.146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4.97E-03</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2.64E-02</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0.079</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1.30E-01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0.116</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3.15E-02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KIR3DL2</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0.098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6.04E-02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0.08</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1.38E-01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-0.027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6.02E-01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0.003</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9.60E-01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KIR3DL3</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2.53E-01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0.046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3.91E-01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-0.021</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6.91E-01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-0.015</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7.87E-01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KIR2DS4</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0.117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2.39E-02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1.57E-02</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0.04</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4.37E-01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0.052</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3.37E-01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HLA-DPB1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0.319</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4.21E-10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0.296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2.07E-08</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-0.191</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2.25E-04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-0.138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1.03E-02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HLA-DQB1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0.221</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1.77E-05</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0.192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3.35E-04</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-0.219</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2.09E-05</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-0.171</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1.43E-03</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HLA-DRA</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0.35</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5.25E-12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0.326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5.24E-10</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-0.117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2.37E-02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-0.055</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3.09E-01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HLA-DPA1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0.338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3.01E-11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0.316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1.92E-09</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-0.114</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2.88E-02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-0.052</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3.34E-01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BDCA-1 (CD1C)</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0.061</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2.45E-01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0.024</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6.52E-01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0.004</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9.40E-01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0.073</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1.77E-01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BDCA-4 (NRP1)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0.357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1.99E-12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0.352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1.70E-11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0.043</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4.13E-01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0.087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1.08E-01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CD11c (ITGAX)</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0.382</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2.93E-14</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0.38</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2.50E-13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-0.154</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2.93E-03</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-0.118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2.86E-02</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Th1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T-bet (TBX21)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0.095</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6.88E-02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0.042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4.32E-01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0.025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6.38E-01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0.116</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3.07E-02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STAT4</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0.082</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1.13E-01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0.045</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4.04E-01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-0.106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4.22E-02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-0.058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2.84E-01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STAT1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0.314</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7.29E-10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0.29</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4.18E-08</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0.023</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6.52E-01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0.058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2.84E-01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IFN-γ (IFNG)</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0.237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3.81E-06</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0.212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7.39E-05</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-0.169</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1.09E-03</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-0.122</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2.31E-02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TNF-α (TNF)</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0.277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6.15E-08</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0.257</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1.34E-06</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-0.147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4.67E-03</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-0.092</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8.91E-02</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Th2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GATA3</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0.248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1.34E-06</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0.235</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1.03E-05</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-0.176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6.76E-04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-0.108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4.52E-02</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STAT6</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1.35E-07</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0.255</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1.63E-06</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0.178</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5.68E-04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0.19</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3.82E-04</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STAT5A</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1.83E-13</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0.338</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1.18E-10</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-0.097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6.27E-02</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-0.055</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3.12E-01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IL13</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-0.081</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1.19E-01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-0.113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3.56E-02</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0.077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1.38E-01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0.09</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9.40E-02</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Tfh</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BCL6</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0.267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2.04E-07</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0.281</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1.16E-07</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0.227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1.08E-05</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0.228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1.94E-05</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IL21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0.124</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1.65E-02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1.55E-02</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-0.065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2.15E-01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-0.06</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2.68E-01</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Th17</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IL17A</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-0.047</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3.68E-01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-0.033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5.46E-01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0.04</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4.47E-01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-0.051</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3.41E-01</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 cell regulatory</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FOXP3</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0.068</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1.89E-01</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-0.039</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4.68E-01</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0.169</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1.07E-03</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0.189</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4.24E-04</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CCR8</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0.286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1.95E-08</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0.264</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6.44E-07</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-0.056</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2.79E-01</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-0.008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8.86E-01</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STAT5B</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0.156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2.63E-03</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0.173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1.29E-03</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0.402</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0.00E+00</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0.397</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1.83E-14</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TGFβ (TGFB1)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0.314</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7.92E-10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0.303</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8.83E-09</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-0.281</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4.30E-08</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-0.242</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5.53E-06</w:t>
            </w:r>
          </w:p>
        </w:tc>
      </w:tr>
      <w:tr>
        <w:tblPrEx>
          <w:tblCellMar>
            <w:top w:w="0" w:type="dxa"/>
            <w:left w:w="108" w:type="dxa"/>
            <w:bottom w:w="0" w:type="dxa"/>
            <w:right w:w="108" w:type="dxa"/>
          </w:tblCellMar>
        </w:tblPrEx>
        <w:trPr>
          <w:trHeight w:val="397" w:hRule="atLeast"/>
        </w:trPr>
        <w:tc>
          <w:tcPr>
            <w:tcW w:w="13320" w:type="dxa"/>
            <w:gridSpan w:val="10"/>
            <w:shd w:val="clear" w:color="auto" w:fill="auto"/>
            <w:noWrap/>
            <w:vAlign w:val="center"/>
          </w:tcPr>
          <w:p>
            <w:pPr>
              <w:rPr>
                <w:rFonts w:ascii="Book Antiqua" w:hAnsi="Book Antiqua"/>
                <w:bCs/>
                <w:lang w:bidi="ar"/>
              </w:rPr>
            </w:pPr>
            <w:r>
              <w:rPr>
                <w:rFonts w:hint="eastAsia" w:ascii="Book Antiqua" w:hAnsi="Book Antiqua"/>
                <w:bCs/>
                <w:lang w:bidi="ar"/>
              </w:rPr>
              <w:t>T cell exhaustion</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PD-1 (PDCD1)</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0.256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5.91E-07</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0.232</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1.31E-05</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-0.281</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3.50E-08</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-0.238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7.71E-06</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CTLA4</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0.284</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2.57E-08</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0.266</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5.31E-07</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-0.327</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1.15E-10</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-0.283</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8.93E-08</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LAG3</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0.156</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2.67E-02</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0.127</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1.83E-02</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-0.195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1.66E-04</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-0.165</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2.15E-03</w:t>
            </w:r>
          </w:p>
        </w:tc>
      </w:tr>
      <w:tr>
        <w:tblPrEx>
          <w:tblCellMar>
            <w:top w:w="0" w:type="dxa"/>
            <w:left w:w="108" w:type="dxa"/>
            <w:bottom w:w="0" w:type="dxa"/>
            <w:right w:w="108" w:type="dxa"/>
          </w:tblCellMar>
        </w:tblPrEx>
        <w:trPr>
          <w:trHeight w:val="397" w:hRule="atLeast"/>
        </w:trPr>
        <w:tc>
          <w:tcPr>
            <w:tcW w:w="2122" w:type="dxa"/>
            <w:shd w:val="clear" w:color="auto" w:fill="auto"/>
            <w:noWrap/>
            <w:vAlign w:val="center"/>
          </w:tcPr>
          <w:p>
            <w:pPr>
              <w:rPr>
                <w:rFonts w:ascii="Book Antiqua" w:hAnsi="Book Antiqua"/>
                <w:bCs/>
                <w:lang w:bidi="ar"/>
              </w:rPr>
            </w:pPr>
          </w:p>
        </w:tc>
        <w:tc>
          <w:tcPr>
            <w:tcW w:w="2126" w:type="dxa"/>
            <w:shd w:val="clear" w:color="auto" w:fill="auto"/>
            <w:noWrap/>
            <w:vAlign w:val="center"/>
          </w:tcPr>
          <w:p>
            <w:pPr>
              <w:rPr>
                <w:rFonts w:ascii="Book Antiqua" w:hAnsi="Book Antiqua"/>
                <w:bCs/>
                <w:lang w:bidi="ar"/>
              </w:rPr>
            </w:pPr>
            <w:r>
              <w:rPr>
                <w:rFonts w:hint="eastAsia" w:ascii="Book Antiqua" w:hAnsi="Book Antiqua"/>
                <w:bCs/>
                <w:lang w:bidi="ar"/>
              </w:rPr>
              <w:t>TIM-3 (HAVCR2)</w:t>
            </w:r>
          </w:p>
        </w:tc>
        <w:tc>
          <w:tcPr>
            <w:tcW w:w="709" w:type="dxa"/>
            <w:shd w:val="clear" w:color="auto" w:fill="auto"/>
            <w:noWrap/>
            <w:vAlign w:val="center"/>
          </w:tcPr>
          <w:p>
            <w:pPr>
              <w:rPr>
                <w:rFonts w:ascii="Book Antiqua" w:hAnsi="Book Antiqua"/>
                <w:bCs/>
                <w:lang w:bidi="ar"/>
              </w:rPr>
            </w:pPr>
            <w:r>
              <w:rPr>
                <w:rFonts w:hint="eastAsia" w:ascii="Book Antiqua" w:hAnsi="Book Antiqua"/>
                <w:bCs/>
                <w:lang w:bidi="ar"/>
              </w:rPr>
              <w:t>0.434</w:t>
            </w:r>
          </w:p>
        </w:tc>
        <w:tc>
          <w:tcPr>
            <w:tcW w:w="1275" w:type="dxa"/>
            <w:shd w:val="clear" w:color="auto" w:fill="auto"/>
            <w:noWrap/>
            <w:vAlign w:val="center"/>
          </w:tcPr>
          <w:p>
            <w:pPr>
              <w:rPr>
                <w:rFonts w:ascii="Book Antiqua" w:hAnsi="Book Antiqua"/>
                <w:bCs/>
                <w:lang w:bidi="ar"/>
              </w:rPr>
            </w:pPr>
            <w:r>
              <w:rPr>
                <w:rFonts w:hint="eastAsia" w:ascii="Book Antiqua" w:hAnsi="Book Antiqua"/>
                <w:bCs/>
                <w:lang w:bidi="ar"/>
              </w:rPr>
              <w:t>0.00E+00</w:t>
            </w:r>
          </w:p>
        </w:tc>
        <w:tc>
          <w:tcPr>
            <w:tcW w:w="777" w:type="dxa"/>
            <w:shd w:val="clear" w:color="auto" w:fill="auto"/>
            <w:noWrap/>
            <w:vAlign w:val="center"/>
          </w:tcPr>
          <w:p>
            <w:pPr>
              <w:rPr>
                <w:rFonts w:ascii="Book Antiqua" w:hAnsi="Book Antiqua"/>
                <w:bCs/>
                <w:lang w:bidi="ar"/>
              </w:rPr>
            </w:pPr>
            <w:r>
              <w:rPr>
                <w:rFonts w:hint="eastAsia" w:ascii="Book Antiqua" w:hAnsi="Book Antiqua"/>
                <w:bCs/>
                <w:lang w:bidi="ar"/>
              </w:rPr>
              <w:t>0.437</w:t>
            </w:r>
          </w:p>
        </w:tc>
        <w:tc>
          <w:tcPr>
            <w:tcW w:w="1360" w:type="dxa"/>
            <w:shd w:val="clear" w:color="auto" w:fill="auto"/>
            <w:noWrap/>
            <w:vAlign w:val="center"/>
          </w:tcPr>
          <w:p>
            <w:pPr>
              <w:rPr>
                <w:rFonts w:ascii="Book Antiqua" w:hAnsi="Book Antiqua"/>
                <w:bCs/>
                <w:lang w:bidi="ar"/>
              </w:rPr>
            </w:pPr>
            <w:r>
              <w:rPr>
                <w:rFonts w:hint="eastAsia" w:ascii="Book Antiqua" w:hAnsi="Book Antiqua"/>
                <w:bCs/>
                <w:lang w:bidi="ar"/>
              </w:rPr>
              <w:t>1.52E-17</w:t>
            </w:r>
          </w:p>
        </w:tc>
        <w:tc>
          <w:tcPr>
            <w:tcW w:w="851" w:type="dxa"/>
            <w:shd w:val="clear" w:color="auto" w:fill="auto"/>
            <w:noWrap/>
            <w:vAlign w:val="center"/>
          </w:tcPr>
          <w:p>
            <w:pPr>
              <w:rPr>
                <w:rFonts w:ascii="Book Antiqua" w:hAnsi="Book Antiqua"/>
                <w:bCs/>
                <w:lang w:bidi="ar"/>
              </w:rPr>
            </w:pPr>
            <w:r>
              <w:rPr>
                <w:rFonts w:hint="eastAsia" w:ascii="Book Antiqua" w:hAnsi="Book Antiqua"/>
                <w:bCs/>
                <w:lang w:bidi="ar"/>
              </w:rPr>
              <w:t>-0.255</w:t>
            </w:r>
          </w:p>
        </w:tc>
        <w:tc>
          <w:tcPr>
            <w:tcW w:w="1265" w:type="dxa"/>
            <w:shd w:val="clear" w:color="auto" w:fill="auto"/>
            <w:noWrap/>
            <w:vAlign w:val="center"/>
          </w:tcPr>
          <w:p>
            <w:pPr>
              <w:rPr>
                <w:rFonts w:ascii="Book Antiqua" w:hAnsi="Book Antiqua"/>
                <w:bCs/>
                <w:lang w:bidi="ar"/>
              </w:rPr>
            </w:pPr>
            <w:r>
              <w:rPr>
                <w:rFonts w:hint="eastAsia" w:ascii="Book Antiqua" w:hAnsi="Book Antiqua"/>
                <w:bCs/>
                <w:lang w:bidi="ar"/>
              </w:rPr>
              <w:t>6.91E-07</w:t>
            </w:r>
          </w:p>
        </w:tc>
        <w:tc>
          <w:tcPr>
            <w:tcW w:w="992" w:type="dxa"/>
            <w:shd w:val="clear" w:color="auto" w:fill="auto"/>
            <w:noWrap/>
            <w:vAlign w:val="center"/>
          </w:tcPr>
          <w:p>
            <w:pPr>
              <w:rPr>
                <w:rFonts w:ascii="Book Antiqua" w:hAnsi="Book Antiqua"/>
                <w:bCs/>
                <w:lang w:bidi="ar"/>
              </w:rPr>
            </w:pPr>
            <w:r>
              <w:rPr>
                <w:rFonts w:hint="eastAsia" w:ascii="Book Antiqua" w:hAnsi="Book Antiqua"/>
                <w:bCs/>
                <w:lang w:bidi="ar"/>
              </w:rPr>
              <w:t>-0.228</w:t>
            </w:r>
          </w:p>
        </w:tc>
        <w:tc>
          <w:tcPr>
            <w:tcW w:w="1843" w:type="dxa"/>
            <w:shd w:val="clear" w:color="auto" w:fill="auto"/>
            <w:noWrap/>
            <w:vAlign w:val="center"/>
          </w:tcPr>
          <w:p>
            <w:pPr>
              <w:rPr>
                <w:rFonts w:ascii="Book Antiqua" w:hAnsi="Book Antiqua"/>
                <w:bCs/>
                <w:lang w:bidi="ar"/>
              </w:rPr>
            </w:pPr>
            <w:r>
              <w:rPr>
                <w:rFonts w:hint="eastAsia" w:ascii="Book Antiqua" w:hAnsi="Book Antiqua"/>
                <w:bCs/>
                <w:lang w:bidi="ar"/>
              </w:rPr>
              <w:t>1.89E-05</w:t>
            </w:r>
          </w:p>
        </w:tc>
      </w:tr>
      <w:tr>
        <w:tblPrEx>
          <w:tblCellMar>
            <w:top w:w="0" w:type="dxa"/>
            <w:left w:w="108" w:type="dxa"/>
            <w:bottom w:w="0" w:type="dxa"/>
            <w:right w:w="108" w:type="dxa"/>
          </w:tblCellMar>
        </w:tblPrEx>
        <w:trPr>
          <w:trHeight w:val="397" w:hRule="atLeast"/>
        </w:trPr>
        <w:tc>
          <w:tcPr>
            <w:tcW w:w="2122" w:type="dxa"/>
            <w:tcBorders>
              <w:bottom w:val="single" w:color="auto" w:sz="4" w:space="0"/>
            </w:tcBorders>
            <w:shd w:val="clear" w:color="auto" w:fill="auto"/>
            <w:noWrap/>
            <w:vAlign w:val="center"/>
          </w:tcPr>
          <w:p>
            <w:pPr>
              <w:rPr>
                <w:rFonts w:ascii="Book Antiqua" w:hAnsi="Book Antiqua"/>
                <w:bCs/>
                <w:lang w:bidi="ar"/>
              </w:rPr>
            </w:pPr>
          </w:p>
        </w:tc>
        <w:tc>
          <w:tcPr>
            <w:tcW w:w="2126"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GZMB</w:t>
            </w:r>
          </w:p>
        </w:tc>
        <w:tc>
          <w:tcPr>
            <w:tcW w:w="709"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0.176</w:t>
            </w:r>
          </w:p>
        </w:tc>
        <w:tc>
          <w:tcPr>
            <w:tcW w:w="1275"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6.91E-04</w:t>
            </w:r>
          </w:p>
        </w:tc>
        <w:tc>
          <w:tcPr>
            <w:tcW w:w="777"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0.131</w:t>
            </w:r>
          </w:p>
        </w:tc>
        <w:tc>
          <w:tcPr>
            <w:tcW w:w="1360"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1.51E-02</w:t>
            </w:r>
          </w:p>
        </w:tc>
        <w:tc>
          <w:tcPr>
            <w:tcW w:w="851"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-0.124</w:t>
            </w:r>
          </w:p>
        </w:tc>
        <w:tc>
          <w:tcPr>
            <w:tcW w:w="1265"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1.70E-02</w:t>
            </w:r>
          </w:p>
        </w:tc>
        <w:tc>
          <w:tcPr>
            <w:tcW w:w="992"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-0.068</w:t>
            </w:r>
          </w:p>
        </w:tc>
        <w:tc>
          <w:tcPr>
            <w:tcW w:w="1843" w:type="dxa"/>
            <w:tcBorders>
              <w:bottom w:val="single" w:color="auto" w:sz="4" w:space="0"/>
            </w:tcBorders>
            <w:shd w:val="clear" w:color="auto" w:fill="auto"/>
            <w:noWrap/>
            <w:vAlign w:val="center"/>
          </w:tcPr>
          <w:p>
            <w:pPr>
              <w:rPr>
                <w:rFonts w:ascii="Book Antiqua" w:hAnsi="Book Antiqua"/>
                <w:bCs/>
                <w:lang w:bidi="ar"/>
              </w:rPr>
            </w:pPr>
            <w:r>
              <w:rPr>
                <w:rFonts w:hint="eastAsia" w:ascii="Book Antiqua" w:hAnsi="Book Antiqua"/>
                <w:bCs/>
                <w:lang w:bidi="ar"/>
              </w:rPr>
              <w:t>2.10E-01</w:t>
            </w:r>
          </w:p>
        </w:tc>
      </w:tr>
    </w:tbl>
    <w:p>
      <w:pPr>
        <w:pStyle w:val="25"/>
        <w:spacing w:line="360" w:lineRule="auto"/>
        <w:jc w:val="both"/>
        <w:rPr>
          <w:rFonts w:ascii="Book Antiqua" w:hAnsi="Book Antiqua" w:cs="Times New Roman"/>
          <w:kern w:val="0"/>
          <w:sz w:val="24"/>
          <w:szCs w:val="24"/>
          <w:lang w:bidi="ar"/>
        </w:rPr>
      </w:pPr>
      <w:r>
        <w:rPr>
          <w:rFonts w:ascii="Book Antiqua" w:hAnsi="Book Antiqua" w:cs="Times New Roman"/>
          <w:bCs/>
          <w:kern w:val="0"/>
          <w:sz w:val="24"/>
          <w:szCs w:val="24"/>
          <w:lang w:bidi="ar"/>
        </w:rPr>
        <w:t>cor: C</w:t>
      </w:r>
      <w:r>
        <w:rPr>
          <w:rFonts w:ascii="Book Antiqua" w:hAnsi="Book Antiqua" w:cs="Times New Roman"/>
          <w:bCs/>
          <w:sz w:val="24"/>
          <w:szCs w:val="24"/>
          <w:shd w:val="clear" w:color="auto" w:fill="FFFFFF"/>
        </w:rPr>
        <w:t>orrelation coefficient; L10:</w:t>
      </w:r>
      <w:r>
        <w:rPr>
          <w:rFonts w:ascii="Book Antiqua" w:hAnsi="Book Antiqua" w:cs="Times New Roman"/>
          <w:iCs/>
          <w:sz w:val="24"/>
          <w:szCs w:val="24"/>
          <w:shd w:val="clear" w:color="auto" w:fill="FFFFFF"/>
        </w:rPr>
        <w:t xml:space="preserve"> Interleukin 10; INOS:</w:t>
      </w:r>
      <w:r>
        <w:rPr>
          <w:rFonts w:ascii="Book Antiqua" w:hAnsi="Book Antiqua"/>
          <w:sz w:val="24"/>
          <w:szCs w:val="24"/>
        </w:rPr>
        <w:t xml:space="preserve"> </w:t>
      </w:r>
      <w:r>
        <w:rPr>
          <w:rFonts w:ascii="Book Antiqua" w:hAnsi="Book Antiqua" w:cs="Times New Roman"/>
          <w:iCs/>
          <w:sz w:val="24"/>
          <w:szCs w:val="24"/>
          <w:shd w:val="clear" w:color="auto" w:fill="FFFFFF"/>
        </w:rPr>
        <w:t>Nitric oxide synthase 2</w:t>
      </w:r>
      <w:r>
        <w:rPr>
          <w:rFonts w:ascii="Book Antiqua" w:hAnsi="Book Antiqua" w:cs="Times New Roman"/>
          <w:kern w:val="0"/>
          <w:sz w:val="24"/>
          <w:szCs w:val="24"/>
          <w:lang w:bidi="ar"/>
        </w:rPr>
        <w:t>; IRF5:</w:t>
      </w:r>
      <w:r>
        <w:rPr>
          <w:rFonts w:ascii="Book Antiqua" w:hAnsi="Book Antiqua" w:cs="Times New Roman"/>
          <w:iCs/>
          <w:sz w:val="24"/>
          <w:szCs w:val="24"/>
          <w:shd w:val="clear" w:color="auto" w:fill="FFFFFF"/>
        </w:rPr>
        <w:t xml:space="preserve"> Interferon regulatory factor 5</w:t>
      </w:r>
      <w:r>
        <w:rPr>
          <w:rFonts w:ascii="Book Antiqua" w:hAnsi="Book Antiqua" w:cs="Times New Roman"/>
          <w:kern w:val="0"/>
          <w:sz w:val="24"/>
          <w:szCs w:val="24"/>
          <w:lang w:bidi="ar"/>
        </w:rPr>
        <w:t>; COX2:</w:t>
      </w:r>
      <w:r>
        <w:rPr>
          <w:rFonts w:ascii="Book Antiqua" w:hAnsi="Book Antiqua" w:cs="Times New Roman"/>
          <w:iCs/>
          <w:sz w:val="24"/>
          <w:szCs w:val="24"/>
          <w:shd w:val="clear" w:color="auto" w:fill="FFFFFF"/>
        </w:rPr>
        <w:t xml:space="preserve"> Cytochrome c oxidase subunit II</w:t>
      </w:r>
      <w:r>
        <w:rPr>
          <w:rFonts w:ascii="Book Antiqua" w:hAnsi="Book Antiqua" w:cs="Times New Roman"/>
          <w:kern w:val="0"/>
          <w:sz w:val="24"/>
          <w:szCs w:val="24"/>
          <w:lang w:bidi="ar"/>
        </w:rPr>
        <w:t>; VSIG4:</w:t>
      </w:r>
      <w:r>
        <w:rPr>
          <w:rFonts w:ascii="Book Antiqua" w:hAnsi="Book Antiqua" w:cs="Times New Roman"/>
          <w:iCs/>
          <w:sz w:val="24"/>
          <w:szCs w:val="24"/>
          <w:shd w:val="clear" w:color="auto" w:fill="FFFFFF"/>
        </w:rPr>
        <w:t xml:space="preserve"> V-set and immunoglobulin domain containing 4</w:t>
      </w:r>
      <w:r>
        <w:rPr>
          <w:rFonts w:ascii="Book Antiqua" w:hAnsi="Book Antiqua" w:cs="Times New Roman"/>
          <w:kern w:val="0"/>
          <w:sz w:val="24"/>
          <w:szCs w:val="24"/>
          <w:lang w:bidi="ar"/>
        </w:rPr>
        <w:t xml:space="preserve">; MS4A4A: </w:t>
      </w:r>
      <w:r>
        <w:rPr>
          <w:rFonts w:ascii="Book Antiqua" w:hAnsi="Book Antiqua" w:cs="Times New Roman"/>
          <w:iCs/>
          <w:sz w:val="24"/>
          <w:szCs w:val="24"/>
          <w:shd w:val="clear" w:color="auto" w:fill="FFFFFF"/>
        </w:rPr>
        <w:t>Membrane spanning 4-domains A4A</w:t>
      </w:r>
      <w:r>
        <w:rPr>
          <w:rFonts w:ascii="Book Antiqua" w:hAnsi="Book Antiqua" w:cs="Times New Roman"/>
          <w:kern w:val="0"/>
          <w:sz w:val="24"/>
          <w:szCs w:val="24"/>
          <w:lang w:bidi="ar"/>
        </w:rPr>
        <w:t>; CCR7: C-C motif chemokine receptor 7; KIR2DL1: Killer cell immunoglobulin like receptor, two Ig domains and long cytoplasmic tail 1; KIR2DL3: Killer cell immunoglobulin like receptor, two Ig domains and long cytoplasmic tail 3; KIR2DL4:</w:t>
      </w:r>
      <w:r>
        <w:rPr>
          <w:rFonts w:ascii="Book Antiqua" w:hAnsi="Book Antiqua"/>
          <w:sz w:val="24"/>
          <w:szCs w:val="24"/>
        </w:rPr>
        <w:t xml:space="preserve"> </w:t>
      </w:r>
      <w:r>
        <w:rPr>
          <w:rFonts w:ascii="Book Antiqua" w:hAnsi="Book Antiqua" w:cs="Times New Roman"/>
          <w:kern w:val="0"/>
          <w:sz w:val="24"/>
          <w:szCs w:val="24"/>
          <w:lang w:bidi="ar"/>
        </w:rPr>
        <w:t>Killer cell immunoglobulin like receptor, two Ig domains and long cytoplasmic tail 4; KIR3DL1:</w:t>
      </w:r>
      <w:r>
        <w:rPr>
          <w:rFonts w:ascii="Book Antiqua" w:hAnsi="Book Antiqua"/>
          <w:sz w:val="24"/>
          <w:szCs w:val="24"/>
        </w:rPr>
        <w:t xml:space="preserve"> </w:t>
      </w:r>
      <w:r>
        <w:rPr>
          <w:rFonts w:ascii="Book Antiqua" w:hAnsi="Book Antiqua" w:cs="Times New Roman"/>
          <w:kern w:val="0"/>
          <w:sz w:val="24"/>
          <w:szCs w:val="24"/>
          <w:lang w:bidi="ar"/>
        </w:rPr>
        <w:t>Killer cell immunoglobulin like receptor, three Ig domains and long cytoplasmic tail 1; KIR3DL2:</w:t>
      </w:r>
      <w:r>
        <w:rPr>
          <w:rFonts w:ascii="Book Antiqua" w:hAnsi="Book Antiqua"/>
          <w:sz w:val="24"/>
          <w:szCs w:val="24"/>
        </w:rPr>
        <w:t xml:space="preserve"> </w:t>
      </w:r>
      <w:r>
        <w:rPr>
          <w:rFonts w:ascii="Book Antiqua" w:hAnsi="Book Antiqua" w:cs="Times New Roman"/>
          <w:kern w:val="0"/>
          <w:sz w:val="24"/>
          <w:szCs w:val="24"/>
          <w:lang w:bidi="ar"/>
        </w:rPr>
        <w:t>Killer cell immunoglobulin like receptor, three Ig domains and long cytoplasmic tail 2; KIR3DL3:</w:t>
      </w:r>
      <w:r>
        <w:rPr>
          <w:rFonts w:ascii="Book Antiqua" w:hAnsi="Book Antiqua"/>
          <w:sz w:val="24"/>
          <w:szCs w:val="24"/>
        </w:rPr>
        <w:t xml:space="preserve"> </w:t>
      </w:r>
      <w:r>
        <w:rPr>
          <w:rFonts w:ascii="Book Antiqua" w:hAnsi="Book Antiqua" w:cs="Times New Roman"/>
          <w:kern w:val="0"/>
          <w:sz w:val="24"/>
          <w:szCs w:val="24"/>
          <w:lang w:bidi="ar"/>
        </w:rPr>
        <w:t>Killer cell immunoglobulin like receptor, three Ig domains and long cytoplasmic tail 3; KIR2DS4:</w:t>
      </w:r>
      <w:r>
        <w:rPr>
          <w:rFonts w:ascii="Book Antiqua" w:hAnsi="Book Antiqua"/>
          <w:sz w:val="24"/>
          <w:szCs w:val="24"/>
        </w:rPr>
        <w:t xml:space="preserve"> </w:t>
      </w:r>
      <w:r>
        <w:rPr>
          <w:rFonts w:ascii="Book Antiqua" w:hAnsi="Book Antiqua" w:cs="Times New Roman"/>
          <w:kern w:val="0"/>
          <w:sz w:val="24"/>
          <w:szCs w:val="24"/>
          <w:lang w:bidi="ar"/>
        </w:rPr>
        <w:t>Killer cell immunoglobulin like receptor, two Ig domains and short cytoplasmic tail 4;</w:t>
      </w:r>
      <w:r>
        <w:rPr>
          <w:rFonts w:ascii="Book Antiqua" w:hAnsi="Book Antiqua"/>
          <w:sz w:val="24"/>
          <w:szCs w:val="24"/>
        </w:rPr>
        <w:t xml:space="preserve"> </w:t>
      </w:r>
      <w:r>
        <w:rPr>
          <w:rFonts w:ascii="Book Antiqua" w:hAnsi="Book Antiqua" w:cs="Times New Roman"/>
          <w:kern w:val="0"/>
          <w:sz w:val="24"/>
          <w:szCs w:val="24"/>
          <w:lang w:bidi="ar"/>
        </w:rPr>
        <w:t>HLA-DPB1:</w:t>
      </w:r>
      <w:r>
        <w:rPr>
          <w:rFonts w:ascii="Book Antiqua" w:hAnsi="Book Antiqua"/>
          <w:sz w:val="24"/>
          <w:szCs w:val="24"/>
        </w:rPr>
        <w:t xml:space="preserve"> </w:t>
      </w:r>
      <w:r>
        <w:rPr>
          <w:rFonts w:ascii="Book Antiqua" w:hAnsi="Book Antiqua" w:cs="Times New Roman"/>
          <w:kern w:val="0"/>
          <w:sz w:val="24"/>
          <w:szCs w:val="24"/>
          <w:lang w:bidi="ar"/>
        </w:rPr>
        <w:t>Major histocompatibility complex, class II, DP beta 1; HLA-DQB1:</w:t>
      </w:r>
      <w:r>
        <w:rPr>
          <w:rFonts w:ascii="Book Antiqua" w:hAnsi="Book Antiqua"/>
          <w:sz w:val="24"/>
          <w:szCs w:val="24"/>
        </w:rPr>
        <w:t xml:space="preserve"> </w:t>
      </w:r>
      <w:r>
        <w:rPr>
          <w:rFonts w:ascii="Book Antiqua" w:hAnsi="Book Antiqua" w:cs="Times New Roman"/>
          <w:kern w:val="0"/>
          <w:sz w:val="24"/>
          <w:szCs w:val="24"/>
          <w:lang w:bidi="ar"/>
        </w:rPr>
        <w:t>Major histocompatibility complex, class II, DQ beta 1; HLA-DRA:</w:t>
      </w:r>
      <w:r>
        <w:rPr>
          <w:rFonts w:ascii="Book Antiqua" w:hAnsi="Book Antiqua"/>
          <w:sz w:val="24"/>
          <w:szCs w:val="24"/>
        </w:rPr>
        <w:t xml:space="preserve"> </w:t>
      </w:r>
      <w:r>
        <w:rPr>
          <w:rFonts w:ascii="Book Antiqua" w:hAnsi="Book Antiqua" w:cs="Times New Roman"/>
          <w:kern w:val="0"/>
          <w:sz w:val="24"/>
          <w:szCs w:val="24"/>
          <w:lang w:bidi="ar"/>
        </w:rPr>
        <w:t>Major histocompatibility complex, class II, DR alpha; HLA-DPA1:</w:t>
      </w:r>
      <w:r>
        <w:rPr>
          <w:rFonts w:ascii="Book Antiqua" w:hAnsi="Book Antiqua"/>
          <w:sz w:val="24"/>
          <w:szCs w:val="24"/>
        </w:rPr>
        <w:t xml:space="preserve"> </w:t>
      </w:r>
      <w:r>
        <w:rPr>
          <w:rFonts w:ascii="Book Antiqua" w:hAnsi="Book Antiqua" w:cs="Times New Roman"/>
          <w:kern w:val="0"/>
          <w:sz w:val="24"/>
          <w:szCs w:val="24"/>
          <w:lang w:bidi="ar"/>
        </w:rPr>
        <w:t>Major histocompatibility complex, class II, DP alpha 1; BDCA-4:</w:t>
      </w:r>
      <w:r>
        <w:rPr>
          <w:rFonts w:ascii="Book Antiqua" w:hAnsi="Book Antiqua"/>
          <w:sz w:val="24"/>
          <w:szCs w:val="24"/>
        </w:rPr>
        <w:t xml:space="preserve"> </w:t>
      </w:r>
      <w:r>
        <w:rPr>
          <w:rFonts w:ascii="Book Antiqua" w:hAnsi="Book Antiqua" w:cs="Times New Roman"/>
          <w:kern w:val="0"/>
          <w:sz w:val="24"/>
          <w:szCs w:val="24"/>
          <w:lang w:bidi="ar"/>
        </w:rPr>
        <w:t>Neuropilin 1;</w:t>
      </w:r>
      <w:r>
        <w:rPr>
          <w:rFonts w:ascii="Book Antiqua" w:hAnsi="Book Antiqua"/>
          <w:sz w:val="24"/>
          <w:szCs w:val="24"/>
        </w:rPr>
        <w:t xml:space="preserve"> </w:t>
      </w:r>
      <w:r>
        <w:rPr>
          <w:rFonts w:ascii="Book Antiqua" w:hAnsi="Book Antiqua" w:cs="Times New Roman"/>
          <w:kern w:val="0"/>
          <w:sz w:val="24"/>
          <w:szCs w:val="24"/>
          <w:lang w:bidi="ar"/>
        </w:rPr>
        <w:t>T-bet:</w:t>
      </w:r>
      <w:r>
        <w:rPr>
          <w:rFonts w:ascii="Book Antiqua" w:hAnsi="Book Antiqua"/>
          <w:sz w:val="24"/>
          <w:szCs w:val="24"/>
        </w:rPr>
        <w:t xml:space="preserve"> </w:t>
      </w:r>
      <w:r>
        <w:rPr>
          <w:rFonts w:ascii="Book Antiqua" w:hAnsi="Book Antiqua" w:cs="Times New Roman"/>
          <w:kern w:val="0"/>
          <w:sz w:val="24"/>
          <w:szCs w:val="24"/>
          <w:lang w:bidi="ar"/>
        </w:rPr>
        <w:t>T-box transcription factor 21; STAT4:</w:t>
      </w:r>
      <w:r>
        <w:rPr>
          <w:rFonts w:ascii="Book Antiqua" w:hAnsi="Book Antiqua"/>
          <w:sz w:val="24"/>
          <w:szCs w:val="24"/>
        </w:rPr>
        <w:t xml:space="preserve"> </w:t>
      </w:r>
      <w:r>
        <w:rPr>
          <w:rFonts w:ascii="Book Antiqua" w:hAnsi="Book Antiqua" w:cs="Times New Roman"/>
          <w:kern w:val="0"/>
          <w:sz w:val="24"/>
          <w:szCs w:val="24"/>
          <w:lang w:bidi="ar"/>
        </w:rPr>
        <w:t>Signal transducer and activator of transcription 4; STAT1:</w:t>
      </w:r>
      <w:r>
        <w:rPr>
          <w:rFonts w:ascii="Book Antiqua" w:hAnsi="Book Antiqua"/>
          <w:sz w:val="24"/>
          <w:szCs w:val="24"/>
        </w:rPr>
        <w:t xml:space="preserve"> </w:t>
      </w:r>
      <w:r>
        <w:rPr>
          <w:rFonts w:ascii="Book Antiqua" w:hAnsi="Book Antiqua" w:cs="Times New Roman"/>
          <w:kern w:val="0"/>
          <w:sz w:val="24"/>
          <w:szCs w:val="24"/>
          <w:lang w:bidi="ar"/>
        </w:rPr>
        <w:t>Signal transducer and activator of transcription 1; IFN-γ:</w:t>
      </w:r>
      <w:r>
        <w:rPr>
          <w:rFonts w:ascii="Book Antiqua" w:hAnsi="Book Antiqua" w:cs="Times New Roman"/>
          <w:iCs/>
          <w:sz w:val="24"/>
          <w:szCs w:val="24"/>
          <w:shd w:val="clear" w:color="auto" w:fill="FFFFFF"/>
        </w:rPr>
        <w:t xml:space="preserve"> Interferon gamma</w:t>
      </w:r>
      <w:r>
        <w:rPr>
          <w:rFonts w:ascii="Book Antiqua" w:hAnsi="Book Antiqua" w:cs="Times New Roman"/>
          <w:kern w:val="0"/>
          <w:sz w:val="24"/>
          <w:szCs w:val="24"/>
          <w:lang w:bidi="ar"/>
        </w:rPr>
        <w:t>; TNF-α:</w:t>
      </w:r>
      <w:r>
        <w:rPr>
          <w:rFonts w:ascii="Book Antiqua" w:hAnsi="Book Antiqua"/>
          <w:sz w:val="24"/>
          <w:szCs w:val="24"/>
        </w:rPr>
        <w:t xml:space="preserve"> </w:t>
      </w:r>
      <w:r>
        <w:rPr>
          <w:rFonts w:ascii="Book Antiqua" w:hAnsi="Book Antiqua" w:cs="Times New Roman"/>
          <w:kern w:val="0"/>
          <w:sz w:val="24"/>
          <w:szCs w:val="24"/>
          <w:lang w:bidi="ar"/>
        </w:rPr>
        <w:t>Tumor necrosis factor; GATA3:</w:t>
      </w:r>
      <w:r>
        <w:rPr>
          <w:rFonts w:ascii="Book Antiqua" w:hAnsi="Book Antiqua"/>
          <w:sz w:val="24"/>
          <w:szCs w:val="24"/>
        </w:rPr>
        <w:t xml:space="preserve"> </w:t>
      </w:r>
      <w:r>
        <w:rPr>
          <w:rFonts w:ascii="Book Antiqua" w:hAnsi="Book Antiqua" w:cs="Times New Roman"/>
          <w:kern w:val="0"/>
          <w:sz w:val="24"/>
          <w:szCs w:val="24"/>
          <w:lang w:bidi="ar"/>
        </w:rPr>
        <w:t>GATA binding protein 3; STAT6: Signal transducer and activator of transcription 6; STAT5A:</w:t>
      </w:r>
      <w:r>
        <w:rPr>
          <w:rFonts w:ascii="Book Antiqua" w:hAnsi="Book Antiqua"/>
          <w:sz w:val="24"/>
          <w:szCs w:val="24"/>
        </w:rPr>
        <w:t xml:space="preserve"> </w:t>
      </w:r>
      <w:r>
        <w:rPr>
          <w:rFonts w:ascii="Book Antiqua" w:hAnsi="Book Antiqua" w:cs="Times New Roman"/>
          <w:kern w:val="0"/>
          <w:sz w:val="24"/>
          <w:szCs w:val="24"/>
          <w:lang w:bidi="ar"/>
        </w:rPr>
        <w:t>Signal transducer and activator of transcription 5A; IL13:</w:t>
      </w:r>
      <w:r>
        <w:rPr>
          <w:rFonts w:ascii="Book Antiqua" w:hAnsi="Book Antiqua"/>
          <w:sz w:val="24"/>
          <w:szCs w:val="24"/>
        </w:rPr>
        <w:t xml:space="preserve"> </w:t>
      </w:r>
      <w:r>
        <w:rPr>
          <w:rFonts w:ascii="Book Antiqua" w:hAnsi="Book Antiqua" w:cs="Times New Roman"/>
          <w:kern w:val="0"/>
          <w:sz w:val="24"/>
          <w:szCs w:val="24"/>
          <w:lang w:bidi="ar"/>
        </w:rPr>
        <w:t>Interleukin 13; BCL6: BCL6 transcription repressor; IL21:</w:t>
      </w:r>
      <w:r>
        <w:rPr>
          <w:rFonts w:ascii="Book Antiqua" w:hAnsi="Book Antiqua"/>
          <w:sz w:val="24"/>
          <w:szCs w:val="24"/>
        </w:rPr>
        <w:t xml:space="preserve"> </w:t>
      </w:r>
      <w:r>
        <w:rPr>
          <w:rFonts w:ascii="Book Antiqua" w:hAnsi="Book Antiqua" w:cs="Times New Roman"/>
          <w:kern w:val="0"/>
          <w:sz w:val="24"/>
          <w:szCs w:val="24"/>
          <w:lang w:bidi="ar"/>
        </w:rPr>
        <w:t>Interleukin 21; IL17A:</w:t>
      </w:r>
      <w:r>
        <w:rPr>
          <w:rFonts w:ascii="Book Antiqua" w:hAnsi="Book Antiqua"/>
          <w:sz w:val="24"/>
          <w:szCs w:val="24"/>
        </w:rPr>
        <w:t xml:space="preserve"> </w:t>
      </w:r>
      <w:r>
        <w:rPr>
          <w:rFonts w:ascii="Book Antiqua" w:hAnsi="Book Antiqua" w:cs="Times New Roman"/>
          <w:kern w:val="0"/>
          <w:sz w:val="24"/>
          <w:szCs w:val="24"/>
          <w:lang w:bidi="ar"/>
        </w:rPr>
        <w:t>Interleukin 17A; FOXP3:</w:t>
      </w:r>
      <w:r>
        <w:rPr>
          <w:rFonts w:ascii="Book Antiqua" w:hAnsi="Book Antiqua"/>
          <w:sz w:val="24"/>
          <w:szCs w:val="24"/>
        </w:rPr>
        <w:t xml:space="preserve"> </w:t>
      </w:r>
      <w:r>
        <w:rPr>
          <w:rFonts w:ascii="Book Antiqua" w:hAnsi="Book Antiqua" w:cs="Times New Roman"/>
          <w:kern w:val="0"/>
          <w:sz w:val="24"/>
          <w:szCs w:val="24"/>
          <w:lang w:bidi="ar"/>
        </w:rPr>
        <w:t>Forkhead box P3; CCR8:</w:t>
      </w:r>
      <w:r>
        <w:rPr>
          <w:rFonts w:ascii="Book Antiqua" w:hAnsi="Book Antiqua"/>
          <w:sz w:val="24"/>
          <w:szCs w:val="24"/>
        </w:rPr>
        <w:t xml:space="preserve"> </w:t>
      </w:r>
      <w:r>
        <w:rPr>
          <w:rFonts w:ascii="Book Antiqua" w:hAnsi="Book Antiqua" w:cs="Times New Roman"/>
          <w:kern w:val="0"/>
          <w:sz w:val="24"/>
          <w:szCs w:val="24"/>
          <w:lang w:bidi="ar"/>
        </w:rPr>
        <w:t>C-C motif chemokine receptor 8; STAT5B:</w:t>
      </w:r>
      <w:r>
        <w:rPr>
          <w:rFonts w:ascii="Book Antiqua" w:hAnsi="Book Antiqua"/>
          <w:sz w:val="24"/>
          <w:szCs w:val="24"/>
        </w:rPr>
        <w:t xml:space="preserve"> </w:t>
      </w:r>
      <w:r>
        <w:rPr>
          <w:rFonts w:ascii="Book Antiqua" w:hAnsi="Book Antiqua" w:cs="Times New Roman"/>
          <w:kern w:val="0"/>
          <w:sz w:val="24"/>
          <w:szCs w:val="24"/>
          <w:lang w:bidi="ar"/>
        </w:rPr>
        <w:t>Signal transducer and activator of transcription 5B; TGFβ:</w:t>
      </w:r>
      <w:r>
        <w:rPr>
          <w:rFonts w:ascii="Book Antiqua" w:hAnsi="Book Antiqua" w:cs="Times New Roman"/>
          <w:sz w:val="24"/>
          <w:szCs w:val="24"/>
          <w:shd w:val="clear" w:color="auto" w:fill="FFFFFF"/>
        </w:rPr>
        <w:t xml:space="preserve"> Transforming growth factor-beta</w:t>
      </w:r>
      <w:r>
        <w:rPr>
          <w:rFonts w:ascii="Book Antiqua" w:hAnsi="Book Antiqua" w:cs="Times New Roman"/>
          <w:kern w:val="0"/>
          <w:sz w:val="24"/>
          <w:szCs w:val="24"/>
          <w:lang w:bidi="ar"/>
        </w:rPr>
        <w:t>; PD-1:</w:t>
      </w:r>
      <w:r>
        <w:rPr>
          <w:rFonts w:ascii="Book Antiqua" w:hAnsi="Book Antiqua" w:cs="Times New Roman"/>
          <w:sz w:val="24"/>
          <w:szCs w:val="24"/>
          <w:shd w:val="clear" w:color="auto" w:fill="FFFFFF"/>
        </w:rPr>
        <w:t xml:space="preserve"> Programmed cell death 1</w:t>
      </w:r>
      <w:r>
        <w:rPr>
          <w:rFonts w:ascii="Book Antiqua" w:hAnsi="Book Antiqua" w:cs="Times New Roman"/>
          <w:kern w:val="0"/>
          <w:sz w:val="24"/>
          <w:szCs w:val="24"/>
          <w:lang w:bidi="ar"/>
        </w:rPr>
        <w:t>; CTLA4:</w:t>
      </w:r>
      <w:r>
        <w:rPr>
          <w:rFonts w:ascii="Book Antiqua" w:hAnsi="Book Antiqua" w:cs="Times New Roman"/>
          <w:sz w:val="24"/>
          <w:szCs w:val="24"/>
          <w:shd w:val="clear" w:color="auto" w:fill="FFFFFF"/>
        </w:rPr>
        <w:t xml:space="preserve"> Cytotoxic T-lymphocyte associated protein 4</w:t>
      </w:r>
      <w:r>
        <w:rPr>
          <w:rFonts w:ascii="Book Antiqua" w:hAnsi="Book Antiqua" w:cs="Times New Roman"/>
          <w:kern w:val="0"/>
          <w:sz w:val="24"/>
          <w:szCs w:val="24"/>
          <w:lang w:bidi="ar"/>
        </w:rPr>
        <w:t>; LAG3:</w:t>
      </w:r>
      <w:r>
        <w:rPr>
          <w:rFonts w:ascii="Book Antiqua" w:hAnsi="Book Antiqua" w:cs="Times New Roman"/>
          <w:iCs/>
          <w:sz w:val="24"/>
          <w:szCs w:val="24"/>
          <w:shd w:val="clear" w:color="auto" w:fill="FFFFFF"/>
        </w:rPr>
        <w:t xml:space="preserve"> Lymphocyte activating 3</w:t>
      </w:r>
      <w:r>
        <w:rPr>
          <w:rFonts w:ascii="Book Antiqua" w:hAnsi="Book Antiqua" w:cs="Times New Roman"/>
          <w:kern w:val="0"/>
          <w:sz w:val="24"/>
          <w:szCs w:val="24"/>
          <w:lang w:bidi="ar"/>
        </w:rPr>
        <w:t>; TIM-3:</w:t>
      </w:r>
      <w:r>
        <w:rPr>
          <w:rFonts w:ascii="Book Antiqua" w:hAnsi="Book Antiqua" w:cs="Times New Roman"/>
          <w:iCs/>
          <w:sz w:val="24"/>
          <w:szCs w:val="24"/>
          <w:shd w:val="clear" w:color="auto" w:fill="FFFFFF"/>
        </w:rPr>
        <w:t xml:space="preserve"> Hepatitis A virus cellular receptor 2</w:t>
      </w:r>
      <w:r>
        <w:rPr>
          <w:rFonts w:ascii="Book Antiqua" w:hAnsi="Book Antiqua" w:cs="Times New Roman"/>
          <w:kern w:val="0"/>
          <w:sz w:val="24"/>
          <w:szCs w:val="24"/>
          <w:lang w:bidi="ar"/>
        </w:rPr>
        <w:t>; GZMB:</w:t>
      </w:r>
      <w:r>
        <w:rPr>
          <w:rFonts w:ascii="Book Antiqua" w:hAnsi="Book Antiqua" w:cs="Times New Roman"/>
          <w:iCs/>
          <w:sz w:val="24"/>
          <w:szCs w:val="24"/>
          <w:shd w:val="clear" w:color="auto" w:fill="FFFFFF"/>
        </w:rPr>
        <w:t xml:space="preserve"> Granzyme B; Tfh: Follicular helper T</w:t>
      </w:r>
      <w:r>
        <w:rPr>
          <w:rFonts w:ascii="Book Antiqua" w:hAnsi="Book Antiqua" w:cs="Times New Roman"/>
          <w:kern w:val="0"/>
          <w:sz w:val="24"/>
          <w:szCs w:val="24"/>
          <w:lang w:bidi="ar"/>
        </w:rPr>
        <w:t>.</w:t>
      </w:r>
    </w:p>
    <w:p>
      <w:pPr>
        <w:pStyle w:val="25"/>
        <w:spacing w:line="360" w:lineRule="auto"/>
        <w:rPr>
          <w:rFonts w:ascii="Book Antiqua" w:hAnsi="Book Antiqua" w:cs="Times New Roman"/>
          <w:kern w:val="0"/>
          <w:sz w:val="24"/>
          <w:szCs w:val="24"/>
          <w:lang w:bidi="ar"/>
        </w:rPr>
      </w:pPr>
    </w:p>
    <w:p>
      <w:pPr>
        <w:pStyle w:val="25"/>
        <w:spacing w:line="360" w:lineRule="auto"/>
        <w:rPr>
          <w:rFonts w:ascii="Book Antiqua" w:hAnsi="Book Antiqua" w:cs="Times New Roman"/>
          <w:kern w:val="0"/>
          <w:sz w:val="24"/>
          <w:szCs w:val="24"/>
          <w:lang w:bidi="ar"/>
        </w:rPr>
        <w:sectPr>
          <w:pgSz w:w="16838" w:h="11906" w:orient="landscape"/>
          <w:pgMar w:top="1803" w:right="1440" w:bottom="1803" w:left="1440" w:header="851" w:footer="992" w:gutter="0"/>
          <w:cols w:space="0" w:num="1"/>
          <w:docGrid w:type="lines" w:linePitch="319" w:charSpace="0"/>
        </w:sectPr>
      </w:pPr>
    </w:p>
    <w:p>
      <w:pPr>
        <w:pStyle w:val="25"/>
        <w:spacing w:line="360" w:lineRule="auto"/>
        <w:jc w:val="both"/>
        <w:rPr>
          <w:rFonts w:ascii="Book Antiqua" w:hAnsi="Book Antiqua" w:cs="Times New Roman"/>
          <w:b/>
          <w:sz w:val="24"/>
          <w:szCs w:val="24"/>
        </w:rPr>
      </w:pPr>
      <w:r>
        <w:rPr>
          <w:rFonts w:ascii="Book Antiqua" w:hAnsi="Book Antiqua" w:cs="Times New Roman"/>
          <w:b/>
          <w:bCs/>
          <w:sz w:val="24"/>
          <w:szCs w:val="24"/>
        </w:rPr>
        <w:t>Table</w:t>
      </w:r>
      <w:r>
        <w:rPr>
          <w:rFonts w:hint="eastAsia" w:ascii="Book Antiqua" w:hAnsi="Book Antiqua" w:cs="Times New Roman"/>
          <w:b/>
          <w:bCs/>
          <w:sz w:val="24"/>
          <w:szCs w:val="24"/>
        </w:rPr>
        <w:t xml:space="preserve"> </w:t>
      </w:r>
      <w:r>
        <w:rPr>
          <w:rFonts w:ascii="Book Antiqua" w:hAnsi="Book Antiqua" w:cs="Times New Roman"/>
          <w:b/>
          <w:bCs/>
          <w:sz w:val="24"/>
          <w:szCs w:val="24"/>
        </w:rPr>
        <w:t xml:space="preserve">4 </w:t>
      </w:r>
      <w:r>
        <w:rPr>
          <w:rFonts w:ascii="Book Antiqua" w:hAnsi="Book Antiqua" w:cs="Times New Roman"/>
          <w:b/>
          <w:sz w:val="24"/>
          <w:szCs w:val="24"/>
        </w:rPr>
        <w:t xml:space="preserve">Correlation analysis between solute carrier family 2 member 1 and solute carrier family 2 and genes markers of immune cells in </w:t>
      </w:r>
      <w:r>
        <w:rPr>
          <w:rFonts w:hint="eastAsia" w:ascii="Book Antiqua" w:hAnsi="Book Antiqua" w:cs="Times New Roman"/>
          <w:b/>
          <w:sz w:val="24"/>
          <w:szCs w:val="24"/>
        </w:rPr>
        <w:t>g</w:t>
      </w:r>
      <w:r>
        <w:rPr>
          <w:rFonts w:ascii="Book Antiqua" w:hAnsi="Book Antiqua" w:cs="Times New Roman"/>
          <w:b/>
          <w:sz w:val="24"/>
          <w:szCs w:val="24"/>
        </w:rPr>
        <w:t>ene expression profiling interactive analysis</w:t>
      </w:r>
    </w:p>
    <w:tbl>
      <w:tblPr>
        <w:tblStyle w:val="9"/>
        <w:tblW w:w="11050" w:type="dxa"/>
        <w:tblInd w:w="-856" w:type="dxa"/>
        <w:tblLayout w:type="autofit"/>
        <w:tblCellMar>
          <w:top w:w="0" w:type="dxa"/>
          <w:left w:w="108" w:type="dxa"/>
          <w:bottom w:w="0" w:type="dxa"/>
          <w:right w:w="108" w:type="dxa"/>
        </w:tblCellMar>
      </w:tblPr>
      <w:tblGrid>
        <w:gridCol w:w="1702"/>
        <w:gridCol w:w="1701"/>
        <w:gridCol w:w="1843"/>
        <w:gridCol w:w="1984"/>
        <w:gridCol w:w="1985"/>
        <w:gridCol w:w="1835"/>
      </w:tblGrid>
      <w:tr>
        <w:tblPrEx>
          <w:tblCellMar>
            <w:top w:w="0" w:type="dxa"/>
            <w:left w:w="108" w:type="dxa"/>
            <w:bottom w:w="0" w:type="dxa"/>
            <w:right w:w="108" w:type="dxa"/>
          </w:tblCellMar>
        </w:tblPrEx>
        <w:trPr>
          <w:trHeight w:val="340" w:hRule="atLeast"/>
        </w:trPr>
        <w:tc>
          <w:tcPr>
            <w:tcW w:w="1702" w:type="dxa"/>
            <w:vMerge w:val="restart"/>
            <w:tcBorders>
              <w:top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lang w:bidi="ar"/>
              </w:rPr>
              <w:t>Description</w:t>
            </w:r>
          </w:p>
        </w:tc>
        <w:tc>
          <w:tcPr>
            <w:tcW w:w="1701" w:type="dxa"/>
            <w:vMerge w:val="restart"/>
            <w:tcBorders>
              <w:top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lang w:bidi="ar"/>
              </w:rPr>
              <w:t>Gene markers</w:t>
            </w:r>
          </w:p>
        </w:tc>
        <w:tc>
          <w:tcPr>
            <w:tcW w:w="3827" w:type="dxa"/>
            <w:gridSpan w:val="2"/>
            <w:tcBorders>
              <w:top w:val="single" w:color="auto" w:sz="4" w:space="0"/>
              <w:bottom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lang w:bidi="ar"/>
              </w:rPr>
              <w:t>Solute carrier family 2 member 1</w:t>
            </w:r>
          </w:p>
        </w:tc>
        <w:tc>
          <w:tcPr>
            <w:tcW w:w="3820" w:type="dxa"/>
            <w:gridSpan w:val="2"/>
            <w:tcBorders>
              <w:top w:val="single" w:color="auto" w:sz="4" w:space="0"/>
              <w:bottom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lang w:bidi="ar"/>
              </w:rPr>
              <w:t>Solute carrier family 2 member 2</w:t>
            </w:r>
          </w:p>
        </w:tc>
      </w:tr>
      <w:tr>
        <w:tblPrEx>
          <w:tblCellMar>
            <w:top w:w="0" w:type="dxa"/>
            <w:left w:w="108" w:type="dxa"/>
            <w:bottom w:w="0" w:type="dxa"/>
            <w:right w:w="108" w:type="dxa"/>
          </w:tblCellMar>
        </w:tblPrEx>
        <w:trPr>
          <w:trHeight w:val="340" w:hRule="atLeast"/>
        </w:trPr>
        <w:tc>
          <w:tcPr>
            <w:tcW w:w="1702" w:type="dxa"/>
            <w:vMerge w:val="continue"/>
            <w:tcBorders>
              <w:bottom w:val="single" w:color="auto" w:sz="4" w:space="0"/>
            </w:tcBorders>
            <w:shd w:val="clear" w:color="auto" w:fill="auto"/>
            <w:noWrap/>
            <w:vAlign w:val="center"/>
          </w:tcPr>
          <w:p>
            <w:pPr>
              <w:jc w:val="both"/>
              <w:rPr>
                <w:rFonts w:ascii="Book Antiqua" w:hAnsi="Book Antiqua"/>
                <w:b/>
                <w:lang w:bidi="ar"/>
              </w:rPr>
            </w:pPr>
          </w:p>
        </w:tc>
        <w:tc>
          <w:tcPr>
            <w:tcW w:w="1701" w:type="dxa"/>
            <w:vMerge w:val="continue"/>
            <w:tcBorders>
              <w:bottom w:val="single" w:color="auto" w:sz="4" w:space="0"/>
            </w:tcBorders>
            <w:shd w:val="clear" w:color="auto" w:fill="auto"/>
            <w:noWrap/>
            <w:vAlign w:val="center"/>
          </w:tcPr>
          <w:p>
            <w:pPr>
              <w:jc w:val="both"/>
              <w:rPr>
                <w:rFonts w:ascii="Book Antiqua" w:hAnsi="Book Antiqua"/>
                <w:b/>
                <w:lang w:bidi="ar"/>
              </w:rPr>
            </w:pPr>
          </w:p>
        </w:tc>
        <w:tc>
          <w:tcPr>
            <w:tcW w:w="1843" w:type="dxa"/>
            <w:tcBorders>
              <w:top w:val="single" w:color="auto" w:sz="4" w:space="0"/>
              <w:bottom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lang w:bidi="ar"/>
              </w:rPr>
              <w:t>cor</w:t>
            </w:r>
          </w:p>
        </w:tc>
        <w:tc>
          <w:tcPr>
            <w:tcW w:w="1984" w:type="dxa"/>
            <w:tcBorders>
              <w:top w:val="single" w:color="auto" w:sz="4" w:space="0"/>
              <w:bottom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i/>
                <w:iCs/>
                <w:lang w:bidi="ar"/>
              </w:rPr>
              <w:t>P</w:t>
            </w:r>
            <w:r>
              <w:rPr>
                <w:rFonts w:hint="eastAsia" w:ascii="Book Antiqua" w:hAnsi="Book Antiqua"/>
                <w:b/>
                <w:lang w:bidi="ar"/>
              </w:rPr>
              <w:t xml:space="preserve"> value</w:t>
            </w:r>
          </w:p>
        </w:tc>
        <w:tc>
          <w:tcPr>
            <w:tcW w:w="1985" w:type="dxa"/>
            <w:tcBorders>
              <w:top w:val="single" w:color="auto" w:sz="4" w:space="0"/>
              <w:bottom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lang w:bidi="ar"/>
              </w:rPr>
              <w:t>cor</w:t>
            </w:r>
          </w:p>
        </w:tc>
        <w:tc>
          <w:tcPr>
            <w:tcW w:w="1835" w:type="dxa"/>
            <w:tcBorders>
              <w:top w:val="single" w:color="auto" w:sz="4" w:space="0"/>
              <w:bottom w:val="single" w:color="auto" w:sz="4" w:space="0"/>
            </w:tcBorders>
            <w:shd w:val="clear" w:color="auto" w:fill="auto"/>
            <w:noWrap/>
            <w:vAlign w:val="center"/>
          </w:tcPr>
          <w:p>
            <w:pPr>
              <w:jc w:val="both"/>
              <w:rPr>
                <w:rFonts w:ascii="Book Antiqua" w:hAnsi="Book Antiqua"/>
                <w:b/>
                <w:lang w:bidi="ar"/>
              </w:rPr>
            </w:pPr>
            <w:r>
              <w:rPr>
                <w:rFonts w:hint="eastAsia" w:ascii="Book Antiqua" w:hAnsi="Book Antiqua"/>
                <w:b/>
                <w:i/>
                <w:iCs/>
                <w:lang w:bidi="ar"/>
              </w:rPr>
              <w:t>P</w:t>
            </w:r>
            <w:r>
              <w:rPr>
                <w:rFonts w:hint="eastAsia" w:ascii="Book Antiqua" w:hAnsi="Book Antiqua"/>
                <w:b/>
                <w:lang w:bidi="ar"/>
              </w:rPr>
              <w:t xml:space="preserve"> value</w:t>
            </w:r>
          </w:p>
        </w:tc>
      </w:tr>
      <w:tr>
        <w:tblPrEx>
          <w:tblCellMar>
            <w:top w:w="0" w:type="dxa"/>
            <w:left w:w="108" w:type="dxa"/>
            <w:bottom w:w="0" w:type="dxa"/>
            <w:right w:w="108" w:type="dxa"/>
          </w:tblCellMar>
        </w:tblPrEx>
        <w:trPr>
          <w:trHeight w:val="340" w:hRule="atLeast"/>
        </w:trPr>
        <w:tc>
          <w:tcPr>
            <w:tcW w:w="3403" w:type="dxa"/>
            <w:gridSpan w:val="2"/>
            <w:tcBorders>
              <w:top w:val="single" w:color="auto" w:sz="4" w:space="0"/>
            </w:tcBorders>
            <w:shd w:val="clear" w:color="auto" w:fill="auto"/>
            <w:noWrap/>
            <w:vAlign w:val="center"/>
          </w:tcPr>
          <w:p>
            <w:pPr>
              <w:jc w:val="both"/>
              <w:rPr>
                <w:rFonts w:ascii="Book Antiqua" w:hAnsi="Book Antiqua"/>
                <w:bCs/>
                <w:lang w:bidi="ar"/>
              </w:rPr>
            </w:pPr>
            <w:r>
              <w:rPr>
                <w:rFonts w:hint="eastAsia" w:ascii="Book Antiqua" w:hAnsi="Book Antiqua"/>
                <w:bCs/>
                <w:lang w:bidi="ar"/>
              </w:rPr>
              <w:t>CD8+ T cell</w:t>
            </w:r>
          </w:p>
        </w:tc>
        <w:tc>
          <w:tcPr>
            <w:tcW w:w="1843" w:type="dxa"/>
            <w:tcBorders>
              <w:top w:val="single" w:color="auto" w:sz="4" w:space="0"/>
            </w:tcBorders>
            <w:shd w:val="clear" w:color="auto" w:fill="auto"/>
            <w:noWrap/>
            <w:vAlign w:val="center"/>
          </w:tcPr>
          <w:p>
            <w:pPr>
              <w:jc w:val="both"/>
              <w:rPr>
                <w:rFonts w:ascii="Book Antiqua" w:hAnsi="Book Antiqua"/>
                <w:bCs/>
                <w:lang w:bidi="ar"/>
              </w:rPr>
            </w:pPr>
          </w:p>
        </w:tc>
        <w:tc>
          <w:tcPr>
            <w:tcW w:w="1984" w:type="dxa"/>
            <w:tcBorders>
              <w:top w:val="single" w:color="auto" w:sz="4" w:space="0"/>
            </w:tcBorders>
            <w:shd w:val="clear" w:color="auto" w:fill="auto"/>
            <w:noWrap/>
            <w:vAlign w:val="center"/>
          </w:tcPr>
          <w:p>
            <w:pPr>
              <w:jc w:val="both"/>
              <w:rPr>
                <w:rFonts w:ascii="Book Antiqua" w:hAnsi="Book Antiqua"/>
                <w:bCs/>
                <w:lang w:bidi="ar"/>
              </w:rPr>
            </w:pPr>
          </w:p>
        </w:tc>
        <w:tc>
          <w:tcPr>
            <w:tcW w:w="1985" w:type="dxa"/>
            <w:tcBorders>
              <w:top w:val="single" w:color="auto" w:sz="4" w:space="0"/>
            </w:tcBorders>
            <w:shd w:val="clear" w:color="auto" w:fill="auto"/>
            <w:noWrap/>
            <w:vAlign w:val="center"/>
          </w:tcPr>
          <w:p>
            <w:pPr>
              <w:jc w:val="both"/>
              <w:rPr>
                <w:rFonts w:ascii="Book Antiqua" w:hAnsi="Book Antiqua"/>
                <w:bCs/>
                <w:lang w:bidi="ar"/>
              </w:rPr>
            </w:pPr>
          </w:p>
        </w:tc>
        <w:tc>
          <w:tcPr>
            <w:tcW w:w="1835" w:type="dxa"/>
            <w:tcBorders>
              <w:top w:val="single" w:color="auto" w:sz="4" w:space="0"/>
            </w:tcBorders>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CD8A</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0.24</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3.10E-06</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-0.084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1.10E-01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CD8B</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3.20E-07</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1.40E-02</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T cell (general)</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CD3D</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0.18</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5.10E-04</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-0.23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1.10E-05</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CD3E</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0.15</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4.00E-03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3.90E-02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CD2</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0.17</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1.50E-03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2.60E-02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r>
              <w:rPr>
                <w:rFonts w:hint="eastAsia" w:ascii="Book Antiqua" w:hAnsi="Book Antiqua"/>
                <w:bCs/>
                <w:lang w:bidi="ar"/>
              </w:rPr>
              <w:t>B cell</w:t>
            </w:r>
          </w:p>
        </w:tc>
        <w:tc>
          <w:tcPr>
            <w:tcW w:w="1701" w:type="dxa"/>
            <w:shd w:val="clear" w:color="auto" w:fill="auto"/>
            <w:noWrap/>
            <w:vAlign w:val="center"/>
          </w:tcPr>
          <w:p>
            <w:pPr>
              <w:jc w:val="both"/>
              <w:rPr>
                <w:rFonts w:ascii="Book Antiqua" w:hAnsi="Book Antiqua"/>
                <w:bCs/>
                <w:lang w:bidi="ar"/>
              </w:rPr>
            </w:pP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CD19</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1.60E-05</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-0.073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1.60E-01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CD79A</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0.036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4.90E-01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-0.59</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2.60E-01</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Monocyte</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CD86</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0.39</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1.50E-14</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-0.16</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1.70E-03</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CD115 (CSF1R)</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0.36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1.40E-12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5.40E-03</w:t>
            </w:r>
          </w:p>
        </w:tc>
      </w:tr>
      <w:tr>
        <w:tblPrEx>
          <w:tblCellMar>
            <w:top w:w="0" w:type="dxa"/>
            <w:left w:w="108" w:type="dxa"/>
            <w:bottom w:w="0" w:type="dxa"/>
            <w:right w:w="108" w:type="dxa"/>
          </w:tblCellMar>
        </w:tblPrEx>
        <w:trPr>
          <w:trHeight w:val="340" w:hRule="atLeast"/>
        </w:trPr>
        <w:tc>
          <w:tcPr>
            <w:tcW w:w="7230" w:type="dxa"/>
            <w:gridSpan w:val="4"/>
            <w:shd w:val="clear" w:color="auto" w:fill="auto"/>
            <w:noWrap/>
            <w:vAlign w:val="center"/>
          </w:tcPr>
          <w:p>
            <w:pPr>
              <w:jc w:val="both"/>
              <w:rPr>
                <w:rFonts w:ascii="Book Antiqua" w:hAnsi="Book Antiqua"/>
                <w:bCs/>
                <w:lang w:bidi="ar"/>
              </w:rPr>
            </w:pPr>
            <w:r>
              <w:rPr>
                <w:rFonts w:hint="eastAsia" w:ascii="Book Antiqua" w:hAnsi="Book Antiqua"/>
                <w:bCs/>
                <w:lang w:bidi="ar"/>
              </w:rPr>
              <w:t>Tumor-associated macrophage</w:t>
            </w: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CCL2</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2.30E-03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1.50E-02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CD68</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0.27</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9.20E-08</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6.50E-03</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IL10</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0.32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2.50E-10</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-0.095</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6.70E-02</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M1 macrophage</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INOS (NOS2)</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-0.031</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5.50E-01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1.20E-04</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IRF5</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0.14</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7.40E-03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0.044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4.00E-01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COX2 (PTGS2)</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1.50E-03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-0.028</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5.90E-01</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M2 macrophage</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CD163</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0.31</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7.00E-10</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1.40E-02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VSIG4</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0.36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1.10E-12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1.80E-02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MS4A4A</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0.29</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1.50E-08</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2.80E-02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CD66b (CEACAM8)</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0.074</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1.60E-01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-0.018</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7.30E-01</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Neutrophil</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CD11b (ITGAM)</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0.28</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5.80E-08</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-0.074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1.60E-01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CCR7</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0.039</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4.60E-01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-0.028</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5.90E-01</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Natural killer cell</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KIR2DL1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0.087</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9.40E-02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-0.059</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2.60E-01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KIR2DL3</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0.13</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1.40E-02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-0.05</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3.40E-01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KIR2DL4</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0.18</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7.10E-04</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2.00E-02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KIR3DL1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0.086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9.70E-02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-0.058</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2.70E-01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KIR3DL2</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0.069</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1.90E-01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-0.0081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8.80E-01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KIR3DL3</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0.08</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1.30E-01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-0.068</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1.90E-01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KIR2DS4</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0.044</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4.00E-01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7.10E-01</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Dendritic cell</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HLA-DPB1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0.25</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1.40E-06</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-0.16</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2.20E-03</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HLA-DQB1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0.14</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8.10E-03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-0.19</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2.60E-04</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HLA-DRA</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6.00E-07</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-0.15</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5.00E-03</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HLA-DPA1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8.00E-05</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2.30E-02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BDCA-1 (CD1C)</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2.40E-02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-0.044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4.00E-01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BDCA-4 (NRP1)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0.23</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6.80E-06</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-0.037</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4.80E-01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CD11c (ITGAX)</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0.24</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2.00E-06</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1.40E-02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r>
              <w:rPr>
                <w:rFonts w:hint="eastAsia" w:ascii="Book Antiqua" w:hAnsi="Book Antiqua"/>
                <w:bCs/>
                <w:lang w:bidi="ar"/>
              </w:rPr>
              <w:t>Th1</w:t>
            </w:r>
          </w:p>
        </w:tc>
        <w:tc>
          <w:tcPr>
            <w:tcW w:w="1701" w:type="dxa"/>
            <w:shd w:val="clear" w:color="auto" w:fill="auto"/>
            <w:noWrap/>
            <w:vAlign w:val="center"/>
          </w:tcPr>
          <w:p>
            <w:pPr>
              <w:jc w:val="both"/>
              <w:rPr>
                <w:rFonts w:ascii="Book Antiqua" w:hAnsi="Book Antiqua"/>
                <w:bCs/>
                <w:lang w:bidi="ar"/>
              </w:rPr>
            </w:pP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T-bet (TBX21)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0.088</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9.00E-02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-0.058</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2.70E-01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STAT4</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0.0027</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9.60E-01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-0.041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4.40E-01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STAT1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0.13</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1.10E-02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0.017</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7.50E-01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IFN-γ (IFNG)</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0.19</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3.30E-04</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4.70E-02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TNF-α (TNF)</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2.00E-02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5.40E-02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r>
              <w:rPr>
                <w:rFonts w:hint="eastAsia" w:ascii="Book Antiqua" w:hAnsi="Book Antiqua"/>
                <w:bCs/>
                <w:lang w:bidi="ar"/>
              </w:rPr>
              <w:t>Th2</w:t>
            </w:r>
          </w:p>
        </w:tc>
        <w:tc>
          <w:tcPr>
            <w:tcW w:w="1701" w:type="dxa"/>
            <w:shd w:val="clear" w:color="auto" w:fill="auto"/>
            <w:noWrap/>
            <w:vAlign w:val="center"/>
          </w:tcPr>
          <w:p>
            <w:pPr>
              <w:jc w:val="both"/>
              <w:rPr>
                <w:rFonts w:ascii="Book Antiqua" w:hAnsi="Book Antiqua"/>
                <w:bCs/>
                <w:lang w:bidi="ar"/>
              </w:rPr>
            </w:pP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GATA3</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0.31</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2.10E-09</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1.20E-02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STAT6</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0.15</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4.80E-03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0.19</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2.40E-04</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STAT5A</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8.20E-05</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-0.07</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1.80E-01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IL13</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-0.025</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6.30E-01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8.40E-01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r>
              <w:rPr>
                <w:rFonts w:hint="eastAsia" w:ascii="Book Antiqua" w:hAnsi="Book Antiqua"/>
                <w:bCs/>
                <w:lang w:bidi="ar"/>
              </w:rPr>
              <w:t>Tfh</w:t>
            </w:r>
          </w:p>
        </w:tc>
        <w:tc>
          <w:tcPr>
            <w:tcW w:w="1701" w:type="dxa"/>
            <w:shd w:val="clear" w:color="auto" w:fill="auto"/>
            <w:noWrap/>
            <w:vAlign w:val="center"/>
          </w:tcPr>
          <w:p>
            <w:pPr>
              <w:jc w:val="both"/>
              <w:rPr>
                <w:rFonts w:ascii="Book Antiqua" w:hAnsi="Book Antiqua"/>
                <w:bCs/>
                <w:lang w:bidi="ar"/>
              </w:rPr>
            </w:pP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BCL6</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4.70E-02</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0.24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2.70E-06</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IL21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0.072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1.70E-01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-0.044</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3.90E-01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r>
              <w:rPr>
                <w:rFonts w:hint="eastAsia" w:ascii="Book Antiqua" w:hAnsi="Book Antiqua"/>
                <w:bCs/>
                <w:lang w:bidi="ar"/>
              </w:rPr>
              <w:t>Th17</w:t>
            </w:r>
          </w:p>
        </w:tc>
        <w:tc>
          <w:tcPr>
            <w:tcW w:w="1701" w:type="dxa"/>
            <w:shd w:val="clear" w:color="auto" w:fill="auto"/>
            <w:noWrap/>
            <w:vAlign w:val="center"/>
          </w:tcPr>
          <w:p>
            <w:pPr>
              <w:jc w:val="both"/>
              <w:rPr>
                <w:rFonts w:ascii="Book Antiqua" w:hAnsi="Book Antiqua"/>
                <w:bCs/>
                <w:lang w:bidi="ar"/>
              </w:rPr>
            </w:pP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IL17A</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-0.022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6.70E-01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0.071</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1.80E-01</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T cell regulatory</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FOXP3</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-0.036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4.90E-01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0.17</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1.40E-03</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CCR8</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0.16</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1.90E-03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-0.082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1.20E-01</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STAT5B</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0.073</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1.60E-01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0.43</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0.00E+00</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TGFβ (TGFB1)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0.24</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2.10E-06</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-0.25</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1.40E-06</w:t>
            </w:r>
          </w:p>
        </w:tc>
      </w:tr>
      <w:tr>
        <w:tblPrEx>
          <w:tblCellMar>
            <w:top w:w="0" w:type="dxa"/>
            <w:left w:w="108" w:type="dxa"/>
            <w:bottom w:w="0" w:type="dxa"/>
            <w:right w:w="108" w:type="dxa"/>
          </w:tblCellMar>
        </w:tblPrEx>
        <w:trPr>
          <w:trHeight w:val="340" w:hRule="atLeast"/>
        </w:trPr>
        <w:tc>
          <w:tcPr>
            <w:tcW w:w="3403" w:type="dxa"/>
            <w:gridSpan w:val="2"/>
            <w:shd w:val="clear" w:color="auto" w:fill="auto"/>
            <w:noWrap/>
            <w:vAlign w:val="center"/>
          </w:tcPr>
          <w:p>
            <w:pPr>
              <w:jc w:val="both"/>
              <w:rPr>
                <w:rFonts w:ascii="Book Antiqua" w:hAnsi="Book Antiqua"/>
                <w:bCs/>
                <w:lang w:bidi="ar"/>
              </w:rPr>
            </w:pPr>
            <w:r>
              <w:rPr>
                <w:rFonts w:hint="eastAsia" w:ascii="Book Antiqua" w:hAnsi="Book Antiqua"/>
                <w:bCs/>
                <w:lang w:bidi="ar"/>
              </w:rPr>
              <w:t>T cell exhaustion</w:t>
            </w:r>
          </w:p>
        </w:tc>
        <w:tc>
          <w:tcPr>
            <w:tcW w:w="1843" w:type="dxa"/>
            <w:shd w:val="clear" w:color="auto" w:fill="auto"/>
            <w:noWrap/>
            <w:vAlign w:val="center"/>
          </w:tcPr>
          <w:p>
            <w:pPr>
              <w:jc w:val="both"/>
              <w:rPr>
                <w:rFonts w:ascii="Book Antiqua" w:hAnsi="Book Antiqua"/>
                <w:bCs/>
                <w:lang w:bidi="ar"/>
              </w:rPr>
            </w:pPr>
          </w:p>
        </w:tc>
        <w:tc>
          <w:tcPr>
            <w:tcW w:w="1984" w:type="dxa"/>
            <w:shd w:val="clear" w:color="auto" w:fill="auto"/>
            <w:noWrap/>
            <w:vAlign w:val="center"/>
          </w:tcPr>
          <w:p>
            <w:pPr>
              <w:jc w:val="both"/>
              <w:rPr>
                <w:rFonts w:ascii="Book Antiqua" w:hAnsi="Book Antiqua"/>
                <w:bCs/>
                <w:lang w:bidi="ar"/>
              </w:rPr>
            </w:pPr>
          </w:p>
        </w:tc>
        <w:tc>
          <w:tcPr>
            <w:tcW w:w="1985" w:type="dxa"/>
            <w:shd w:val="clear" w:color="auto" w:fill="auto"/>
            <w:noWrap/>
            <w:vAlign w:val="center"/>
          </w:tcPr>
          <w:p>
            <w:pPr>
              <w:jc w:val="both"/>
              <w:rPr>
                <w:rFonts w:ascii="Book Antiqua" w:hAnsi="Book Antiqua"/>
                <w:bCs/>
                <w:lang w:bidi="ar"/>
              </w:rPr>
            </w:pPr>
          </w:p>
        </w:tc>
        <w:tc>
          <w:tcPr>
            <w:tcW w:w="1835" w:type="dxa"/>
            <w:shd w:val="clear" w:color="auto" w:fill="auto"/>
            <w:noWrap/>
            <w:vAlign w:val="center"/>
          </w:tcPr>
          <w:p>
            <w:pPr>
              <w:jc w:val="both"/>
              <w:rPr>
                <w:rFonts w:ascii="Book Antiqua" w:hAnsi="Book Antiqua"/>
                <w:bCs/>
                <w:lang w:bidi="ar"/>
              </w:rPr>
            </w:pP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PD-1 (PDCD1)</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0.08</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1.20E-01</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-0.12</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2.00E-02</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CTLA4</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0.17</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1.10E-03</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-0.18</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7.20E-04</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LAG3</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0.23</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7.60E-06</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-0.19</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3.30E-04</w:t>
            </w:r>
          </w:p>
        </w:tc>
      </w:tr>
      <w:tr>
        <w:tblPrEx>
          <w:tblCellMar>
            <w:top w:w="0" w:type="dxa"/>
            <w:left w:w="108" w:type="dxa"/>
            <w:bottom w:w="0" w:type="dxa"/>
            <w:right w:w="108" w:type="dxa"/>
          </w:tblCellMar>
        </w:tblPrEx>
        <w:trPr>
          <w:trHeight w:val="340" w:hRule="atLeast"/>
        </w:trPr>
        <w:tc>
          <w:tcPr>
            <w:tcW w:w="1702" w:type="dxa"/>
            <w:shd w:val="clear" w:color="auto" w:fill="auto"/>
            <w:noWrap/>
            <w:vAlign w:val="center"/>
          </w:tcPr>
          <w:p>
            <w:pPr>
              <w:jc w:val="both"/>
              <w:rPr>
                <w:rFonts w:ascii="Book Antiqua" w:hAnsi="Book Antiqua"/>
                <w:bCs/>
                <w:lang w:bidi="ar"/>
              </w:rPr>
            </w:pPr>
          </w:p>
        </w:tc>
        <w:tc>
          <w:tcPr>
            <w:tcW w:w="1701" w:type="dxa"/>
            <w:shd w:val="clear" w:color="auto" w:fill="auto"/>
            <w:noWrap/>
            <w:vAlign w:val="center"/>
          </w:tcPr>
          <w:p>
            <w:pPr>
              <w:jc w:val="both"/>
              <w:rPr>
                <w:rFonts w:ascii="Book Antiqua" w:hAnsi="Book Antiqua"/>
                <w:bCs/>
                <w:lang w:bidi="ar"/>
              </w:rPr>
            </w:pPr>
            <w:r>
              <w:rPr>
                <w:rFonts w:hint="eastAsia" w:ascii="Book Antiqua" w:hAnsi="Book Antiqua"/>
                <w:bCs/>
                <w:lang w:bidi="ar"/>
              </w:rPr>
              <w:t>TIM-3 (HAVCR2)</w:t>
            </w:r>
          </w:p>
        </w:tc>
        <w:tc>
          <w:tcPr>
            <w:tcW w:w="1843" w:type="dxa"/>
            <w:shd w:val="clear" w:color="auto" w:fill="auto"/>
            <w:noWrap/>
            <w:vAlign w:val="center"/>
          </w:tcPr>
          <w:p>
            <w:pPr>
              <w:jc w:val="both"/>
              <w:rPr>
                <w:rFonts w:ascii="Book Antiqua" w:hAnsi="Book Antiqua"/>
                <w:bCs/>
                <w:lang w:bidi="ar"/>
              </w:rPr>
            </w:pPr>
            <w:r>
              <w:rPr>
                <w:rFonts w:hint="eastAsia" w:ascii="Book Antiqua" w:hAnsi="Book Antiqua"/>
                <w:bCs/>
                <w:lang w:bidi="ar"/>
              </w:rPr>
              <w:t>0.22</w:t>
            </w:r>
          </w:p>
        </w:tc>
        <w:tc>
          <w:tcPr>
            <w:tcW w:w="1984" w:type="dxa"/>
            <w:shd w:val="clear" w:color="auto" w:fill="auto"/>
            <w:noWrap/>
            <w:vAlign w:val="center"/>
          </w:tcPr>
          <w:p>
            <w:pPr>
              <w:jc w:val="both"/>
              <w:rPr>
                <w:rFonts w:ascii="Book Antiqua" w:hAnsi="Book Antiqua"/>
                <w:bCs/>
                <w:lang w:bidi="ar"/>
              </w:rPr>
            </w:pPr>
            <w:r>
              <w:rPr>
                <w:rFonts w:hint="eastAsia" w:ascii="Book Antiqua" w:hAnsi="Book Antiqua"/>
                <w:bCs/>
                <w:lang w:bidi="ar"/>
              </w:rPr>
              <w:t>1.30E-05</w:t>
            </w:r>
          </w:p>
        </w:tc>
        <w:tc>
          <w:tcPr>
            <w:tcW w:w="1985" w:type="dxa"/>
            <w:shd w:val="clear" w:color="auto" w:fill="auto"/>
            <w:noWrap/>
            <w:vAlign w:val="center"/>
          </w:tcPr>
          <w:p>
            <w:pPr>
              <w:jc w:val="both"/>
              <w:rPr>
                <w:rFonts w:ascii="Book Antiqua" w:hAnsi="Book Antiqua"/>
                <w:bCs/>
                <w:lang w:bidi="ar"/>
              </w:rPr>
            </w:pPr>
            <w:r>
              <w:rPr>
                <w:rFonts w:hint="eastAsia" w:ascii="Book Antiqua" w:hAnsi="Book Antiqua"/>
                <w:bCs/>
                <w:lang w:bidi="ar"/>
              </w:rPr>
              <w:t>-0.17</w:t>
            </w:r>
          </w:p>
        </w:tc>
        <w:tc>
          <w:tcPr>
            <w:tcW w:w="1835" w:type="dxa"/>
            <w:shd w:val="clear" w:color="auto" w:fill="auto"/>
            <w:noWrap/>
            <w:vAlign w:val="center"/>
          </w:tcPr>
          <w:p>
            <w:pPr>
              <w:jc w:val="both"/>
              <w:rPr>
                <w:rFonts w:ascii="Book Antiqua" w:hAnsi="Book Antiqua"/>
                <w:bCs/>
                <w:lang w:bidi="ar"/>
              </w:rPr>
            </w:pPr>
            <w:r>
              <w:rPr>
                <w:rFonts w:hint="eastAsia" w:ascii="Book Antiqua" w:hAnsi="Book Antiqua"/>
                <w:bCs/>
                <w:lang w:bidi="ar"/>
              </w:rPr>
              <w:t>1.30E-03</w:t>
            </w:r>
          </w:p>
        </w:tc>
      </w:tr>
      <w:tr>
        <w:tblPrEx>
          <w:tblCellMar>
            <w:top w:w="0" w:type="dxa"/>
            <w:left w:w="108" w:type="dxa"/>
            <w:bottom w:w="0" w:type="dxa"/>
            <w:right w:w="108" w:type="dxa"/>
          </w:tblCellMar>
        </w:tblPrEx>
        <w:trPr>
          <w:trHeight w:val="340" w:hRule="atLeast"/>
        </w:trPr>
        <w:tc>
          <w:tcPr>
            <w:tcW w:w="1702" w:type="dxa"/>
            <w:tcBorders>
              <w:bottom w:val="single" w:color="auto" w:sz="4" w:space="0"/>
            </w:tcBorders>
            <w:shd w:val="clear" w:color="auto" w:fill="auto"/>
            <w:noWrap/>
            <w:vAlign w:val="center"/>
          </w:tcPr>
          <w:p>
            <w:pPr>
              <w:jc w:val="both"/>
              <w:rPr>
                <w:rFonts w:ascii="Book Antiqua" w:hAnsi="Book Antiqua"/>
                <w:bCs/>
                <w:lang w:bidi="ar"/>
              </w:rPr>
            </w:pPr>
          </w:p>
        </w:tc>
        <w:tc>
          <w:tcPr>
            <w:tcW w:w="1701" w:type="dxa"/>
            <w:tcBorders>
              <w:bottom w:val="single" w:color="auto" w:sz="4" w:space="0"/>
            </w:tcBorders>
            <w:shd w:val="clear" w:color="auto" w:fill="auto"/>
            <w:noWrap/>
            <w:vAlign w:val="center"/>
          </w:tcPr>
          <w:p>
            <w:pPr>
              <w:jc w:val="both"/>
              <w:rPr>
                <w:rFonts w:ascii="Book Antiqua" w:hAnsi="Book Antiqua"/>
                <w:bCs/>
                <w:lang w:bidi="ar"/>
              </w:rPr>
            </w:pPr>
            <w:r>
              <w:rPr>
                <w:rFonts w:hint="eastAsia" w:ascii="Book Antiqua" w:hAnsi="Book Antiqua"/>
                <w:bCs/>
                <w:lang w:bidi="ar"/>
              </w:rPr>
              <w:t>GZMB</w:t>
            </w:r>
          </w:p>
        </w:tc>
        <w:tc>
          <w:tcPr>
            <w:tcW w:w="1843" w:type="dxa"/>
            <w:tcBorders>
              <w:bottom w:val="single" w:color="auto" w:sz="4" w:space="0"/>
            </w:tcBorders>
            <w:shd w:val="clear" w:color="auto" w:fill="auto"/>
            <w:noWrap/>
            <w:vAlign w:val="center"/>
          </w:tcPr>
          <w:p>
            <w:pPr>
              <w:jc w:val="both"/>
              <w:rPr>
                <w:rFonts w:ascii="Book Antiqua" w:hAnsi="Book Antiqua"/>
                <w:bCs/>
                <w:lang w:bidi="ar"/>
              </w:rPr>
            </w:pPr>
            <w:r>
              <w:rPr>
                <w:rFonts w:hint="eastAsia" w:ascii="Book Antiqua" w:hAnsi="Book Antiqua"/>
                <w:bCs/>
                <w:lang w:bidi="ar"/>
              </w:rPr>
              <w:t>0.17</w:t>
            </w:r>
          </w:p>
        </w:tc>
        <w:tc>
          <w:tcPr>
            <w:tcW w:w="1984" w:type="dxa"/>
            <w:tcBorders>
              <w:bottom w:val="single" w:color="auto" w:sz="4" w:space="0"/>
            </w:tcBorders>
            <w:shd w:val="clear" w:color="auto" w:fill="auto"/>
            <w:noWrap/>
            <w:vAlign w:val="center"/>
          </w:tcPr>
          <w:p>
            <w:pPr>
              <w:jc w:val="both"/>
              <w:rPr>
                <w:rFonts w:ascii="Book Antiqua" w:hAnsi="Book Antiqua"/>
                <w:bCs/>
                <w:lang w:bidi="ar"/>
              </w:rPr>
            </w:pPr>
            <w:r>
              <w:rPr>
                <w:rFonts w:hint="eastAsia" w:ascii="Book Antiqua" w:hAnsi="Book Antiqua"/>
                <w:bCs/>
                <w:lang w:bidi="ar"/>
              </w:rPr>
              <w:t>8.10E-04</w:t>
            </w:r>
          </w:p>
        </w:tc>
        <w:tc>
          <w:tcPr>
            <w:tcW w:w="1985" w:type="dxa"/>
            <w:tcBorders>
              <w:bottom w:val="single" w:color="auto" w:sz="4" w:space="0"/>
            </w:tcBorders>
            <w:shd w:val="clear" w:color="auto" w:fill="auto"/>
            <w:noWrap/>
            <w:vAlign w:val="center"/>
          </w:tcPr>
          <w:p>
            <w:pPr>
              <w:jc w:val="both"/>
              <w:rPr>
                <w:rFonts w:ascii="Book Antiqua" w:hAnsi="Book Antiqua"/>
                <w:bCs/>
                <w:lang w:bidi="ar"/>
              </w:rPr>
            </w:pPr>
            <w:r>
              <w:rPr>
                <w:rFonts w:hint="eastAsia" w:ascii="Book Antiqua" w:hAnsi="Book Antiqua"/>
                <w:bCs/>
                <w:lang w:bidi="ar"/>
              </w:rPr>
              <w:t>-0.16</w:t>
            </w:r>
          </w:p>
        </w:tc>
        <w:tc>
          <w:tcPr>
            <w:tcW w:w="1835" w:type="dxa"/>
            <w:tcBorders>
              <w:bottom w:val="single" w:color="auto" w:sz="4" w:space="0"/>
            </w:tcBorders>
            <w:shd w:val="clear" w:color="auto" w:fill="auto"/>
            <w:noWrap/>
            <w:vAlign w:val="center"/>
          </w:tcPr>
          <w:p>
            <w:pPr>
              <w:jc w:val="both"/>
              <w:rPr>
                <w:rFonts w:ascii="Book Antiqua" w:hAnsi="Book Antiqua"/>
                <w:bCs/>
                <w:lang w:bidi="ar"/>
              </w:rPr>
            </w:pPr>
            <w:r>
              <w:rPr>
                <w:rFonts w:hint="eastAsia" w:ascii="Book Antiqua" w:hAnsi="Book Antiqua"/>
                <w:bCs/>
                <w:lang w:bidi="ar"/>
              </w:rPr>
              <w:t>2.20E-03</w:t>
            </w:r>
          </w:p>
        </w:tc>
      </w:tr>
    </w:tbl>
    <w:p>
      <w:pPr>
        <w:pStyle w:val="25"/>
        <w:spacing w:line="360" w:lineRule="auto"/>
        <w:jc w:val="both"/>
        <w:rPr>
          <w:rFonts w:ascii="Book Antiqua" w:hAnsi="Book Antiqua" w:cs="Times New Roman"/>
          <w:iCs/>
          <w:sz w:val="24"/>
          <w:szCs w:val="24"/>
          <w:shd w:val="clear" w:color="auto" w:fill="FFFFFF"/>
        </w:rPr>
      </w:pPr>
      <w:r>
        <w:rPr>
          <w:rFonts w:ascii="Book Antiqua" w:hAnsi="Book Antiqua" w:cs="Times New Roman"/>
          <w:iCs/>
          <w:sz w:val="24"/>
          <w:szCs w:val="24"/>
          <w:shd w:val="clear" w:color="auto" w:fill="FFFFFF"/>
        </w:rPr>
        <w:t>cor: Correlation coefficient; L10: Interleukin 10; INOS: Nitric oxide synthase 2; IRF5: Interferon regulatory factor 5; COX2: Cytochrome c oxidase subunit II; VSIG4: V-set and immunoglobulin domain containing 4; MS4A4A: Membrane spanning 4-domains A4A; CCR7: C-C motif chemokine receptor 7; KIR2DL1: Killer cell immunoglobulin like receptor, two Ig domains and long cytoplasmic tail 1; KIR2DL3: Killer cell immunoglobulin like receptor, two Ig domains and long cytoplasmic tail 3; KIR2DL4: Killer cell immunoglobulin like receptor, two Ig domains and long cytoplasmic tail 4; KIR3DL1: Killer cell immunoglobulin like receptor, three Ig domains and long cytoplasmic tail 1; KIR3DL2: Killer cell immunoglobulin like receptor, three Ig domains and long cytoplasmic tail 2; KIR3DL3: Killer cell immunoglobulin like receptor, three Ig domains and long cytoplasmic tail 3; KIR2DS4: Killer cell immunoglobulin like receptor, two Ig domains and short cytoplasmic tail 4; HLA-DPB1: Major histocompatibility complex, class II, DP beta 1; HLA-DQB1: Major histocompatibility complex, class II, DQ beta 1; HLA-DRA: Major histocompatibility complex, class II, DR alpha; HLA-DPA1: Major histocompatibility complex, class II, DP alpha 1; BDCA-4: Neuropilin 1; T-bet: T-box transcription factor 21; STAT4: Signal transducer and activator of transcription 4; STAT1: Signal transducer and activator of transcription 1; IFN-γ: Interferon gamma; TNF-α: Tumor necrosis factor; GATA3: GATA Binding protein 3; STAT6: Signal transducer and activator of transcription 6; STAT5A: Signal transducer and activator of transcription 5A; IL13: Interleukin 13; BCL6: BCL6 transcription repressor; IL21: Interleukin 21; IL17A: Interleukin 17A; FOXP3: Forkhead box P3; CCR8: C-C motif chemokine receptor 8; STAT5B: Signal transducer and activator of transcription 5B; TGFβ: Transforming growth factor-beta; PD-1: Programmed cell death 1; CTLA4: Cytotoxic T-lymphocyte associated protein 4; LAG3: Lymphocyte activating 3; TIM-3: Hepatitis A virus cellular receptor 2; GZMB: Granzyme B; Th: T helper; Tfh: Follicular helper T.</w:t>
      </w:r>
    </w:p>
    <w:p>
      <w:pPr>
        <w:spacing w:line="360" w:lineRule="auto"/>
        <w:jc w:val="both"/>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haris SIL">
    <w:altName w:val="Times New Roman"/>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2643931"/>
    </w:sdtPr>
    <w:sdtContent>
      <w:sdt>
        <w:sdtPr>
          <w:id w:val="98381352"/>
        </w:sdtPr>
        <w:sdtContent>
          <w:p>
            <w:pPr>
              <w:pStyle w:val="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67</w:t>
            </w:r>
            <w:r>
              <w:rPr>
                <w:rFonts w:ascii="Book Antiqua" w:hAnsi="Book Antiqua"/>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0414"/>
    <w:rsid w:val="0002136E"/>
    <w:rsid w:val="00022A4E"/>
    <w:rsid w:val="00031B20"/>
    <w:rsid w:val="00034B32"/>
    <w:rsid w:val="0003524F"/>
    <w:rsid w:val="0004099F"/>
    <w:rsid w:val="00042872"/>
    <w:rsid w:val="00057CD3"/>
    <w:rsid w:val="000632E7"/>
    <w:rsid w:val="00063778"/>
    <w:rsid w:val="000A5A62"/>
    <w:rsid w:val="000B26E1"/>
    <w:rsid w:val="00135601"/>
    <w:rsid w:val="0013724E"/>
    <w:rsid w:val="00145905"/>
    <w:rsid w:val="00170E6A"/>
    <w:rsid w:val="00181A1A"/>
    <w:rsid w:val="0019366B"/>
    <w:rsid w:val="001C1D84"/>
    <w:rsid w:val="001C29DD"/>
    <w:rsid w:val="001D0740"/>
    <w:rsid w:val="001E3829"/>
    <w:rsid w:val="001F456E"/>
    <w:rsid w:val="00203AD1"/>
    <w:rsid w:val="00203D51"/>
    <w:rsid w:val="00217BCB"/>
    <w:rsid w:val="00224965"/>
    <w:rsid w:val="002257F2"/>
    <w:rsid w:val="00232870"/>
    <w:rsid w:val="00262C40"/>
    <w:rsid w:val="002D3CD4"/>
    <w:rsid w:val="00323B91"/>
    <w:rsid w:val="00343F49"/>
    <w:rsid w:val="00377233"/>
    <w:rsid w:val="003943D7"/>
    <w:rsid w:val="003955D9"/>
    <w:rsid w:val="003966BC"/>
    <w:rsid w:val="003C1401"/>
    <w:rsid w:val="003C5BAB"/>
    <w:rsid w:val="003D7A46"/>
    <w:rsid w:val="003F5B56"/>
    <w:rsid w:val="003F796F"/>
    <w:rsid w:val="004141BC"/>
    <w:rsid w:val="004153B3"/>
    <w:rsid w:val="00434BAC"/>
    <w:rsid w:val="00437842"/>
    <w:rsid w:val="00440A2B"/>
    <w:rsid w:val="0044532E"/>
    <w:rsid w:val="004727DA"/>
    <w:rsid w:val="004A329D"/>
    <w:rsid w:val="004B5C4A"/>
    <w:rsid w:val="004D6D75"/>
    <w:rsid w:val="004F1191"/>
    <w:rsid w:val="004F5497"/>
    <w:rsid w:val="004F68EB"/>
    <w:rsid w:val="005070E2"/>
    <w:rsid w:val="0052392A"/>
    <w:rsid w:val="005246A4"/>
    <w:rsid w:val="00531FB0"/>
    <w:rsid w:val="0055454B"/>
    <w:rsid w:val="00572650"/>
    <w:rsid w:val="005B7062"/>
    <w:rsid w:val="005B72D1"/>
    <w:rsid w:val="005D2558"/>
    <w:rsid w:val="00603DC9"/>
    <w:rsid w:val="00611C3A"/>
    <w:rsid w:val="006316F2"/>
    <w:rsid w:val="0063621E"/>
    <w:rsid w:val="006523D0"/>
    <w:rsid w:val="00656D16"/>
    <w:rsid w:val="006A5E70"/>
    <w:rsid w:val="006C798B"/>
    <w:rsid w:val="006D084C"/>
    <w:rsid w:val="006D64AE"/>
    <w:rsid w:val="006E4FEB"/>
    <w:rsid w:val="006F4FB7"/>
    <w:rsid w:val="007106C7"/>
    <w:rsid w:val="007109EE"/>
    <w:rsid w:val="0072277D"/>
    <w:rsid w:val="007332DC"/>
    <w:rsid w:val="00743826"/>
    <w:rsid w:val="007468D3"/>
    <w:rsid w:val="007A6045"/>
    <w:rsid w:val="007F189E"/>
    <w:rsid w:val="00821E0A"/>
    <w:rsid w:val="00822FBC"/>
    <w:rsid w:val="008A0379"/>
    <w:rsid w:val="008B5F5F"/>
    <w:rsid w:val="008E395F"/>
    <w:rsid w:val="008F4C37"/>
    <w:rsid w:val="009023D3"/>
    <w:rsid w:val="00902FDF"/>
    <w:rsid w:val="009034A2"/>
    <w:rsid w:val="00906F8B"/>
    <w:rsid w:val="00917798"/>
    <w:rsid w:val="00932445"/>
    <w:rsid w:val="00950B4C"/>
    <w:rsid w:val="0095400B"/>
    <w:rsid w:val="00960215"/>
    <w:rsid w:val="009757FD"/>
    <w:rsid w:val="00976F7F"/>
    <w:rsid w:val="009A5345"/>
    <w:rsid w:val="009F7EA6"/>
    <w:rsid w:val="00A138EC"/>
    <w:rsid w:val="00A37AAA"/>
    <w:rsid w:val="00A45FDC"/>
    <w:rsid w:val="00A61997"/>
    <w:rsid w:val="00A77B3E"/>
    <w:rsid w:val="00A81184"/>
    <w:rsid w:val="00A817FD"/>
    <w:rsid w:val="00A871F1"/>
    <w:rsid w:val="00AB4A1D"/>
    <w:rsid w:val="00AB58FD"/>
    <w:rsid w:val="00AC0A64"/>
    <w:rsid w:val="00AC4179"/>
    <w:rsid w:val="00AC559D"/>
    <w:rsid w:val="00AC63CF"/>
    <w:rsid w:val="00B44486"/>
    <w:rsid w:val="00B62799"/>
    <w:rsid w:val="00B63643"/>
    <w:rsid w:val="00B64BAF"/>
    <w:rsid w:val="00B757A4"/>
    <w:rsid w:val="00B84888"/>
    <w:rsid w:val="00BA5544"/>
    <w:rsid w:val="00BB5AB1"/>
    <w:rsid w:val="00BC25D1"/>
    <w:rsid w:val="00BC7082"/>
    <w:rsid w:val="00BD7FE7"/>
    <w:rsid w:val="00BF3362"/>
    <w:rsid w:val="00C04342"/>
    <w:rsid w:val="00C04D4D"/>
    <w:rsid w:val="00C21F96"/>
    <w:rsid w:val="00C4744A"/>
    <w:rsid w:val="00C636A9"/>
    <w:rsid w:val="00CA28BF"/>
    <w:rsid w:val="00CA2A55"/>
    <w:rsid w:val="00CC0408"/>
    <w:rsid w:val="00CE4FAB"/>
    <w:rsid w:val="00CF25C3"/>
    <w:rsid w:val="00D15038"/>
    <w:rsid w:val="00D16EF3"/>
    <w:rsid w:val="00D2188B"/>
    <w:rsid w:val="00D314C5"/>
    <w:rsid w:val="00D45229"/>
    <w:rsid w:val="00D64077"/>
    <w:rsid w:val="00DC52C5"/>
    <w:rsid w:val="00DD43A6"/>
    <w:rsid w:val="00DD5598"/>
    <w:rsid w:val="00DF286C"/>
    <w:rsid w:val="00E07651"/>
    <w:rsid w:val="00E16B05"/>
    <w:rsid w:val="00E338E8"/>
    <w:rsid w:val="00E67A41"/>
    <w:rsid w:val="00E9419B"/>
    <w:rsid w:val="00E96634"/>
    <w:rsid w:val="00EA3CA4"/>
    <w:rsid w:val="00EC1868"/>
    <w:rsid w:val="00ED21D7"/>
    <w:rsid w:val="00ED4540"/>
    <w:rsid w:val="00EF105C"/>
    <w:rsid w:val="00F14627"/>
    <w:rsid w:val="00F1712B"/>
    <w:rsid w:val="00F17229"/>
    <w:rsid w:val="00F32DC1"/>
    <w:rsid w:val="00F515CC"/>
    <w:rsid w:val="00F91F6F"/>
    <w:rsid w:val="00FB5EC3"/>
    <w:rsid w:val="00FD2710"/>
    <w:rsid w:val="00FD3A39"/>
    <w:rsid w:val="00FD4C6B"/>
    <w:rsid w:val="00FD6101"/>
    <w:rsid w:val="00FE0988"/>
    <w:rsid w:val="00FE222C"/>
    <w:rsid w:val="00FE62CD"/>
    <w:rsid w:val="00FF7210"/>
    <w:rsid w:val="1F8F267A"/>
    <w:rsid w:val="396625BF"/>
    <w:rsid w:val="3A454AD5"/>
    <w:rsid w:val="3FFFC955"/>
    <w:rsid w:val="4D1B7791"/>
    <w:rsid w:val="4D4BE87F"/>
    <w:rsid w:val="6E6BB253"/>
    <w:rsid w:val="733179DE"/>
    <w:rsid w:val="7EB3DE02"/>
    <w:rsid w:val="7F3F0692"/>
    <w:rsid w:val="AB9F5135"/>
    <w:rsid w:val="B5BEF568"/>
    <w:rsid w:val="B7977B6B"/>
    <w:rsid w:val="CFBD6D9E"/>
    <w:rsid w:val="D7F52936"/>
    <w:rsid w:val="DB5F6F11"/>
    <w:rsid w:val="E7FB1717"/>
    <w:rsid w:val="EDEDCE1F"/>
    <w:rsid w:val="F57BDC82"/>
    <w:rsid w:val="FDECE892"/>
    <w:rsid w:val="FF6F9CD1"/>
    <w:rsid w:val="FF9E2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link w:val="19"/>
    <w:unhideWhenUsed/>
    <w:qFormat/>
    <w:uiPriority w:val="0"/>
    <w:pPr>
      <w:widowControl w:val="0"/>
      <w:spacing w:beforeAutospacing="1" w:afterAutospacing="1"/>
      <w:outlineLvl w:val="2"/>
    </w:pPr>
    <w:rPr>
      <w:rFonts w:hint="eastAsia" w:cs="Times New Roman"/>
      <w:b/>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7"/>
    <w:qFormat/>
    <w:uiPriority w:val="0"/>
    <w:rPr>
      <w:rFonts w:ascii="Times New Roman" w:hAnsi="Times New Roman" w:cs="Times New Roman" w:eastAsiaTheme="minorEastAsia"/>
      <w:lang w:eastAsia="en-US"/>
    </w:rPr>
  </w:style>
  <w:style w:type="paragraph" w:styleId="4">
    <w:name w:val="Balloon Text"/>
    <w:basedOn w:val="1"/>
    <w:link w:val="13"/>
    <w:qFormat/>
    <w:uiPriority w:val="0"/>
    <w:rPr>
      <w:rFonts w:ascii="Times New Roman" w:hAnsi="Times New Roman" w:cs="Times New Roman" w:eastAsiaTheme="minorEastAsia"/>
      <w:sz w:val="18"/>
      <w:szCs w:val="18"/>
      <w:lang w:eastAsia="en-US"/>
    </w:rPr>
  </w:style>
  <w:style w:type="paragraph" w:styleId="5">
    <w:name w:val="footer"/>
    <w:basedOn w:val="1"/>
    <w:link w:val="15"/>
    <w:qFormat/>
    <w:uiPriority w:val="99"/>
    <w:pPr>
      <w:tabs>
        <w:tab w:val="center" w:pos="4153"/>
        <w:tab w:val="right" w:pos="8306"/>
      </w:tabs>
      <w:snapToGrid w:val="0"/>
    </w:pPr>
    <w:rPr>
      <w:rFonts w:ascii="Times New Roman" w:hAnsi="Times New Roman" w:cs="Times New Roman" w:eastAsiaTheme="minorEastAsia"/>
      <w:sz w:val="18"/>
      <w:szCs w:val="18"/>
      <w:lang w:eastAsia="en-US"/>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rFonts w:ascii="Times New Roman" w:hAnsi="Times New Roman" w:cs="Times New Roman" w:eastAsiaTheme="minorEastAsia"/>
      <w:sz w:val="18"/>
      <w:szCs w:val="18"/>
      <w:lang w:eastAsia="en-US"/>
    </w:rPr>
  </w:style>
  <w:style w:type="paragraph" w:styleId="7">
    <w:name w:val="Normal (Web)"/>
    <w:basedOn w:val="1"/>
    <w:unhideWhenUsed/>
    <w:qFormat/>
    <w:uiPriority w:val="99"/>
    <w:pPr>
      <w:spacing w:before="100" w:beforeAutospacing="1" w:after="100" w:afterAutospacing="1"/>
    </w:pPr>
  </w:style>
  <w:style w:type="paragraph" w:styleId="8">
    <w:name w:val="annotation subject"/>
    <w:basedOn w:val="3"/>
    <w:next w:val="3"/>
    <w:link w:val="18"/>
    <w:qFormat/>
    <w:uiPriority w:val="0"/>
    <w:rPr>
      <w:b/>
      <w:bCs/>
    </w:rPr>
  </w:style>
  <w:style w:type="character" w:styleId="11">
    <w:name w:val="Hyperlink"/>
    <w:basedOn w:val="10"/>
    <w:qFormat/>
    <w:uiPriority w:val="0"/>
    <w:rPr>
      <w:color w:val="0000FF" w:themeColor="hyperlink"/>
      <w:u w:val="single"/>
      <w14:textFill>
        <w14:solidFill>
          <w14:schemeClr w14:val="hlink"/>
        </w14:solidFill>
      </w14:textFill>
    </w:rPr>
  </w:style>
  <w:style w:type="character" w:styleId="12">
    <w:name w:val="annotation reference"/>
    <w:basedOn w:val="10"/>
    <w:qFormat/>
    <w:uiPriority w:val="0"/>
    <w:rPr>
      <w:sz w:val="21"/>
      <w:szCs w:val="21"/>
    </w:rPr>
  </w:style>
  <w:style w:type="character" w:customStyle="1" w:styleId="13">
    <w:name w:val="批注框文本 字符"/>
    <w:basedOn w:val="10"/>
    <w:link w:val="4"/>
    <w:qFormat/>
    <w:uiPriority w:val="0"/>
    <w:rPr>
      <w:sz w:val="18"/>
      <w:szCs w:val="18"/>
    </w:rPr>
  </w:style>
  <w:style w:type="character" w:customStyle="1" w:styleId="14">
    <w:name w:val="页眉 字符"/>
    <w:basedOn w:val="10"/>
    <w:link w:val="6"/>
    <w:qFormat/>
    <w:uiPriority w:val="0"/>
    <w:rPr>
      <w:sz w:val="18"/>
      <w:szCs w:val="18"/>
    </w:rPr>
  </w:style>
  <w:style w:type="character" w:customStyle="1" w:styleId="15">
    <w:name w:val="页脚 字符"/>
    <w:basedOn w:val="10"/>
    <w:link w:val="5"/>
    <w:qFormat/>
    <w:uiPriority w:val="99"/>
    <w:rPr>
      <w:sz w:val="18"/>
      <w:szCs w:val="18"/>
    </w:rPr>
  </w:style>
  <w:style w:type="character" w:customStyle="1" w:styleId="16">
    <w:name w:val="apple-converted-space"/>
    <w:qFormat/>
    <w:uiPriority w:val="0"/>
  </w:style>
  <w:style w:type="character" w:customStyle="1" w:styleId="17">
    <w:name w:val="批注文字 字符"/>
    <w:basedOn w:val="10"/>
    <w:link w:val="3"/>
    <w:qFormat/>
    <w:uiPriority w:val="0"/>
    <w:rPr>
      <w:sz w:val="24"/>
      <w:szCs w:val="24"/>
    </w:rPr>
  </w:style>
  <w:style w:type="character" w:customStyle="1" w:styleId="18">
    <w:name w:val="批注主题 字符"/>
    <w:basedOn w:val="17"/>
    <w:link w:val="8"/>
    <w:qFormat/>
    <w:uiPriority w:val="0"/>
    <w:rPr>
      <w:b/>
      <w:bCs/>
      <w:sz w:val="24"/>
      <w:szCs w:val="24"/>
    </w:rPr>
  </w:style>
  <w:style w:type="character" w:customStyle="1" w:styleId="19">
    <w:name w:val="标题 3 字符"/>
    <w:basedOn w:val="10"/>
    <w:link w:val="2"/>
    <w:semiHidden/>
    <w:qFormat/>
    <w:uiPriority w:val="0"/>
    <w:rPr>
      <w:rFonts w:ascii="宋体" w:hAnsi="宋体" w:eastAsia="宋体"/>
      <w:b/>
      <w:sz w:val="27"/>
      <w:szCs w:val="27"/>
      <w:lang w:eastAsia="zh-CN"/>
    </w:rPr>
  </w:style>
  <w:style w:type="paragraph" w:customStyle="1" w:styleId="20">
    <w:name w:val="列表段落1"/>
    <w:basedOn w:val="1"/>
    <w:unhideWhenUsed/>
    <w:qFormat/>
    <w:uiPriority w:val="99"/>
    <w:pPr>
      <w:widowControl w:val="0"/>
      <w:ind w:firstLine="420" w:firstLineChars="200"/>
      <w:jc w:val="both"/>
    </w:pPr>
    <w:rPr>
      <w:rFonts w:asciiTheme="minorHAnsi" w:hAnsiTheme="minorHAnsi" w:eastAsiaTheme="minorEastAsia" w:cstheme="minorBidi"/>
      <w:kern w:val="2"/>
      <w:sz w:val="21"/>
    </w:rPr>
  </w:style>
  <w:style w:type="paragraph" w:customStyle="1" w:styleId="21">
    <w:name w:val="EndNote Bibliography Title"/>
    <w:basedOn w:val="1"/>
    <w:link w:val="22"/>
    <w:qFormat/>
    <w:uiPriority w:val="0"/>
    <w:pPr>
      <w:widowControl w:val="0"/>
      <w:jc w:val="center"/>
    </w:pPr>
    <w:rPr>
      <w:rFonts w:ascii="Calibri" w:hAnsi="Calibri" w:eastAsiaTheme="minorEastAsia" w:cstheme="minorBidi"/>
      <w:kern w:val="2"/>
      <w:sz w:val="20"/>
    </w:rPr>
  </w:style>
  <w:style w:type="character" w:customStyle="1" w:styleId="22">
    <w:name w:val="EndNote Bibliography Title Char"/>
    <w:basedOn w:val="10"/>
    <w:link w:val="21"/>
    <w:qFormat/>
    <w:uiPriority w:val="0"/>
    <w:rPr>
      <w:rFonts w:ascii="Calibri" w:hAnsi="Calibri" w:cstheme="minorBidi"/>
      <w:kern w:val="2"/>
      <w:szCs w:val="24"/>
      <w:lang w:eastAsia="zh-CN"/>
    </w:rPr>
  </w:style>
  <w:style w:type="paragraph" w:customStyle="1" w:styleId="23">
    <w:name w:val="EndNote Bibliography"/>
    <w:basedOn w:val="1"/>
    <w:link w:val="24"/>
    <w:qFormat/>
    <w:uiPriority w:val="0"/>
    <w:pPr>
      <w:widowControl w:val="0"/>
      <w:jc w:val="both"/>
    </w:pPr>
    <w:rPr>
      <w:rFonts w:ascii="Calibri" w:hAnsi="Calibri" w:eastAsiaTheme="minorEastAsia" w:cstheme="minorBidi"/>
      <w:kern w:val="2"/>
      <w:sz w:val="20"/>
    </w:rPr>
  </w:style>
  <w:style w:type="character" w:customStyle="1" w:styleId="24">
    <w:name w:val="EndNote Bibliography Char"/>
    <w:basedOn w:val="10"/>
    <w:link w:val="23"/>
    <w:qFormat/>
    <w:uiPriority w:val="0"/>
    <w:rPr>
      <w:rFonts w:ascii="Calibri" w:hAnsi="Calibri" w:cstheme="minorBidi"/>
      <w:kern w:val="2"/>
      <w:szCs w:val="24"/>
      <w:lang w:eastAsia="zh-CN"/>
    </w:rPr>
  </w:style>
  <w:style w:type="paragraph" w:customStyle="1" w:styleId="25">
    <w:name w:val="UserStyle_0"/>
    <w:basedOn w:val="1"/>
    <w:qFormat/>
    <w:uiPriority w:val="0"/>
    <w:pPr>
      <w:widowControl w:val="0"/>
      <w:snapToGrid w:val="0"/>
    </w:pPr>
    <w:rPr>
      <w:rFonts w:ascii="Calibri" w:hAnsi="Calibri"/>
      <w:kern w:val="2"/>
      <w:sz w:val="21"/>
      <w:szCs w:val="21"/>
    </w:rPr>
  </w:style>
  <w:style w:type="paragraph" w:customStyle="1" w:styleId="26">
    <w:name w:val="Default"/>
    <w:basedOn w:val="1"/>
    <w:qFormat/>
    <w:uiPriority w:val="0"/>
    <w:pPr>
      <w:widowControl w:val="0"/>
      <w:autoSpaceDE w:val="0"/>
      <w:autoSpaceDN w:val="0"/>
      <w:adjustRightInd w:val="0"/>
    </w:pPr>
    <w:rPr>
      <w:rFonts w:ascii="Charis SIL" w:hAnsi="等线"/>
      <w:color w:val="000000"/>
    </w:rPr>
  </w:style>
  <w:style w:type="character" w:customStyle="1" w:styleId="27">
    <w:name w:val="15"/>
    <w:basedOn w:val="10"/>
    <w:qFormat/>
    <w:uiPriority w:val="0"/>
    <w:rPr>
      <w:rFonts w:hint="default" w:ascii="Arial" w:hAnsi="Arial" w:cs="Arial"/>
      <w:b/>
      <w:color w:val="000000"/>
      <w:sz w:val="20"/>
      <w:szCs w:val="20"/>
    </w:rPr>
  </w:style>
  <w:style w:type="character" w:customStyle="1" w:styleId="28">
    <w:name w:val="16"/>
    <w:basedOn w:val="10"/>
    <w:qFormat/>
    <w:uiPriority w:val="0"/>
    <w:rPr>
      <w:rFonts w:hint="default" w:ascii="Arial" w:hAnsi="Arial" w:cs="Arial"/>
      <w:color w:val="000000"/>
      <w:sz w:val="20"/>
      <w:szCs w:val="20"/>
    </w:rPr>
  </w:style>
  <w:style w:type="character" w:customStyle="1" w:styleId="29">
    <w:name w:val="font11"/>
    <w:qFormat/>
    <w:uiPriority w:val="0"/>
    <w:rPr>
      <w:rFonts w:hint="default" w:ascii="Arial" w:hAnsi="Arial" w:cs="Arial"/>
      <w:b/>
      <w:color w:val="000000"/>
      <w:sz w:val="20"/>
      <w:szCs w:val="20"/>
      <w:u w:val="none"/>
    </w:rPr>
  </w:style>
  <w:style w:type="character" w:customStyle="1" w:styleId="30">
    <w:name w:val="font01"/>
    <w:qFormat/>
    <w:uiPriority w:val="0"/>
    <w:rPr>
      <w:rFonts w:hint="default" w:ascii="Arial" w:hAnsi="Arial" w:cs="Arial"/>
      <w:color w:val="000000"/>
      <w:sz w:val="20"/>
      <w:szCs w:val="20"/>
      <w:u w:val="none"/>
    </w:rPr>
  </w:style>
  <w:style w:type="paragraph" w:customStyle="1" w:styleId="31">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32">
    <w:name w:val="Revision1"/>
    <w:hidden/>
    <w:semiHidden/>
    <w:qFormat/>
    <w:uiPriority w:val="99"/>
    <w:rPr>
      <w:rFonts w:ascii="Times New Roman" w:hAnsi="Times New Roman" w:cs="Times New Roman" w:eastAsiaTheme="minorEastAsia"/>
      <w:sz w:val="24"/>
      <w:szCs w:val="24"/>
      <w:lang w:val="en-US" w:eastAsia="en-US" w:bidi="ar-SA"/>
    </w:rPr>
  </w:style>
  <w:style w:type="paragraph" w:customStyle="1" w:styleId="33">
    <w:name w:val="Revision"/>
    <w:hidden/>
    <w:semiHidden/>
    <w:qFormat/>
    <w:uiPriority w:val="99"/>
    <w:rPr>
      <w:rFonts w:ascii="宋体" w:hAnsi="宋体" w:eastAsia="宋体" w:cs="宋体"/>
      <w:sz w:val="24"/>
      <w:szCs w:val="24"/>
      <w:lang w:val="en-US" w:eastAsia="zh-CN" w:bidi="ar-SA"/>
    </w:rPr>
  </w:style>
  <w:style w:type="character" w:customStyle="1" w:styleId="34">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13921</Words>
  <Characters>79356</Characters>
  <Lines>661</Lines>
  <Paragraphs>186</Paragraphs>
  <TotalTime>3</TotalTime>
  <ScaleCrop>false</ScaleCrop>
  <LinksUpToDate>false</LinksUpToDate>
  <CharactersWithSpaces>93091</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2022-02-25T07:28:00Z</dcterms:created>
  <dc:creator>Jennifer Benavides</dc:creator>
  <cp:lastModifiedBy>晓晨</cp:lastModifiedBy>
  <dcterms:modified xsi:type="dcterms:W3CDTF">2022-04-30T03:41:41Z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3546B53526DC4DFCBB6282EC5F797967</vt:lpwstr>
  </property>
</Properties>
</file>