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C6C6" w14:textId="77777777" w:rsidR="001E2528" w:rsidRDefault="006E34CF">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8895B0A" w14:textId="77777777" w:rsidR="001E2528" w:rsidRDefault="006E34CF">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67358</w:t>
      </w:r>
    </w:p>
    <w:p w14:paraId="787688EA" w14:textId="77777777" w:rsidR="001E2528" w:rsidRDefault="006E34CF">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66F63A1" w14:textId="77777777" w:rsidR="001E2528" w:rsidRDefault="001E2528">
      <w:pPr>
        <w:spacing w:line="360" w:lineRule="auto"/>
        <w:jc w:val="both"/>
        <w:rPr>
          <w:rFonts w:ascii="Book Antiqua" w:hAnsi="Book Antiqua"/>
        </w:rPr>
      </w:pPr>
    </w:p>
    <w:p w14:paraId="2A4E039D" w14:textId="77777777" w:rsidR="001E2528" w:rsidRDefault="006E34CF">
      <w:pPr>
        <w:spacing w:line="360" w:lineRule="auto"/>
        <w:jc w:val="both"/>
        <w:rPr>
          <w:rFonts w:ascii="Book Antiqua" w:hAnsi="Book Antiqua"/>
        </w:rPr>
      </w:pPr>
      <w:r>
        <w:rPr>
          <w:rFonts w:ascii="Book Antiqua" w:eastAsia="Book Antiqua" w:hAnsi="Book Antiqua" w:cs="Book Antiqua"/>
          <w:b/>
          <w:i/>
          <w:color w:val="000000"/>
        </w:rPr>
        <w:t>Observational Study</w:t>
      </w:r>
    </w:p>
    <w:p w14:paraId="0DED55B6" w14:textId="77777777" w:rsidR="001E2528" w:rsidRDefault="006E34CF">
      <w:pPr>
        <w:spacing w:line="360" w:lineRule="auto"/>
        <w:jc w:val="both"/>
        <w:rPr>
          <w:rFonts w:ascii="Book Antiqua" w:hAnsi="Book Antiqua"/>
        </w:rPr>
      </w:pPr>
      <w:r>
        <w:rPr>
          <w:rFonts w:ascii="Book Antiqua" w:eastAsia="Book Antiqua" w:hAnsi="Book Antiqua" w:cs="Book Antiqua"/>
          <w:b/>
          <w:color w:val="000000"/>
        </w:rPr>
        <w:t>Serum gastrin-17 concentration for prediction of upper gastrointestinal tract bleeding risk among peptic ulcer patients</w:t>
      </w:r>
    </w:p>
    <w:p w14:paraId="64FDD904" w14:textId="77777777" w:rsidR="001E2528" w:rsidRDefault="001E2528">
      <w:pPr>
        <w:spacing w:line="360" w:lineRule="auto"/>
        <w:jc w:val="both"/>
        <w:rPr>
          <w:rFonts w:ascii="Book Antiqua" w:hAnsi="Book Antiqua"/>
        </w:rPr>
      </w:pPr>
    </w:p>
    <w:p w14:paraId="797B6D9A" w14:textId="77777777" w:rsidR="001E2528" w:rsidRDefault="006E34CF">
      <w:pPr>
        <w:spacing w:line="360" w:lineRule="auto"/>
        <w:jc w:val="both"/>
        <w:rPr>
          <w:rFonts w:ascii="Book Antiqua" w:hAnsi="Book Antiqua"/>
        </w:rPr>
      </w:pPr>
      <w:r>
        <w:rPr>
          <w:rFonts w:ascii="Book Antiqua" w:hAnsi="Book Antiqua" w:cs="Book Antiqua"/>
          <w:color w:val="000000"/>
          <w:lang w:eastAsia="zh-CN"/>
        </w:rPr>
        <w:t xml:space="preserve">Wang </w:t>
      </w:r>
      <w:r>
        <w:rPr>
          <w:rFonts w:ascii="Book Antiqua" w:hAnsi="Book Antiqua" w:cs="Book Antiqua" w:hint="eastAsia"/>
          <w:color w:val="000000"/>
          <w:lang w:eastAsia="zh-CN"/>
        </w:rPr>
        <w:t xml:space="preserve">JX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Serum G-17 and bleeding ulcer risk</w:t>
      </w:r>
    </w:p>
    <w:p w14:paraId="0F28B684" w14:textId="77777777" w:rsidR="001E2528" w:rsidRDefault="001E2528">
      <w:pPr>
        <w:spacing w:line="360" w:lineRule="auto"/>
        <w:jc w:val="both"/>
        <w:rPr>
          <w:rFonts w:ascii="Book Antiqua" w:hAnsi="Book Antiqua"/>
        </w:rPr>
      </w:pPr>
    </w:p>
    <w:p w14:paraId="27EEAC50"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Jun</w:t>
      </w:r>
      <w:r>
        <w:rPr>
          <w:rFonts w:ascii="Book Antiqua" w:hAnsi="Book Antiqua" w:cs="Book Antiqua" w:hint="eastAsia"/>
          <w:color w:val="000000"/>
          <w:lang w:eastAsia="zh-CN"/>
        </w:rPr>
        <w:t>-X</w:t>
      </w:r>
      <w:r>
        <w:rPr>
          <w:rFonts w:ascii="Book Antiqua" w:eastAsia="Book Antiqua" w:hAnsi="Book Antiqua" w:cs="Book Antiqua"/>
          <w:color w:val="000000"/>
        </w:rPr>
        <w:t>ian Wang, Yu</w:t>
      </w:r>
      <w:r>
        <w:rPr>
          <w:rFonts w:ascii="Book Antiqua" w:hAnsi="Book Antiqua" w:cs="Book Antiqua" w:hint="eastAsia"/>
          <w:color w:val="000000"/>
          <w:lang w:eastAsia="zh-CN"/>
        </w:rPr>
        <w:t>-P</w:t>
      </w:r>
      <w:r>
        <w:rPr>
          <w:rFonts w:ascii="Book Antiqua" w:eastAsia="Book Antiqua" w:hAnsi="Book Antiqua" w:cs="Book Antiqua"/>
          <w:color w:val="000000"/>
        </w:rPr>
        <w:t>ing Cao, Peng Su, Wei He, Xiao</w:t>
      </w:r>
      <w:r>
        <w:rPr>
          <w:rFonts w:ascii="Book Antiqua" w:hAnsi="Book Antiqua" w:cs="Book Antiqua" w:hint="eastAsia"/>
          <w:color w:val="000000"/>
          <w:lang w:eastAsia="zh-CN"/>
        </w:rPr>
        <w:t>-P</w:t>
      </w:r>
      <w:r>
        <w:rPr>
          <w:rFonts w:ascii="Book Antiqua" w:eastAsia="Book Antiqua" w:hAnsi="Book Antiqua" w:cs="Book Antiqua"/>
          <w:color w:val="000000"/>
        </w:rPr>
        <w:t>ing L</w:t>
      </w:r>
      <w:r>
        <w:rPr>
          <w:rFonts w:ascii="Book Antiqua" w:hAnsi="Book Antiqua" w:cs="Book Antiqua" w:hint="eastAsia"/>
          <w:color w:val="000000"/>
          <w:lang w:eastAsia="zh-CN"/>
        </w:rPr>
        <w:t>i</w:t>
      </w:r>
      <w:r>
        <w:rPr>
          <w:rFonts w:ascii="Book Antiqua" w:eastAsia="Book Antiqua" w:hAnsi="Book Antiqua" w:cs="Book Antiqua"/>
          <w:color w:val="000000"/>
        </w:rPr>
        <w:t>, Ya</w:t>
      </w:r>
      <w:r>
        <w:rPr>
          <w:rFonts w:ascii="Book Antiqua" w:hAnsi="Book Antiqua" w:cs="Book Antiqua" w:hint="eastAsia"/>
          <w:color w:val="000000"/>
          <w:lang w:eastAsia="zh-CN"/>
        </w:rPr>
        <w:t>-M</w:t>
      </w:r>
      <w:r>
        <w:rPr>
          <w:rFonts w:ascii="Book Antiqua" w:eastAsia="Book Antiqua" w:hAnsi="Book Antiqua" w:cs="Book Antiqua"/>
          <w:color w:val="000000"/>
        </w:rPr>
        <w:t>eng Zhu</w:t>
      </w:r>
    </w:p>
    <w:p w14:paraId="0A55420C" w14:textId="77777777" w:rsidR="001E2528" w:rsidRDefault="001E2528">
      <w:pPr>
        <w:spacing w:line="360" w:lineRule="auto"/>
        <w:jc w:val="both"/>
        <w:rPr>
          <w:rFonts w:ascii="Book Antiqua" w:hAnsi="Book Antiqua"/>
        </w:rPr>
      </w:pPr>
    </w:p>
    <w:p w14:paraId="03D376B1" w14:textId="77777777" w:rsidR="001E2528" w:rsidRDefault="006E34CF">
      <w:pPr>
        <w:spacing w:line="360" w:lineRule="auto"/>
        <w:jc w:val="both"/>
        <w:rPr>
          <w:rFonts w:ascii="Book Antiqua" w:hAnsi="Book Antiqua"/>
        </w:rPr>
      </w:pPr>
      <w:r>
        <w:rPr>
          <w:rFonts w:ascii="Book Antiqua" w:eastAsia="Book Antiqua" w:hAnsi="Book Antiqua" w:cs="Book Antiqua"/>
          <w:b/>
          <w:bCs/>
          <w:color w:val="000000"/>
        </w:rPr>
        <w:t>Jun</w:t>
      </w:r>
      <w:r>
        <w:rPr>
          <w:rFonts w:ascii="Book Antiqua" w:hAnsi="Book Antiqua" w:cs="Book Antiqua" w:hint="eastAsia"/>
          <w:b/>
          <w:bCs/>
          <w:color w:val="000000"/>
          <w:lang w:eastAsia="zh-CN"/>
        </w:rPr>
        <w:t>-X</w:t>
      </w:r>
      <w:r>
        <w:rPr>
          <w:rFonts w:ascii="Book Antiqua" w:eastAsia="Book Antiqua" w:hAnsi="Book Antiqua" w:cs="Book Antiqua"/>
          <w:b/>
          <w:bCs/>
          <w:color w:val="000000"/>
        </w:rPr>
        <w:t>ian Wang, Yu</w:t>
      </w:r>
      <w:r>
        <w:rPr>
          <w:rFonts w:ascii="Book Antiqua" w:hAnsi="Book Antiqua" w:cs="Book Antiqua" w:hint="eastAsia"/>
          <w:b/>
          <w:bCs/>
          <w:color w:val="000000"/>
          <w:lang w:eastAsia="zh-CN"/>
        </w:rPr>
        <w:t>-P</w:t>
      </w:r>
      <w:r>
        <w:rPr>
          <w:rFonts w:ascii="Book Antiqua" w:eastAsia="Book Antiqua" w:hAnsi="Book Antiqua" w:cs="Book Antiqua"/>
          <w:b/>
          <w:bCs/>
          <w:color w:val="000000"/>
        </w:rPr>
        <w:t>ing Cao, Peng Su, Wei He, Xiao</w:t>
      </w:r>
      <w:r>
        <w:rPr>
          <w:rFonts w:ascii="Book Antiqua" w:hAnsi="Book Antiqua" w:cs="Book Antiqua" w:hint="eastAsia"/>
          <w:b/>
          <w:bCs/>
          <w:color w:val="000000"/>
          <w:lang w:eastAsia="zh-CN"/>
        </w:rPr>
        <w:t>-P</w:t>
      </w:r>
      <w:r>
        <w:rPr>
          <w:rFonts w:ascii="Book Antiqua" w:eastAsia="Book Antiqua" w:hAnsi="Book Antiqua" w:cs="Book Antiqua"/>
          <w:b/>
          <w:bCs/>
          <w:color w:val="000000"/>
        </w:rPr>
        <w:t>ing L</w:t>
      </w:r>
      <w:r>
        <w:rPr>
          <w:rFonts w:ascii="Book Antiqua" w:hAnsi="Book Antiqua" w:cs="Book Antiqua" w:hint="eastAsia"/>
          <w:b/>
          <w:bCs/>
          <w:color w:val="000000"/>
          <w:lang w:eastAsia="zh-CN"/>
        </w:rPr>
        <w:t>i</w:t>
      </w:r>
      <w:r>
        <w:rPr>
          <w:rFonts w:ascii="Book Antiqua" w:eastAsia="Book Antiqua" w:hAnsi="Book Antiqua" w:cs="Book Antiqua"/>
          <w:b/>
          <w:bCs/>
          <w:color w:val="000000"/>
        </w:rPr>
        <w:t>, Ya</w:t>
      </w:r>
      <w:r>
        <w:rPr>
          <w:rFonts w:ascii="Book Antiqua" w:hAnsi="Book Antiqua" w:cs="Book Antiqua" w:hint="eastAsia"/>
          <w:b/>
          <w:bCs/>
          <w:color w:val="000000"/>
          <w:lang w:eastAsia="zh-CN"/>
        </w:rPr>
        <w:t>-M</w:t>
      </w:r>
      <w:r>
        <w:rPr>
          <w:rFonts w:ascii="Book Antiqua" w:eastAsia="Book Antiqua" w:hAnsi="Book Antiqua" w:cs="Book Antiqua"/>
          <w:b/>
          <w:bCs/>
          <w:color w:val="000000"/>
        </w:rPr>
        <w:t xml:space="preserve">eng Zhu, </w:t>
      </w:r>
      <w:r>
        <w:rPr>
          <w:rFonts w:ascii="Book Antiqua" w:eastAsia="Book Antiqua" w:hAnsi="Book Antiqua" w:cs="Book Antiqua"/>
          <w:color w:val="000000"/>
        </w:rPr>
        <w:t xml:space="preserve">Department of Gastroenterology, </w:t>
      </w:r>
      <w:r>
        <w:rPr>
          <w:rFonts w:ascii="Book Antiqua" w:hAnsi="Book Antiqua" w:cs="Book Antiqua" w:hint="eastAsia"/>
          <w:color w:val="000000"/>
          <w:lang w:eastAsia="zh-CN"/>
        </w:rPr>
        <w:t>T</w:t>
      </w:r>
      <w:r>
        <w:rPr>
          <w:rFonts w:ascii="Book Antiqua" w:eastAsia="Book Antiqua" w:hAnsi="Book Antiqua" w:cs="Book Antiqua"/>
          <w:color w:val="000000"/>
        </w:rPr>
        <w:t>he Second People</w:t>
      </w:r>
      <w:r>
        <w:rPr>
          <w:rFonts w:ascii="Book Antiqua" w:hAnsi="Book Antiqua" w:cs="Book Antiqua"/>
          <w:color w:val="000000"/>
          <w:lang w:eastAsia="zh-CN"/>
        </w:rPr>
        <w:t>’</w:t>
      </w:r>
      <w:r>
        <w:rPr>
          <w:rFonts w:ascii="Book Antiqua" w:eastAsia="Book Antiqua" w:hAnsi="Book Antiqua" w:cs="Book Antiqua"/>
          <w:color w:val="000000"/>
        </w:rPr>
        <w:t>s Hospital of Anhui Province, Hefei 230011, Anhui Province,</w:t>
      </w:r>
      <w:r>
        <w:rPr>
          <w:rFonts w:ascii="Book Antiqua" w:hAnsi="Book Antiqua" w:cs="Book Antiqua" w:hint="eastAsia"/>
          <w:color w:val="000000"/>
          <w:lang w:eastAsia="zh-CN"/>
        </w:rPr>
        <w:t xml:space="preserve"> </w:t>
      </w:r>
      <w:r>
        <w:rPr>
          <w:rFonts w:ascii="Book Antiqua" w:eastAsia="Book Antiqua" w:hAnsi="Book Antiqua" w:cs="Book Antiqua"/>
          <w:color w:val="000000"/>
        </w:rPr>
        <w:t>China</w:t>
      </w:r>
    </w:p>
    <w:p w14:paraId="627D1DD8" w14:textId="77777777" w:rsidR="001E2528" w:rsidRDefault="001E2528">
      <w:pPr>
        <w:spacing w:line="360" w:lineRule="auto"/>
        <w:jc w:val="both"/>
        <w:rPr>
          <w:rFonts w:ascii="Book Antiqua" w:hAnsi="Book Antiqua"/>
        </w:rPr>
      </w:pPr>
    </w:p>
    <w:p w14:paraId="74EED47D" w14:textId="77777777" w:rsidR="001E2528" w:rsidRDefault="006E34CF">
      <w:pPr>
        <w:spacing w:line="360" w:lineRule="auto"/>
        <w:jc w:val="both"/>
        <w:rPr>
          <w:rFonts w:ascii="Book Antiqua" w:hAnsi="Book Antiqua"/>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JX and Su P</w:t>
      </w:r>
      <w:r>
        <w:rPr>
          <w:rFonts w:ascii="Book Antiqua" w:hAnsi="Book Antiqua" w:cs="Book Antiqua" w:hint="eastAsia"/>
          <w:color w:val="000000"/>
          <w:lang w:eastAsia="zh-CN"/>
        </w:rPr>
        <w:t xml:space="preserve"> </w:t>
      </w:r>
      <w:r>
        <w:rPr>
          <w:rFonts w:ascii="Book Antiqua" w:hAnsi="Book Antiqua" w:cs="Book Antiqua"/>
          <w:color w:val="000000"/>
          <w:lang w:eastAsia="zh-CN"/>
        </w:rPr>
        <w:t>contributed</w:t>
      </w:r>
      <w:r>
        <w:rPr>
          <w:rFonts w:ascii="Book Antiqua" w:hAnsi="Book Antiqua" w:cs="Book Antiqua" w:hint="eastAsia"/>
          <w:color w:val="000000"/>
          <w:lang w:eastAsia="zh-CN"/>
        </w:rPr>
        <w:t xml:space="preserve"> </w:t>
      </w:r>
      <w:r>
        <w:rPr>
          <w:rFonts w:ascii="Book Antiqua" w:hAnsi="Book Antiqua" w:cs="Book Antiqua" w:hint="eastAsia"/>
          <w:color w:val="000000"/>
          <w:shd w:val="clear" w:color="auto" w:fill="FEFEFE"/>
          <w:lang w:eastAsia="zh-CN"/>
        </w:rPr>
        <w:t>s</w:t>
      </w:r>
      <w:r>
        <w:rPr>
          <w:rFonts w:ascii="Book Antiqua" w:eastAsia="Book Antiqua" w:hAnsi="Book Antiqua" w:cs="Book Antiqua"/>
          <w:color w:val="000000"/>
          <w:shd w:val="clear" w:color="auto" w:fill="FEFEFE"/>
        </w:rPr>
        <w:t>tudy concept</w:t>
      </w:r>
      <w:r>
        <w:rPr>
          <w:rFonts w:ascii="Book Antiqua" w:hAnsi="Book Antiqua" w:cs="Book Antiqua" w:hint="eastAsia"/>
          <w:color w:val="000000"/>
          <w:shd w:val="clear" w:color="auto" w:fill="FEFEFE"/>
          <w:lang w:eastAsia="zh-CN"/>
        </w:rPr>
        <w:t xml:space="preserve">, </w:t>
      </w:r>
      <w:r>
        <w:rPr>
          <w:rFonts w:ascii="Book Antiqua" w:eastAsia="Book Antiqua" w:hAnsi="Book Antiqua" w:cs="Book Antiqua"/>
          <w:color w:val="000000"/>
          <w:shd w:val="clear" w:color="auto" w:fill="FEFEFE"/>
        </w:rPr>
        <w:t>design</w:t>
      </w:r>
      <w:r>
        <w:rPr>
          <w:rFonts w:ascii="Book Antiqua" w:hAnsi="Book Antiqua" w:cs="Book Antiqua" w:hint="eastAsia"/>
          <w:color w:val="000000"/>
          <w:shd w:val="clear" w:color="auto" w:fill="FEFEFE"/>
          <w:lang w:eastAsia="zh-CN"/>
        </w:rPr>
        <w:t>, a</w:t>
      </w:r>
      <w:r>
        <w:rPr>
          <w:rFonts w:ascii="Book Antiqua" w:hAnsi="Book Antiqua" w:cs="Book Antiqua"/>
          <w:color w:val="000000"/>
          <w:shd w:val="clear" w:color="auto" w:fill="FEFEFE"/>
          <w:lang w:eastAsia="zh-CN"/>
        </w:rPr>
        <w:t>nalysis and interpretation of data</w:t>
      </w:r>
      <w:r>
        <w:rPr>
          <w:rFonts w:ascii="Book Antiqua" w:eastAsia="Book Antiqua" w:hAnsi="Book Antiqua" w:cs="Book Antiqua"/>
          <w:color w:val="000000"/>
          <w:shd w:val="clear" w:color="auto" w:fill="FEFEFE"/>
        </w:rPr>
        <w:t>;</w:t>
      </w:r>
      <w:r>
        <w:rPr>
          <w:rFonts w:ascii="Book Antiqua" w:hAnsi="Book Antiqua" w:cs="Book Antiqua" w:hint="eastAsia"/>
          <w:color w:val="000000"/>
          <w:shd w:val="clear" w:color="auto" w:fill="FEFEFE"/>
          <w:lang w:eastAsia="zh-CN"/>
        </w:rPr>
        <w:t xml:space="preserve"> </w:t>
      </w:r>
      <w:r>
        <w:rPr>
          <w:rFonts w:ascii="Book Antiqua" w:eastAsia="Book Antiqua" w:hAnsi="Book Antiqua" w:cs="Book Antiqua"/>
          <w:color w:val="000000"/>
        </w:rPr>
        <w:t>Cao YP, Su P, He W, Li XP and Zhu YM</w:t>
      </w:r>
      <w:r>
        <w:rPr>
          <w:rFonts w:ascii="Book Antiqua" w:hAnsi="Book Antiqua" w:cs="Garamond"/>
        </w:rPr>
        <w:t xml:space="preserve"> contributed</w:t>
      </w:r>
      <w:r>
        <w:rPr>
          <w:rFonts w:ascii="Book Antiqua" w:eastAsia="Book Antiqua" w:hAnsi="Book Antiqua" w:cs="Book Antiqua"/>
          <w:color w:val="000000"/>
          <w:shd w:val="clear" w:color="auto" w:fill="FEFEFE"/>
        </w:rPr>
        <w:t xml:space="preserve"> </w:t>
      </w:r>
      <w:r>
        <w:rPr>
          <w:rFonts w:ascii="Book Antiqua" w:hAnsi="Book Antiqua" w:cs="Book Antiqua" w:hint="eastAsia"/>
          <w:color w:val="000000"/>
          <w:shd w:val="clear" w:color="auto" w:fill="FEFEFE"/>
          <w:lang w:eastAsia="zh-CN"/>
        </w:rPr>
        <w:t>a</w:t>
      </w:r>
      <w:r>
        <w:rPr>
          <w:rFonts w:ascii="Book Antiqua" w:eastAsia="Book Antiqua" w:hAnsi="Book Antiqua" w:cs="Book Antiqua"/>
          <w:color w:val="000000"/>
          <w:shd w:val="clear" w:color="auto" w:fill="FEFEFE"/>
        </w:rPr>
        <w:t>cquisition of data;</w:t>
      </w:r>
      <w:r>
        <w:rPr>
          <w:rFonts w:ascii="Book Antiqua" w:hAnsi="Book Antiqua" w:cs="Book Antiqua" w:hint="eastAsia"/>
          <w:color w:val="000000"/>
          <w:shd w:val="clear" w:color="auto" w:fill="FEFEFE"/>
          <w:lang w:eastAsia="zh-CN"/>
        </w:rPr>
        <w:t xml:space="preserve"> </w:t>
      </w:r>
      <w:r>
        <w:rPr>
          <w:rFonts w:ascii="Book Antiqua" w:eastAsia="Book Antiqua" w:hAnsi="Book Antiqua" w:cs="Book Antiqua"/>
          <w:color w:val="000000"/>
        </w:rPr>
        <w:t>Wang JX, Cao YP</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Su P wrote the manuscript</w:t>
      </w:r>
      <w:r>
        <w:rPr>
          <w:rFonts w:ascii="Book Antiqua" w:hAnsi="Book Antiqua" w:cs="Book Antiqua" w:hint="eastAsia"/>
          <w:color w:val="000000"/>
          <w:lang w:eastAsia="zh-CN"/>
        </w:rPr>
        <w:t xml:space="preserve">; </w:t>
      </w:r>
      <w:r>
        <w:rPr>
          <w:rFonts w:ascii="Book Antiqua" w:hAnsi="Book Antiqua" w:cs="Book Antiqua"/>
          <w:color w:val="000000"/>
          <w:lang w:eastAsia="zh-CN"/>
        </w:rPr>
        <w:t>all authors wrote, read and approved the final manuscript.</w:t>
      </w:r>
    </w:p>
    <w:p w14:paraId="095AA444" w14:textId="77777777" w:rsidR="001E2528" w:rsidRDefault="001E2528">
      <w:pPr>
        <w:spacing w:line="360" w:lineRule="auto"/>
        <w:jc w:val="both"/>
        <w:rPr>
          <w:rFonts w:ascii="Book Antiqua" w:hAnsi="Book Antiqua"/>
        </w:rPr>
      </w:pPr>
    </w:p>
    <w:p w14:paraId="755C8B0F" w14:textId="77777777" w:rsidR="001E2528" w:rsidRDefault="006E34CF">
      <w:pPr>
        <w:spacing w:line="360" w:lineRule="auto"/>
        <w:jc w:val="both"/>
        <w:rPr>
          <w:rFonts w:ascii="Book Antiqua" w:hAnsi="Book Antiqua"/>
        </w:rPr>
      </w:pPr>
      <w:r>
        <w:rPr>
          <w:rFonts w:ascii="Book Antiqua" w:eastAsia="Book Antiqua" w:hAnsi="Book Antiqua" w:cs="Book Antiqua"/>
          <w:b/>
          <w:bCs/>
          <w:color w:val="000000"/>
        </w:rPr>
        <w:t>Corresponding author: Jun</w:t>
      </w:r>
      <w:r>
        <w:rPr>
          <w:rFonts w:ascii="Book Antiqua" w:hAnsi="Book Antiqua" w:cs="Book Antiqua" w:hint="eastAsia"/>
          <w:b/>
          <w:bCs/>
          <w:color w:val="000000"/>
          <w:lang w:eastAsia="zh-CN"/>
        </w:rPr>
        <w:t>-X</w:t>
      </w:r>
      <w:r>
        <w:rPr>
          <w:rFonts w:ascii="Book Antiqua" w:eastAsia="Book Antiqua" w:hAnsi="Book Antiqua" w:cs="Book Antiqua"/>
          <w:b/>
          <w:bCs/>
          <w:color w:val="000000"/>
        </w:rPr>
        <w:t xml:space="preserve">ian Wang, PhD, Chief Doctor, </w:t>
      </w:r>
      <w:r>
        <w:rPr>
          <w:rFonts w:ascii="Book Antiqua" w:eastAsia="Book Antiqua" w:hAnsi="Book Antiqua" w:cs="Book Antiqua"/>
          <w:color w:val="000000"/>
        </w:rPr>
        <w:t xml:space="preserve">Department of Gastroenterology, </w:t>
      </w:r>
      <w:r>
        <w:rPr>
          <w:rFonts w:ascii="Book Antiqua" w:hAnsi="Book Antiqua" w:cs="Book Antiqua" w:hint="eastAsia"/>
          <w:color w:val="000000"/>
          <w:lang w:eastAsia="zh-CN"/>
        </w:rPr>
        <w:t>T</w:t>
      </w:r>
      <w:r>
        <w:rPr>
          <w:rFonts w:ascii="Book Antiqua" w:eastAsia="Book Antiqua" w:hAnsi="Book Antiqua" w:cs="Book Antiqua"/>
          <w:color w:val="000000"/>
        </w:rPr>
        <w:t>he Second People</w:t>
      </w:r>
      <w:r>
        <w:rPr>
          <w:rFonts w:ascii="Book Antiqua" w:hAnsi="Book Antiqua" w:cs="Book Antiqua"/>
          <w:color w:val="000000"/>
          <w:lang w:eastAsia="zh-CN"/>
        </w:rPr>
        <w:t>’</w:t>
      </w:r>
      <w:r>
        <w:rPr>
          <w:rFonts w:ascii="Book Antiqua" w:eastAsia="Book Antiqua" w:hAnsi="Book Antiqua" w:cs="Book Antiqua"/>
          <w:color w:val="000000"/>
        </w:rPr>
        <w:t>s Hospital of Anhui Province, No.</w:t>
      </w:r>
      <w:r>
        <w:rPr>
          <w:rFonts w:ascii="Book Antiqua" w:hAnsi="Book Antiqua" w:cs="Book Antiqua" w:hint="eastAsia"/>
          <w:color w:val="000000"/>
          <w:lang w:eastAsia="zh-CN"/>
        </w:rPr>
        <w:t xml:space="preserve"> </w:t>
      </w:r>
      <w:r>
        <w:rPr>
          <w:rFonts w:ascii="Book Antiqua" w:eastAsia="Book Antiqua" w:hAnsi="Book Antiqua" w:cs="Book Antiqua"/>
          <w:color w:val="000000"/>
        </w:rPr>
        <w:t>1868 Dangshan Road, Hefei 230011, Anhui Province,</w:t>
      </w:r>
      <w:r>
        <w:rPr>
          <w:rFonts w:ascii="Book Antiqua" w:hAnsi="Book Antiqua" w:cs="Book Antiqua" w:hint="eastAsia"/>
          <w:color w:val="000000"/>
          <w:lang w:eastAsia="zh-CN"/>
        </w:rPr>
        <w:t xml:space="preserve"> </w:t>
      </w:r>
      <w:r>
        <w:rPr>
          <w:rFonts w:ascii="Book Antiqua" w:eastAsia="Book Antiqua" w:hAnsi="Book Antiqua" w:cs="Book Antiqua"/>
          <w:color w:val="000000"/>
        </w:rPr>
        <w:t>China. ahwjx168@sina.com</w:t>
      </w:r>
    </w:p>
    <w:p w14:paraId="7A4FADCA" w14:textId="77777777" w:rsidR="001E2528" w:rsidRDefault="001E2528">
      <w:pPr>
        <w:spacing w:line="360" w:lineRule="auto"/>
        <w:jc w:val="both"/>
        <w:rPr>
          <w:rFonts w:ascii="Book Antiqua" w:hAnsi="Book Antiqua"/>
        </w:rPr>
      </w:pPr>
    </w:p>
    <w:p w14:paraId="5DCB1B96" w14:textId="77777777" w:rsidR="001E2528" w:rsidRDefault="006E34CF">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25, 2021</w:t>
      </w:r>
    </w:p>
    <w:p w14:paraId="53EE3769" w14:textId="77777777" w:rsidR="001E2528" w:rsidRDefault="006E34CF">
      <w:pPr>
        <w:spacing w:line="360" w:lineRule="auto"/>
        <w:jc w:val="both"/>
        <w:rPr>
          <w:rFonts w:ascii="Book Antiqua" w:hAnsi="Book Antiqua"/>
          <w:lang w:eastAsia="zh-CN"/>
        </w:rPr>
      </w:pPr>
      <w:r>
        <w:rPr>
          <w:rFonts w:ascii="Book Antiqua" w:eastAsia="Book Antiqua" w:hAnsi="Book Antiqua" w:cs="Book Antiqua"/>
          <w:b/>
          <w:bCs/>
          <w:color w:val="000000"/>
        </w:rPr>
        <w:t>Revised:</w:t>
      </w:r>
      <w:r>
        <w:rPr>
          <w:rFonts w:ascii="Book Antiqua" w:eastAsia="Book Antiqua" w:hAnsi="Book Antiqua" w:cs="Book Antiqua"/>
          <w:bCs/>
          <w:color w:val="000000"/>
        </w:rPr>
        <w:t xml:space="preserve"> </w:t>
      </w:r>
      <w:r>
        <w:rPr>
          <w:rFonts w:ascii="Book Antiqua" w:hAnsi="Book Antiqua" w:cs="Book Antiqua" w:hint="eastAsia"/>
          <w:bCs/>
          <w:color w:val="000000"/>
          <w:lang w:eastAsia="zh-CN"/>
        </w:rPr>
        <w:t>June 18, 2021</w:t>
      </w:r>
    </w:p>
    <w:p w14:paraId="74D0A2E3" w14:textId="026C1A46" w:rsidR="001E2528" w:rsidRDefault="006E34CF">
      <w:pPr>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887D46">
        <w:rPr>
          <w:rFonts w:ascii="Book Antiqua" w:eastAsia="宋体" w:hAnsi="Book Antiqua" w:hint="eastAsia"/>
          <w:color w:val="000000" w:themeColor="text1"/>
        </w:rPr>
        <w:t>Au</w:t>
      </w:r>
      <w:r w:rsidR="00887D46">
        <w:rPr>
          <w:rFonts w:ascii="Book Antiqua" w:eastAsia="宋体" w:hAnsi="Book Antiqua"/>
          <w:color w:val="000000" w:themeColor="text1"/>
        </w:rPr>
        <w:t>gust</w:t>
      </w:r>
      <w:r w:rsidR="00887D46" w:rsidRPr="00F06907">
        <w:rPr>
          <w:rFonts w:ascii="Book Antiqua" w:eastAsia="宋体" w:hAnsi="Book Antiqua"/>
          <w:color w:val="000000" w:themeColor="text1"/>
        </w:rPr>
        <w:t xml:space="preserve"> </w:t>
      </w:r>
      <w:r w:rsidR="00887D46">
        <w:rPr>
          <w:rFonts w:ascii="Book Antiqua" w:eastAsia="宋体" w:hAnsi="Book Antiqua"/>
          <w:color w:val="000000" w:themeColor="text1"/>
        </w:rPr>
        <w:t>30</w:t>
      </w:r>
      <w:r w:rsidR="00887D46" w:rsidRPr="00F06907">
        <w:rPr>
          <w:rFonts w:ascii="Book Antiqua" w:eastAsia="宋体" w:hAnsi="Book Antiqua"/>
          <w:color w:val="000000" w:themeColor="text1"/>
        </w:rPr>
        <w:t>, 2021</w:t>
      </w:r>
      <w:bookmarkEnd w:id="0"/>
      <w:bookmarkEnd w:id="1"/>
      <w:bookmarkEnd w:id="2"/>
    </w:p>
    <w:p w14:paraId="0305E650" w14:textId="6D20BF20" w:rsidR="001E2528" w:rsidRDefault="006E34CF">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634E5B">
        <w:rPr>
          <w:rFonts w:ascii="Book Antiqua" w:hAnsi="Book Antiqua"/>
          <w:color w:val="000000"/>
          <w:shd w:val="clear" w:color="auto" w:fill="FFFFFF"/>
        </w:rPr>
        <w:t>December 16, 2021</w:t>
      </w:r>
    </w:p>
    <w:p w14:paraId="14614AAE" w14:textId="77777777" w:rsidR="001E2528" w:rsidRDefault="001E2528">
      <w:pPr>
        <w:spacing w:line="360" w:lineRule="auto"/>
        <w:jc w:val="both"/>
        <w:rPr>
          <w:rFonts w:ascii="Book Antiqua" w:hAnsi="Book Antiqua"/>
        </w:rPr>
        <w:sectPr w:rsidR="001E2528">
          <w:footerReference w:type="default" r:id="rId8"/>
          <w:pgSz w:w="12240" w:h="15840"/>
          <w:pgMar w:top="1440" w:right="1440" w:bottom="1440" w:left="1440" w:header="720" w:footer="720" w:gutter="0"/>
          <w:cols w:space="720"/>
          <w:docGrid w:linePitch="360"/>
        </w:sectPr>
      </w:pPr>
    </w:p>
    <w:p w14:paraId="737AB0DA" w14:textId="77777777" w:rsidR="001E2528" w:rsidRDefault="006E34CF">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4DFA284"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BACKGROUND</w:t>
      </w:r>
    </w:p>
    <w:p w14:paraId="526A7D97" w14:textId="1B4A394B"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Serum gastrin-17 (G-17), pepsinogen I (PGI), and pepsinogen II (PGII) concentrations regulate gastric acid secretion, and hypersecretion of gastric acid increases the risks of peptic ulcer and upper gastrointestinal bleeding. These associations suggest that serum G-17, </w:t>
      </w:r>
      <w:r w:rsidR="00887D46">
        <w:rPr>
          <w:rFonts w:ascii="Book Antiqua" w:eastAsia="Book Antiqua" w:hAnsi="Book Antiqua" w:cs="Book Antiqua"/>
          <w:color w:val="000000"/>
        </w:rPr>
        <w:t>PGI</w:t>
      </w:r>
      <w:r>
        <w:rPr>
          <w:rFonts w:ascii="Book Antiqua" w:eastAsia="Book Antiqua" w:hAnsi="Book Antiqua" w:cs="Book Antiqua"/>
          <w:color w:val="000000"/>
        </w:rPr>
        <w:t xml:space="preserve">, and (or) </w:t>
      </w:r>
      <w:r w:rsidR="00887D46">
        <w:rPr>
          <w:rFonts w:ascii="Book Antiqua" w:eastAsia="Book Antiqua" w:hAnsi="Book Antiqua" w:cs="Book Antiqua"/>
          <w:color w:val="000000"/>
        </w:rPr>
        <w:t xml:space="preserve">PGII </w:t>
      </w:r>
      <w:r>
        <w:rPr>
          <w:rFonts w:ascii="Book Antiqua" w:eastAsia="Book Antiqua" w:hAnsi="Book Antiqua" w:cs="Book Antiqua"/>
          <w:color w:val="000000"/>
        </w:rPr>
        <w:t xml:space="preserve">may predict gastrointestinal bleeding risk among peptic ulcer patients. </w:t>
      </w:r>
    </w:p>
    <w:p w14:paraId="5A60E950" w14:textId="77777777" w:rsidR="001E2528" w:rsidRDefault="001E2528">
      <w:pPr>
        <w:spacing w:line="360" w:lineRule="auto"/>
        <w:jc w:val="both"/>
        <w:rPr>
          <w:rFonts w:ascii="Book Antiqua" w:hAnsi="Book Antiqua"/>
        </w:rPr>
      </w:pPr>
    </w:p>
    <w:p w14:paraId="52E38BA3"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AIM</w:t>
      </w:r>
    </w:p>
    <w:p w14:paraId="7E70C36E"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To evaluate the efficacies of serum G-17, PGI, PGII, and PGI/PGII ratio (PGR) for predicting upper gastrointestinal bleeding among peptic ulcer patients.</w:t>
      </w:r>
    </w:p>
    <w:p w14:paraId="47063D49" w14:textId="77777777" w:rsidR="001E2528" w:rsidRDefault="001E2528">
      <w:pPr>
        <w:spacing w:line="360" w:lineRule="auto"/>
        <w:jc w:val="both"/>
        <w:rPr>
          <w:rFonts w:ascii="Book Antiqua" w:hAnsi="Book Antiqua"/>
        </w:rPr>
      </w:pPr>
    </w:p>
    <w:p w14:paraId="5569E9C4"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METHODS</w:t>
      </w:r>
    </w:p>
    <w:p w14:paraId="5B39F2A5" w14:textId="29CDB869"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A total of 199 patients diagnosed with peptic ulcer confirmed by gastroscopy and positivity for </w:t>
      </w:r>
      <w:r w:rsidRPr="00887D46">
        <w:rPr>
          <w:rFonts w:ascii="Book Antiqua" w:eastAsia="Book Antiqua" w:hAnsi="Book Antiqua" w:cs="Book Antiqua"/>
          <w:i/>
          <w:iCs/>
          <w:color w:val="000000"/>
        </w:rPr>
        <w:t>Helicobacter pylori</w:t>
      </w:r>
      <w:r>
        <w:rPr>
          <w:rFonts w:ascii="Book Antiqua" w:hAnsi="Book Antiqua" w:cs="Book Antiqua" w:hint="eastAsia"/>
          <w:color w:val="000000"/>
          <w:lang w:eastAsia="zh-CN"/>
        </w:rPr>
        <w:t xml:space="preserve"> </w:t>
      </w:r>
      <w:r>
        <w:rPr>
          <w:rFonts w:ascii="Book Antiqua" w:eastAsia="Book Antiqua" w:hAnsi="Book Antiqua" w:cs="Book Antiqua"/>
          <w:color w:val="000000"/>
        </w:rPr>
        <w:t>by</w:t>
      </w:r>
      <w:r w:rsidR="00941935">
        <w:rPr>
          <w:rFonts w:ascii="Book Antiqua" w:eastAsia="Book Antiqua" w:hAnsi="Book Antiqua" w:cs="Book Antiqua"/>
          <w:color w:val="000000"/>
        </w:rPr>
        <w:t xml:space="preserve"> the</w:t>
      </w:r>
      <w:r>
        <w:rPr>
          <w:rFonts w:ascii="Book Antiqua" w:eastAsia="宋体" w:hAnsi="Book Antiqua" w:cs="Book Antiqua" w:hint="eastAsia"/>
          <w:color w:val="000000"/>
          <w:lang w:eastAsia="zh-CN"/>
        </w:rPr>
        <w:t xml:space="preserve"> </w:t>
      </w:r>
      <w:r w:rsidRPr="00C014E3">
        <w:rPr>
          <w:rFonts w:ascii="Book Antiqua" w:eastAsia="宋体" w:hAnsi="Book Antiqua" w:cs="Book Antiqua"/>
          <w:color w:val="000000"/>
          <w:vertAlign w:val="superscript"/>
          <w:lang w:eastAsia="zh-CN"/>
        </w:rPr>
        <w:t>14</w:t>
      </w:r>
      <w:r>
        <w:rPr>
          <w:rFonts w:ascii="Book Antiqua" w:eastAsia="宋体" w:hAnsi="Book Antiqua" w:cs="Book Antiqua" w:hint="eastAsia"/>
          <w:color w:val="000000"/>
          <w:lang w:eastAsia="zh-CN"/>
        </w:rPr>
        <w:t>C</w:t>
      </w:r>
      <w:r>
        <w:rPr>
          <w:rFonts w:ascii="Book Antiqua" w:eastAsia="Book Antiqua" w:hAnsi="Book Antiqua" w:cs="Book Antiqua"/>
          <w:color w:val="000000"/>
        </w:rPr>
        <w:t>-urea breath test were recruited, including 107 patients with simple peptic ulcer and 92 cases complicated by upper gastrointestinal bleeding. Serum PGI, PGII, G-17, and PGR were measured by immune methods and compared between bleeding and non-bleeding groups by univariate analysis. The specificity and sensitivity of PGs and G-17 for evaluating upper gastrointestinal bleeding risk were then assessed by constructing receiver operating characteristic (ROC) curves.</w:t>
      </w:r>
    </w:p>
    <w:p w14:paraId="591E9A1A" w14:textId="77777777" w:rsidR="001E2528" w:rsidRDefault="001E2528">
      <w:pPr>
        <w:spacing w:line="360" w:lineRule="auto"/>
        <w:jc w:val="both"/>
        <w:rPr>
          <w:rFonts w:ascii="Book Antiqua" w:hAnsi="Book Antiqua"/>
        </w:rPr>
      </w:pPr>
    </w:p>
    <w:p w14:paraId="060AC272"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RESULTS</w:t>
      </w:r>
    </w:p>
    <w:p w14:paraId="65D25193"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Serum G-17 was significantly higher among peptic ulcer patients with upper gastrointestinal bleeding compared to simple peptic ulcer patients (25.34 ± 14.29</w:t>
      </w:r>
      <w:r>
        <w:rPr>
          <w:rFonts w:ascii="Book Antiqua" w:eastAsia="Book Antiqua" w:hAnsi="Book Antiqua" w:cs="Book Antiqua"/>
          <w:i/>
          <w:color w:val="000000"/>
        </w:rPr>
        <w:t xml:space="preserve"> vs </w:t>
      </w:r>
      <w:r>
        <w:rPr>
          <w:rFonts w:ascii="Book Antiqua" w:eastAsia="Book Antiqua" w:hAnsi="Book Antiqua" w:cs="Book Antiqua"/>
          <w:color w:val="000000"/>
        </w:rPr>
        <w:t xml:space="preserve">8.84 ± 8.03 pmol/L, </w:t>
      </w:r>
      <w:r>
        <w:rPr>
          <w:rFonts w:ascii="Book Antiqua" w:eastAsia="Book Antiqua" w:hAnsi="Book Antiqua" w:cs="Book Antiqua"/>
          <w:i/>
          <w:color w:val="000000"/>
        </w:rPr>
        <w:t>t</w:t>
      </w:r>
      <w:r>
        <w:rPr>
          <w:rFonts w:ascii="Book Antiqua" w:eastAsia="Book Antiqua" w:hAnsi="Book Antiqua" w:cs="Book Antiqua"/>
          <w:color w:val="000000"/>
        </w:rPr>
        <w:t xml:space="preserve"> = 9.822,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&lt; 0.01), whereas serum PGI, PGII, and PGR did not differ significantly between bleeding and non-bleeding groups (all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&gt; 0.05). The risk of bleeding was significantly higher among peptic ulcer patients with elevated serum G-17 (&gt; 15 pmol/L) compared to patients with normal or low serum G-17 (73.2% </w:t>
      </w:r>
      <w:r>
        <w:rPr>
          <w:rFonts w:ascii="Book Antiqua" w:eastAsia="Book Antiqua" w:hAnsi="Book Antiqua" w:cs="Book Antiqua"/>
          <w:i/>
          <w:color w:val="000000"/>
        </w:rPr>
        <w:t>vs</w:t>
      </w:r>
      <w:r>
        <w:rPr>
          <w:rFonts w:ascii="Book Antiqua" w:eastAsia="Book Antiqua" w:hAnsi="Book Antiqua" w:cs="Book Antiqua"/>
          <w:color w:val="000000"/>
        </w:rPr>
        <w:t xml:space="preserve"> 27.4%, </w:t>
      </w:r>
      <w:r w:rsidRPr="00887D46">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 40.72,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&lt; 0.01). The area under the ROC curve</w:t>
      </w:r>
      <w:r>
        <w:rPr>
          <w:rFonts w:ascii="Book Antiqua" w:hAnsi="Book Antiqua" w:cs="Book Antiqua" w:hint="eastAsia"/>
          <w:color w:val="000000"/>
          <w:lang w:eastAsia="zh-CN"/>
        </w:rPr>
        <w:t xml:space="preserve"> </w:t>
      </w:r>
      <w:r>
        <w:rPr>
          <w:rFonts w:ascii="Book Antiqua" w:eastAsia="Book Antiqua" w:hAnsi="Book Antiqua" w:cs="Book Antiqua"/>
          <w:color w:val="000000"/>
        </w:rPr>
        <w:t>for serum G-17 was 0.866 ± 0.024, and a cut-off of 9.86 pmol/L yielded 90.2% sensitivity and 68.2% specificity for distinguishing peptic ulcer with and without upper gastrointestinal bleeding.</w:t>
      </w:r>
    </w:p>
    <w:p w14:paraId="50905D27" w14:textId="77777777" w:rsidR="001E2528" w:rsidRDefault="001E2528">
      <w:pPr>
        <w:spacing w:line="360" w:lineRule="auto"/>
        <w:jc w:val="both"/>
        <w:rPr>
          <w:rFonts w:ascii="Book Antiqua" w:hAnsi="Book Antiqua"/>
        </w:rPr>
      </w:pPr>
    </w:p>
    <w:p w14:paraId="4D527875"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CONCLUSION</w:t>
      </w:r>
    </w:p>
    <w:p w14:paraId="6FE411CB" w14:textId="5DB262F7" w:rsidR="001E2528" w:rsidRDefault="006E34CF">
      <w:pPr>
        <w:spacing w:line="360" w:lineRule="auto"/>
        <w:jc w:val="both"/>
        <w:rPr>
          <w:rFonts w:ascii="Book Antiqua" w:hAnsi="Book Antiqua"/>
        </w:rPr>
      </w:pPr>
      <w:r>
        <w:rPr>
          <w:rFonts w:ascii="Book Antiqua" w:eastAsia="Book Antiqua" w:hAnsi="Book Antiqua" w:cs="Book Antiqua"/>
          <w:color w:val="000000"/>
        </w:rPr>
        <w:t>Serum G-17 is significantly upregulated in peptic ulcer patients and higher levels are predictive of upper gastrointestinal bleeding. Conversely, serum PGI, PGII, and PGR have no predictive value. Further prospective studies are warranted to examine if high G-17 can be used to assess risk of bleeding prior to onset.</w:t>
      </w:r>
    </w:p>
    <w:p w14:paraId="1B8B8B2A" w14:textId="77777777" w:rsidR="001E2528" w:rsidRDefault="001E2528">
      <w:pPr>
        <w:spacing w:line="360" w:lineRule="auto"/>
        <w:jc w:val="both"/>
        <w:rPr>
          <w:rFonts w:ascii="Book Antiqua" w:hAnsi="Book Antiqua"/>
        </w:rPr>
      </w:pPr>
    </w:p>
    <w:p w14:paraId="53668BD2" w14:textId="2E358C8A" w:rsidR="001E2528" w:rsidRDefault="006E34CF">
      <w:pPr>
        <w:spacing w:line="360" w:lineRule="auto"/>
        <w:jc w:val="both"/>
        <w:rPr>
          <w:rFonts w:ascii="Book Antiqua" w:hAnsi="Book Antiqua"/>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Peptic ulcer; Upper gastrointestinal bleeding; Gastrin; Pepsinogen</w:t>
      </w:r>
      <w:r>
        <w:rPr>
          <w:rFonts w:ascii="Book Antiqua" w:hAnsi="Book Antiqua" w:cs="Book Antiqua" w:hint="eastAsia"/>
          <w:color w:val="000000"/>
          <w:lang w:eastAsia="zh-CN"/>
        </w:rPr>
        <w:t>; R</w:t>
      </w:r>
      <w:r>
        <w:rPr>
          <w:rFonts w:ascii="Book Antiqua" w:hAnsi="Book Antiqua" w:cs="Book Antiqua"/>
          <w:color w:val="000000"/>
          <w:lang w:eastAsia="zh-CN"/>
        </w:rPr>
        <w:t>eceiver operating characteristic</w:t>
      </w:r>
      <w:r w:rsidR="00941935">
        <w:rPr>
          <w:rFonts w:ascii="Book Antiqua" w:hAnsi="Book Antiqua" w:cs="Book Antiqua"/>
          <w:color w:val="000000"/>
          <w:lang w:eastAsia="zh-CN"/>
        </w:rPr>
        <w:t xml:space="preserve"> curve</w:t>
      </w:r>
    </w:p>
    <w:p w14:paraId="5973D9C3" w14:textId="77777777" w:rsidR="007E3DCD" w:rsidRDefault="007E3DCD" w:rsidP="007E3DCD">
      <w:pPr>
        <w:spacing w:line="360" w:lineRule="auto"/>
        <w:jc w:val="both"/>
        <w:rPr>
          <w:lang w:eastAsia="zh-CN"/>
        </w:rPr>
      </w:pPr>
    </w:p>
    <w:p w14:paraId="4C75EBA6" w14:textId="77777777" w:rsidR="007E3DCD" w:rsidRDefault="007E3DCD" w:rsidP="007E3DCD">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62DE2907" w14:textId="77777777" w:rsidR="007E3DCD" w:rsidRDefault="007E3DCD" w:rsidP="007E3DCD">
      <w:pPr>
        <w:spacing w:line="360" w:lineRule="auto"/>
        <w:jc w:val="both"/>
        <w:rPr>
          <w:lang w:eastAsia="zh-CN"/>
        </w:rPr>
      </w:pPr>
    </w:p>
    <w:p w14:paraId="12E81A0A" w14:textId="7C773902" w:rsidR="007C1A5E" w:rsidRDefault="007E3DCD" w:rsidP="007E3DCD">
      <w:pPr>
        <w:spacing w:line="360" w:lineRule="auto"/>
        <w:jc w:val="both"/>
        <w:rPr>
          <w:rFonts w:ascii="Book Antiqua" w:eastAsia="Book Antiqua" w:hAnsi="Book Antiqua" w:cs="Book Antiqua"/>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6E34CF">
        <w:rPr>
          <w:rFonts w:ascii="Book Antiqua" w:eastAsia="Book Antiqua" w:hAnsi="Book Antiqua" w:cs="Book Antiqua"/>
          <w:color w:val="000000"/>
        </w:rPr>
        <w:t>Wang J</w:t>
      </w:r>
      <w:r w:rsidR="006E34CF">
        <w:rPr>
          <w:rFonts w:ascii="Book Antiqua" w:hAnsi="Book Antiqua" w:cs="Book Antiqua" w:hint="eastAsia"/>
          <w:color w:val="000000"/>
          <w:lang w:eastAsia="zh-CN"/>
        </w:rPr>
        <w:t>X</w:t>
      </w:r>
      <w:r w:rsidR="006E34CF">
        <w:rPr>
          <w:rFonts w:ascii="Book Antiqua" w:eastAsia="Book Antiqua" w:hAnsi="Book Antiqua" w:cs="Book Antiqua"/>
          <w:color w:val="000000"/>
        </w:rPr>
        <w:t>, Cao Y</w:t>
      </w:r>
      <w:r w:rsidR="006E34CF">
        <w:rPr>
          <w:rFonts w:ascii="Book Antiqua" w:hAnsi="Book Antiqua" w:cs="Book Antiqua" w:hint="eastAsia"/>
          <w:color w:val="000000"/>
          <w:lang w:eastAsia="zh-CN"/>
        </w:rPr>
        <w:t>P</w:t>
      </w:r>
      <w:r w:rsidR="006E34CF">
        <w:rPr>
          <w:rFonts w:ascii="Book Antiqua" w:eastAsia="Book Antiqua" w:hAnsi="Book Antiqua" w:cs="Book Antiqua"/>
          <w:color w:val="000000"/>
        </w:rPr>
        <w:t>, Su P, He W, L</w:t>
      </w:r>
      <w:r w:rsidR="006E34CF">
        <w:rPr>
          <w:rFonts w:ascii="Book Antiqua" w:hAnsi="Book Antiqua" w:cs="Book Antiqua" w:hint="eastAsia"/>
          <w:color w:val="000000"/>
          <w:lang w:eastAsia="zh-CN"/>
        </w:rPr>
        <w:t>i</w:t>
      </w:r>
      <w:r w:rsidR="006E34CF">
        <w:rPr>
          <w:rFonts w:ascii="Book Antiqua" w:eastAsia="Book Antiqua" w:hAnsi="Book Antiqua" w:cs="Book Antiqua"/>
          <w:color w:val="000000"/>
        </w:rPr>
        <w:t xml:space="preserve"> X</w:t>
      </w:r>
      <w:r w:rsidR="006E34CF">
        <w:rPr>
          <w:rFonts w:ascii="Book Antiqua" w:hAnsi="Book Antiqua" w:cs="Book Antiqua" w:hint="eastAsia"/>
          <w:color w:val="000000"/>
          <w:lang w:eastAsia="zh-CN"/>
        </w:rPr>
        <w:t>P</w:t>
      </w:r>
      <w:r w:rsidR="006E34CF">
        <w:rPr>
          <w:rFonts w:ascii="Book Antiqua" w:eastAsia="Book Antiqua" w:hAnsi="Book Antiqua" w:cs="Book Antiqua"/>
          <w:color w:val="000000"/>
        </w:rPr>
        <w:t>, Zhu Y</w:t>
      </w:r>
      <w:r w:rsidR="006E34CF">
        <w:rPr>
          <w:rFonts w:ascii="Book Antiqua" w:hAnsi="Book Antiqua" w:cs="Book Antiqua" w:hint="eastAsia"/>
          <w:color w:val="000000"/>
          <w:lang w:eastAsia="zh-CN"/>
        </w:rPr>
        <w:t>M</w:t>
      </w:r>
      <w:r w:rsidR="006E34CF">
        <w:rPr>
          <w:rFonts w:ascii="Book Antiqua" w:eastAsia="Book Antiqua" w:hAnsi="Book Antiqua" w:cs="Book Antiqua"/>
          <w:color w:val="000000"/>
        </w:rPr>
        <w:t xml:space="preserve">. Serum gastrin-17 concentration for prediction of upper gastrointestinal tract bleeding risk among peptic ulcer patients. </w:t>
      </w:r>
      <w:r w:rsidR="006E34CF">
        <w:rPr>
          <w:rFonts w:ascii="Book Antiqua" w:eastAsia="Book Antiqua" w:hAnsi="Book Antiqua" w:cs="Book Antiqua"/>
          <w:i/>
          <w:iCs/>
          <w:color w:val="000000"/>
        </w:rPr>
        <w:t>World J Clin Cases</w:t>
      </w:r>
      <w:r w:rsidR="006E34CF">
        <w:rPr>
          <w:rFonts w:ascii="Book Antiqua" w:eastAsia="Book Antiqua" w:hAnsi="Book Antiqua" w:cs="Book Antiqua"/>
          <w:color w:val="000000"/>
        </w:rPr>
        <w:t xml:space="preserve"> 2021; </w:t>
      </w:r>
      <w:r w:rsidR="00634E5B" w:rsidRPr="00B377C0">
        <w:rPr>
          <w:rFonts w:ascii="Book Antiqua" w:eastAsia="Book Antiqua" w:hAnsi="Book Antiqua" w:cs="Book Antiqua"/>
        </w:rPr>
        <w:t>9(</w:t>
      </w:r>
      <w:r w:rsidR="00634E5B">
        <w:rPr>
          <w:rFonts w:ascii="Book Antiqua" w:eastAsia="Book Antiqua" w:hAnsi="Book Antiqua" w:cs="Book Antiqua"/>
        </w:rPr>
        <w:t>35</w:t>
      </w:r>
      <w:r w:rsidR="00634E5B" w:rsidRPr="00B377C0">
        <w:rPr>
          <w:rFonts w:ascii="Book Antiqua" w:eastAsia="Book Antiqua" w:hAnsi="Book Antiqua" w:cs="Book Antiqua"/>
        </w:rPr>
        <w:t xml:space="preserve">): </w:t>
      </w:r>
      <w:r w:rsidR="007C1A5E">
        <w:rPr>
          <w:rFonts w:ascii="Book Antiqua" w:hAnsi="Book Antiqua"/>
        </w:rPr>
        <w:t>10948-10955</w:t>
      </w:r>
    </w:p>
    <w:p w14:paraId="23AA3B50" w14:textId="4446BFB9" w:rsidR="007C1A5E" w:rsidRDefault="00634E5B" w:rsidP="007E3DCD">
      <w:pPr>
        <w:spacing w:line="360" w:lineRule="auto"/>
        <w:jc w:val="both"/>
        <w:rPr>
          <w:rFonts w:ascii="Book Antiqua" w:eastAsia="Book Antiqua" w:hAnsi="Book Antiqua" w:cs="Book Antiqua"/>
        </w:rPr>
      </w:pPr>
      <w:r w:rsidRPr="00B377C0">
        <w:rPr>
          <w:rFonts w:ascii="Book Antiqua" w:eastAsia="Book Antiqua" w:hAnsi="Book Antiqua" w:cs="Book Antiqua"/>
        </w:rPr>
        <w:t>URL: https://www.wjgnet.com/2307-8960/full/v9/i</w:t>
      </w:r>
      <w:r>
        <w:rPr>
          <w:rFonts w:ascii="Book Antiqua" w:eastAsia="Book Antiqua" w:hAnsi="Book Antiqua" w:cs="Book Antiqua"/>
        </w:rPr>
        <w:t>35</w:t>
      </w:r>
      <w:r w:rsidRPr="00B377C0">
        <w:rPr>
          <w:rFonts w:ascii="Book Antiqua" w:eastAsia="Book Antiqua" w:hAnsi="Book Antiqua" w:cs="Book Antiqua"/>
        </w:rPr>
        <w:t>/</w:t>
      </w:r>
      <w:r w:rsidR="001B1502">
        <w:rPr>
          <w:rFonts w:ascii="Book Antiqua" w:hAnsi="Book Antiqua"/>
        </w:rPr>
        <w:t>10948</w:t>
      </w:r>
      <w:r w:rsidRPr="00B377C0">
        <w:rPr>
          <w:rFonts w:ascii="Book Antiqua" w:eastAsia="Book Antiqua" w:hAnsi="Book Antiqua" w:cs="Book Antiqua"/>
        </w:rPr>
        <w:t xml:space="preserve">.htm  </w:t>
      </w:r>
    </w:p>
    <w:p w14:paraId="731AD4ED" w14:textId="130D43CF" w:rsidR="001E2528" w:rsidRDefault="00634E5B" w:rsidP="007E3DCD">
      <w:pPr>
        <w:spacing w:line="360" w:lineRule="auto"/>
        <w:jc w:val="both"/>
        <w:rPr>
          <w:rFonts w:ascii="Book Antiqua" w:hAnsi="Book Antiqua"/>
        </w:rPr>
      </w:pPr>
      <w:r w:rsidRPr="00B377C0">
        <w:rPr>
          <w:rFonts w:ascii="Book Antiqua" w:eastAsia="Book Antiqua" w:hAnsi="Book Antiqua" w:cs="Book Antiqua"/>
        </w:rPr>
        <w:t>DOI: https://dx.doi.org/10.12998/wjcc.v9.i</w:t>
      </w:r>
      <w:r>
        <w:rPr>
          <w:rFonts w:ascii="Book Antiqua" w:eastAsia="Book Antiqua" w:hAnsi="Book Antiqua" w:cs="Book Antiqua"/>
        </w:rPr>
        <w:t>35</w:t>
      </w:r>
      <w:r w:rsidRPr="00B377C0">
        <w:rPr>
          <w:rFonts w:ascii="Book Antiqua" w:eastAsia="Book Antiqua" w:hAnsi="Book Antiqua" w:cs="Book Antiqua"/>
        </w:rPr>
        <w:t>.</w:t>
      </w:r>
      <w:r w:rsidR="001B1502">
        <w:rPr>
          <w:rFonts w:ascii="Book Antiqua" w:hAnsi="Book Antiqua"/>
        </w:rPr>
        <w:t>10948</w:t>
      </w:r>
    </w:p>
    <w:p w14:paraId="67677664" w14:textId="77777777" w:rsidR="001E2528" w:rsidRDefault="001E2528">
      <w:pPr>
        <w:spacing w:line="360" w:lineRule="auto"/>
        <w:jc w:val="both"/>
        <w:rPr>
          <w:rFonts w:ascii="Book Antiqua" w:hAnsi="Book Antiqua"/>
        </w:rPr>
      </w:pPr>
    </w:p>
    <w:p w14:paraId="0735C28F" w14:textId="51CB9524" w:rsidR="001E2528" w:rsidRDefault="006E34CF">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Upper gastrointestinal tract bleeding is a severe complication of peptic ulcer that markedly increases mortality. Bleeding risk is elevated by hypersecretion of gastric acid, and secretion rate is associated with serum concentrations of gastrin 17 (G-17), pepsinogen I, and pepsinogen II. Thus, these values may predict bleeding risk among peptic ulcer patients. Indeed, bleeding risk was elevated in patients with G-17 above the normal range (&gt;</w:t>
      </w:r>
      <w:r>
        <w:rPr>
          <w:rFonts w:ascii="Book Antiqua" w:hAnsi="Book Antiqua" w:cs="Book Antiqua" w:hint="eastAsia"/>
          <w:color w:val="000000"/>
          <w:lang w:eastAsia="zh-CN"/>
        </w:rPr>
        <w:t xml:space="preserve"> </w:t>
      </w:r>
      <w:r>
        <w:rPr>
          <w:rFonts w:ascii="Book Antiqua" w:eastAsia="Book Antiqua" w:hAnsi="Book Antiqua" w:cs="Book Antiqua"/>
          <w:color w:val="000000"/>
        </w:rPr>
        <w:t>15 pmol/L), and serum G-17 &gt;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9.86 pmol/L distinguished bleeding </w:t>
      </w:r>
      <w:r>
        <w:rPr>
          <w:rFonts w:ascii="Book Antiqua" w:eastAsia="Book Antiqua" w:hAnsi="Book Antiqua" w:cs="Book Antiqua"/>
          <w:color w:val="000000"/>
        </w:rPr>
        <w:lastRenderedPageBreak/>
        <w:t>from non-bleeding patients with 90.2% sensitivity and 68.2% specificity. Elevated G-17 may be an effective early predictor of bleeding from peptic ulcer.</w:t>
      </w:r>
    </w:p>
    <w:p w14:paraId="34758E77" w14:textId="77777777" w:rsidR="001E2528" w:rsidRDefault="001E2528">
      <w:pPr>
        <w:spacing w:line="360" w:lineRule="auto"/>
        <w:jc w:val="both"/>
        <w:rPr>
          <w:rFonts w:ascii="Book Antiqua" w:hAnsi="Book Antiqua"/>
        </w:rPr>
      </w:pPr>
    </w:p>
    <w:p w14:paraId="1CE72CA5" w14:textId="77777777" w:rsidR="001E2528" w:rsidRDefault="006E34CF">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6BA87F5E" w14:textId="44D009B4" w:rsidR="001E2528" w:rsidRDefault="006E34CF">
      <w:pPr>
        <w:spacing w:line="360" w:lineRule="auto"/>
        <w:jc w:val="both"/>
        <w:rPr>
          <w:rFonts w:ascii="Book Antiqua" w:hAnsi="Book Antiqua"/>
        </w:rPr>
      </w:pPr>
      <w:r>
        <w:rPr>
          <w:rFonts w:ascii="Book Antiqua" w:eastAsia="Book Antiqua" w:hAnsi="Book Antiqua" w:cs="Book Antiqua"/>
          <w:color w:val="000000"/>
        </w:rPr>
        <w:t>Peptic ulcer is among the most common digestive system diseases, and upper gastrointestinal bleeding is the most prevalent complication. Hypersecretion of gastric acid is a critical risk factor for peptic ulcer bleeding, and secretion level is strongly correlated with serum concentration of the gut-derived peptide hormone gastrin-17 (G-17)</w:t>
      </w:r>
      <w:r>
        <w:rPr>
          <w:rFonts w:ascii="Book Antiqua" w:eastAsia="Book Antiqua" w:hAnsi="Book Antiqua" w:cs="Book Antiqua"/>
          <w:color w:val="000000"/>
          <w:vertAlign w:val="superscript"/>
        </w:rPr>
        <w:t>[1,2]</w:t>
      </w:r>
      <w:r>
        <w:rPr>
          <w:rFonts w:ascii="Book Antiqua" w:eastAsia="Book Antiqua" w:hAnsi="Book Antiqua" w:cs="Book Antiqua"/>
          <w:color w:val="000000"/>
        </w:rPr>
        <w:t>. High serum levels of pepsinogen I (PGI)</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PGII are also associated with gastric acid secretion rate by the gastric mucosa and with </w:t>
      </w:r>
      <w:r w:rsidR="00941935">
        <w:rPr>
          <w:rFonts w:ascii="Book Antiqua" w:eastAsia="Book Antiqua" w:hAnsi="Book Antiqua" w:cs="Book Antiqua"/>
          <w:color w:val="000000"/>
        </w:rPr>
        <w:t xml:space="preserve">the </w:t>
      </w:r>
      <w:r>
        <w:rPr>
          <w:rFonts w:ascii="Book Antiqua" w:eastAsia="Book Antiqua" w:hAnsi="Book Antiqua" w:cs="Book Antiqua"/>
          <w:color w:val="000000"/>
        </w:rPr>
        <w:t>incidence of peptic ulcer</w:t>
      </w:r>
      <w:r>
        <w:rPr>
          <w:rFonts w:ascii="Book Antiqua" w:eastAsia="Book Antiqua" w:hAnsi="Book Antiqua" w:cs="Book Antiqua"/>
          <w:color w:val="000000"/>
          <w:vertAlign w:val="superscript"/>
        </w:rPr>
        <w:t>[3]</w:t>
      </w:r>
      <w:r>
        <w:rPr>
          <w:rFonts w:ascii="Book Antiqua" w:eastAsia="Book Antiqua" w:hAnsi="Book Antiqua" w:cs="Book Antiqua"/>
          <w:color w:val="000000"/>
        </w:rPr>
        <w:t>. Conversely, low serum PGI and PGI/PGII ratio are associated with gastric atrophy. Thus, modulation of G-17, PGI, and PGII secretion levels can be utilized to treat dyspepsia and other gastric disease</w:t>
      </w:r>
      <w:r w:rsidR="00941935">
        <w:rPr>
          <w:rFonts w:ascii="Book Antiqua" w:eastAsia="Book Antiqua" w:hAnsi="Book Antiqua" w:cs="Book Antiqua"/>
          <w:color w:val="000000"/>
        </w:rPr>
        <w:t>s</w:t>
      </w:r>
      <w:r>
        <w:rPr>
          <w:rFonts w:ascii="Book Antiqua" w:eastAsia="Book Antiqua" w:hAnsi="Book Antiqua" w:cs="Book Antiqua"/>
          <w:color w:val="000000"/>
          <w:vertAlign w:val="superscript"/>
        </w:rPr>
        <w:t>[4]</w:t>
      </w:r>
      <w:r>
        <w:rPr>
          <w:rFonts w:ascii="Book Antiqua" w:eastAsia="Book Antiqua" w:hAnsi="Book Antiqua" w:cs="Book Antiqua"/>
          <w:color w:val="000000"/>
        </w:rPr>
        <w:t>. High serum gastrin or PGI/PGII ratio (PGR) will lead to excessive secretion of gastric acid, overcoming the protective capacity of the gastric mucosa and increasing the incidence of peptic ulcer and digestive tract tumors</w:t>
      </w:r>
      <w:r>
        <w:rPr>
          <w:rFonts w:ascii="Book Antiqua" w:eastAsia="Book Antiqua" w:hAnsi="Book Antiqua" w:cs="Book Antiqua"/>
          <w:color w:val="000000"/>
          <w:vertAlign w:val="superscript"/>
        </w:rPr>
        <w:t>[5]</w:t>
      </w:r>
      <w:r>
        <w:rPr>
          <w:rFonts w:ascii="Book Antiqua" w:eastAsia="Book Antiqua" w:hAnsi="Book Antiqua" w:cs="Book Antiqua"/>
          <w:color w:val="000000"/>
        </w:rPr>
        <w:t>. Indeed, combined detection of serum G-17 and PG is a fundamental screening method for early gastric cancer detection</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However, serum PGI, PGII, and G-17 </w:t>
      </w:r>
      <w:r w:rsidR="00941935">
        <w:rPr>
          <w:rFonts w:ascii="Book Antiqua" w:eastAsia="Book Antiqua" w:hAnsi="Book Antiqua" w:cs="Book Antiqua"/>
          <w:color w:val="000000"/>
        </w:rPr>
        <w:t>l</w:t>
      </w:r>
      <w:r>
        <w:rPr>
          <w:rFonts w:ascii="Book Antiqua" w:eastAsia="Book Antiqua" w:hAnsi="Book Antiqua" w:cs="Book Antiqua"/>
          <w:color w:val="000000"/>
        </w:rPr>
        <w:t>evels among peptic ulcer patients with and without bleeding have not been examined in detail. In the present study, these levels were measured and their predictive values for assessing the risk of peptic ulcer complicated by upper gastrointestinal bleeding tested by univariate and receiver operating characteristic (ROC) curve analyses.</w:t>
      </w:r>
    </w:p>
    <w:p w14:paraId="3A2B39A7" w14:textId="77777777" w:rsidR="001E2528" w:rsidRDefault="001E2528">
      <w:pPr>
        <w:spacing w:line="360" w:lineRule="auto"/>
        <w:jc w:val="both"/>
        <w:rPr>
          <w:rFonts w:ascii="Book Antiqua" w:hAnsi="Book Antiqua"/>
        </w:rPr>
      </w:pPr>
    </w:p>
    <w:p w14:paraId="274F82ED" w14:textId="77777777" w:rsidR="001E2528" w:rsidRDefault="006E34CF">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305E8DF9" w14:textId="77777777" w:rsidR="001E2528" w:rsidRDefault="006E34CF">
      <w:pPr>
        <w:spacing w:line="360" w:lineRule="auto"/>
        <w:jc w:val="both"/>
        <w:rPr>
          <w:rFonts w:ascii="Book Antiqua" w:hAnsi="Book Antiqua"/>
          <w:b/>
          <w:i/>
        </w:rPr>
      </w:pPr>
      <w:r>
        <w:rPr>
          <w:rFonts w:ascii="Book Antiqua" w:eastAsia="Book Antiqua" w:hAnsi="Book Antiqua" w:cs="Book Antiqua"/>
          <w:b/>
          <w:i/>
          <w:color w:val="000000"/>
        </w:rPr>
        <w:t>Baseline data</w:t>
      </w:r>
    </w:p>
    <w:p w14:paraId="36795510" w14:textId="46537310" w:rsidR="001E2528" w:rsidRDefault="006E34CF">
      <w:pPr>
        <w:spacing w:line="360" w:lineRule="auto"/>
        <w:jc w:val="both"/>
        <w:rPr>
          <w:rFonts w:ascii="Book Antiqua" w:hAnsi="Book Antiqua"/>
        </w:rPr>
      </w:pPr>
      <w:r>
        <w:rPr>
          <w:rFonts w:ascii="Book Antiqua" w:eastAsia="Book Antiqua" w:hAnsi="Book Antiqua" w:cs="Book Antiqua"/>
          <w:color w:val="000000"/>
        </w:rPr>
        <w:t>Patients diagnosed with peptic ulcer or peptic ulcer complicated by upper gastrointestinal bleeding admitted to the Department of Gastroenterology of Anhui No.2 Provincial People’s Hospital from July</w:t>
      </w:r>
      <w:r>
        <w:rPr>
          <w:rFonts w:ascii="Book Antiqua" w:hAnsi="Book Antiqua" w:cs="Book Antiqua" w:hint="eastAsia"/>
          <w:color w:val="000000"/>
          <w:lang w:eastAsia="zh-CN"/>
        </w:rPr>
        <w:t xml:space="preserve"> </w:t>
      </w:r>
      <w:r>
        <w:rPr>
          <w:rFonts w:ascii="Book Antiqua" w:eastAsia="Book Antiqua" w:hAnsi="Book Antiqua" w:cs="Book Antiqua"/>
          <w:color w:val="000000"/>
        </w:rPr>
        <w:t>2015</w:t>
      </w:r>
      <w:r>
        <w:rPr>
          <w:rFonts w:ascii="Book Antiqua" w:hAnsi="Book Antiqua" w:cs="Book Antiqua" w:hint="eastAsia"/>
          <w:color w:val="000000"/>
          <w:lang w:eastAsia="zh-CN"/>
        </w:rPr>
        <w:t xml:space="preserve"> </w:t>
      </w:r>
      <w:r>
        <w:rPr>
          <w:rFonts w:ascii="Book Antiqua" w:eastAsia="Book Antiqua" w:hAnsi="Book Antiqua" w:cs="Book Antiqua"/>
          <w:color w:val="000000"/>
        </w:rPr>
        <w:t>to November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2019, were recruited. Serum levels of G-17, PGI, and PGII were measured and the PGR was calculated. Candidates were excluded </w:t>
      </w:r>
      <w:r w:rsidR="00A54753">
        <w:rPr>
          <w:rFonts w:ascii="Book Antiqua" w:eastAsia="Book Antiqua" w:hAnsi="Book Antiqua" w:cs="Book Antiqua"/>
          <w:color w:val="000000"/>
        </w:rPr>
        <w:t>due to</w:t>
      </w:r>
      <w:r>
        <w:rPr>
          <w:rFonts w:ascii="Book Antiqua" w:eastAsia="Book Antiqua" w:hAnsi="Book Antiqua" w:cs="Book Antiqua"/>
          <w:color w:val="000000"/>
        </w:rPr>
        <w:t xml:space="preserve"> the following conditions: </w:t>
      </w:r>
      <w:r>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Pr>
          <w:rFonts w:ascii="Book Antiqua" w:hAnsi="Book Antiqua" w:cs="Book Antiqua" w:hint="eastAsia"/>
          <w:color w:val="000000"/>
          <w:lang w:eastAsia="zh-CN"/>
        </w:rPr>
        <w:t>M</w:t>
      </w:r>
      <w:r>
        <w:rPr>
          <w:rFonts w:ascii="Book Antiqua" w:eastAsia="Book Antiqua" w:hAnsi="Book Antiqua" w:cs="Book Antiqua"/>
          <w:color w:val="000000"/>
        </w:rPr>
        <w:t xml:space="preserve">alignant tumors or severe atypical hyperplasia as indicated by endoscopic pathology; </w:t>
      </w:r>
      <w:r>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Pr>
          <w:rFonts w:ascii="Book Antiqua" w:hAnsi="Book Antiqua" w:cs="Book Antiqua" w:hint="eastAsia"/>
          <w:color w:val="000000"/>
          <w:lang w:eastAsia="zh-CN"/>
        </w:rPr>
        <w:t>N</w:t>
      </w:r>
      <w:r>
        <w:rPr>
          <w:rFonts w:ascii="Book Antiqua" w:eastAsia="Book Antiqua" w:hAnsi="Book Antiqua" w:cs="Book Antiqua"/>
          <w:color w:val="000000"/>
        </w:rPr>
        <w:t xml:space="preserve">egative for </w:t>
      </w:r>
      <w:r w:rsidRPr="00887D46">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(HP) or not tested for HP; </w:t>
      </w:r>
      <w:r>
        <w:rPr>
          <w:rFonts w:ascii="Book Antiqua" w:hAnsi="Book Antiqua" w:cs="Book Antiqua" w:hint="eastAsia"/>
          <w:color w:val="000000"/>
          <w:lang w:eastAsia="zh-CN"/>
        </w:rPr>
        <w:t>(</w:t>
      </w:r>
      <w:r>
        <w:rPr>
          <w:rFonts w:ascii="Book Antiqua" w:eastAsia="Book Antiqua" w:hAnsi="Book Antiqua" w:cs="Book Antiqua"/>
          <w:color w:val="000000"/>
        </w:rPr>
        <w:t xml:space="preserve">3) </w:t>
      </w:r>
      <w:r>
        <w:rPr>
          <w:rFonts w:ascii="Book Antiqua" w:hAnsi="Book Antiqua" w:cs="Book Antiqua" w:hint="eastAsia"/>
          <w:color w:val="000000"/>
          <w:lang w:eastAsia="zh-CN"/>
        </w:rPr>
        <w:t>H</w:t>
      </w:r>
      <w:r>
        <w:rPr>
          <w:rFonts w:ascii="Book Antiqua" w:eastAsia="Book Antiqua" w:hAnsi="Book Antiqua" w:cs="Book Antiqua"/>
          <w:color w:val="000000"/>
        </w:rPr>
        <w:t xml:space="preserve">istory of stomach, esophagus or duodenum surgery; </w:t>
      </w:r>
      <w:r>
        <w:rPr>
          <w:rFonts w:ascii="Book Antiqua" w:hAnsi="Book Antiqua" w:cs="Book Antiqua" w:hint="eastAsia"/>
          <w:color w:val="000000"/>
          <w:lang w:eastAsia="zh-CN"/>
        </w:rPr>
        <w:t>(</w:t>
      </w:r>
      <w:r>
        <w:rPr>
          <w:rFonts w:ascii="Book Antiqua" w:eastAsia="Book Antiqua" w:hAnsi="Book Antiqua" w:cs="Book Antiqua"/>
          <w:color w:val="000000"/>
        </w:rPr>
        <w:t xml:space="preserve">4) </w:t>
      </w:r>
      <w:r>
        <w:rPr>
          <w:rFonts w:ascii="Book Antiqua" w:hAnsi="Book Antiqua" w:cs="Book Antiqua" w:hint="eastAsia"/>
          <w:color w:val="000000"/>
          <w:lang w:eastAsia="zh-CN"/>
        </w:rPr>
        <w:t>S</w:t>
      </w:r>
      <w:r>
        <w:rPr>
          <w:rFonts w:ascii="Book Antiqua" w:eastAsia="Book Antiqua" w:hAnsi="Book Antiqua" w:cs="Book Antiqua"/>
          <w:color w:val="000000"/>
        </w:rPr>
        <w:t xml:space="preserve">erious cardiopulmonary diseases that may independently </w:t>
      </w:r>
      <w:r>
        <w:rPr>
          <w:rFonts w:ascii="Book Antiqua" w:eastAsia="Book Antiqua" w:hAnsi="Book Antiqua" w:cs="Book Antiqua"/>
          <w:color w:val="000000"/>
        </w:rPr>
        <w:lastRenderedPageBreak/>
        <w:t xml:space="preserve">influence gastrin or PG secretion; </w:t>
      </w:r>
      <w:r>
        <w:rPr>
          <w:rFonts w:ascii="Book Antiqua" w:hAnsi="Book Antiqua" w:cs="Book Antiqua" w:hint="eastAsia"/>
          <w:color w:val="000000"/>
          <w:lang w:eastAsia="zh-CN"/>
        </w:rPr>
        <w:t>(</w:t>
      </w:r>
      <w:r>
        <w:rPr>
          <w:rFonts w:ascii="Book Antiqua" w:eastAsia="Book Antiqua" w:hAnsi="Book Antiqua" w:cs="Book Antiqua"/>
          <w:color w:val="000000"/>
        </w:rPr>
        <w:t xml:space="preserve">5) </w:t>
      </w:r>
      <w:r>
        <w:rPr>
          <w:rFonts w:ascii="Book Antiqua" w:hAnsi="Book Antiqua" w:cs="Book Antiqua" w:hint="eastAsia"/>
          <w:color w:val="000000"/>
          <w:lang w:eastAsia="zh-CN"/>
        </w:rPr>
        <w:t>L</w:t>
      </w:r>
      <w:r>
        <w:rPr>
          <w:rFonts w:ascii="Book Antiqua" w:eastAsia="Book Antiqua" w:hAnsi="Book Antiqua" w:cs="Book Antiqua"/>
          <w:color w:val="000000"/>
        </w:rPr>
        <w:t xml:space="preserve">ong-term use of aspirin or clopidogrel, or recent administration of antiplatelet/anticoagulant drugs such as heparin; </w:t>
      </w:r>
      <w:r>
        <w:rPr>
          <w:rFonts w:ascii="Book Antiqua" w:hAnsi="Book Antiqua" w:cs="Book Antiqua" w:hint="eastAsia"/>
          <w:color w:val="000000"/>
          <w:lang w:eastAsia="zh-CN"/>
        </w:rPr>
        <w:t>(</w:t>
      </w:r>
      <w:r>
        <w:rPr>
          <w:rFonts w:ascii="Book Antiqua" w:eastAsia="Book Antiqua" w:hAnsi="Book Antiqua" w:cs="Book Antiqua"/>
          <w:color w:val="000000"/>
        </w:rPr>
        <w:t xml:space="preserve">6) </w:t>
      </w:r>
      <w:r>
        <w:rPr>
          <w:rFonts w:ascii="Book Antiqua" w:hAnsi="Book Antiqua" w:cs="Book Antiqua" w:hint="eastAsia"/>
          <w:color w:val="000000"/>
          <w:lang w:eastAsia="zh-CN"/>
        </w:rPr>
        <w:t>H</w:t>
      </w:r>
      <w:r>
        <w:rPr>
          <w:rFonts w:ascii="Book Antiqua" w:eastAsia="Book Antiqua" w:hAnsi="Book Antiqua" w:cs="Book Antiqua"/>
          <w:color w:val="000000"/>
        </w:rPr>
        <w:t xml:space="preserve">istory of long-term non-steroidal anti-inflammatory analgesic or glucocorticoid administration; </w:t>
      </w:r>
      <w:r>
        <w:rPr>
          <w:rFonts w:ascii="Book Antiqua" w:hAnsi="Book Antiqua" w:cs="Book Antiqua" w:hint="eastAsia"/>
          <w:color w:val="000000"/>
          <w:lang w:eastAsia="zh-CN"/>
        </w:rPr>
        <w:t>(</w:t>
      </w:r>
      <w:r>
        <w:rPr>
          <w:rFonts w:ascii="Book Antiqua" w:eastAsia="Book Antiqua" w:hAnsi="Book Antiqua" w:cs="Book Antiqua"/>
          <w:color w:val="000000"/>
        </w:rPr>
        <w:t xml:space="preserve">7) </w:t>
      </w:r>
      <w:r>
        <w:rPr>
          <w:rFonts w:ascii="Book Antiqua" w:hAnsi="Book Antiqua" w:cs="Book Antiqua" w:hint="eastAsia"/>
          <w:color w:val="000000"/>
          <w:lang w:eastAsia="zh-CN"/>
        </w:rPr>
        <w:t>P</w:t>
      </w:r>
      <w:r>
        <w:rPr>
          <w:rFonts w:ascii="Book Antiqua" w:eastAsia="Book Antiqua" w:hAnsi="Book Antiqua" w:cs="Book Antiqua"/>
          <w:color w:val="000000"/>
        </w:rPr>
        <w:t xml:space="preserve">eptic ulcer complicated by other severe digestive system diseases; </w:t>
      </w:r>
      <w:r>
        <w:rPr>
          <w:rFonts w:ascii="Book Antiqua" w:hAnsi="Book Antiqua" w:cs="Book Antiqua" w:hint="eastAsia"/>
          <w:color w:val="000000"/>
          <w:lang w:eastAsia="zh-CN"/>
        </w:rPr>
        <w:t>(</w:t>
      </w:r>
      <w:r>
        <w:rPr>
          <w:rFonts w:ascii="Book Antiqua" w:eastAsia="Book Antiqua" w:hAnsi="Book Antiqua" w:cs="Book Antiqua"/>
          <w:color w:val="000000"/>
        </w:rPr>
        <w:t xml:space="preserve">8) </w:t>
      </w:r>
      <w:r>
        <w:rPr>
          <w:rFonts w:ascii="Book Antiqua" w:hAnsi="Book Antiqua" w:cs="Book Antiqua" w:hint="eastAsia"/>
          <w:color w:val="000000"/>
          <w:lang w:eastAsia="zh-CN"/>
        </w:rPr>
        <w:t>S</w:t>
      </w:r>
      <w:r>
        <w:rPr>
          <w:rFonts w:ascii="Book Antiqua" w:eastAsia="Book Antiqua" w:hAnsi="Book Antiqua" w:cs="Book Antiqua"/>
          <w:color w:val="000000"/>
        </w:rPr>
        <w:t xml:space="preserve">tress ulcer or stress ulcer complicated by bleeding; </w:t>
      </w:r>
      <w:r>
        <w:rPr>
          <w:rFonts w:ascii="Book Antiqua" w:hAnsi="Book Antiqua" w:cs="Book Antiqua" w:hint="eastAsia"/>
          <w:color w:val="000000"/>
          <w:lang w:eastAsia="zh-CN"/>
        </w:rPr>
        <w:t>(</w:t>
      </w:r>
      <w:r>
        <w:rPr>
          <w:rFonts w:ascii="Book Antiqua" w:eastAsia="Book Antiqua" w:hAnsi="Book Antiqua" w:cs="Book Antiqua"/>
          <w:color w:val="000000"/>
        </w:rPr>
        <w:t xml:space="preserve">9) </w:t>
      </w:r>
      <w:r>
        <w:rPr>
          <w:rFonts w:ascii="Book Antiqua" w:hAnsi="Book Antiqua" w:cs="Book Antiqua" w:hint="eastAsia"/>
          <w:color w:val="000000"/>
          <w:lang w:eastAsia="zh-CN"/>
        </w:rPr>
        <w:t>N</w:t>
      </w:r>
      <w:r>
        <w:rPr>
          <w:rFonts w:ascii="Book Antiqua" w:eastAsia="Book Antiqua" w:hAnsi="Book Antiqua" w:cs="Book Antiqua"/>
          <w:color w:val="000000"/>
        </w:rPr>
        <w:t xml:space="preserve">on-ulcerative upper gastrointestinal bleeding due to other causes; </w:t>
      </w:r>
      <w:r>
        <w:rPr>
          <w:rFonts w:ascii="Book Antiqua" w:hAnsi="Book Antiqua" w:cs="Book Antiqua" w:hint="eastAsia"/>
          <w:color w:val="000000"/>
          <w:lang w:eastAsia="zh-CN"/>
        </w:rPr>
        <w:t>(</w:t>
      </w:r>
      <w:r>
        <w:rPr>
          <w:rFonts w:ascii="Book Antiqua" w:eastAsia="Book Antiqua" w:hAnsi="Book Antiqua" w:cs="Book Antiqua"/>
          <w:color w:val="000000"/>
        </w:rPr>
        <w:t xml:space="preserve">10) </w:t>
      </w:r>
      <w:r>
        <w:rPr>
          <w:rFonts w:ascii="Book Antiqua" w:hAnsi="Book Antiqua" w:cs="Book Antiqua" w:hint="eastAsia"/>
          <w:color w:val="000000"/>
          <w:lang w:eastAsia="zh-CN"/>
        </w:rPr>
        <w:t>L</w:t>
      </w:r>
      <w:r>
        <w:rPr>
          <w:rFonts w:ascii="Book Antiqua" w:eastAsia="Book Antiqua" w:hAnsi="Book Antiqua" w:cs="Book Antiqua"/>
          <w:color w:val="000000"/>
        </w:rPr>
        <w:t xml:space="preserve">ong-term history of proton pump inhibitor administration; </w:t>
      </w:r>
      <w:r>
        <w:rPr>
          <w:rFonts w:ascii="Book Antiqua" w:hAnsi="Book Antiqua" w:cs="Book Antiqua" w:hint="eastAsia"/>
          <w:color w:val="000000"/>
          <w:lang w:eastAsia="zh-CN"/>
        </w:rPr>
        <w:t>and (</w:t>
      </w:r>
      <w:r>
        <w:rPr>
          <w:rFonts w:ascii="Book Antiqua" w:eastAsia="Book Antiqua" w:hAnsi="Book Antiqua" w:cs="Book Antiqua"/>
          <w:color w:val="000000"/>
        </w:rPr>
        <w:t xml:space="preserve">11) </w:t>
      </w:r>
      <w:r>
        <w:rPr>
          <w:rFonts w:ascii="Book Antiqua" w:hAnsi="Book Antiqua" w:cs="Book Antiqua" w:hint="eastAsia"/>
          <w:color w:val="000000"/>
          <w:lang w:eastAsia="zh-CN"/>
        </w:rPr>
        <w:t>D</w:t>
      </w:r>
      <w:r>
        <w:rPr>
          <w:rFonts w:ascii="Book Antiqua" w:eastAsia="Book Antiqua" w:hAnsi="Book Antiqua" w:cs="Book Antiqua"/>
          <w:color w:val="000000"/>
        </w:rPr>
        <w:t xml:space="preserve">iagnosis of gastrinoma. A total of 199 patients were enrolled meeting </w:t>
      </w:r>
      <w:r w:rsidR="00A54753">
        <w:rPr>
          <w:rFonts w:ascii="Book Antiqua" w:eastAsia="Book Antiqua" w:hAnsi="Book Antiqua" w:cs="Book Antiqua"/>
          <w:color w:val="000000"/>
        </w:rPr>
        <w:t xml:space="preserve">the </w:t>
      </w:r>
      <w:r>
        <w:rPr>
          <w:rFonts w:ascii="Book Antiqua" w:eastAsia="Book Antiqua" w:hAnsi="Book Antiqua" w:cs="Book Antiqua"/>
          <w:color w:val="000000"/>
        </w:rPr>
        <w:t xml:space="preserve">inclusion and exclusion criteria, including 138 males and 61 females </w:t>
      </w:r>
      <w:r w:rsidR="00A54753">
        <w:rPr>
          <w:rFonts w:ascii="Book Antiqua" w:eastAsia="Book Antiqua" w:hAnsi="Book Antiqua" w:cs="Book Antiqua"/>
          <w:color w:val="000000"/>
        </w:rPr>
        <w:t>with a</w:t>
      </w:r>
      <w:r>
        <w:rPr>
          <w:rFonts w:ascii="Book Antiqua" w:eastAsia="Book Antiqua" w:hAnsi="Book Antiqua" w:cs="Book Antiqua"/>
          <w:color w:val="000000"/>
        </w:rPr>
        <w:t xml:space="preserve"> mean age </w:t>
      </w:r>
      <w:r w:rsidR="00A54753">
        <w:rPr>
          <w:rFonts w:ascii="Book Antiqua" w:eastAsia="Book Antiqua" w:hAnsi="Book Antiqua" w:cs="Book Antiqua"/>
          <w:color w:val="000000"/>
        </w:rPr>
        <w:t xml:space="preserve">of </w:t>
      </w:r>
      <w:r>
        <w:rPr>
          <w:rFonts w:ascii="Book Antiqua" w:eastAsia="Book Antiqua" w:hAnsi="Book Antiqua" w:cs="Book Antiqua"/>
          <w:color w:val="000000"/>
        </w:rPr>
        <w:t>50.43 ± 16.16 years. Among these patients, 107 had peptic ulcer without bleeding</w:t>
      </w:r>
      <w:r>
        <w:rPr>
          <w:rFonts w:ascii="Book Antiqua" w:hAnsi="Book Antiqua" w:cs="Book Antiqua" w:hint="eastAsia"/>
          <w:color w:val="000000"/>
          <w:lang w:eastAsia="zh-CN"/>
        </w:rPr>
        <w:t xml:space="preserve"> </w:t>
      </w:r>
      <w:r>
        <w:rPr>
          <w:rFonts w:ascii="Book Antiqua" w:eastAsia="Book Antiqua" w:hAnsi="Book Antiqua" w:cs="Book Antiqua"/>
          <w:color w:val="000000"/>
        </w:rPr>
        <w:t>[75 males and 32 females, mean age 52.6 ± 14.7 years], including 49 cases of duodenal ulcer, 45 of gastric ulcer, and 13 cases of complex ulcer. The other 92 patients were diagnosed with peptic ulcer complicated by upper gastrointestinal bleeding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[63 males and 29 females, </w:t>
      </w:r>
      <w:r w:rsidR="000A58B8">
        <w:rPr>
          <w:rFonts w:ascii="Book Antiqua" w:eastAsia="Book Antiqua" w:hAnsi="Book Antiqua" w:cs="Book Antiqua"/>
          <w:color w:val="000000"/>
        </w:rPr>
        <w:t>mean</w:t>
      </w:r>
      <w:r>
        <w:rPr>
          <w:rFonts w:ascii="Book Antiqua" w:eastAsia="Book Antiqua" w:hAnsi="Book Antiqua" w:cs="Book Antiqua"/>
          <w:color w:val="000000"/>
        </w:rPr>
        <w:t xml:space="preserve"> age 47.9 ± 17.4 years], including 64 cases of duodenal ulcer, 20 cases of gastric ulcer, and 8 cases of complex ulcer. Patients with gastric ulcer or complex ulcer received routine pathological examination to exclude the possibility of high-grade neoplasia or malignancy, whereas those with duodenal ulcer with or without bleeding did not undergo routine pathological examination. All patients were confirmed </w:t>
      </w:r>
      <w:r w:rsidR="00A54753">
        <w:rPr>
          <w:rFonts w:ascii="Book Antiqua" w:eastAsia="Book Antiqua" w:hAnsi="Book Antiqua" w:cs="Book Antiqua"/>
          <w:color w:val="000000"/>
        </w:rPr>
        <w:t xml:space="preserve">to be </w:t>
      </w:r>
      <w:r>
        <w:rPr>
          <w:rFonts w:ascii="Book Antiqua" w:eastAsia="Book Antiqua" w:hAnsi="Book Antiqua" w:cs="Book Antiqua"/>
          <w:color w:val="000000"/>
        </w:rPr>
        <w:t>HP–positive by</w:t>
      </w:r>
      <w:r w:rsidR="00A54753">
        <w:rPr>
          <w:rFonts w:ascii="Book Antiqua" w:eastAsia="Book Antiqua" w:hAnsi="Book Antiqua" w:cs="Book Antiqua"/>
          <w:color w:val="000000"/>
        </w:rPr>
        <w:t xml:space="preserve"> the</w:t>
      </w:r>
      <w:r w:rsidRPr="00C014E3">
        <w:rPr>
          <w:rFonts w:ascii="Book Antiqua" w:eastAsia="宋体" w:hAnsi="Book Antiqua" w:cs="Book Antiqua"/>
          <w:color w:val="000000"/>
          <w:vertAlign w:val="superscript"/>
          <w:lang w:eastAsia="zh-CN"/>
        </w:rPr>
        <w:t xml:space="preserve"> 14</w:t>
      </w:r>
      <w:r>
        <w:rPr>
          <w:rFonts w:ascii="Book Antiqua" w:eastAsia="宋体" w:hAnsi="Book Antiqua" w:cs="Book Antiqua" w:hint="eastAsia"/>
          <w:color w:val="000000"/>
          <w:lang w:eastAsia="zh-CN"/>
        </w:rPr>
        <w:t>C</w:t>
      </w:r>
      <w:r>
        <w:rPr>
          <w:rFonts w:ascii="Book Antiqua" w:eastAsia="Book Antiqua" w:hAnsi="Book Antiqua" w:cs="Book Antiqua"/>
          <w:color w:val="000000"/>
        </w:rPr>
        <w:t>-urea breath test. Patients with peptic ulcer complicated by bleeding were significantly younger than patients with peptic ulcer alone (47.9</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17.4 </w:t>
      </w:r>
      <w:r>
        <w:rPr>
          <w:rFonts w:ascii="Book Antiqua" w:eastAsia="Book Antiqua" w:hAnsi="Book Antiqua" w:cs="Book Antiqua"/>
          <w:i/>
          <w:color w:val="000000"/>
        </w:rPr>
        <w:t>vs</w:t>
      </w:r>
      <w:r>
        <w:rPr>
          <w:rFonts w:ascii="Book Antiqua" w:eastAsia="Book Antiqua" w:hAnsi="Book Antiqua" w:cs="Book Antiqua"/>
          <w:color w:val="000000"/>
        </w:rPr>
        <w:t xml:space="preserve"> 52.61 ± 14.74,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 0.040), whereas the sex ratio did not significantly differ between </w:t>
      </w:r>
      <w:r w:rsidR="00A54753">
        <w:rPr>
          <w:rFonts w:ascii="Book Antiqua" w:eastAsia="Book Antiqua" w:hAnsi="Book Antiqua" w:cs="Book Antiqua"/>
          <w:color w:val="000000"/>
        </w:rPr>
        <w:t xml:space="preserve">the </w:t>
      </w:r>
      <w:r>
        <w:rPr>
          <w:rFonts w:ascii="Book Antiqua" w:eastAsia="Book Antiqua" w:hAnsi="Book Antiqua" w:cs="Book Antiqua"/>
          <w:color w:val="000000"/>
        </w:rPr>
        <w:t>groups (Table 1).</w:t>
      </w:r>
    </w:p>
    <w:p w14:paraId="67C104DA" w14:textId="77777777" w:rsidR="001E2528" w:rsidRDefault="001E2528">
      <w:pPr>
        <w:spacing w:line="360" w:lineRule="auto"/>
        <w:jc w:val="both"/>
        <w:rPr>
          <w:rFonts w:ascii="Book Antiqua" w:hAnsi="Book Antiqua"/>
        </w:rPr>
      </w:pPr>
    </w:p>
    <w:p w14:paraId="72E40851" w14:textId="77777777" w:rsidR="001E2528" w:rsidRDefault="006E34CF">
      <w:pPr>
        <w:spacing w:line="360" w:lineRule="auto"/>
        <w:jc w:val="both"/>
        <w:rPr>
          <w:rFonts w:ascii="Book Antiqua" w:hAnsi="Book Antiqua"/>
        </w:rPr>
      </w:pPr>
      <w:r>
        <w:rPr>
          <w:rFonts w:ascii="Book Antiqua" w:eastAsia="Book Antiqua" w:hAnsi="Book Antiqua" w:cs="Book Antiqua"/>
          <w:b/>
          <w:bCs/>
          <w:i/>
          <w:iCs/>
          <w:color w:val="000000"/>
        </w:rPr>
        <w:t>Blood sample collection, processing, and hormone detection</w:t>
      </w:r>
    </w:p>
    <w:p w14:paraId="3120058F" w14:textId="4521F20C"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Approximately 5 mL of fasting </w:t>
      </w:r>
      <w:r w:rsidR="00887D46">
        <w:rPr>
          <w:rFonts w:ascii="Book Antiqua" w:eastAsia="Book Antiqua" w:hAnsi="Book Antiqua" w:cs="Book Antiqua"/>
          <w:color w:val="000000"/>
        </w:rPr>
        <w:t>(</w:t>
      </w:r>
      <w:r>
        <w:rPr>
          <w:rFonts w:ascii="Book Antiqua" w:eastAsia="宋体" w:hAnsi="Book Antiqua" w:cs="Book Antiqua" w:hint="eastAsia"/>
          <w:color w:val="000000"/>
          <w:lang w:eastAsia="zh-CN"/>
        </w:rPr>
        <w:t>for about 6 h</w:t>
      </w:r>
      <w:r w:rsidR="00887D46">
        <w:rPr>
          <w:rFonts w:ascii="Book Antiqua" w:eastAsia="宋体" w:hAnsi="Book Antiqua" w:cs="Book Antiqua" w:hint="eastAsia"/>
          <w:color w:val="000000"/>
          <w:lang w:eastAsia="zh-CN"/>
        </w:rPr>
        <w:t>)</w:t>
      </w:r>
      <w:r w:rsidR="00887D46">
        <w:rPr>
          <w:rFonts w:ascii="Book Antiqua" w:eastAsia="宋体" w:hAnsi="Book Antiqua" w:cs="Book Antiqua"/>
          <w:color w:val="000000"/>
          <w:lang w:eastAsia="zh-CN"/>
        </w:rPr>
        <w:t xml:space="preserve"> </w:t>
      </w:r>
      <w:r>
        <w:rPr>
          <w:rFonts w:ascii="Book Antiqua" w:eastAsia="Book Antiqua" w:hAnsi="Book Antiqua" w:cs="Book Antiqua"/>
          <w:color w:val="000000"/>
        </w:rPr>
        <w:t>blood was collected, and the serum was separated for subsequent immunofluorescence measurements of PGI, PGII, and G-17. A serum pepsinogen</w:t>
      </w:r>
      <w:r>
        <w:rPr>
          <w:rFonts w:ascii="Book Antiqua" w:eastAsia="宋体" w:hAnsi="Book Antiqua" w:cs="Book Antiqua" w:hint="eastAsia"/>
          <w:color w:val="000000"/>
          <w:lang w:eastAsia="zh-CN"/>
        </w:rPr>
        <w:t xml:space="preserve"> and G-17</w:t>
      </w:r>
      <w:r>
        <w:rPr>
          <w:rFonts w:ascii="Book Antiqua" w:eastAsia="Book Antiqua" w:hAnsi="Book Antiqua" w:cs="Book Antiqua"/>
          <w:color w:val="000000"/>
        </w:rPr>
        <w:t xml:space="preserve"> kit was purchased from BIOHIT Healthcare (Hefei) and a microplate reader from Anthos Labtec Instruments (Austria).</w:t>
      </w:r>
    </w:p>
    <w:p w14:paraId="34821BC9" w14:textId="77777777" w:rsidR="001E2528" w:rsidRDefault="001E2528">
      <w:pPr>
        <w:spacing w:line="360" w:lineRule="auto"/>
        <w:jc w:val="both"/>
        <w:rPr>
          <w:rFonts w:ascii="Book Antiqua" w:hAnsi="Book Antiqua"/>
        </w:rPr>
      </w:pPr>
    </w:p>
    <w:p w14:paraId="7E70C9E1" w14:textId="77777777" w:rsidR="001E2528" w:rsidRDefault="006E34CF">
      <w:pPr>
        <w:spacing w:line="360" w:lineRule="auto"/>
        <w:jc w:val="both"/>
        <w:rPr>
          <w:rFonts w:ascii="Book Antiqua" w:hAnsi="Book Antiqua"/>
        </w:rPr>
      </w:pPr>
      <w:r>
        <w:rPr>
          <w:rFonts w:ascii="Book Antiqua" w:eastAsia="Book Antiqua" w:hAnsi="Book Antiqua" w:cs="Book Antiqua"/>
          <w:b/>
          <w:bCs/>
          <w:i/>
          <w:iCs/>
          <w:color w:val="000000"/>
        </w:rPr>
        <w:t>Reference ranges of PGI, PGII, PGR and G-17</w:t>
      </w:r>
    </w:p>
    <w:p w14:paraId="47FDB11A" w14:textId="1FA554E7" w:rsidR="001E2528" w:rsidRDefault="006E34CF">
      <w:pPr>
        <w:spacing w:line="360" w:lineRule="auto"/>
        <w:jc w:val="both"/>
        <w:rPr>
          <w:rFonts w:ascii="Book Antiqua" w:hAnsi="Book Antiqua"/>
        </w:rPr>
      </w:pPr>
      <w:r>
        <w:rPr>
          <w:rFonts w:ascii="Book Antiqua" w:eastAsia="Book Antiqua" w:hAnsi="Book Antiqua" w:cs="Book Antiqua"/>
          <w:color w:val="000000"/>
        </w:rPr>
        <w:lastRenderedPageBreak/>
        <w:t>The reference ranges of these concentrations are as follows: PGI, 70–165 μg/L; PGII, 3–15 μg/L; PGR, 7%</w:t>
      </w:r>
      <w:r>
        <w:rPr>
          <w:rFonts w:ascii="Book Antiqua" w:hAnsi="Book Antiqua" w:cs="Book Antiqua" w:hint="eastAsia"/>
          <w:color w:val="000000"/>
          <w:lang w:eastAsia="zh-CN"/>
        </w:rPr>
        <w:t>-</w:t>
      </w:r>
      <w:r>
        <w:rPr>
          <w:rFonts w:ascii="Book Antiqua" w:eastAsia="Book Antiqua" w:hAnsi="Book Antiqua" w:cs="Book Antiqua"/>
          <w:color w:val="000000"/>
        </w:rPr>
        <w:t>20%; G-17, 1</w:t>
      </w:r>
      <w:r>
        <w:rPr>
          <w:rFonts w:ascii="Book Antiqua" w:hAnsi="Book Antiqua" w:cs="Book Antiqua" w:hint="eastAsia"/>
          <w:color w:val="000000"/>
          <w:lang w:eastAsia="zh-CN"/>
        </w:rPr>
        <w:t>-</w:t>
      </w:r>
      <w:r>
        <w:rPr>
          <w:rFonts w:ascii="Book Antiqua" w:eastAsia="Book Antiqua" w:hAnsi="Book Antiqua" w:cs="Book Antiqua"/>
          <w:color w:val="000000"/>
        </w:rPr>
        <w:t>15 pmol/L. Serum PGI &gt;</w:t>
      </w:r>
      <w:r>
        <w:rPr>
          <w:rFonts w:ascii="Book Antiqua" w:hAnsi="Book Antiqua" w:cs="Book Antiqua" w:hint="eastAsia"/>
          <w:color w:val="000000"/>
          <w:lang w:eastAsia="zh-CN"/>
        </w:rPr>
        <w:t xml:space="preserve"> </w:t>
      </w:r>
      <w:r>
        <w:rPr>
          <w:rFonts w:ascii="Book Antiqua" w:eastAsia="Book Antiqua" w:hAnsi="Book Antiqua" w:cs="Book Antiqua"/>
          <w:color w:val="000000"/>
        </w:rPr>
        <w:t>165 μg/L, serum PGII &gt;15 μg/L</w:t>
      </w:r>
      <w:r w:rsidR="00A54753">
        <w:rPr>
          <w:rFonts w:ascii="Book Antiqua" w:eastAsia="Book Antiqua" w:hAnsi="Book Antiqua" w:cs="Book Antiqua"/>
          <w:color w:val="000000"/>
        </w:rPr>
        <w:t>,</w:t>
      </w:r>
      <w:r>
        <w:rPr>
          <w:rFonts w:ascii="Book Antiqua" w:eastAsia="Book Antiqua" w:hAnsi="Book Antiqua" w:cs="Book Antiqua"/>
          <w:color w:val="000000"/>
        </w:rPr>
        <w:t xml:space="preserve"> PGR &gt;</w:t>
      </w:r>
      <w:r>
        <w:rPr>
          <w:rFonts w:ascii="Book Antiqua" w:hAnsi="Book Antiqua" w:cs="Book Antiqua" w:hint="eastAsia"/>
          <w:color w:val="000000"/>
          <w:lang w:eastAsia="zh-CN"/>
        </w:rPr>
        <w:t xml:space="preserve"> </w:t>
      </w:r>
      <w:r>
        <w:rPr>
          <w:rFonts w:ascii="Book Antiqua" w:eastAsia="Book Antiqua" w:hAnsi="Book Antiqua" w:cs="Book Antiqua"/>
          <w:color w:val="000000"/>
        </w:rPr>
        <w:t>20, and G17 &gt;</w:t>
      </w:r>
      <w:r>
        <w:rPr>
          <w:rFonts w:ascii="Book Antiqua" w:hAnsi="Book Antiqua" w:cs="Book Antiqua" w:hint="eastAsia"/>
          <w:color w:val="000000"/>
          <w:lang w:eastAsia="zh-CN"/>
        </w:rPr>
        <w:t xml:space="preserve"> </w:t>
      </w:r>
      <w:r>
        <w:rPr>
          <w:rFonts w:ascii="Book Antiqua" w:eastAsia="Book Antiqua" w:hAnsi="Book Antiqua" w:cs="Book Antiqua"/>
          <w:color w:val="000000"/>
        </w:rPr>
        <w:t>15 pmol/L were regarded as elevated.</w:t>
      </w:r>
    </w:p>
    <w:p w14:paraId="6A800FBB" w14:textId="77777777" w:rsidR="001E2528" w:rsidRDefault="001E2528">
      <w:pPr>
        <w:spacing w:line="360" w:lineRule="auto"/>
        <w:jc w:val="both"/>
        <w:rPr>
          <w:rFonts w:ascii="Book Antiqua" w:hAnsi="Book Antiqua"/>
        </w:rPr>
      </w:pPr>
    </w:p>
    <w:p w14:paraId="4DE8583E" w14:textId="77777777" w:rsidR="001E2528" w:rsidRDefault="006E34CF">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658E1E29" w14:textId="24B6D6F8" w:rsidR="001E2528" w:rsidRDefault="006E34CF">
      <w:pPr>
        <w:spacing w:line="360" w:lineRule="auto"/>
        <w:jc w:val="both"/>
        <w:rPr>
          <w:rFonts w:ascii="Book Antiqua" w:hAnsi="Book Antiqua"/>
        </w:rPr>
      </w:pPr>
      <w:r>
        <w:rPr>
          <w:rFonts w:ascii="Book Antiqua" w:eastAsia="Book Antiqua" w:hAnsi="Book Antiqua" w:cs="Book Antiqua"/>
          <w:color w:val="000000"/>
        </w:rPr>
        <w:t>All statistical analyses were conducted using SPSS16.0 (SPSS Inc., Chicago, IL</w:t>
      </w:r>
      <w:r w:rsidR="00887D46">
        <w:rPr>
          <w:rFonts w:ascii="Book Antiqua" w:eastAsia="Book Antiqua" w:hAnsi="Book Antiqua" w:cs="Book Antiqua"/>
          <w:color w:val="000000"/>
        </w:rPr>
        <w:t>, United States</w:t>
      </w:r>
      <w:r>
        <w:rPr>
          <w:rFonts w:ascii="Book Antiqua" w:eastAsia="Book Antiqua" w:hAnsi="Book Antiqua" w:cs="Book Antiqua"/>
          <w:color w:val="000000"/>
        </w:rPr>
        <w:t>). The serum levels of PGI, PGII, G-17, and PGR were compared between bleeding and non-bleeding groups by independent samples</w:t>
      </w:r>
      <w:r>
        <w:rPr>
          <w:rFonts w:ascii="Book Antiqua" w:eastAsia="Book Antiqua" w:hAnsi="Book Antiqua" w:cs="Book Antiqua"/>
          <w:i/>
          <w:iCs/>
          <w:color w:val="000000"/>
        </w:rPr>
        <w:t xml:space="preserve"> t</w:t>
      </w:r>
      <w:r>
        <w:rPr>
          <w:rFonts w:ascii="Book Antiqua" w:eastAsia="Book Antiqua" w:hAnsi="Book Antiqua" w:cs="Book Antiqua"/>
          <w:color w:val="000000"/>
        </w:rPr>
        <w:t>-test. The proportions of peptic ulcer cases complicated by bleeding were compared between patient subgroups stratified according to upper-range cut-offs (</w:t>
      </w:r>
      <w:r w:rsidRPr="00B604B3">
        <w:rPr>
          <w:rFonts w:ascii="Book Antiqua" w:eastAsia="Book Antiqua" w:hAnsi="Book Antiqua" w:cs="Book Antiqua"/>
          <w:i/>
          <w:color w:val="000000"/>
        </w:rPr>
        <w:t>e.g</w:t>
      </w:r>
      <w:r>
        <w:rPr>
          <w:rFonts w:ascii="Book Antiqua" w:eastAsia="Book Antiqua" w:hAnsi="Book Antiqua" w:cs="Book Antiqua"/>
          <w:color w:val="000000"/>
        </w:rPr>
        <w:t>., greater or less than 15 pmol/L for G-17) by</w:t>
      </w:r>
      <w:r w:rsidR="00A54753">
        <w:rPr>
          <w:rFonts w:ascii="Book Antiqua" w:eastAsia="Book Antiqua" w:hAnsi="Book Antiqua" w:cs="Book Antiqua"/>
          <w:color w:val="000000"/>
        </w:rPr>
        <w:t xml:space="preserve"> the</w:t>
      </w:r>
      <w:r>
        <w:rPr>
          <w:rFonts w:ascii="Book Antiqua" w:eastAsia="Book Antiqua" w:hAnsi="Book Antiqua" w:cs="Book Antiqua"/>
          <w:i/>
          <w:iCs/>
          <w:color w:val="000000"/>
        </w:rPr>
        <w:t xml:space="preserve"> Chi</w:t>
      </w:r>
      <w:r>
        <w:rPr>
          <w:rFonts w:ascii="Book Antiqua" w:eastAsia="Book Antiqua" w:hAnsi="Book Antiqua" w:cs="Book Antiqua"/>
          <w:color w:val="000000"/>
        </w:rPr>
        <w:t xml:space="preserve">-square test. The efficacy of G-17 for predicting bleeding complication was assessed by ROC curve analysis. A </w:t>
      </w:r>
      <w:r>
        <w:rPr>
          <w:rFonts w:ascii="Book Antiqua" w:hAnsi="Book Antiqua" w:cs="Book Antiqua" w:hint="eastAsia"/>
          <w:i/>
          <w:iCs/>
          <w:color w:val="000000"/>
          <w:lang w:eastAsia="zh-CN"/>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&lt; 0.05 (two-tailed) was considered statistically significant for all tests.</w:t>
      </w:r>
    </w:p>
    <w:p w14:paraId="1827EA5B" w14:textId="77777777" w:rsidR="001E2528" w:rsidRDefault="001E2528">
      <w:pPr>
        <w:spacing w:line="360" w:lineRule="auto"/>
        <w:jc w:val="both"/>
        <w:rPr>
          <w:rFonts w:ascii="Book Antiqua" w:hAnsi="Book Antiqua"/>
        </w:rPr>
      </w:pPr>
    </w:p>
    <w:p w14:paraId="4E566845" w14:textId="77777777" w:rsidR="001E2528" w:rsidRDefault="006E34CF">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63EAF648" w14:textId="0031B2C4" w:rsidR="001E2528" w:rsidRDefault="006E34CF">
      <w:pPr>
        <w:spacing w:line="360" w:lineRule="auto"/>
        <w:jc w:val="both"/>
        <w:rPr>
          <w:rFonts w:ascii="Book Antiqua" w:hAnsi="Book Antiqua"/>
        </w:rPr>
      </w:pPr>
      <w:r>
        <w:rPr>
          <w:rFonts w:ascii="Book Antiqua" w:eastAsia="宋体" w:hAnsi="Book Antiqua" w:cs="Book Antiqua" w:hint="eastAsia"/>
          <w:b/>
          <w:bCs/>
          <w:i/>
          <w:iCs/>
          <w:color w:val="000000"/>
          <w:lang w:eastAsia="zh-CN"/>
        </w:rPr>
        <w:t xml:space="preserve">Elevated </w:t>
      </w:r>
      <w:r>
        <w:rPr>
          <w:rFonts w:ascii="Book Antiqua" w:eastAsia="Book Antiqua" w:hAnsi="Book Antiqua" w:cs="Book Antiqua"/>
          <w:b/>
          <w:bCs/>
          <w:i/>
          <w:iCs/>
          <w:color w:val="000000"/>
        </w:rPr>
        <w:t xml:space="preserve">serum G-17 in peptic ulcer patients with bleeding </w:t>
      </w:r>
    </w:p>
    <w:p w14:paraId="47F7127B" w14:textId="600F59E0" w:rsidR="001E2528" w:rsidRDefault="006E34CF">
      <w:pPr>
        <w:spacing w:line="360" w:lineRule="auto"/>
        <w:jc w:val="both"/>
        <w:rPr>
          <w:rFonts w:ascii="Book Antiqua" w:hAnsi="Book Antiqua"/>
        </w:rPr>
      </w:pPr>
      <w:r>
        <w:rPr>
          <w:rFonts w:ascii="Book Antiqua" w:eastAsia="Book Antiqua" w:hAnsi="Book Antiqua" w:cs="Book Antiqua"/>
          <w:color w:val="000000"/>
        </w:rPr>
        <w:t>Serum G-17 concentration was significantly higher in peptic ulcer patients with upper gastrointestinal bleeding compared to non-bleeding patients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 9.822, </w:t>
      </w:r>
      <w:r>
        <w:rPr>
          <w:rFonts w:ascii="Book Antiqua" w:hAnsi="Book Antiqua" w:cs="Book Antiqua" w:hint="eastAsia"/>
          <w:i/>
          <w:iCs/>
          <w:color w:val="000000"/>
          <w:lang w:eastAsia="zh-CN"/>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&lt; 0.01) (</w:t>
      </w:r>
      <w:r>
        <w:rPr>
          <w:rFonts w:ascii="Book Antiqua" w:eastAsia="Book Antiqua" w:hAnsi="Book Antiqua" w:cs="Book Antiqua"/>
          <w:bCs/>
          <w:color w:val="000000"/>
        </w:rPr>
        <w:t>Table 2</w:t>
      </w:r>
      <w:r>
        <w:rPr>
          <w:rFonts w:ascii="Book Antiqua" w:eastAsia="Book Antiqua" w:hAnsi="Book Antiqua" w:cs="Book Antiqua"/>
          <w:color w:val="000000"/>
        </w:rPr>
        <w:t>). Further</w:t>
      </w:r>
      <w:r w:rsidR="00A54753">
        <w:rPr>
          <w:rFonts w:ascii="Book Antiqua" w:eastAsia="Book Antiqua" w:hAnsi="Book Antiqua" w:cs="Book Antiqua"/>
          <w:color w:val="000000"/>
        </w:rPr>
        <w:t>more</w:t>
      </w:r>
      <w:r>
        <w:rPr>
          <w:rFonts w:ascii="Book Antiqua" w:eastAsia="Book Antiqua" w:hAnsi="Book Antiqua" w:cs="Book Antiqua"/>
          <w:color w:val="000000"/>
        </w:rPr>
        <w:t xml:space="preserve">, serum G-17 was also significantly higher in gastric ulcer (GU) patients with bleeding and duodenal ulcer (DU) patients with bleeding compared to corresponding non-bleeding subgroups (both </w:t>
      </w:r>
      <w:r>
        <w:rPr>
          <w:rFonts w:ascii="Book Antiqua" w:hAnsi="Book Antiqua" w:cs="Book Antiqua" w:hint="eastAsia"/>
          <w:i/>
          <w:iCs/>
          <w:color w:val="000000"/>
          <w:lang w:eastAsia="zh-CN"/>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&lt; 0.01). Serum G-17 was slightly higher in DU patients without bleeding compared to GU patients without bleeding (</w:t>
      </w:r>
      <w:r>
        <w:rPr>
          <w:rFonts w:ascii="Book Antiqua" w:hAnsi="Book Antiqua" w:cs="Book Antiqua" w:hint="eastAsia"/>
          <w:i/>
          <w:iCs/>
          <w:color w:val="000000"/>
          <w:lang w:eastAsia="zh-CN"/>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0.209), but did not differ between GU patients with bleeding and DU patients with bleeding (</w:t>
      </w:r>
      <w:r>
        <w:rPr>
          <w:rFonts w:ascii="Book Antiqua" w:hAnsi="Book Antiqua" w:cs="Book Antiqua" w:hint="eastAsia"/>
          <w:i/>
          <w:iCs/>
          <w:color w:val="000000"/>
          <w:lang w:eastAsia="zh-CN"/>
        </w:rPr>
        <w:t xml:space="preserve">P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0.940). Serum G-17 was also higher among patients with complex ulcer (CU) complicated by bleeding compared to patients with CU alone, but again the difference did not reach significance (</w:t>
      </w:r>
      <w:r>
        <w:rPr>
          <w:rFonts w:ascii="Book Antiqua" w:hAnsi="Book Antiqua" w:cs="Book Antiqua" w:hint="eastAsia"/>
          <w:i/>
          <w:iCs/>
          <w:color w:val="000000"/>
          <w:lang w:eastAsia="zh-CN"/>
        </w:rPr>
        <w:t xml:space="preserve">P </w:t>
      </w:r>
      <w:r>
        <w:rPr>
          <w:rFonts w:ascii="Book Antiqua" w:eastAsia="Book Antiqua" w:hAnsi="Book Antiqua" w:cs="Book Antiqua"/>
          <w:color w:val="000000"/>
        </w:rPr>
        <w:t>&gt;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In contrast to G-17, there were no significant differences in serum PGI, PGII, and PGR between </w:t>
      </w:r>
      <w:r w:rsidR="00A54753">
        <w:rPr>
          <w:rFonts w:ascii="Book Antiqua" w:eastAsia="Book Antiqua" w:hAnsi="Book Antiqua" w:cs="Book Antiqua"/>
          <w:color w:val="000000"/>
        </w:rPr>
        <w:t xml:space="preserve">the </w:t>
      </w:r>
      <w:r>
        <w:rPr>
          <w:rFonts w:ascii="Book Antiqua" w:eastAsia="Book Antiqua" w:hAnsi="Book Antiqua" w:cs="Book Antiqua"/>
          <w:color w:val="000000"/>
        </w:rPr>
        <w:t xml:space="preserve">bleeding and non-bleeding subgroups (all </w:t>
      </w:r>
      <w:r>
        <w:rPr>
          <w:rFonts w:ascii="Book Antiqua" w:hAnsi="Book Antiqua" w:cs="Book Antiqua" w:hint="eastAsia"/>
          <w:i/>
          <w:iCs/>
          <w:color w:val="000000"/>
          <w:lang w:eastAsia="zh-CN"/>
        </w:rPr>
        <w:t xml:space="preserve">P </w:t>
      </w:r>
      <w:r>
        <w:rPr>
          <w:rFonts w:ascii="Book Antiqua" w:eastAsia="Book Antiqua" w:hAnsi="Book Antiqua" w:cs="Book Antiqua"/>
          <w:color w:val="000000"/>
        </w:rPr>
        <w:t>&gt;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t>
      </w:r>
      <w:r>
        <w:rPr>
          <w:rFonts w:ascii="Book Antiqua" w:eastAsia="Book Antiqua" w:hAnsi="Book Antiqua" w:cs="Book Antiqua"/>
          <w:bCs/>
          <w:color w:val="000000"/>
        </w:rPr>
        <w:t>Table 2</w:t>
      </w:r>
      <w:r>
        <w:rPr>
          <w:rFonts w:ascii="Book Antiqua" w:eastAsia="Book Antiqua" w:hAnsi="Book Antiqua" w:cs="Book Antiqua"/>
          <w:color w:val="000000"/>
        </w:rPr>
        <w:t>). Thus, serum G-17 (but not PGI, PGII, or PGR) may be useful for distinguishing bleeding from non-bleeding peptic ulcer patients.</w:t>
      </w:r>
    </w:p>
    <w:p w14:paraId="6C8CC8DB" w14:textId="77777777" w:rsidR="001E2528" w:rsidRDefault="001E2528">
      <w:pPr>
        <w:spacing w:line="360" w:lineRule="auto"/>
        <w:jc w:val="both"/>
        <w:rPr>
          <w:rFonts w:ascii="Book Antiqua" w:hAnsi="Book Antiqua"/>
        </w:rPr>
      </w:pPr>
    </w:p>
    <w:p w14:paraId="70026108" w14:textId="77777777" w:rsidR="001E2528" w:rsidRDefault="006E34CF">
      <w:pPr>
        <w:spacing w:line="360" w:lineRule="auto"/>
        <w:jc w:val="both"/>
        <w:rPr>
          <w:rFonts w:ascii="Book Antiqua" w:hAnsi="Book Antiqua"/>
        </w:rPr>
      </w:pPr>
      <w:r>
        <w:rPr>
          <w:rFonts w:ascii="Book Antiqua" w:eastAsia="Book Antiqua" w:hAnsi="Book Antiqua" w:cs="Book Antiqua"/>
          <w:b/>
          <w:bCs/>
          <w:i/>
          <w:iCs/>
          <w:color w:val="000000"/>
        </w:rPr>
        <w:t xml:space="preserve">Association between serum G-17 </w:t>
      </w:r>
      <w:r>
        <w:rPr>
          <w:rFonts w:ascii="Book Antiqua" w:hAnsi="Book Antiqua" w:cs="Book Antiqua" w:hint="eastAsia"/>
          <w:b/>
          <w:bCs/>
          <w:i/>
          <w:iCs/>
          <w:color w:val="000000"/>
          <w:lang w:eastAsia="zh-CN"/>
        </w:rPr>
        <w:t>l</w:t>
      </w:r>
      <w:r>
        <w:rPr>
          <w:rFonts w:ascii="Book Antiqua" w:eastAsia="Book Antiqua" w:hAnsi="Book Antiqua" w:cs="Book Antiqua"/>
          <w:b/>
          <w:bCs/>
          <w:i/>
          <w:iCs/>
          <w:color w:val="000000"/>
        </w:rPr>
        <w:t>evel and bleeding risk</w:t>
      </w:r>
    </w:p>
    <w:p w14:paraId="26516A44"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Serum G-17 ranging from 1 to 15 pmol/L is considered normal. Therefore, we first compared bleeding incidence between peptic ulcer patients stratified by a serum G-17 cut-off of 15 pmol/L. Among peptic ulcer patients with serum G-17 &gt; 15 pmol/L, approximately 73.2% exhibited bleeding compared to only 27.4% of patients with serum G-17 &lt; 15 pmol/L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40.72, </w:t>
      </w:r>
      <w:r>
        <w:rPr>
          <w:rFonts w:ascii="Book Antiqua" w:hAnsi="Book Antiqua" w:cs="Book Antiqua" w:hint="eastAsia"/>
          <w:i/>
          <w:iCs/>
          <w:color w:val="000000"/>
          <w:lang w:eastAsia="zh-CN"/>
        </w:rPr>
        <w:t>P</w:t>
      </w:r>
      <w:r>
        <w:rPr>
          <w:rFonts w:ascii="Book Antiqua" w:eastAsia="Book Antiqua" w:hAnsi="Book Antiqua" w:cs="Book Antiqua"/>
          <w:color w:val="000000"/>
        </w:rPr>
        <w:t>&lt;0.01) (</w:t>
      </w:r>
      <w:r>
        <w:rPr>
          <w:rFonts w:ascii="Book Antiqua" w:eastAsia="Book Antiqua" w:hAnsi="Book Antiqua" w:cs="Book Antiqua"/>
          <w:bCs/>
          <w:color w:val="000000"/>
        </w:rPr>
        <w:t>Table 3</w:t>
      </w:r>
      <w:r>
        <w:rPr>
          <w:rFonts w:ascii="Book Antiqua" w:eastAsia="Book Antiqua" w:hAnsi="Book Antiqua" w:cs="Book Antiqua"/>
          <w:color w:val="000000"/>
        </w:rPr>
        <w:t>). In contrast, the proportions of bleeding cases did not differ between groups stratified by similar upper limits in serum PGI, PGII, and PGR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0.395,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0.009, and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2.242, respectively, all </w:t>
      </w:r>
      <w:r>
        <w:rPr>
          <w:rFonts w:ascii="Book Antiqua" w:hAnsi="Book Antiqua" w:cs="Book Antiqua" w:hint="eastAsia"/>
          <w:i/>
          <w:iCs/>
          <w:color w:val="000000"/>
          <w:lang w:eastAsia="zh-CN"/>
        </w:rPr>
        <w:t xml:space="preserve">P </w:t>
      </w:r>
      <w:r>
        <w:rPr>
          <w:rFonts w:ascii="Book Antiqua" w:eastAsia="Book Antiqua" w:hAnsi="Book Antiqua" w:cs="Book Antiqua"/>
          <w:color w:val="000000"/>
        </w:rPr>
        <w:t>&gt;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w:t>
      </w:r>
    </w:p>
    <w:p w14:paraId="1C667E02" w14:textId="77777777" w:rsidR="001E2528" w:rsidRDefault="001E2528">
      <w:pPr>
        <w:spacing w:line="360" w:lineRule="auto"/>
        <w:jc w:val="both"/>
        <w:rPr>
          <w:rFonts w:ascii="Book Antiqua" w:hAnsi="Book Antiqua"/>
        </w:rPr>
      </w:pPr>
    </w:p>
    <w:p w14:paraId="22FCDB42" w14:textId="77777777" w:rsidR="001E2528" w:rsidRDefault="006E34CF">
      <w:pPr>
        <w:spacing w:line="360" w:lineRule="auto"/>
        <w:jc w:val="both"/>
        <w:rPr>
          <w:rFonts w:ascii="Book Antiqua" w:hAnsi="Book Antiqua"/>
        </w:rPr>
      </w:pPr>
      <w:r>
        <w:rPr>
          <w:rFonts w:ascii="Book Antiqua" w:eastAsia="Book Antiqua" w:hAnsi="Book Antiqua" w:cs="Book Antiqua"/>
          <w:b/>
          <w:bCs/>
          <w:i/>
          <w:iCs/>
          <w:color w:val="000000"/>
        </w:rPr>
        <w:t>Efficacies of serum G-17, PGI, PGII, and PGR for predicting bleeding complication among peptic ulcer patients</w:t>
      </w:r>
    </w:p>
    <w:p w14:paraId="59744638"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The area under the ROC curve (AUC) of serum G-17 for peptic ulcer patients with or without upper gastrointestinal bleeding was 0.866</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0.024. According to the Youden index, the optimal serum G-17 cut-off value for distinguishing bleeding from non-bleeding patients was 9.86 pmol/L, yielding 90.2% sensitivity and 68.2% specificity (</w:t>
      </w:r>
      <w:r>
        <w:rPr>
          <w:rFonts w:ascii="Book Antiqua" w:eastAsia="Book Antiqua" w:hAnsi="Book Antiqua" w:cs="Book Antiqua"/>
          <w:bCs/>
          <w:color w:val="000000"/>
        </w:rPr>
        <w:t>Figure 1</w:t>
      </w:r>
      <w:r>
        <w:rPr>
          <w:rFonts w:ascii="Book Antiqua" w:eastAsia="Book Antiqua" w:hAnsi="Book Antiqua" w:cs="Book Antiqua"/>
          <w:color w:val="000000"/>
        </w:rPr>
        <w:t>). In contrast, the AUC values for serum PGI, PGII, and PGR were only 0.599, 0.496, and 0.598, respectively, indicating low efficacy for distinguishing bleeding from non-bleeding peptic ulcer (</w:t>
      </w:r>
      <w:r>
        <w:rPr>
          <w:rFonts w:ascii="Book Antiqua" w:eastAsia="Book Antiqua" w:hAnsi="Book Antiqua" w:cs="Book Antiqua"/>
          <w:bCs/>
          <w:color w:val="000000"/>
        </w:rPr>
        <w:t>Figure 2</w:t>
      </w:r>
      <w:r>
        <w:rPr>
          <w:rFonts w:ascii="Book Antiqua" w:eastAsia="Book Antiqua" w:hAnsi="Book Antiqua" w:cs="Book Antiqua"/>
          <w:color w:val="000000"/>
        </w:rPr>
        <w:t>).</w:t>
      </w:r>
    </w:p>
    <w:p w14:paraId="5CB6CAFA" w14:textId="77777777" w:rsidR="001E2528" w:rsidRDefault="001E2528">
      <w:pPr>
        <w:spacing w:line="360" w:lineRule="auto"/>
        <w:jc w:val="both"/>
        <w:rPr>
          <w:rFonts w:ascii="Book Antiqua" w:hAnsi="Book Antiqua"/>
        </w:rPr>
      </w:pPr>
    </w:p>
    <w:p w14:paraId="6B95C397" w14:textId="77777777" w:rsidR="001E2528" w:rsidRDefault="006E34CF">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6B7D71D6" w14:textId="0A721737" w:rsidR="001E2528" w:rsidRDefault="006E34CF">
      <w:pPr>
        <w:spacing w:line="360" w:lineRule="auto"/>
        <w:jc w:val="both"/>
        <w:rPr>
          <w:rFonts w:ascii="Book Antiqua" w:hAnsi="Book Antiqua"/>
        </w:rPr>
      </w:pPr>
      <w:r>
        <w:rPr>
          <w:rFonts w:ascii="Book Antiqua" w:eastAsia="Book Antiqua" w:hAnsi="Book Antiqua" w:cs="Book Antiqua"/>
          <w:color w:val="000000"/>
        </w:rPr>
        <w:t>We report that serum gastrin concentration is significantly elevated above normal reference ranges in patients with gastric or duodenal ulcer, and is even higher among patients with peptic ulcer complicated by upper gastrointestinal bleeding. Indeed, the proportion of peptic ulcer patients with serum G-17 concentrations above the upper limit of normal (</w:t>
      </w:r>
      <w:r>
        <w:rPr>
          <w:rFonts w:ascii="Book Antiqua" w:hAnsi="Book Antiqua" w:cs="Book Antiqua"/>
          <w:color w:val="000000"/>
          <w:lang w:eastAsia="zh-CN"/>
        </w:rPr>
        <w:t xml:space="preserve">approximately </w:t>
      </w:r>
      <w:r>
        <w:rPr>
          <w:rFonts w:ascii="Book Antiqua" w:eastAsia="Book Antiqua" w:hAnsi="Book Antiqua" w:cs="Book Antiqua"/>
          <w:color w:val="000000"/>
        </w:rPr>
        <w:t>15 pmol/L) was significantly greater among those with bleeding compared to patients without bleeding (simple GU). Further</w:t>
      </w:r>
      <w:r w:rsidR="00BA27A8">
        <w:rPr>
          <w:rFonts w:ascii="Book Antiqua" w:eastAsia="Book Antiqua" w:hAnsi="Book Antiqua" w:cs="Book Antiqua"/>
          <w:color w:val="000000"/>
        </w:rPr>
        <w:t>more</w:t>
      </w:r>
      <w:r>
        <w:rPr>
          <w:rFonts w:ascii="Book Antiqua" w:eastAsia="Book Antiqua" w:hAnsi="Book Antiqua" w:cs="Book Antiqua"/>
          <w:color w:val="000000"/>
        </w:rPr>
        <w:t>, ROC curve analysis revealed that G-17 &gt; 9.86 pmol/L distinguished bleeding from non-bleeding GU patients with high sensitivity and moderate s</w:t>
      </w:r>
      <w:r w:rsidR="00BA27A8">
        <w:rPr>
          <w:rFonts w:ascii="Book Antiqua" w:eastAsia="Book Antiqua" w:hAnsi="Book Antiqua" w:cs="Book Antiqua"/>
          <w:color w:val="000000"/>
        </w:rPr>
        <w:t>pecificity</w:t>
      </w:r>
      <w:r>
        <w:rPr>
          <w:rFonts w:ascii="Book Antiqua" w:eastAsia="Book Antiqua" w:hAnsi="Book Antiqua" w:cs="Book Antiqua"/>
          <w:color w:val="000000"/>
        </w:rPr>
        <w:t xml:space="preserve">, suggesting that G-17 </w:t>
      </w:r>
      <w:r>
        <w:rPr>
          <w:rFonts w:ascii="Book Antiqua" w:eastAsia="Book Antiqua" w:hAnsi="Book Antiqua" w:cs="Book Antiqua"/>
          <w:color w:val="000000"/>
        </w:rPr>
        <w:lastRenderedPageBreak/>
        <w:t>evaluation prior to endoscopic examination could be employed to assess bleeding risk, thereby facilitating timely intervention, such as a higher proton pump inhibitor dose</w:t>
      </w:r>
      <w:r>
        <w:rPr>
          <w:rFonts w:ascii="Book Antiqua" w:eastAsia="Book Antiqua" w:hAnsi="Book Antiqua" w:cs="Book Antiqua"/>
          <w:color w:val="000000"/>
          <w:vertAlign w:val="superscript"/>
        </w:rPr>
        <w:t>[7]</w:t>
      </w:r>
      <w:r>
        <w:rPr>
          <w:rFonts w:ascii="Book Antiqua" w:eastAsia="Book Antiqua" w:hAnsi="Book Antiqua" w:cs="Book Antiqua"/>
          <w:color w:val="000000"/>
        </w:rPr>
        <w:t>, and improving overall prognosis. Serum G-17 was also higher among complex ulcer (CU) patients with bleeding compared to CU patients without bleeding, although the difference did not reach statistical significance due to the small sample size. Hence, larger-scale studies are warranted to fully assess the efficacy of high G-17 for prediction of bleeding among GU patient subgroups, including prospective studies directly evaluating the association between baseline G-17 and future bleeding.</w:t>
      </w:r>
    </w:p>
    <w:p w14:paraId="468513DB" w14:textId="24A77AD5" w:rsidR="001E2528" w:rsidRDefault="006E34CF">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Approximately 10% of individuals will develop gastric or duodenal ulcer over a lifetime, but the majority can be completely cured </w:t>
      </w:r>
      <w:r w:rsidR="00BA27A8">
        <w:rPr>
          <w:rFonts w:ascii="Book Antiqua" w:eastAsia="Book Antiqua" w:hAnsi="Book Antiqua" w:cs="Book Antiqua"/>
          <w:color w:val="000000"/>
        </w:rPr>
        <w:t>with</w:t>
      </w:r>
      <w:r>
        <w:rPr>
          <w:rFonts w:ascii="Book Antiqua" w:eastAsia="Book Antiqua" w:hAnsi="Book Antiqua" w:cs="Book Antiqua"/>
          <w:color w:val="000000"/>
        </w:rPr>
        <w:t xml:space="preserve"> treatment. However, GU complicated by acute upper gastrointestinal bleeding increases treatment difficulty and can be life-threatening if uncontrolled</w:t>
      </w:r>
      <w:r>
        <w:rPr>
          <w:rFonts w:ascii="Book Antiqua" w:eastAsia="Book Antiqua" w:hAnsi="Book Antiqua" w:cs="Book Antiqua"/>
          <w:color w:val="000000"/>
          <w:vertAlign w:val="superscript"/>
        </w:rPr>
        <w:t>[8]</w:t>
      </w:r>
      <w:r>
        <w:rPr>
          <w:rFonts w:ascii="Book Antiqua" w:eastAsia="Book Antiqua" w:hAnsi="Book Antiqua" w:cs="Book Antiqua"/>
          <w:color w:val="000000"/>
        </w:rPr>
        <w:t>. Therefore, identifying predictive ind</w:t>
      </w:r>
      <w:r w:rsidR="00BA27A8">
        <w:rPr>
          <w:rFonts w:ascii="Book Antiqua" w:eastAsia="Book Antiqua" w:hAnsi="Book Antiqua" w:cs="Book Antiqua"/>
          <w:color w:val="000000"/>
        </w:rPr>
        <w:t>ic</w:t>
      </w:r>
      <w:r>
        <w:rPr>
          <w:rFonts w:ascii="Book Antiqua" w:eastAsia="Book Antiqua" w:hAnsi="Book Antiqua" w:cs="Book Antiqua"/>
          <w:color w:val="000000"/>
        </w:rPr>
        <w:t xml:space="preserve">es for upper gastrointestinal bleeding is critical for improving prognosis among more severely afflicted GU patients. </w:t>
      </w:r>
    </w:p>
    <w:p w14:paraId="7A578ECC" w14:textId="08C7D523" w:rsidR="001E2528" w:rsidRDefault="006E34CF">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incidence and severity </w:t>
      </w:r>
      <w:r w:rsidR="00BA27A8">
        <w:rPr>
          <w:rFonts w:ascii="Book Antiqua" w:eastAsia="Book Antiqua" w:hAnsi="Book Antiqua" w:cs="Book Antiqua"/>
          <w:color w:val="000000"/>
        </w:rPr>
        <w:t xml:space="preserve">of </w:t>
      </w:r>
      <w:r>
        <w:rPr>
          <w:rFonts w:ascii="Book Antiqua" w:eastAsia="Book Antiqua" w:hAnsi="Book Antiqua" w:cs="Book Antiqua"/>
          <w:color w:val="000000"/>
        </w:rPr>
        <w:t>peptic ulcer are significantly associated with the production rates of gastric acid, gastrin, and pepsin</w:t>
      </w:r>
      <w:r>
        <w:rPr>
          <w:rFonts w:ascii="Book Antiqua" w:eastAsia="Book Antiqua" w:hAnsi="Book Antiqua" w:cs="Book Antiqua"/>
          <w:color w:val="000000"/>
          <w:vertAlign w:val="superscript"/>
        </w:rPr>
        <w:t>[9]</w:t>
      </w:r>
      <w:r>
        <w:rPr>
          <w:rFonts w:ascii="Book Antiqua" w:eastAsia="Book Antiqua" w:hAnsi="Book Antiqua" w:cs="Book Antiqua"/>
          <w:color w:val="000000"/>
        </w:rPr>
        <w:t>. Gastrin is a pre-hormone secreted by G-cells in the gastric antrum that is then converted to active molecules, mainly G-34 and G-17, of which G-17 accounts for approximately 80%–90% of the total bioactivity. The main physiological functions of gastrin are to stimulate gastric acid and PG secretion, regulate gastrointestinal motility, increase gastric mucosal blood flow, and promote gastric mucosal growth and nutrition</w:t>
      </w:r>
      <w:r>
        <w:rPr>
          <w:rFonts w:ascii="Book Antiqua" w:eastAsia="Book Antiqua" w:hAnsi="Book Antiqua" w:cs="Book Antiqua"/>
          <w:color w:val="000000"/>
          <w:vertAlign w:val="superscript"/>
        </w:rPr>
        <w:t>[10]</w:t>
      </w:r>
      <w:r>
        <w:rPr>
          <w:rFonts w:ascii="Book Antiqua" w:eastAsia="Book Antiqua" w:hAnsi="Book Antiqua" w:cs="Book Antiqua"/>
          <w:color w:val="000000"/>
        </w:rPr>
        <w:t>. However, excessive gastric acid secretion by high serum G-17 may destroy the gastric mucosa, leading to ulcer formation and possibly bleeding. In the presence of gastric acid, PG is rapidly converted into active pepsin, which can cause the dissolution of blood clots and thus impair the control of bleeding. Consequently, it is rational to speculate that high G-17 and high PG may predict the risk of bleeding among peptic ulcer patients. However, serum</w:t>
      </w:r>
      <w:r w:rsidR="00C014E3">
        <w:rPr>
          <w:rFonts w:ascii="Book Antiqua" w:hAnsi="Book Antiqua" w:cs="Book Antiqua" w:hint="eastAsia"/>
          <w:color w:val="000000"/>
          <w:lang w:eastAsia="zh-CN"/>
        </w:rPr>
        <w:t xml:space="preserve"> </w:t>
      </w:r>
      <w:r>
        <w:rPr>
          <w:rFonts w:ascii="Book Antiqua" w:eastAsia="宋体" w:hAnsi="Book Antiqua" w:cs="Book Antiqua" w:hint="eastAsia"/>
          <w:color w:val="000000"/>
          <w:lang w:eastAsia="zh-CN"/>
        </w:rPr>
        <w:t xml:space="preserve">PG </w:t>
      </w:r>
      <w:r>
        <w:rPr>
          <w:rFonts w:ascii="Book Antiqua" w:eastAsia="Book Antiqua" w:hAnsi="Book Antiqua" w:cs="Book Antiqua"/>
          <w:color w:val="000000"/>
        </w:rPr>
        <w:t xml:space="preserve">was unrelated to bleeding incidence, possibly because </w:t>
      </w:r>
      <w:r>
        <w:rPr>
          <w:rFonts w:ascii="Book Antiqua" w:eastAsia="宋体" w:hAnsi="Book Antiqua" w:cs="Book Antiqua" w:hint="eastAsia"/>
          <w:color w:val="000000"/>
          <w:lang w:eastAsia="zh-CN"/>
        </w:rPr>
        <w:t>many</w:t>
      </w:r>
      <w:r>
        <w:rPr>
          <w:rFonts w:ascii="Book Antiqua" w:eastAsia="Book Antiqua" w:hAnsi="Book Antiqua" w:cs="Book Antiqua"/>
          <w:color w:val="000000"/>
        </w:rPr>
        <w:t xml:space="preserve"> factors can influence PG production aside from gastric acid secretion rate. In fact, the secretion of gastric acid, gastrin, and PG can be affected by multiple factors. For instance, </w:t>
      </w:r>
      <w:r w:rsidRPr="00B604B3">
        <w:rPr>
          <w:rFonts w:ascii="Book Antiqua" w:eastAsia="Book Antiqua" w:hAnsi="Book Antiqua" w:cs="Book Antiqua"/>
          <w:iCs/>
          <w:color w:val="000000"/>
        </w:rPr>
        <w:t>HP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infection increases </w:t>
      </w:r>
      <w:r>
        <w:rPr>
          <w:rFonts w:ascii="Book Antiqua" w:eastAsia="Book Antiqua" w:hAnsi="Book Antiqua" w:cs="Book Antiqua"/>
          <w:color w:val="000000"/>
        </w:rPr>
        <w:lastRenderedPageBreak/>
        <w:t>gastrin secretion</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Hence, all patients enrolled in the present study were </w:t>
      </w:r>
      <w:r w:rsidRPr="00B604B3">
        <w:rPr>
          <w:rFonts w:ascii="Book Antiqua" w:eastAsia="Book Antiqua" w:hAnsi="Book Antiqua" w:cs="Book Antiqua"/>
          <w:iCs/>
          <w:color w:val="000000"/>
        </w:rPr>
        <w:t>HP</w:t>
      </w:r>
      <w:r>
        <w:rPr>
          <w:rFonts w:ascii="Book Antiqua" w:eastAsia="Book Antiqua" w:hAnsi="Book Antiqua" w:cs="Book Antiqua"/>
          <w:color w:val="000000"/>
        </w:rPr>
        <w:t xml:space="preserve">-positive to eliminate the effects of </w:t>
      </w:r>
      <w:r w:rsidRPr="00B604B3">
        <w:rPr>
          <w:rFonts w:ascii="Book Antiqua" w:eastAsia="Book Antiqua" w:hAnsi="Book Antiqua" w:cs="Book Antiqua"/>
          <w:iCs/>
          <w:color w:val="000000"/>
        </w:rPr>
        <w:t>HP</w:t>
      </w:r>
      <w:r>
        <w:rPr>
          <w:rFonts w:ascii="Book Antiqua" w:eastAsia="Book Antiqua" w:hAnsi="Book Antiqua" w:cs="Book Antiqua"/>
          <w:color w:val="000000"/>
        </w:rPr>
        <w:t xml:space="preserve"> and related factors. In addition, long-term use of proton pump inhibitors may cause a compensatory increase in gastrin secretion</w:t>
      </w:r>
      <w:r>
        <w:rPr>
          <w:rFonts w:ascii="Book Antiqua" w:eastAsia="Book Antiqua" w:hAnsi="Book Antiqua" w:cs="Book Antiqua"/>
          <w:color w:val="000000"/>
          <w:vertAlign w:val="superscript"/>
        </w:rPr>
        <w:t>[12]</w:t>
      </w:r>
      <w:r>
        <w:rPr>
          <w:rFonts w:ascii="Book Antiqua" w:eastAsia="Book Antiqua" w:hAnsi="Book Antiqua" w:cs="Book Antiqua"/>
          <w:color w:val="000000"/>
        </w:rPr>
        <w:t>, so patients receiving proton pump inhibitors were also excluded from the present study. Further</w:t>
      </w:r>
      <w:r w:rsidR="00BA27A8">
        <w:rPr>
          <w:rFonts w:ascii="Book Antiqua" w:eastAsia="Book Antiqua" w:hAnsi="Book Antiqua" w:cs="Book Antiqua"/>
          <w:color w:val="000000"/>
        </w:rPr>
        <w:t>more</w:t>
      </w:r>
      <w:r>
        <w:rPr>
          <w:rFonts w:ascii="Book Antiqua" w:eastAsia="Book Antiqua" w:hAnsi="Book Antiqua" w:cs="Book Antiqua"/>
          <w:color w:val="000000"/>
        </w:rPr>
        <w:t xml:space="preserve">, peptic ulcer patients with other conditions associated with bleeding risk were eliminated, so the difference between groups likely reflects disease severity, further underscoring the importance of serum G-17 for evaluation of patient condition and prognosis. </w:t>
      </w:r>
      <w:r>
        <w:rPr>
          <w:rFonts w:ascii="Book Antiqua" w:eastAsia="宋体" w:hAnsi="Book Antiqua" w:cs="Book Antiqua" w:hint="eastAsia"/>
          <w:color w:val="000000"/>
          <w:lang w:eastAsia="zh-CN"/>
        </w:rPr>
        <w:t>On</w:t>
      </w:r>
      <w:r>
        <w:rPr>
          <w:rFonts w:ascii="Book Antiqua" w:eastAsia="Book Antiqua" w:hAnsi="Book Antiqua" w:cs="Book Antiqua"/>
          <w:color w:val="000000"/>
        </w:rPr>
        <w:t xml:space="preserve"> the other hand, as yet unidentified factors influencing PG may have obscured differences between bleeding and non-bleeding patients. </w:t>
      </w:r>
    </w:p>
    <w:p w14:paraId="0C0E2AF0" w14:textId="77777777" w:rsidR="001E2528" w:rsidRDefault="006E34CF">
      <w:pPr>
        <w:spacing w:line="360" w:lineRule="auto"/>
        <w:ind w:firstLineChars="100" w:firstLine="240"/>
        <w:jc w:val="both"/>
        <w:rPr>
          <w:rFonts w:ascii="Book Antiqua" w:hAnsi="Book Antiqua"/>
        </w:rPr>
      </w:pPr>
      <w:r>
        <w:rPr>
          <w:rFonts w:ascii="Book Antiqua" w:eastAsia="Book Antiqua" w:hAnsi="Book Antiqua" w:cs="Book Antiqua"/>
          <w:color w:val="000000"/>
        </w:rPr>
        <w:t>Such PG measurements may still have clinical value. Pepsinogen can be classified as PGI or PGII according to immunogenicity, and these isoforms are generated by different regions of the gastric mucosa. Therefore, separate detection of serum PGI and PGII can provide an estimate of region-specific gastric acid secretion rate</w:t>
      </w:r>
      <w:r>
        <w:rPr>
          <w:rFonts w:ascii="Book Antiqua" w:eastAsia="Book Antiqua" w:hAnsi="Book Antiqua" w:cs="Book Antiqua"/>
          <w:color w:val="000000"/>
          <w:vertAlign w:val="superscript"/>
        </w:rPr>
        <w:t>[13]</w:t>
      </w:r>
      <w:r>
        <w:rPr>
          <w:rFonts w:ascii="Book Antiqua" w:eastAsia="Book Antiqua" w:hAnsi="Book Antiqua" w:cs="Book Antiqua"/>
          <w:color w:val="000000"/>
        </w:rPr>
        <w:t>. Activated pepsin can both enhance the risk of peptic ulcer and impair coagulation, potentially enhancing bleeding risk and diminishing treatment efficacy. In this study, however, serum PGI, PGII, and PGR were not associated with bleeding, possibly because PG secretion is affected to a greater extent by gastric mucosal atrophy, dysplasia, and other diseases than by ulcer (with or without bleeding)</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1691F25C" w14:textId="1ABC35CF" w:rsidR="001E2528" w:rsidRDefault="006E34CF">
      <w:pPr>
        <w:spacing w:line="360" w:lineRule="auto"/>
        <w:ind w:firstLineChars="100" w:firstLine="240"/>
        <w:jc w:val="both"/>
        <w:rPr>
          <w:rFonts w:ascii="Book Antiqua" w:hAnsi="Book Antiqua"/>
        </w:rPr>
      </w:pPr>
      <w:r>
        <w:rPr>
          <w:rFonts w:ascii="Book Antiqua" w:eastAsia="Book Antiqua" w:hAnsi="Book Antiqua" w:cs="Book Antiqua"/>
          <w:color w:val="000000"/>
        </w:rPr>
        <w:t>Although we controlled for multiple factors potentially influencing the secretion rates of G-17 and PG, factors such as drinking</w:t>
      </w:r>
      <w:r>
        <w:rPr>
          <w:rFonts w:ascii="Book Antiqua" w:eastAsia="Book Antiqua" w:hAnsi="Book Antiqua" w:cs="Book Antiqua"/>
          <w:color w:val="000000"/>
          <w:vertAlign w:val="superscript"/>
        </w:rPr>
        <w:t>[15]</w:t>
      </w:r>
      <w:r>
        <w:rPr>
          <w:rFonts w:ascii="Book Antiqua" w:eastAsia="Book Antiqua" w:hAnsi="Book Antiqua" w:cs="Book Antiqua"/>
          <w:color w:val="000000"/>
        </w:rPr>
        <w:t>, smoking</w:t>
      </w:r>
      <w:r>
        <w:rPr>
          <w:rFonts w:ascii="Book Antiqua" w:eastAsia="Book Antiqua" w:hAnsi="Book Antiqua" w:cs="Book Antiqua"/>
          <w:color w:val="000000"/>
          <w:vertAlign w:val="superscript"/>
        </w:rPr>
        <w:t>[16]</w:t>
      </w:r>
      <w:r>
        <w:rPr>
          <w:rFonts w:ascii="Book Antiqua" w:eastAsia="Book Antiqua" w:hAnsi="Book Antiqua" w:cs="Book Antiqua"/>
          <w:color w:val="000000"/>
        </w:rPr>
        <w:t>, age</w:t>
      </w:r>
      <w:r>
        <w:rPr>
          <w:rFonts w:ascii="Book Antiqua" w:eastAsia="Book Antiqua" w:hAnsi="Book Antiqua" w:cs="Book Antiqua"/>
          <w:color w:val="000000"/>
          <w:vertAlign w:val="superscript"/>
        </w:rPr>
        <w:t>[17]</w:t>
      </w:r>
      <w:r>
        <w:rPr>
          <w:rFonts w:ascii="Book Antiqua" w:eastAsia="Book Antiqua" w:hAnsi="Book Antiqua" w:cs="Book Antiqua"/>
          <w:color w:val="000000"/>
        </w:rPr>
        <w:t>, and gastric mucosal lesions</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may have differed between </w:t>
      </w:r>
      <w:r w:rsidR="00EC401E">
        <w:rPr>
          <w:rFonts w:ascii="Book Antiqua" w:eastAsia="Book Antiqua" w:hAnsi="Book Antiqua" w:cs="Book Antiqua"/>
          <w:color w:val="000000"/>
        </w:rPr>
        <w:t xml:space="preserve">the </w:t>
      </w:r>
      <w:r>
        <w:rPr>
          <w:rFonts w:ascii="Book Antiqua" w:eastAsia="Book Antiqua" w:hAnsi="Book Antiqua" w:cs="Book Antiqua"/>
          <w:color w:val="000000"/>
        </w:rPr>
        <w:t>groups. Thus, larger-scale studies allowing for more extensive subgroup analyses are required to validate the current find</w:t>
      </w:r>
      <w:r w:rsidR="00EC401E">
        <w:rPr>
          <w:rFonts w:ascii="Book Antiqua" w:eastAsia="Book Antiqua" w:hAnsi="Book Antiqua" w:cs="Book Antiqua"/>
          <w:color w:val="000000"/>
        </w:rPr>
        <w:t>ing</w:t>
      </w:r>
      <w:r>
        <w:rPr>
          <w:rFonts w:ascii="Book Antiqua" w:eastAsia="Book Antiqua" w:hAnsi="Book Antiqua" w:cs="Book Antiqua"/>
          <w:color w:val="000000"/>
        </w:rPr>
        <w:t xml:space="preserve"> that serum G-17 is a major predictive factor for bleeding among peptic ulcer patients.</w:t>
      </w:r>
    </w:p>
    <w:p w14:paraId="780B7D99" w14:textId="77777777" w:rsidR="001E2528" w:rsidRDefault="001E2528">
      <w:pPr>
        <w:spacing w:line="360" w:lineRule="auto"/>
        <w:jc w:val="both"/>
        <w:rPr>
          <w:rFonts w:ascii="Book Antiqua" w:hAnsi="Book Antiqua"/>
        </w:rPr>
      </w:pPr>
    </w:p>
    <w:p w14:paraId="6BDE500A" w14:textId="77777777" w:rsidR="001E2528" w:rsidRDefault="006E34CF">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AB17A68" w14:textId="482011AC" w:rsidR="001E2528" w:rsidRDefault="006E34CF">
      <w:pPr>
        <w:spacing w:line="360" w:lineRule="auto"/>
        <w:jc w:val="both"/>
        <w:rPr>
          <w:rFonts w:ascii="Book Antiqua" w:hAnsi="Book Antiqua"/>
        </w:rPr>
      </w:pPr>
      <w:r>
        <w:rPr>
          <w:rFonts w:ascii="Book Antiqua" w:eastAsia="Book Antiqua" w:hAnsi="Book Antiqua" w:cs="Book Antiqua"/>
          <w:color w:val="000000"/>
        </w:rPr>
        <w:t>In summary, serum G-17 is significantly elevated in peptic ulcer complicated by bleeding</w:t>
      </w:r>
      <w:r w:rsidR="000A58B8">
        <w:rPr>
          <w:rFonts w:ascii="Book Antiqua" w:eastAsia="Book Antiqua" w:hAnsi="Book Antiqua" w:cs="Book Antiqua"/>
          <w:color w:val="000000"/>
        </w:rPr>
        <w:t>. S</w:t>
      </w:r>
      <w:r>
        <w:rPr>
          <w:rFonts w:ascii="Book Antiqua" w:eastAsia="Book Antiqua" w:hAnsi="Book Antiqua" w:cs="Book Antiqua"/>
          <w:color w:val="000000"/>
        </w:rPr>
        <w:t xml:space="preserve">erum G-17 &gt; 9.86 pmol/L distinguishes bleeding from non-bleeding cases with high sensitivity, suggesting </w:t>
      </w:r>
      <w:r w:rsidR="00EC401E">
        <w:rPr>
          <w:rFonts w:ascii="Book Antiqua" w:eastAsia="Book Antiqua" w:hAnsi="Book Antiqua" w:cs="Book Antiqua"/>
          <w:color w:val="000000"/>
        </w:rPr>
        <w:t xml:space="preserve">its </w:t>
      </w:r>
      <w:r>
        <w:rPr>
          <w:rFonts w:ascii="Book Antiqua" w:eastAsia="Book Antiqua" w:hAnsi="Book Antiqua" w:cs="Book Antiqua"/>
          <w:color w:val="000000"/>
        </w:rPr>
        <w:t xml:space="preserve">clinical utility for predicting bleeding risk. </w:t>
      </w:r>
    </w:p>
    <w:p w14:paraId="15B1BB7B" w14:textId="77777777" w:rsidR="001E2528" w:rsidRDefault="001E2528">
      <w:pPr>
        <w:spacing w:line="360" w:lineRule="auto"/>
        <w:jc w:val="both"/>
        <w:rPr>
          <w:rFonts w:ascii="Book Antiqua" w:hAnsi="Book Antiqua"/>
        </w:rPr>
      </w:pPr>
    </w:p>
    <w:p w14:paraId="5E720D09" w14:textId="77777777" w:rsidR="001E2528" w:rsidRDefault="006E34CF">
      <w:pPr>
        <w:spacing w:line="360" w:lineRule="auto"/>
        <w:jc w:val="both"/>
        <w:rPr>
          <w:rFonts w:ascii="Book Antiqua" w:hAnsi="Book Antiqua"/>
        </w:rPr>
      </w:pPr>
      <w:r>
        <w:rPr>
          <w:rFonts w:ascii="Book Antiqua" w:eastAsia="Book Antiqua" w:hAnsi="Book Antiqua" w:cs="Book Antiqua"/>
          <w:b/>
          <w:caps/>
          <w:color w:val="000000"/>
          <w:u w:val="single"/>
        </w:rPr>
        <w:lastRenderedPageBreak/>
        <w:t>ARTICLE HIGHLIGHTS</w:t>
      </w:r>
    </w:p>
    <w:p w14:paraId="586B0AAE" w14:textId="77777777" w:rsidR="001E2528" w:rsidRDefault="006E34CF">
      <w:pPr>
        <w:spacing w:line="360" w:lineRule="auto"/>
        <w:jc w:val="both"/>
        <w:rPr>
          <w:rFonts w:ascii="Book Antiqua" w:hAnsi="Book Antiqua"/>
        </w:rPr>
      </w:pPr>
      <w:r>
        <w:rPr>
          <w:rFonts w:ascii="Book Antiqua" w:eastAsia="Book Antiqua" w:hAnsi="Book Antiqua" w:cs="Book Antiqua"/>
          <w:b/>
          <w:i/>
          <w:color w:val="000000"/>
        </w:rPr>
        <w:t>Research background</w:t>
      </w:r>
    </w:p>
    <w:p w14:paraId="1D858B15"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Peptic ulcer is a relatively common chronic gastrointestinal disorder most frequently caused by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or long-term non-steroid anti-inflammatory drug administration. Severe cases are often complicated by bleeding, which can exacerbate symptoms, cause anemia, and lead to life-threatening hemorrhage. Hypersecretion of gastric acid increases the risk and severity of peptic ulcer. Gastric acid secretion is controlled by the hormones gastrin-17 (G-17), pepsinogen I (PGI), and pepsinogen II (PGII), suggesting that these factors may be predictive of bleeding among peptic ulcer patients.</w:t>
      </w:r>
    </w:p>
    <w:p w14:paraId="27355E40" w14:textId="77777777" w:rsidR="001E2528" w:rsidRDefault="001E2528">
      <w:pPr>
        <w:spacing w:line="360" w:lineRule="auto"/>
        <w:jc w:val="both"/>
        <w:rPr>
          <w:rFonts w:ascii="Book Antiqua" w:hAnsi="Book Antiqua"/>
        </w:rPr>
      </w:pPr>
    </w:p>
    <w:p w14:paraId="456D8AE0" w14:textId="77777777" w:rsidR="001E2528" w:rsidRDefault="006E34CF">
      <w:pPr>
        <w:spacing w:line="360" w:lineRule="auto"/>
        <w:jc w:val="both"/>
        <w:rPr>
          <w:rFonts w:ascii="Book Antiqua" w:hAnsi="Book Antiqua"/>
        </w:rPr>
      </w:pPr>
      <w:r>
        <w:rPr>
          <w:rFonts w:ascii="Book Antiqua" w:eastAsia="Book Antiqua" w:hAnsi="Book Antiqua" w:cs="Book Antiqua"/>
          <w:b/>
          <w:i/>
          <w:color w:val="000000"/>
        </w:rPr>
        <w:t>Research motivation</w:t>
      </w:r>
    </w:p>
    <w:p w14:paraId="1675941C"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If left untreated, peptic ulcer can result in gastrointestinal bleeding and gastric tumors. Therefore, accessible biomarkers such as serum factors predictive of bleeding risk are important tools for early diagnosis and treatment guidance, and may reduce the incidence of severe complications.</w:t>
      </w:r>
    </w:p>
    <w:p w14:paraId="37BFBCC1" w14:textId="77777777" w:rsidR="001E2528" w:rsidRDefault="001E2528">
      <w:pPr>
        <w:spacing w:line="360" w:lineRule="auto"/>
        <w:jc w:val="both"/>
        <w:rPr>
          <w:rFonts w:ascii="Book Antiqua" w:hAnsi="Book Antiqua"/>
        </w:rPr>
      </w:pPr>
    </w:p>
    <w:p w14:paraId="51B915FF" w14:textId="77777777" w:rsidR="001E2528" w:rsidRDefault="006E34CF">
      <w:pPr>
        <w:spacing w:line="360" w:lineRule="auto"/>
        <w:jc w:val="both"/>
        <w:rPr>
          <w:rFonts w:ascii="Book Antiqua" w:hAnsi="Book Antiqua"/>
        </w:rPr>
      </w:pPr>
      <w:r>
        <w:rPr>
          <w:rFonts w:ascii="Book Antiqua" w:eastAsia="Book Antiqua" w:hAnsi="Book Antiqua" w:cs="Book Antiqua"/>
          <w:b/>
          <w:i/>
          <w:color w:val="000000"/>
        </w:rPr>
        <w:t>Research objectives</w:t>
      </w:r>
    </w:p>
    <w:p w14:paraId="448DC854"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To examine if serum G-17, PGI, PGII, and (or) PGI/PGII ratio (PGR) can predict bleeding risk among peptic ulcer patients.</w:t>
      </w:r>
    </w:p>
    <w:p w14:paraId="0E4B1F8D" w14:textId="77777777" w:rsidR="001E2528" w:rsidRDefault="001E2528">
      <w:pPr>
        <w:spacing w:line="360" w:lineRule="auto"/>
        <w:jc w:val="both"/>
        <w:rPr>
          <w:rFonts w:ascii="Book Antiqua" w:hAnsi="Book Antiqua"/>
        </w:rPr>
      </w:pPr>
    </w:p>
    <w:p w14:paraId="73062050" w14:textId="77777777" w:rsidR="001E2528" w:rsidRDefault="006E34CF">
      <w:pPr>
        <w:spacing w:line="360" w:lineRule="auto"/>
        <w:jc w:val="both"/>
        <w:rPr>
          <w:rFonts w:ascii="Book Antiqua" w:hAnsi="Book Antiqua"/>
        </w:rPr>
      </w:pPr>
      <w:r>
        <w:rPr>
          <w:rFonts w:ascii="Book Antiqua" w:eastAsia="Book Antiqua" w:hAnsi="Book Antiqua" w:cs="Book Antiqua"/>
          <w:b/>
          <w:i/>
          <w:color w:val="000000"/>
        </w:rPr>
        <w:t>Research methods</w:t>
      </w:r>
    </w:p>
    <w:p w14:paraId="4D1290D4"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We compared serum G-17, PGI, PGII, and PGR between 199 peptic ulcer patients with bleeding (</w:t>
      </w:r>
      <w:r>
        <w:rPr>
          <w:rFonts w:ascii="Book Antiqua" w:eastAsia="Book Antiqua" w:hAnsi="Book Antiqua" w:cs="Book Antiqua"/>
          <w:i/>
          <w:iCs/>
          <w:color w:val="000000"/>
        </w:rPr>
        <w:t>n</w:t>
      </w:r>
      <w:r>
        <w:rPr>
          <w:rFonts w:ascii="Book Antiqua" w:eastAsia="Book Antiqua" w:hAnsi="Book Antiqua" w:cs="Book Antiqua"/>
          <w:color w:val="000000"/>
        </w:rPr>
        <w:t xml:space="preserve"> = 92) or without bleeding (</w:t>
      </w:r>
      <w:r>
        <w:rPr>
          <w:rFonts w:ascii="Book Antiqua" w:eastAsia="Book Antiqua" w:hAnsi="Book Antiqua" w:cs="Book Antiqua"/>
          <w:i/>
          <w:iCs/>
          <w:color w:val="000000"/>
        </w:rPr>
        <w:t>n</w:t>
      </w:r>
      <w:r>
        <w:rPr>
          <w:rFonts w:ascii="Book Antiqua" w:eastAsia="Book Antiqua" w:hAnsi="Book Antiqua" w:cs="Book Antiqua"/>
          <w:color w:val="000000"/>
        </w:rPr>
        <w:t xml:space="preserve"> = 107), and then assessed the efficacy of each factor for bleeding prediction by receiver operating characteristic curve analysis.</w:t>
      </w:r>
    </w:p>
    <w:p w14:paraId="5C4AE0EB" w14:textId="77777777" w:rsidR="001E2528" w:rsidRDefault="001E2528">
      <w:pPr>
        <w:spacing w:line="360" w:lineRule="auto"/>
        <w:jc w:val="both"/>
        <w:rPr>
          <w:rFonts w:ascii="Book Antiqua" w:hAnsi="Book Antiqua"/>
        </w:rPr>
      </w:pPr>
    </w:p>
    <w:p w14:paraId="3FA37149" w14:textId="77777777" w:rsidR="001E2528" w:rsidRDefault="006E34CF">
      <w:pPr>
        <w:spacing w:line="360" w:lineRule="auto"/>
        <w:jc w:val="both"/>
        <w:rPr>
          <w:rFonts w:ascii="Book Antiqua" w:hAnsi="Book Antiqua"/>
        </w:rPr>
      </w:pPr>
      <w:r>
        <w:rPr>
          <w:rFonts w:ascii="Book Antiqua" w:eastAsia="Book Antiqua" w:hAnsi="Book Antiqua" w:cs="Book Antiqua"/>
          <w:b/>
          <w:i/>
          <w:color w:val="000000"/>
        </w:rPr>
        <w:t>Research results</w:t>
      </w:r>
    </w:p>
    <w:p w14:paraId="7C3DD628"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Serum G-17 was significantly higher among peptic ulcer patients with upper gastrointestinal bleeding, whereas serum PGI, PGII, and PGR did not differ </w:t>
      </w:r>
      <w:r>
        <w:rPr>
          <w:rFonts w:ascii="Book Antiqua" w:eastAsia="Book Antiqua" w:hAnsi="Book Antiqua" w:cs="Book Antiqua"/>
          <w:color w:val="000000"/>
        </w:rPr>
        <w:lastRenderedPageBreak/>
        <w:t>significantly between bleeding and non-bleeding patients. A serum G-17 greater than 9.86 pmol/L distinguished bleeding from non-bleeding patients with 90.2% sensitivity and 68.2% specificity.</w:t>
      </w:r>
    </w:p>
    <w:p w14:paraId="6B4DB829" w14:textId="77777777" w:rsidR="001E2528" w:rsidRDefault="001E2528">
      <w:pPr>
        <w:spacing w:line="360" w:lineRule="auto"/>
        <w:jc w:val="both"/>
        <w:rPr>
          <w:rFonts w:ascii="Book Antiqua" w:hAnsi="Book Antiqua"/>
        </w:rPr>
      </w:pPr>
    </w:p>
    <w:p w14:paraId="1F9EF202" w14:textId="77777777" w:rsidR="001E2528" w:rsidRDefault="006E34CF">
      <w:pPr>
        <w:spacing w:line="360" w:lineRule="auto"/>
        <w:jc w:val="both"/>
        <w:rPr>
          <w:rFonts w:ascii="Book Antiqua" w:hAnsi="Book Antiqua"/>
        </w:rPr>
      </w:pPr>
      <w:r>
        <w:rPr>
          <w:rFonts w:ascii="Book Antiqua" w:eastAsia="Book Antiqua" w:hAnsi="Book Antiqua" w:cs="Book Antiqua"/>
          <w:b/>
          <w:i/>
          <w:color w:val="000000"/>
        </w:rPr>
        <w:t>Research conclusions</w:t>
      </w:r>
    </w:p>
    <w:p w14:paraId="2FB70CF8"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Elevated serum G-17 is predictive of bleeding risk among peptic ulcer patients. Lowering serum G-17 should be a major goal of clinical intervention. </w:t>
      </w:r>
    </w:p>
    <w:p w14:paraId="1C79628F" w14:textId="77777777" w:rsidR="001E2528" w:rsidRDefault="001E2528">
      <w:pPr>
        <w:spacing w:line="360" w:lineRule="auto"/>
        <w:jc w:val="both"/>
        <w:rPr>
          <w:rFonts w:ascii="Book Antiqua" w:hAnsi="Book Antiqua"/>
        </w:rPr>
      </w:pPr>
    </w:p>
    <w:p w14:paraId="77C6C0F7" w14:textId="77777777" w:rsidR="001E2528" w:rsidRDefault="006E34CF">
      <w:pPr>
        <w:spacing w:line="360" w:lineRule="auto"/>
        <w:jc w:val="both"/>
        <w:rPr>
          <w:rFonts w:ascii="Book Antiqua" w:hAnsi="Book Antiqua"/>
        </w:rPr>
      </w:pPr>
      <w:r>
        <w:rPr>
          <w:rFonts w:ascii="Book Antiqua" w:eastAsia="Book Antiqua" w:hAnsi="Book Antiqua" w:cs="Book Antiqua"/>
          <w:b/>
          <w:i/>
          <w:color w:val="000000"/>
        </w:rPr>
        <w:t>Research perspectives</w:t>
      </w:r>
    </w:p>
    <w:p w14:paraId="1EE5CCB4"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Prospective studies are warranted to assess if elevated serum G-17 can predict bleeding complication prior to disease onset. The development of drugs able to regulate G-17 secretion is also desired to help reduce bleeding risk.</w:t>
      </w:r>
    </w:p>
    <w:p w14:paraId="70EACA5D" w14:textId="77777777" w:rsidR="001E2528" w:rsidRDefault="001E2528">
      <w:pPr>
        <w:spacing w:line="360" w:lineRule="auto"/>
        <w:jc w:val="both"/>
        <w:rPr>
          <w:rFonts w:ascii="Book Antiqua" w:hAnsi="Book Antiqua"/>
        </w:rPr>
      </w:pPr>
    </w:p>
    <w:p w14:paraId="7A623BBB" w14:textId="77777777" w:rsidR="001E2528" w:rsidRDefault="006E34CF">
      <w:pPr>
        <w:spacing w:line="360" w:lineRule="auto"/>
        <w:jc w:val="both"/>
        <w:rPr>
          <w:rFonts w:ascii="Book Antiqua" w:hAnsi="Book Antiqua"/>
        </w:rPr>
      </w:pPr>
      <w:r>
        <w:rPr>
          <w:rFonts w:ascii="Book Antiqua" w:eastAsia="Book Antiqua" w:hAnsi="Book Antiqua" w:cs="Book Antiqua"/>
          <w:b/>
          <w:color w:val="000000"/>
        </w:rPr>
        <w:t>REFERENCES</w:t>
      </w:r>
    </w:p>
    <w:p w14:paraId="259A6F25" w14:textId="77777777" w:rsidR="001E2528" w:rsidRDefault="006E34CF">
      <w:pPr>
        <w:spacing w:line="360" w:lineRule="auto"/>
        <w:jc w:val="both"/>
        <w:rPr>
          <w:rFonts w:ascii="Book Antiqua" w:hAnsi="Book Antiqua"/>
        </w:rPr>
      </w:pPr>
      <w:bookmarkStart w:id="3" w:name="OLE_LINK8"/>
      <w:r>
        <w:rPr>
          <w:rFonts w:ascii="Book Antiqua" w:eastAsia="Book Antiqua" w:hAnsi="Book Antiqua" w:cs="Book Antiqua"/>
          <w:color w:val="000000"/>
        </w:rPr>
        <w:t xml:space="preserve">1 </w:t>
      </w:r>
      <w:r>
        <w:rPr>
          <w:rFonts w:ascii="Book Antiqua" w:eastAsia="Book Antiqua" w:hAnsi="Book Antiqua" w:cs="Book Antiqua"/>
          <w:b/>
          <w:bCs/>
          <w:color w:val="000000"/>
        </w:rPr>
        <w:t>Schubert ML</w:t>
      </w:r>
      <w:r>
        <w:rPr>
          <w:rFonts w:ascii="Book Antiqua" w:eastAsia="Book Antiqua" w:hAnsi="Book Antiqua" w:cs="Book Antiqua"/>
          <w:color w:val="000000"/>
        </w:rPr>
        <w:t xml:space="preserve">. Physiologic, pathophysiologic, and pharmacologic regulation of gastric acid secretion. </w:t>
      </w:r>
      <w:r>
        <w:rPr>
          <w:rFonts w:ascii="Book Antiqua" w:eastAsia="Book Antiqua" w:hAnsi="Book Antiqua" w:cs="Book Antiqua"/>
          <w:i/>
          <w:iCs/>
          <w:color w:val="000000"/>
        </w:rPr>
        <w:t>Curr Opin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430-438 [PMID: 28787289 DOI: 10.1097/MOG.0000000000000392]</w:t>
      </w:r>
    </w:p>
    <w:p w14:paraId="30A69BCF"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Schubert ML</w:t>
      </w:r>
      <w:r>
        <w:rPr>
          <w:rFonts w:ascii="Book Antiqua" w:eastAsia="Book Antiqua" w:hAnsi="Book Antiqua" w:cs="Book Antiqua"/>
          <w:color w:val="000000"/>
        </w:rPr>
        <w:t xml:space="preserve">, Rehfeld JF. Gastric Peptides-Gastrin and Somatostatin. </w:t>
      </w:r>
      <w:r>
        <w:rPr>
          <w:rFonts w:ascii="Book Antiqua" w:eastAsia="Book Antiqua" w:hAnsi="Book Antiqua" w:cs="Book Antiqua"/>
          <w:i/>
          <w:iCs/>
          <w:color w:val="000000"/>
        </w:rPr>
        <w:t>Compr Physiol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197-228 [PMID: 31853955 DOI: 10.1002/cphy.c180035]</w:t>
      </w:r>
    </w:p>
    <w:p w14:paraId="02B424FA"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Zhou B,</w:t>
      </w:r>
      <w:r>
        <w:rPr>
          <w:rFonts w:ascii="Book Antiqua" w:eastAsia="Book Antiqua" w:hAnsi="Book Antiqua" w:cs="Book Antiqua"/>
          <w:color w:val="000000"/>
        </w:rPr>
        <w:t xml:space="preserve"> Chen X, Huang B, Hu YH , Tang GR Zhang J, Lin Q.</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Changes in serum pepsinogen levels and their value as a predictor of treatment outcomes in children with pepticulcer. </w:t>
      </w:r>
      <w:r>
        <w:rPr>
          <w:rFonts w:ascii="Book Antiqua" w:eastAsia="Book Antiqua" w:hAnsi="Book Antiqua" w:cs="Book Antiqua"/>
          <w:i/>
          <w:color w:val="000000"/>
        </w:rPr>
        <w:t>J Paediatr Child Health</w:t>
      </w:r>
      <w:r>
        <w:rPr>
          <w:rFonts w:ascii="Book Antiqua" w:eastAsia="Book Antiqua" w:hAnsi="Book Antiqua" w:cs="Book Antiqua"/>
          <w:color w:val="000000"/>
        </w:rPr>
        <w:t xml:space="preserve"> 2019; </w:t>
      </w:r>
      <w:r>
        <w:rPr>
          <w:rFonts w:ascii="Book Antiqua" w:eastAsia="Book Antiqua" w:hAnsi="Book Antiqua" w:cs="Book Antiqua"/>
          <w:b/>
          <w:color w:val="000000"/>
        </w:rPr>
        <w:t>55</w:t>
      </w:r>
      <w:r>
        <w:rPr>
          <w:rFonts w:ascii="Book Antiqua" w:eastAsia="Book Antiqua" w:hAnsi="Book Antiqua" w:cs="Book Antiqua"/>
          <w:color w:val="000000"/>
        </w:rPr>
        <w:t>: 1103-1106</w:t>
      </w:r>
      <w:r>
        <w:rPr>
          <w:rFonts w:ascii="Book Antiqua" w:hAnsi="Book Antiqua" w:cs="Book Antiqua" w:hint="eastAsia"/>
          <w:color w:val="000000"/>
          <w:lang w:eastAsia="zh-CN"/>
        </w:rPr>
        <w:t xml:space="preserve"> </w:t>
      </w:r>
      <w:r>
        <w:rPr>
          <w:rFonts w:ascii="Book Antiqua" w:eastAsia="Book Antiqua" w:hAnsi="Book Antiqua" w:cs="Book Antiqua"/>
          <w:color w:val="000000"/>
        </w:rPr>
        <w:t>[PMID</w:t>
      </w:r>
      <w:r>
        <w:rPr>
          <w:rFonts w:ascii="Book Antiqua" w:hAnsi="Book Antiqua" w:cs="Book Antiqua" w:hint="eastAsia"/>
          <w:color w:val="000000"/>
          <w:lang w:eastAsia="zh-CN"/>
        </w:rPr>
        <w:t>:</w:t>
      </w:r>
      <w:r>
        <w:rPr>
          <w:rFonts w:ascii="Book Antiqua" w:eastAsia="Book Antiqua" w:hAnsi="Book Antiqua" w:cs="Book Antiqua"/>
          <w:color w:val="000000"/>
        </w:rPr>
        <w:t xml:space="preserve"> 30659684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10.1111/jpc.14365]</w:t>
      </w:r>
    </w:p>
    <w:p w14:paraId="53FB36F4"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Iijima K</w:t>
      </w:r>
      <w:r>
        <w:rPr>
          <w:rFonts w:ascii="Book Antiqua" w:eastAsia="Book Antiqua" w:hAnsi="Book Antiqua" w:cs="Book Antiqua"/>
          <w:color w:val="000000"/>
        </w:rPr>
        <w:t xml:space="preserve">, Abe Y, Kikuchi R, Koike T, Ohara S, Sipponen P, Shimosegawa T. Serum biomarker tests are useful in delineating between patients with gastric atrophy and normal, healthy stomach.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853-859 [PMID: 19230047 DOI: 10.3748/wjg.15.853]</w:t>
      </w:r>
    </w:p>
    <w:p w14:paraId="677807F5"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Burkitt MD</w:t>
      </w:r>
      <w:r>
        <w:rPr>
          <w:rFonts w:ascii="Book Antiqua" w:eastAsia="Book Antiqua" w:hAnsi="Book Antiqua" w:cs="Book Antiqua"/>
          <w:color w:val="000000"/>
        </w:rPr>
        <w:t xml:space="preserve">, Varro A, Pritchard DM. Importance of gastrin in the pathogenesis and treatment of gastric tumors.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1-16 [PMID: 19115463 DOI: 10.3748/wjg.15.1]</w:t>
      </w:r>
    </w:p>
    <w:p w14:paraId="02D62045"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Yuan L</w:t>
      </w:r>
      <w:r>
        <w:rPr>
          <w:rFonts w:ascii="Book Antiqua" w:eastAsia="Book Antiqua" w:hAnsi="Book Antiqua" w:cs="Book Antiqua"/>
          <w:color w:val="000000"/>
        </w:rPr>
        <w:t xml:space="preserve">, Zhao JB, Zhou YL, Qi YB, Guo QY, Zhang HH, Khan MN, Lan L, Jia CH, Zhang YR, Ding SZ. Type I and type II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status and their impact on gastrin and pepsinogen level in a gastric cancer prevalent area.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3673-3685 [PMID: 32742135 DOI: 10.3748/wjg.v26.i25.3673]</w:t>
      </w:r>
    </w:p>
    <w:p w14:paraId="6BA09782"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Tringali A</w:t>
      </w:r>
      <w:r>
        <w:rPr>
          <w:rFonts w:ascii="Book Antiqua" w:eastAsia="Book Antiqua" w:hAnsi="Book Antiqua" w:cs="Book Antiqua"/>
          <w:color w:val="000000"/>
        </w:rPr>
        <w:t xml:space="preserve">, Manta R, Sica M, Bassotti G, Marmo R, Mutignani M. Comparing intravenous and oral proton pump inhibitor therapy for bleeding peptic ulcers following endoscopic management: a systematic review and meta-analysis. </w:t>
      </w:r>
      <w:r>
        <w:rPr>
          <w:rFonts w:ascii="Book Antiqua" w:eastAsia="Book Antiqua" w:hAnsi="Book Antiqua" w:cs="Book Antiqua"/>
          <w:i/>
          <w:iCs/>
          <w:color w:val="000000"/>
        </w:rPr>
        <w:t>Br J Clin Pharmacol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83</w:t>
      </w:r>
      <w:r>
        <w:rPr>
          <w:rFonts w:ascii="Book Antiqua" w:eastAsia="Book Antiqua" w:hAnsi="Book Antiqua" w:cs="Book Antiqua"/>
          <w:color w:val="000000"/>
        </w:rPr>
        <w:t>: 1619-1635 [PMID: 28181291 DOI: 10.1111/bcp.13258]</w:t>
      </w:r>
    </w:p>
    <w:p w14:paraId="0AE14906"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8</w:t>
      </w:r>
      <w:r>
        <w:rPr>
          <w:rFonts w:ascii="Book Antiqua" w:hAnsi="Book Antiqua" w:cs="Book Antiqua" w:hint="eastAsia"/>
          <w:color w:val="000000"/>
          <w:lang w:eastAsia="zh-CN"/>
        </w:rPr>
        <w:t xml:space="preserve"> </w:t>
      </w:r>
      <w:r>
        <w:rPr>
          <w:rFonts w:ascii="Book Antiqua" w:eastAsia="Book Antiqua" w:hAnsi="Book Antiqua" w:cs="Book Antiqua"/>
          <w:b/>
          <w:color w:val="000000"/>
        </w:rPr>
        <w:t>Rotondano G</w:t>
      </w:r>
      <w:r>
        <w:rPr>
          <w:rFonts w:ascii="Book Antiqua" w:eastAsia="Book Antiqua" w:hAnsi="Book Antiqua" w:cs="Book Antiqua"/>
          <w:color w:val="000000"/>
        </w:rPr>
        <w:t xml:space="preserve">. Epidemiology and diagnosis of acute nonvariceal upper gastrointestinal bleeding. </w:t>
      </w:r>
      <w:r>
        <w:rPr>
          <w:rFonts w:ascii="Book Antiqua" w:eastAsia="Book Antiqua" w:hAnsi="Book Antiqua" w:cs="Book Antiqua"/>
          <w:i/>
          <w:color w:val="000000"/>
        </w:rPr>
        <w:t>Gastroenterol</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Clin North Am</w:t>
      </w:r>
      <w:r>
        <w:rPr>
          <w:rFonts w:ascii="Book Antiqua" w:eastAsia="Book Antiqua" w:hAnsi="Book Antiqua" w:cs="Book Antiqua"/>
          <w:color w:val="000000"/>
        </w:rPr>
        <w:t xml:space="preserve"> 2014;</w:t>
      </w:r>
      <w:r>
        <w:rPr>
          <w:rFonts w:ascii="Book Antiqua" w:hAnsi="Book Antiqua" w:cs="Book Antiqua" w:hint="eastAsia"/>
          <w:color w:val="000000"/>
          <w:lang w:eastAsia="zh-CN"/>
        </w:rPr>
        <w:t xml:space="preserve"> </w:t>
      </w:r>
      <w:r>
        <w:rPr>
          <w:rFonts w:ascii="Book Antiqua" w:eastAsia="Book Antiqua" w:hAnsi="Book Antiqua" w:cs="Book Antiqua"/>
          <w:b/>
          <w:color w:val="000000"/>
        </w:rPr>
        <w:t>43</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643-663</w:t>
      </w:r>
      <w:r>
        <w:rPr>
          <w:rFonts w:ascii="Book Antiqua" w:hAnsi="Book Antiqua" w:cs="Book Antiqua" w:hint="eastAsia"/>
          <w:color w:val="000000"/>
          <w:lang w:eastAsia="zh-CN"/>
        </w:rPr>
        <w:t xml:space="preserve"> </w:t>
      </w:r>
      <w:r>
        <w:rPr>
          <w:rFonts w:ascii="Book Antiqua" w:eastAsia="Book Antiqua" w:hAnsi="Book Antiqua" w:cs="Book Antiqua"/>
          <w:color w:val="000000"/>
        </w:rPr>
        <w:t>[PMID</w:t>
      </w:r>
      <w:r>
        <w:rPr>
          <w:rFonts w:ascii="Book Antiqua" w:hAnsi="Book Antiqua" w:cs="Book Antiqua" w:hint="eastAsia"/>
          <w:color w:val="000000"/>
          <w:lang w:eastAsia="zh-CN"/>
        </w:rPr>
        <w:t>:</w:t>
      </w:r>
      <w:r>
        <w:rPr>
          <w:rFonts w:ascii="Book Antiqua" w:eastAsia="Book Antiqua" w:hAnsi="Book Antiqua" w:cs="Book Antiqua"/>
          <w:color w:val="000000"/>
        </w:rPr>
        <w:t xml:space="preserve"> 25440917 DOI: 10.1016/j.gtc.2014.08.001]</w:t>
      </w:r>
    </w:p>
    <w:p w14:paraId="7FBB19DB"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Park SM</w:t>
      </w:r>
      <w:r>
        <w:rPr>
          <w:rFonts w:ascii="Book Antiqua" w:eastAsia="Book Antiqua" w:hAnsi="Book Antiqua" w:cs="Book Antiqua"/>
          <w:color w:val="000000"/>
        </w:rPr>
        <w:t xml:space="preserve">, Park HS. G- and D-cell populations, serum and tissue concentrations of gastrin and somatostatin in patients with peptic ulcer diseases. </w:t>
      </w:r>
      <w:r>
        <w:rPr>
          <w:rFonts w:ascii="Book Antiqua" w:eastAsia="Book Antiqua" w:hAnsi="Book Antiqua" w:cs="Book Antiqua"/>
          <w:i/>
          <w:iCs/>
          <w:color w:val="000000"/>
        </w:rPr>
        <w:t>Korean J Intern Med</w:t>
      </w:r>
      <w:r>
        <w:rPr>
          <w:rFonts w:ascii="Book Antiqua" w:eastAsia="Book Antiqua" w:hAnsi="Book Antiqua" w:cs="Book Antiqua"/>
          <w:color w:val="000000"/>
        </w:rPr>
        <w:t xml:space="preserve"> 1993; </w:t>
      </w:r>
      <w:r>
        <w:rPr>
          <w:rFonts w:ascii="Book Antiqua" w:eastAsia="Book Antiqua" w:hAnsi="Book Antiqua" w:cs="Book Antiqua"/>
          <w:b/>
          <w:bCs/>
          <w:color w:val="000000"/>
        </w:rPr>
        <w:t>8</w:t>
      </w:r>
      <w:r>
        <w:rPr>
          <w:rFonts w:ascii="Book Antiqua" w:eastAsia="Book Antiqua" w:hAnsi="Book Antiqua" w:cs="Book Antiqua"/>
          <w:color w:val="000000"/>
        </w:rPr>
        <w:t>: 1-7 [PMID: 7903552 DOI: 10.3904/kjim.1993.8.1.1]</w:t>
      </w:r>
    </w:p>
    <w:p w14:paraId="47DBECFB"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Germaná B</w:t>
      </w:r>
      <w:r>
        <w:rPr>
          <w:rFonts w:ascii="Book Antiqua" w:eastAsia="Book Antiqua" w:hAnsi="Book Antiqua" w:cs="Book Antiqua"/>
          <w:color w:val="000000"/>
        </w:rPr>
        <w:t xml:space="preserve">, Di Mario F, Cavallaro LG, Moussa AM, Lecis P, Liatoupolou S, Comparato G, Carloni C, Bertiato G, Battiestel M, Papa N, Aragona G, Cavestro GM, Iori V, Merli R, Bertolini S, Caruana P, Franzé A. Clinical usefulness of serum pepsinogens I and II, gastrin-17 and anti-Helicobacterpylori antibodies in the management of dyspeptic patients in primary care.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37</w:t>
      </w:r>
      <w:r>
        <w:rPr>
          <w:rFonts w:ascii="Book Antiqua" w:eastAsia="Book Antiqua" w:hAnsi="Book Antiqua" w:cs="Book Antiqua"/>
          <w:color w:val="000000"/>
        </w:rPr>
        <w:t>: 501-508 [PMID: 15975537 DOI: 10.1016/j.dld.2005.01.016]</w:t>
      </w:r>
    </w:p>
    <w:p w14:paraId="5B1F2DED"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Liu W</w:t>
      </w:r>
      <w:r>
        <w:rPr>
          <w:rFonts w:ascii="Book Antiqua" w:eastAsia="Book Antiqua" w:hAnsi="Book Antiqua" w:cs="Book Antiqua"/>
          <w:color w:val="000000"/>
        </w:rPr>
        <w:t xml:space="preserve">, Sun Y, Yuan Y. Analysis of serum gastrin-17 and Helicobacter pylori antibody in healthy Chinese population. </w:t>
      </w:r>
      <w:r>
        <w:rPr>
          <w:rFonts w:ascii="Book Antiqua" w:eastAsia="Book Antiqua" w:hAnsi="Book Antiqua" w:cs="Book Antiqua"/>
          <w:i/>
          <w:iCs/>
          <w:color w:val="000000"/>
        </w:rPr>
        <w:t>J Clin Lab Anal</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e23518 [PMID: 32864830 DOI: 10.1002/jcla.23518]</w:t>
      </w:r>
    </w:p>
    <w:p w14:paraId="5631C7A5"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Waldum HL</w:t>
      </w:r>
      <w:r>
        <w:rPr>
          <w:rFonts w:ascii="Book Antiqua" w:eastAsia="Book Antiqua" w:hAnsi="Book Antiqua" w:cs="Book Antiqua"/>
          <w:color w:val="000000"/>
        </w:rPr>
        <w:t xml:space="preserve">, Hauso Ø, Fossmark R. The regulation of gastric acid secretion - clinical perspectives. </w:t>
      </w:r>
      <w:r>
        <w:rPr>
          <w:rFonts w:ascii="Book Antiqua" w:eastAsia="Book Antiqua" w:hAnsi="Book Antiqua" w:cs="Book Antiqua"/>
          <w:i/>
          <w:iCs/>
          <w:color w:val="000000"/>
        </w:rPr>
        <w:t>Acta Physiol (Oxf)</w:t>
      </w:r>
      <w:r>
        <w:rPr>
          <w:rFonts w:ascii="Book Antiqua" w:eastAsia="Book Antiqua" w:hAnsi="Book Antiqua" w:cs="Book Antiqua"/>
          <w:color w:val="000000"/>
        </w:rPr>
        <w:t xml:space="preserve"> 2014; </w:t>
      </w:r>
      <w:r>
        <w:rPr>
          <w:rFonts w:ascii="Book Antiqua" w:eastAsia="Book Antiqua" w:hAnsi="Book Antiqua" w:cs="Book Antiqua"/>
          <w:b/>
          <w:bCs/>
          <w:color w:val="000000"/>
        </w:rPr>
        <w:t>210</w:t>
      </w:r>
      <w:r>
        <w:rPr>
          <w:rFonts w:ascii="Book Antiqua" w:eastAsia="Book Antiqua" w:hAnsi="Book Antiqua" w:cs="Book Antiqua"/>
          <w:color w:val="000000"/>
        </w:rPr>
        <w:t>: 239-256 [PMID: 24279703 DOI: 10.1111/apha.12208]</w:t>
      </w:r>
    </w:p>
    <w:p w14:paraId="4EC4EA05"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Miraglia C</w:t>
      </w:r>
      <w:r>
        <w:rPr>
          <w:rFonts w:ascii="Book Antiqua" w:eastAsia="Book Antiqua" w:hAnsi="Book Antiqua" w:cs="Book Antiqua"/>
          <w:color w:val="000000"/>
        </w:rPr>
        <w:t xml:space="preserve">, Moccia F, Russo M, Scida S, Franceschi M, Crafa P, Franzoni L, Nouvenne A, Meschi T, Leandro G, De' Angelis GL, Di Mario F. Non-invasive method for the assessment of gastric acid secretion. </w:t>
      </w:r>
      <w:r>
        <w:rPr>
          <w:rFonts w:ascii="Book Antiqua" w:eastAsia="Book Antiqua" w:hAnsi="Book Antiqua" w:cs="Book Antiqua"/>
          <w:i/>
          <w:iCs/>
          <w:color w:val="000000"/>
        </w:rPr>
        <w:t>Acta Biomed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89</w:t>
      </w:r>
      <w:r>
        <w:rPr>
          <w:rFonts w:ascii="Book Antiqua" w:eastAsia="Book Antiqua" w:hAnsi="Book Antiqua" w:cs="Book Antiqua"/>
          <w:color w:val="000000"/>
        </w:rPr>
        <w:t>: 53-57 [PMID: 30561418 DOI: 10.23750/abm.v89i8-S.7986]</w:t>
      </w:r>
    </w:p>
    <w:p w14:paraId="73529CED"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Kwak MS</w:t>
      </w:r>
      <w:r>
        <w:rPr>
          <w:rFonts w:ascii="Book Antiqua" w:eastAsia="Book Antiqua" w:hAnsi="Book Antiqua" w:cs="Book Antiqua"/>
          <w:color w:val="000000"/>
        </w:rPr>
        <w:t xml:space="preserve">, Kim N, Lee HS, Lee HE, Jung HC, Song IS. Predictive power of serum pepsinogen tests for the development of gastric cancer in comparison to the histologic risk index.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2010; </w:t>
      </w:r>
      <w:r>
        <w:rPr>
          <w:rFonts w:ascii="Book Antiqua" w:eastAsia="Book Antiqua" w:hAnsi="Book Antiqua" w:cs="Book Antiqua"/>
          <w:b/>
          <w:bCs/>
          <w:color w:val="000000"/>
        </w:rPr>
        <w:t>55</w:t>
      </w:r>
      <w:r>
        <w:rPr>
          <w:rFonts w:ascii="Book Antiqua" w:eastAsia="Book Antiqua" w:hAnsi="Book Antiqua" w:cs="Book Antiqua"/>
          <w:color w:val="000000"/>
        </w:rPr>
        <w:t>: 2275-2282 [PMID: 20306133 DOI: 10.1007/s10620-010-1181-x]</w:t>
      </w:r>
    </w:p>
    <w:p w14:paraId="435B2B81"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Singer MV</w:t>
      </w:r>
      <w:r>
        <w:rPr>
          <w:rFonts w:ascii="Book Antiqua" w:eastAsia="Book Antiqua" w:hAnsi="Book Antiqua" w:cs="Book Antiqua"/>
          <w:color w:val="000000"/>
        </w:rPr>
        <w:t xml:space="preserve">, Leffmann C, Eysselein VE, Calden H, Goebell H. Action of ethanol and some alcoholic beverages on gastric acid secretion and release of gastrin in humans.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1987; </w:t>
      </w:r>
      <w:r>
        <w:rPr>
          <w:rFonts w:ascii="Book Antiqua" w:eastAsia="Book Antiqua" w:hAnsi="Book Antiqua" w:cs="Book Antiqua"/>
          <w:b/>
          <w:bCs/>
          <w:color w:val="000000"/>
        </w:rPr>
        <w:t>93</w:t>
      </w:r>
      <w:r>
        <w:rPr>
          <w:rFonts w:ascii="Book Antiqua" w:eastAsia="Book Antiqua" w:hAnsi="Book Antiqua" w:cs="Book Antiqua"/>
          <w:color w:val="000000"/>
        </w:rPr>
        <w:t>: 1247-1254 [PMID: 3678743 DOI: 10.1016/0016-5085(87)90252-6]</w:t>
      </w:r>
    </w:p>
    <w:p w14:paraId="1BA0D400"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Fletcher DR</w:t>
      </w:r>
      <w:r>
        <w:rPr>
          <w:rFonts w:ascii="Book Antiqua" w:eastAsia="Book Antiqua" w:hAnsi="Book Antiqua" w:cs="Book Antiqua"/>
          <w:color w:val="000000"/>
        </w:rPr>
        <w:t xml:space="preserve">, Shulkes A, Hardy KJ. The effect of cigarette smoking on gastric acid secretion and gastric mucosal blood flow in man. </w:t>
      </w:r>
      <w:r>
        <w:rPr>
          <w:rFonts w:ascii="Book Antiqua" w:eastAsia="Book Antiqua" w:hAnsi="Book Antiqua" w:cs="Book Antiqua"/>
          <w:i/>
          <w:iCs/>
          <w:color w:val="000000"/>
        </w:rPr>
        <w:t>Aust N Z J Med</w:t>
      </w:r>
      <w:r>
        <w:rPr>
          <w:rFonts w:ascii="Book Antiqua" w:eastAsia="Book Antiqua" w:hAnsi="Book Antiqua" w:cs="Book Antiqua"/>
          <w:color w:val="000000"/>
        </w:rPr>
        <w:t xml:space="preserve"> 1985; </w:t>
      </w:r>
      <w:r>
        <w:rPr>
          <w:rFonts w:ascii="Book Antiqua" w:eastAsia="Book Antiqua" w:hAnsi="Book Antiqua" w:cs="Book Antiqua"/>
          <w:b/>
          <w:bCs/>
          <w:color w:val="000000"/>
        </w:rPr>
        <w:t>15</w:t>
      </w:r>
      <w:r>
        <w:rPr>
          <w:rFonts w:ascii="Book Antiqua" w:eastAsia="Book Antiqua" w:hAnsi="Book Antiqua" w:cs="Book Antiqua"/>
          <w:color w:val="000000"/>
        </w:rPr>
        <w:t>: 417-420 [PMID: 3866537 DOI: 10.1111/j.1445-5994.1985.tb02763.x]</w:t>
      </w:r>
    </w:p>
    <w:p w14:paraId="03F1B934" w14:textId="77777777" w:rsidR="001E2528" w:rsidRDefault="006E34CF">
      <w:pPr>
        <w:spacing w:line="360" w:lineRule="auto"/>
        <w:jc w:val="both"/>
        <w:rPr>
          <w:rFonts w:ascii="Book Antiqua" w:hAnsi="Book Antiqua"/>
        </w:rPr>
      </w:pPr>
      <w:r w:rsidRPr="00885D3B">
        <w:rPr>
          <w:rFonts w:ascii="Book Antiqua" w:eastAsia="Book Antiqua" w:hAnsi="Book Antiqua" w:cs="Book Antiqua"/>
          <w:color w:val="000000"/>
          <w:lang w:val="it-IT"/>
        </w:rPr>
        <w:t xml:space="preserve">17 </w:t>
      </w:r>
      <w:r w:rsidRPr="00885D3B">
        <w:rPr>
          <w:rFonts w:ascii="Book Antiqua" w:eastAsia="Book Antiqua" w:hAnsi="Book Antiqua" w:cs="Book Antiqua"/>
          <w:b/>
          <w:bCs/>
          <w:color w:val="000000"/>
          <w:lang w:val="it-IT"/>
        </w:rPr>
        <w:t>Pilotto A</w:t>
      </w:r>
      <w:r w:rsidRPr="00885D3B">
        <w:rPr>
          <w:rFonts w:ascii="Book Antiqua" w:eastAsia="Book Antiqua" w:hAnsi="Book Antiqua" w:cs="Book Antiqua"/>
          <w:color w:val="000000"/>
          <w:lang w:val="it-IT"/>
        </w:rPr>
        <w:t xml:space="preserve">, Vianello F, Di Mario F, Plebani M, Farinati F, Azzini CF. </w:t>
      </w:r>
      <w:r>
        <w:rPr>
          <w:rFonts w:ascii="Book Antiqua" w:eastAsia="Book Antiqua" w:hAnsi="Book Antiqua" w:cs="Book Antiqua"/>
          <w:color w:val="000000"/>
        </w:rPr>
        <w:t xml:space="preserve">Effect of age on gastric acid, pepsin, pepsinogen group A and gastrin secretion in peptic ulcer patients. </w:t>
      </w:r>
      <w:r>
        <w:rPr>
          <w:rFonts w:ascii="Book Antiqua" w:eastAsia="Book Antiqua" w:hAnsi="Book Antiqua" w:cs="Book Antiqua"/>
          <w:i/>
          <w:iCs/>
          <w:color w:val="000000"/>
        </w:rPr>
        <w:t>Gerontology</w:t>
      </w:r>
      <w:r>
        <w:rPr>
          <w:rFonts w:ascii="Book Antiqua" w:eastAsia="Book Antiqua" w:hAnsi="Book Antiqua" w:cs="Book Antiqua"/>
          <w:color w:val="000000"/>
        </w:rPr>
        <w:t xml:space="preserve"> 1994; </w:t>
      </w:r>
      <w:r>
        <w:rPr>
          <w:rFonts w:ascii="Book Antiqua" w:eastAsia="Book Antiqua" w:hAnsi="Book Antiqua" w:cs="Book Antiqua"/>
          <w:b/>
          <w:bCs/>
          <w:color w:val="000000"/>
        </w:rPr>
        <w:t>40</w:t>
      </w:r>
      <w:r>
        <w:rPr>
          <w:rFonts w:ascii="Book Antiqua" w:eastAsia="Book Antiqua" w:hAnsi="Book Antiqua" w:cs="Book Antiqua"/>
          <w:color w:val="000000"/>
        </w:rPr>
        <w:t>: 253-259 [PMID: 7959081 DOI: 10.1159/000213593]</w:t>
      </w:r>
    </w:p>
    <w:p w14:paraId="6B5AB204"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Parhusip DH</w:t>
      </w:r>
      <w:r>
        <w:rPr>
          <w:rFonts w:ascii="Book Antiqua" w:eastAsia="Book Antiqua" w:hAnsi="Book Antiqua" w:cs="Book Antiqua"/>
          <w:color w:val="000000"/>
        </w:rPr>
        <w:t xml:space="preserve">, Siregar GA, Dairi LB. The Difference of Serum Gastrin-17 Level Based on Gastritis Severity and Helicobacter Pylori Infection. </w:t>
      </w:r>
      <w:r>
        <w:rPr>
          <w:rFonts w:ascii="Book Antiqua" w:eastAsia="Book Antiqua" w:hAnsi="Book Antiqua" w:cs="Book Antiqua"/>
          <w:i/>
          <w:iCs/>
          <w:color w:val="000000"/>
        </w:rPr>
        <w:t>Open Access Maced J Med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1266-1269 [PMID: 31110567 DOI: 10.3889/oamjms.2019.325]</w:t>
      </w:r>
    </w:p>
    <w:bookmarkEnd w:id="3"/>
    <w:p w14:paraId="116C3127" w14:textId="77777777" w:rsidR="001E2528" w:rsidRDefault="001E2528">
      <w:pPr>
        <w:spacing w:line="360" w:lineRule="auto"/>
        <w:jc w:val="both"/>
        <w:rPr>
          <w:rFonts w:ascii="Book Antiqua" w:hAnsi="Book Antiqua"/>
        </w:rPr>
        <w:sectPr w:rsidR="001E2528">
          <w:pgSz w:w="12240" w:h="15840"/>
          <w:pgMar w:top="1440" w:right="1440" w:bottom="1440" w:left="1440" w:header="720" w:footer="720" w:gutter="0"/>
          <w:cols w:space="720"/>
          <w:docGrid w:linePitch="360"/>
        </w:sectPr>
      </w:pPr>
    </w:p>
    <w:p w14:paraId="7EA655A5" w14:textId="77777777" w:rsidR="001E2528" w:rsidRDefault="006E34CF">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E3088C9" w14:textId="77777777" w:rsidR="001E2528" w:rsidRDefault="006E34CF">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The study was reviewed and approved by </w:t>
      </w:r>
      <w:r>
        <w:rPr>
          <w:rFonts w:ascii="Book Antiqua" w:eastAsia="Book Antiqua" w:hAnsi="Book Antiqua" w:cs="Book Antiqua"/>
          <w:color w:val="000000"/>
        </w:rPr>
        <w:t>the Second People's Hospital of Anhui Province</w:t>
      </w:r>
      <w:r>
        <w:rPr>
          <w:rFonts w:ascii="Book Antiqua" w:hAnsi="Book Antiqua" w:cs="Book Antiqua" w:hint="eastAsia"/>
          <w:color w:val="000000"/>
          <w:lang w:eastAsia="zh-CN"/>
        </w:rPr>
        <w:t xml:space="preserve">, </w:t>
      </w:r>
      <w:r>
        <w:rPr>
          <w:rFonts w:ascii="Book Antiqua" w:eastAsia="Book Antiqua" w:hAnsi="Book Antiqua" w:cs="Book Antiqua"/>
          <w:color w:val="000000"/>
        </w:rPr>
        <w:t>Institutional Review Board (Approval No. 2015-036).</w:t>
      </w:r>
    </w:p>
    <w:p w14:paraId="36FC6BF3" w14:textId="77777777" w:rsidR="001E2528" w:rsidRDefault="001E2528">
      <w:pPr>
        <w:spacing w:line="360" w:lineRule="auto"/>
        <w:jc w:val="both"/>
        <w:rPr>
          <w:rFonts w:ascii="Book Antiqua" w:hAnsi="Book Antiqua"/>
          <w:lang w:eastAsia="zh-CN"/>
        </w:rPr>
      </w:pPr>
    </w:p>
    <w:p w14:paraId="0CC61675" w14:textId="77777777" w:rsidR="001E2528" w:rsidRDefault="006E34CF">
      <w:pPr>
        <w:adjustRightInd w:val="0"/>
        <w:snapToGrid w:val="0"/>
        <w:spacing w:line="360" w:lineRule="auto"/>
        <w:rPr>
          <w:rFonts w:ascii="Book Antiqua" w:hAnsi="Book Antiqua"/>
          <w:b/>
          <w:color w:val="000000"/>
        </w:rPr>
      </w:pPr>
      <w:r>
        <w:rPr>
          <w:rFonts w:ascii="Book Antiqua" w:hAnsi="Book Antiqua"/>
          <w:b/>
          <w:color w:val="000000"/>
        </w:rPr>
        <w:t>Informed consent statement</w:t>
      </w:r>
      <w:r>
        <w:rPr>
          <w:rFonts w:ascii="Book Antiqua" w:hAnsi="Book Antiqua" w:hint="eastAsia"/>
          <w:b/>
          <w:bCs/>
          <w:iCs/>
          <w:color w:val="000000"/>
        </w:rPr>
        <w:t>:</w:t>
      </w:r>
      <w:r>
        <w:rPr>
          <w:rFonts w:ascii="Book Antiqua" w:hAnsi="Book Antiqua"/>
          <w:b/>
          <w:bCs/>
          <w:iCs/>
          <w:color w:val="000000"/>
        </w:rPr>
        <w:t xml:space="preserve"> </w:t>
      </w:r>
      <w:r>
        <w:rPr>
          <w:rFonts w:ascii="Book Antiqua" w:hAnsi="Book Antiqua"/>
          <w:bCs/>
          <w:iCs/>
          <w:color w:val="000000"/>
        </w:rPr>
        <w:t>All study participants, or their legal guardian, provided informed written consent prior to study enrollment.</w:t>
      </w:r>
    </w:p>
    <w:p w14:paraId="26583D6E" w14:textId="77777777" w:rsidR="001E2528" w:rsidRDefault="001E2528">
      <w:pPr>
        <w:spacing w:line="360" w:lineRule="auto"/>
        <w:jc w:val="both"/>
        <w:rPr>
          <w:rFonts w:ascii="Book Antiqua" w:hAnsi="Book Antiqua"/>
          <w:lang w:eastAsia="zh-CN"/>
        </w:rPr>
      </w:pPr>
    </w:p>
    <w:p w14:paraId="22395DE9" w14:textId="77777777" w:rsidR="001E2528" w:rsidRDefault="006E34CF">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EFEFE"/>
        </w:rPr>
        <w:t>The authors have no potential competing interests to declare.</w:t>
      </w:r>
    </w:p>
    <w:p w14:paraId="0DD468EC" w14:textId="77777777" w:rsidR="001E2528" w:rsidRDefault="001E2528">
      <w:pPr>
        <w:spacing w:line="360" w:lineRule="auto"/>
        <w:jc w:val="both"/>
        <w:rPr>
          <w:rFonts w:ascii="Book Antiqua" w:hAnsi="Book Antiqua"/>
        </w:rPr>
      </w:pPr>
    </w:p>
    <w:p w14:paraId="28C9DED5" w14:textId="77777777" w:rsidR="001E2528" w:rsidRDefault="006E34CF">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 xml:space="preserve"> No additional data are available.</w:t>
      </w:r>
    </w:p>
    <w:p w14:paraId="63765496" w14:textId="77777777" w:rsidR="001E2528" w:rsidRDefault="001E2528">
      <w:pPr>
        <w:spacing w:line="360" w:lineRule="auto"/>
        <w:jc w:val="both"/>
        <w:rPr>
          <w:rFonts w:ascii="Book Antiqua" w:hAnsi="Book Antiqua"/>
          <w:lang w:eastAsia="zh-CN"/>
        </w:rPr>
      </w:pPr>
    </w:p>
    <w:p w14:paraId="4D97FC12" w14:textId="77777777" w:rsidR="001E2528" w:rsidRDefault="006E34CF">
      <w:pPr>
        <w:spacing w:line="360" w:lineRule="auto"/>
        <w:jc w:val="both"/>
        <w:rPr>
          <w:rFonts w:ascii="Book Antiqua" w:hAnsi="Book Antiqua" w:cs="Garamond-Bold"/>
          <w:bCs/>
          <w:color w:val="000000"/>
          <w:lang w:eastAsia="zh-CN"/>
        </w:rPr>
      </w:pPr>
      <w:bookmarkStart w:id="4" w:name="OLE_LINK507"/>
      <w:bookmarkStart w:id="5" w:name="OLE_LINK506"/>
      <w:bookmarkStart w:id="6" w:name="OLE_LINK496"/>
      <w:bookmarkStart w:id="7" w:name="OLE_LINK479"/>
      <w:r>
        <w:rPr>
          <w:rFonts w:ascii="Book Antiqua" w:hAnsi="Book Antiqua"/>
          <w:b/>
          <w:color w:val="000000"/>
        </w:rPr>
        <w:t>STROBE statement</w:t>
      </w:r>
      <w:r>
        <w:rPr>
          <w:rFonts w:ascii="Book Antiqua" w:hAnsi="Book Antiqua" w:hint="eastAsia"/>
          <w:b/>
          <w:color w:val="000000"/>
        </w:rPr>
        <w:t>:</w:t>
      </w:r>
      <w:r>
        <w:rPr>
          <w:rFonts w:ascii="Book Antiqua" w:hAnsi="Book Antiqua"/>
          <w:b/>
          <w:color w:val="000000"/>
        </w:rPr>
        <w:t xml:space="preserve"> </w:t>
      </w:r>
      <w:r>
        <w:rPr>
          <w:rFonts w:ascii="Book Antiqua" w:hAnsi="Book Antiqua" w:cs="Garamond-Bold"/>
          <w:bCs/>
          <w:color w:val="000000"/>
        </w:rPr>
        <w:t>The authors have read the STROBE Statement—checklist of items, and the manuscript was prepared and revised according to the STROBE Statement—checklist of items.</w:t>
      </w:r>
      <w:bookmarkEnd w:id="4"/>
      <w:bookmarkEnd w:id="5"/>
      <w:bookmarkEnd w:id="6"/>
      <w:bookmarkEnd w:id="7"/>
      <w:r>
        <w:rPr>
          <w:rFonts w:ascii="Book Antiqua" w:hAnsi="Book Antiqua" w:cs="Garamond-Bold" w:hint="eastAsia"/>
          <w:bCs/>
          <w:color w:val="000000"/>
          <w:lang w:eastAsia="zh-CN"/>
        </w:rPr>
        <w:t xml:space="preserve"> </w:t>
      </w:r>
    </w:p>
    <w:p w14:paraId="5AAE28DC" w14:textId="77777777" w:rsidR="001E2528" w:rsidRDefault="001E2528">
      <w:pPr>
        <w:spacing w:line="360" w:lineRule="auto"/>
        <w:jc w:val="both"/>
        <w:rPr>
          <w:rFonts w:ascii="Book Antiqua" w:hAnsi="Book Antiqua"/>
          <w:lang w:eastAsia="zh-CN"/>
        </w:rPr>
      </w:pPr>
    </w:p>
    <w:p w14:paraId="66627675" w14:textId="77777777" w:rsidR="001E2528" w:rsidRDefault="006E34CF">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A674DFA" w14:textId="77777777" w:rsidR="001E2528" w:rsidRDefault="001E2528">
      <w:pPr>
        <w:spacing w:line="360" w:lineRule="auto"/>
        <w:jc w:val="both"/>
        <w:rPr>
          <w:rFonts w:ascii="Book Antiqua" w:hAnsi="Book Antiqua"/>
        </w:rPr>
      </w:pPr>
    </w:p>
    <w:p w14:paraId="5B1B0E93" w14:textId="7D3F4639" w:rsidR="008F71C7" w:rsidRPr="008F71C7" w:rsidRDefault="008F71C7" w:rsidP="008F71C7">
      <w:pPr>
        <w:spacing w:line="360" w:lineRule="auto"/>
        <w:jc w:val="both"/>
        <w:rPr>
          <w:rFonts w:ascii="Book Antiqua" w:eastAsia="Book Antiqua" w:hAnsi="Book Antiqua" w:cs="Book Antiqua"/>
          <w:b/>
          <w:color w:val="000000"/>
        </w:rPr>
      </w:pPr>
      <w:r w:rsidRPr="008F71C7">
        <w:rPr>
          <w:rFonts w:ascii="Book Antiqua" w:eastAsia="Book Antiqua" w:hAnsi="Book Antiqua" w:cs="Book Antiqua"/>
          <w:b/>
          <w:color w:val="000000"/>
        </w:rPr>
        <w:t xml:space="preserve">Provenance and peer review: </w:t>
      </w:r>
      <w:r w:rsidRPr="00885D3B">
        <w:rPr>
          <w:rFonts w:ascii="Book Antiqua" w:eastAsia="Book Antiqua" w:hAnsi="Book Antiqua" w:cs="Book Antiqua"/>
          <w:bCs/>
          <w:color w:val="000000"/>
        </w:rPr>
        <w:t>Unsolicited article; Externally peer reviewed.</w:t>
      </w:r>
    </w:p>
    <w:p w14:paraId="47254E72" w14:textId="77777777" w:rsidR="008F71C7" w:rsidRDefault="008F71C7" w:rsidP="008F71C7">
      <w:pPr>
        <w:spacing w:line="360" w:lineRule="auto"/>
        <w:jc w:val="both"/>
        <w:rPr>
          <w:rFonts w:ascii="Book Antiqua" w:eastAsia="Book Antiqua" w:hAnsi="Book Antiqua" w:cs="Book Antiqua"/>
          <w:b/>
          <w:color w:val="000000"/>
        </w:rPr>
      </w:pPr>
      <w:r w:rsidRPr="008F71C7">
        <w:rPr>
          <w:rFonts w:ascii="Book Antiqua" w:eastAsia="Book Antiqua" w:hAnsi="Book Antiqua" w:cs="Book Antiqua"/>
          <w:b/>
          <w:color w:val="000000"/>
        </w:rPr>
        <w:t xml:space="preserve">Peer-review model: </w:t>
      </w:r>
      <w:r w:rsidRPr="00885D3B">
        <w:rPr>
          <w:rFonts w:ascii="Book Antiqua" w:eastAsia="Book Antiqua" w:hAnsi="Book Antiqua" w:cs="Book Antiqua"/>
          <w:bCs/>
          <w:color w:val="000000"/>
        </w:rPr>
        <w:t>Single blind</w:t>
      </w:r>
    </w:p>
    <w:p w14:paraId="3B1E5212" w14:textId="77777777" w:rsidR="001E2528" w:rsidRDefault="001E2528">
      <w:pPr>
        <w:spacing w:line="360" w:lineRule="auto"/>
        <w:jc w:val="both"/>
        <w:rPr>
          <w:rFonts w:ascii="Book Antiqua" w:hAnsi="Book Antiqua"/>
        </w:rPr>
      </w:pPr>
    </w:p>
    <w:p w14:paraId="153F423A" w14:textId="77777777" w:rsidR="001E2528" w:rsidRDefault="006E34CF">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25, 2021</w:t>
      </w:r>
    </w:p>
    <w:p w14:paraId="36DC5BB3" w14:textId="77777777" w:rsidR="001E2528" w:rsidRDefault="006E34CF">
      <w:pPr>
        <w:spacing w:line="360" w:lineRule="auto"/>
        <w:jc w:val="both"/>
        <w:rPr>
          <w:rFonts w:ascii="Book Antiqua" w:hAnsi="Book Antiqua"/>
        </w:rPr>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June 3, 2021</w:t>
      </w:r>
    </w:p>
    <w:p w14:paraId="3EB6B772" w14:textId="131006CF" w:rsidR="001E2528" w:rsidRDefault="006E34CF">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634E5B">
        <w:rPr>
          <w:rFonts w:ascii="Book Antiqua" w:eastAsia="宋体" w:hAnsi="Book Antiqua" w:hint="eastAsia"/>
          <w:color w:val="000000" w:themeColor="text1"/>
        </w:rPr>
        <w:t>Au</w:t>
      </w:r>
      <w:r w:rsidR="00634E5B">
        <w:rPr>
          <w:rFonts w:ascii="Book Antiqua" w:eastAsia="宋体" w:hAnsi="Book Antiqua"/>
          <w:color w:val="000000" w:themeColor="text1"/>
        </w:rPr>
        <w:t>gust</w:t>
      </w:r>
      <w:r w:rsidR="00634E5B" w:rsidRPr="00F06907">
        <w:rPr>
          <w:rFonts w:ascii="Book Antiqua" w:eastAsia="宋体" w:hAnsi="Book Antiqua"/>
          <w:color w:val="000000" w:themeColor="text1"/>
        </w:rPr>
        <w:t xml:space="preserve"> </w:t>
      </w:r>
      <w:r w:rsidR="00634E5B">
        <w:rPr>
          <w:rFonts w:ascii="Book Antiqua" w:eastAsia="宋体" w:hAnsi="Book Antiqua"/>
          <w:color w:val="000000" w:themeColor="text1"/>
        </w:rPr>
        <w:t>30</w:t>
      </w:r>
      <w:r w:rsidR="00634E5B" w:rsidRPr="00F06907">
        <w:rPr>
          <w:rFonts w:ascii="Book Antiqua" w:eastAsia="宋体" w:hAnsi="Book Antiqua"/>
          <w:color w:val="000000" w:themeColor="text1"/>
        </w:rPr>
        <w:t>, 2021</w:t>
      </w:r>
    </w:p>
    <w:p w14:paraId="02A86CF4" w14:textId="77777777" w:rsidR="001E2528" w:rsidRDefault="001E2528">
      <w:pPr>
        <w:spacing w:line="360" w:lineRule="auto"/>
        <w:jc w:val="both"/>
        <w:rPr>
          <w:rFonts w:ascii="Book Antiqua" w:hAnsi="Book Antiqua"/>
        </w:rPr>
      </w:pPr>
    </w:p>
    <w:p w14:paraId="12688CA2" w14:textId="77777777" w:rsidR="001E2528" w:rsidRDefault="006E34CF">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4FE7DAF9" w14:textId="77777777" w:rsidR="001E2528" w:rsidRDefault="006E34CF">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CC8752D" w14:textId="77777777" w:rsidR="001E2528" w:rsidRDefault="006E34CF">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143F659"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Grade A (Excellent): 0</w:t>
      </w:r>
    </w:p>
    <w:p w14:paraId="274E743F"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Grade B (Very good): 0</w:t>
      </w:r>
    </w:p>
    <w:p w14:paraId="07CE6C68" w14:textId="77777777" w:rsidR="001E2528" w:rsidRDefault="006E34CF">
      <w:pPr>
        <w:spacing w:line="360" w:lineRule="auto"/>
        <w:jc w:val="both"/>
        <w:rPr>
          <w:rFonts w:ascii="Book Antiqua" w:hAnsi="Book Antiqua"/>
          <w:lang w:eastAsia="zh-CN"/>
        </w:rPr>
      </w:pPr>
      <w:r>
        <w:rPr>
          <w:rFonts w:ascii="Book Antiqua" w:eastAsia="Book Antiqua" w:hAnsi="Book Antiqua" w:cs="Book Antiqua"/>
          <w:color w:val="000000"/>
        </w:rPr>
        <w:t>Grade C (Good): C</w:t>
      </w:r>
      <w:r>
        <w:rPr>
          <w:rFonts w:ascii="Book Antiqua" w:hAnsi="Book Antiqua" w:cs="Book Antiqua"/>
          <w:color w:val="000000"/>
          <w:lang w:eastAsia="zh-CN"/>
        </w:rPr>
        <w:t>, C</w:t>
      </w:r>
    </w:p>
    <w:p w14:paraId="152196C1"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Grade D (Fair): 0</w:t>
      </w:r>
    </w:p>
    <w:p w14:paraId="44A13873" w14:textId="77777777" w:rsidR="001E2528" w:rsidRDefault="006E34CF">
      <w:pPr>
        <w:spacing w:line="360" w:lineRule="auto"/>
        <w:jc w:val="both"/>
        <w:rPr>
          <w:rFonts w:ascii="Book Antiqua" w:hAnsi="Book Antiqua"/>
        </w:rPr>
      </w:pPr>
      <w:r>
        <w:rPr>
          <w:rFonts w:ascii="Book Antiqua" w:eastAsia="Book Antiqua" w:hAnsi="Book Antiqua" w:cs="Book Antiqua"/>
          <w:color w:val="000000"/>
        </w:rPr>
        <w:t>Grade E (Poor): 0</w:t>
      </w:r>
    </w:p>
    <w:p w14:paraId="77FF7D29" w14:textId="77777777" w:rsidR="001E2528" w:rsidRDefault="001E2528">
      <w:pPr>
        <w:spacing w:line="360" w:lineRule="auto"/>
        <w:jc w:val="both"/>
        <w:rPr>
          <w:rFonts w:ascii="Book Antiqua" w:hAnsi="Book Antiqua"/>
        </w:rPr>
      </w:pPr>
    </w:p>
    <w:p w14:paraId="1F718D46" w14:textId="57C648F1" w:rsidR="001E2528" w:rsidRDefault="006E34C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Farid K</w:t>
      </w:r>
      <w:r>
        <w:rPr>
          <w:rFonts w:ascii="Book Antiqua" w:eastAsia="Book Antiqua" w:hAnsi="Book Antiqua" w:cs="Book Antiqua"/>
          <w:b/>
          <w:color w:val="000000"/>
        </w:rPr>
        <w:t xml:space="preserve"> S-Editor: </w:t>
      </w:r>
      <w:r>
        <w:rPr>
          <w:rFonts w:ascii="Book Antiqua" w:hAnsi="Book Antiqua" w:cs="Book Antiqua"/>
          <w:color w:val="000000"/>
          <w:lang w:eastAsia="zh-CN"/>
        </w:rPr>
        <w:t>Wang LL</w:t>
      </w:r>
      <w:r>
        <w:rPr>
          <w:rFonts w:ascii="Book Antiqua" w:eastAsia="Book Antiqua" w:hAnsi="Book Antiqua" w:cs="Book Antiqua"/>
          <w:b/>
          <w:color w:val="000000"/>
        </w:rPr>
        <w:t xml:space="preserve"> L-Editor: </w:t>
      </w:r>
      <w:r w:rsidR="00EC401E">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r w:rsidR="00634E5B" w:rsidRPr="007402E9">
        <w:rPr>
          <w:rFonts w:ascii="Book Antiqua" w:eastAsia="Book Antiqua" w:hAnsi="Book Antiqua" w:cs="Book Antiqua"/>
          <w:bCs/>
        </w:rPr>
        <w:t>Yu HG</w:t>
      </w:r>
    </w:p>
    <w:p w14:paraId="6245882D" w14:textId="77777777" w:rsidR="001E2528" w:rsidRDefault="006E34C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hAnsi="Book Antiqua" w:cs="Book Antiqua"/>
          <w:b/>
          <w:color w:val="000000"/>
          <w:lang w:eastAsia="zh-CN"/>
        </w:rPr>
        <w:lastRenderedPageBreak/>
        <w:t>Figure Legends</w:t>
      </w:r>
    </w:p>
    <w:p w14:paraId="208606B5" w14:textId="77777777" w:rsidR="001E2528" w:rsidRDefault="006E34CF">
      <w:pPr>
        <w:spacing w:line="360" w:lineRule="auto"/>
        <w:jc w:val="both"/>
        <w:rPr>
          <w:rFonts w:ascii="Book Antiqua" w:hAnsi="Book Antiqua"/>
          <w:lang w:eastAsia="zh-CN"/>
        </w:rPr>
      </w:pPr>
      <w:r>
        <w:rPr>
          <w:rFonts w:ascii="Book Antiqua" w:hAnsi="Book Antiqua"/>
          <w:noProof/>
          <w:lang w:val="en-GB" w:eastAsia="zh-CN"/>
        </w:rPr>
        <w:drawing>
          <wp:inline distT="0" distB="0" distL="0" distR="0" wp14:anchorId="21DF4ED8" wp14:editId="0EE07B0E">
            <wp:extent cx="4619625" cy="3528060"/>
            <wp:effectExtent l="0" t="0" r="0" b="0"/>
            <wp:docPr id="1" name="图片 1" descr="C:\Users\马玉杰\AppData\Roaming\Tencent\Users\623573717\QQ\WinTemp\RichOle\M]){2LH%0~JVE](I)IJTH5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马玉杰\AppData\Roaming\Tencent\Users\623573717\QQ\WinTemp\RichOle\M]){2LH%0~JVE](I)IJTH5O.png"/>
                    <pic:cNvPicPr>
                      <a:picLocks noChangeAspect="1" noChangeArrowheads="1"/>
                    </pic:cNvPicPr>
                  </pic:nvPicPr>
                  <pic:blipFill>
                    <a:blip r:embed="rId9">
                      <a:extLst>
                        <a:ext uri="{28A0092B-C50C-407E-A947-70E740481C1C}">
                          <a14:useLocalDpi xmlns:a14="http://schemas.microsoft.com/office/drawing/2010/main" val="0"/>
                        </a:ext>
                      </a:extLst>
                    </a:blip>
                    <a:srcRect t="753"/>
                    <a:stretch>
                      <a:fillRect/>
                    </a:stretch>
                  </pic:blipFill>
                  <pic:spPr>
                    <a:xfrm>
                      <a:off x="0" y="0"/>
                      <a:ext cx="4620206" cy="3528060"/>
                    </a:xfrm>
                    <a:prstGeom prst="rect">
                      <a:avLst/>
                    </a:prstGeom>
                    <a:noFill/>
                    <a:ln>
                      <a:noFill/>
                    </a:ln>
                  </pic:spPr>
                </pic:pic>
              </a:graphicData>
            </a:graphic>
          </wp:inline>
        </w:drawing>
      </w:r>
    </w:p>
    <w:p w14:paraId="50BC17DB" w14:textId="77777777" w:rsidR="001E2528" w:rsidRDefault="006E34CF">
      <w:pPr>
        <w:spacing w:line="360" w:lineRule="auto"/>
        <w:jc w:val="both"/>
        <w:rPr>
          <w:rFonts w:ascii="Book Antiqua" w:hAnsi="Book Antiqua"/>
          <w:b/>
          <w:lang w:eastAsia="zh-CN"/>
        </w:rPr>
      </w:pPr>
      <w:r>
        <w:rPr>
          <w:rFonts w:ascii="Book Antiqua" w:hAnsi="Book Antiqua"/>
          <w:b/>
          <w:lang w:eastAsia="zh-CN"/>
        </w:rPr>
        <w:t>Figure 1 Efficacy of serum gastrin-17 for distinguishing peptic ulcer with or without upper gastrointestinal bleeding.</w:t>
      </w:r>
    </w:p>
    <w:p w14:paraId="5AEC1F0C" w14:textId="77777777" w:rsidR="001E2528" w:rsidRDefault="006E34CF">
      <w:pPr>
        <w:spacing w:line="360" w:lineRule="auto"/>
        <w:jc w:val="both"/>
        <w:rPr>
          <w:rFonts w:ascii="Book Antiqua" w:hAnsi="Book Antiqua"/>
          <w:lang w:eastAsia="zh-CN"/>
        </w:rPr>
      </w:pPr>
      <w:r>
        <w:rPr>
          <w:rFonts w:ascii="Book Antiqua" w:hAnsi="Book Antiqua"/>
          <w:lang w:eastAsia="zh-CN"/>
        </w:rPr>
        <w:br w:type="page"/>
      </w:r>
      <w:r>
        <w:rPr>
          <w:rFonts w:ascii="Book Antiqua" w:hAnsi="Book Antiqua"/>
          <w:noProof/>
          <w:lang w:val="en-GB" w:eastAsia="zh-CN"/>
        </w:rPr>
        <w:lastRenderedPageBreak/>
        <w:drawing>
          <wp:inline distT="0" distB="0" distL="0" distR="0" wp14:anchorId="54DD7F9B" wp14:editId="50754E00">
            <wp:extent cx="5419090" cy="4061460"/>
            <wp:effectExtent l="0" t="0" r="0" b="0"/>
            <wp:docPr id="2" name="图片 2" descr="C:\Users\马玉杰\AppData\Roaming\Tencent\Users\623573717\QQ\WinTemp\RichOle\OX6Q]6{}ZN9F}QR~1]RUQ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马玉杰\AppData\Roaming\Tencent\Users\623573717\QQ\WinTemp\RichOle\OX6Q]6{}ZN9F}QR~1]RUQ7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419414" cy="4061460"/>
                    </a:xfrm>
                    <a:prstGeom prst="rect">
                      <a:avLst/>
                    </a:prstGeom>
                    <a:noFill/>
                    <a:ln>
                      <a:noFill/>
                    </a:ln>
                  </pic:spPr>
                </pic:pic>
              </a:graphicData>
            </a:graphic>
          </wp:inline>
        </w:drawing>
      </w:r>
    </w:p>
    <w:p w14:paraId="2F6FFE2E" w14:textId="71347AB5" w:rsidR="001E2528" w:rsidRDefault="006E34CF">
      <w:pPr>
        <w:spacing w:line="360" w:lineRule="auto"/>
        <w:jc w:val="both"/>
        <w:rPr>
          <w:rFonts w:ascii="Book Antiqua" w:hAnsi="Book Antiqua"/>
          <w:b/>
          <w:lang w:eastAsia="zh-CN"/>
        </w:rPr>
      </w:pPr>
      <w:r>
        <w:rPr>
          <w:rFonts w:ascii="Book Antiqua" w:hAnsi="Book Antiqua"/>
          <w:b/>
          <w:lang w:eastAsia="zh-CN"/>
        </w:rPr>
        <w:t>Figure 2 Efficacies of serum pepsinogen I, pepsinogen II</w:t>
      </w:r>
      <w:r>
        <w:rPr>
          <w:rFonts w:ascii="Book Antiqua" w:hAnsi="Book Antiqua" w:hint="eastAsia"/>
          <w:b/>
          <w:lang w:eastAsia="zh-CN"/>
        </w:rPr>
        <w:t xml:space="preserve"> and </w:t>
      </w:r>
      <w:r>
        <w:rPr>
          <w:rFonts w:ascii="Book Antiqua" w:hAnsi="Book Antiqua"/>
          <w:b/>
          <w:lang w:eastAsia="zh-CN"/>
        </w:rPr>
        <w:t>pepsinogen ratio for distinguishing peptic ulcer with or without upper gastrointestinal bleeding.</w:t>
      </w:r>
      <w:r w:rsidR="00887D46">
        <w:rPr>
          <w:rFonts w:ascii="Book Antiqua" w:hAnsi="Book Antiqua"/>
          <w:b/>
          <w:lang w:eastAsia="zh-CN"/>
        </w:rPr>
        <w:t xml:space="preserve"> </w:t>
      </w:r>
      <w:r w:rsidR="00887D46">
        <w:rPr>
          <w:rFonts w:ascii="Book Antiqua" w:eastAsia="宋体" w:hAnsi="Book Antiqua" w:cs="Calibri" w:hint="eastAsia"/>
          <w:kern w:val="2"/>
          <w:lang w:eastAsia="zh-CN"/>
        </w:rPr>
        <w:t>PGI: P</w:t>
      </w:r>
      <w:r w:rsidR="00887D46">
        <w:rPr>
          <w:rFonts w:ascii="Book Antiqua" w:eastAsia="宋体" w:hAnsi="Book Antiqua" w:cs="Calibri"/>
          <w:kern w:val="2"/>
          <w:lang w:eastAsia="zh-CN"/>
        </w:rPr>
        <w:t>epsinogen I</w:t>
      </w:r>
      <w:r w:rsidR="00887D46">
        <w:rPr>
          <w:rFonts w:ascii="Book Antiqua" w:eastAsia="宋体" w:hAnsi="Book Antiqua" w:cs="Calibri" w:hint="eastAsia"/>
          <w:kern w:val="2"/>
          <w:lang w:eastAsia="zh-CN"/>
        </w:rPr>
        <w:t>; PGII: P</w:t>
      </w:r>
      <w:r w:rsidR="00887D46">
        <w:rPr>
          <w:rFonts w:ascii="Book Antiqua" w:eastAsia="宋体" w:hAnsi="Book Antiqua" w:cs="Calibri"/>
          <w:kern w:val="2"/>
          <w:lang w:eastAsia="zh-CN"/>
        </w:rPr>
        <w:t>epsinogen I</w:t>
      </w:r>
      <w:r w:rsidR="00887D46">
        <w:rPr>
          <w:rFonts w:ascii="Book Antiqua" w:eastAsia="宋体" w:hAnsi="Book Antiqua" w:cs="Calibri" w:hint="eastAsia"/>
          <w:kern w:val="2"/>
          <w:lang w:eastAsia="zh-CN"/>
        </w:rPr>
        <w:t>I;</w:t>
      </w:r>
      <w:r w:rsidR="00887D46">
        <w:rPr>
          <w:rFonts w:ascii="Book Antiqua" w:eastAsia="宋体" w:hAnsi="Book Antiqua" w:cs="Calibri"/>
          <w:kern w:val="2"/>
          <w:lang w:eastAsia="zh-CN"/>
        </w:rPr>
        <w:t xml:space="preserve"> PGR: </w:t>
      </w:r>
      <w:r w:rsidR="00887D46">
        <w:rPr>
          <w:rFonts w:ascii="Book Antiqua" w:eastAsia="Book Antiqua" w:hAnsi="Book Antiqua" w:cs="Book Antiqua"/>
          <w:color w:val="000000"/>
        </w:rPr>
        <w:t>PGI/PGII ratio.</w:t>
      </w:r>
    </w:p>
    <w:p w14:paraId="7676F6FC" w14:textId="77777777" w:rsidR="001E2528" w:rsidRDefault="006E34CF">
      <w:pPr>
        <w:spacing w:line="360" w:lineRule="auto"/>
        <w:jc w:val="both"/>
        <w:rPr>
          <w:rFonts w:ascii="Book Antiqua" w:eastAsia="宋体" w:hAnsi="Book Antiqua" w:cs="Calibri"/>
          <w:b/>
          <w:kern w:val="2"/>
          <w:lang w:eastAsia="zh-CN"/>
        </w:rPr>
      </w:pPr>
      <w:r>
        <w:rPr>
          <w:rFonts w:ascii="Book Antiqua" w:hAnsi="Book Antiqua"/>
          <w:lang w:eastAsia="zh-CN"/>
        </w:rPr>
        <w:br w:type="page"/>
      </w:r>
      <w:r>
        <w:rPr>
          <w:rFonts w:ascii="Book Antiqua" w:eastAsia="宋体" w:hAnsi="Book Antiqua" w:cs="Calibri"/>
          <w:b/>
          <w:bCs/>
          <w:kern w:val="2"/>
          <w:lang w:eastAsia="zh-CN"/>
        </w:rPr>
        <w:lastRenderedPageBreak/>
        <w:t>Table 1</w:t>
      </w:r>
      <w:r>
        <w:rPr>
          <w:rFonts w:ascii="Book Antiqua" w:eastAsia="宋体" w:hAnsi="Book Antiqua" w:cs="Calibri" w:hint="eastAsia"/>
          <w:b/>
          <w:bCs/>
          <w:kern w:val="2"/>
          <w:lang w:eastAsia="zh-CN"/>
        </w:rPr>
        <w:t xml:space="preserve"> </w:t>
      </w:r>
      <w:r>
        <w:rPr>
          <w:rFonts w:ascii="Book Antiqua" w:eastAsia="宋体" w:hAnsi="Book Antiqua" w:cs="Calibri"/>
          <w:b/>
          <w:kern w:val="2"/>
          <w:lang w:eastAsia="zh-CN"/>
        </w:rPr>
        <w:t>Demographic distributions of peptic ulcer patients with and without bleeding</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6"/>
        <w:gridCol w:w="971"/>
        <w:gridCol w:w="1134"/>
        <w:gridCol w:w="1915"/>
      </w:tblGrid>
      <w:tr w:rsidR="001E2528" w14:paraId="0901E4EB" w14:textId="77777777">
        <w:tc>
          <w:tcPr>
            <w:tcW w:w="2901" w:type="pct"/>
            <w:vMerge w:val="restart"/>
          </w:tcPr>
          <w:p w14:paraId="4CEE1E4D" w14:textId="77777777" w:rsidR="001E2528" w:rsidRDefault="006E34CF">
            <w:pPr>
              <w:widowControl w:val="0"/>
              <w:spacing w:line="360" w:lineRule="auto"/>
              <w:jc w:val="both"/>
              <w:rPr>
                <w:rFonts w:ascii="Book Antiqua" w:eastAsia="宋体" w:hAnsi="Book Antiqua" w:cs="Calibri"/>
                <w:b/>
                <w:kern w:val="2"/>
                <w:lang w:eastAsia="zh-CN"/>
              </w:rPr>
            </w:pPr>
            <w:r>
              <w:rPr>
                <w:rFonts w:ascii="Book Antiqua" w:eastAsia="宋体" w:hAnsi="Book Antiqua" w:cs="Calibri"/>
                <w:b/>
                <w:kern w:val="2"/>
                <w:lang w:eastAsia="zh-CN"/>
              </w:rPr>
              <w:t>Group</w:t>
            </w:r>
          </w:p>
        </w:tc>
        <w:tc>
          <w:tcPr>
            <w:tcW w:w="1099" w:type="pct"/>
            <w:gridSpan w:val="2"/>
            <w:tcBorders>
              <w:bottom w:val="single" w:sz="4" w:space="0" w:color="auto"/>
            </w:tcBorders>
          </w:tcPr>
          <w:p w14:paraId="660D5A72" w14:textId="77777777" w:rsidR="001E2528" w:rsidRDefault="006E34CF">
            <w:pPr>
              <w:widowControl w:val="0"/>
              <w:spacing w:line="360" w:lineRule="auto"/>
              <w:jc w:val="both"/>
              <w:rPr>
                <w:rFonts w:ascii="Book Antiqua" w:eastAsia="宋体" w:hAnsi="Book Antiqua" w:cs="Calibri"/>
                <w:b/>
                <w:kern w:val="2"/>
                <w:lang w:eastAsia="zh-CN"/>
              </w:rPr>
            </w:pPr>
            <w:r>
              <w:rPr>
                <w:rFonts w:ascii="Book Antiqua" w:eastAsia="宋体" w:hAnsi="Book Antiqua" w:cs="Calibri"/>
                <w:b/>
                <w:kern w:val="2"/>
                <w:lang w:eastAsia="zh-CN"/>
              </w:rPr>
              <w:t xml:space="preserve">Sex </w:t>
            </w:r>
          </w:p>
        </w:tc>
        <w:tc>
          <w:tcPr>
            <w:tcW w:w="1001" w:type="pct"/>
            <w:vMerge w:val="restart"/>
          </w:tcPr>
          <w:p w14:paraId="2953A587" w14:textId="77777777" w:rsidR="001E2528" w:rsidRDefault="006E34CF">
            <w:pPr>
              <w:widowControl w:val="0"/>
              <w:spacing w:line="360" w:lineRule="auto"/>
              <w:jc w:val="both"/>
              <w:rPr>
                <w:rFonts w:ascii="Book Antiqua" w:eastAsia="宋体" w:hAnsi="Book Antiqua" w:cs="Calibri"/>
                <w:b/>
                <w:kern w:val="2"/>
                <w:lang w:eastAsia="zh-CN"/>
              </w:rPr>
            </w:pPr>
            <w:r>
              <w:rPr>
                <w:rFonts w:ascii="Book Antiqua" w:eastAsia="宋体" w:hAnsi="Book Antiqua" w:cs="Calibri"/>
                <w:b/>
                <w:kern w:val="2"/>
                <w:lang w:eastAsia="zh-CN"/>
              </w:rPr>
              <w:t>Age</w:t>
            </w:r>
            <w:r>
              <w:rPr>
                <w:rFonts w:ascii="Book Antiqua" w:eastAsia="宋体" w:hAnsi="Book Antiqua" w:cs="Calibri" w:hint="eastAsia"/>
                <w:b/>
                <w:kern w:val="2"/>
                <w:vertAlign w:val="superscript"/>
                <w:lang w:eastAsia="zh-CN"/>
              </w:rPr>
              <w:t>1</w:t>
            </w:r>
            <w:r>
              <w:rPr>
                <w:rFonts w:ascii="Book Antiqua" w:eastAsia="宋体" w:hAnsi="Book Antiqua" w:cs="Calibri"/>
                <w:b/>
                <w:kern w:val="2"/>
                <w:lang w:eastAsia="zh-CN"/>
              </w:rPr>
              <w:t xml:space="preserve"> (y</w:t>
            </w:r>
            <w:r>
              <w:rPr>
                <w:rFonts w:ascii="Book Antiqua" w:eastAsia="宋体" w:hAnsi="Book Antiqua" w:cs="Calibri" w:hint="eastAsia"/>
                <w:b/>
                <w:kern w:val="2"/>
                <w:lang w:eastAsia="zh-CN"/>
              </w:rPr>
              <w:t>r</w:t>
            </w:r>
            <w:r>
              <w:rPr>
                <w:rFonts w:ascii="Book Antiqua" w:eastAsia="宋体" w:hAnsi="Book Antiqua" w:cs="Calibri"/>
                <w:b/>
                <w:kern w:val="2"/>
                <w:lang w:eastAsia="zh-CN"/>
              </w:rPr>
              <w:t>)</w:t>
            </w:r>
          </w:p>
        </w:tc>
      </w:tr>
      <w:tr w:rsidR="001E2528" w14:paraId="22666066" w14:textId="77777777">
        <w:tc>
          <w:tcPr>
            <w:tcW w:w="2901" w:type="pct"/>
            <w:vMerge/>
            <w:tcBorders>
              <w:bottom w:val="single" w:sz="4" w:space="0" w:color="auto"/>
            </w:tcBorders>
          </w:tcPr>
          <w:p w14:paraId="28B7B9AE" w14:textId="77777777" w:rsidR="001E2528" w:rsidRDefault="001E2528">
            <w:pPr>
              <w:widowControl w:val="0"/>
              <w:spacing w:line="360" w:lineRule="auto"/>
              <w:jc w:val="both"/>
              <w:rPr>
                <w:rFonts w:ascii="Book Antiqua" w:eastAsia="宋体" w:hAnsi="Book Antiqua" w:cs="Calibri"/>
                <w:b/>
                <w:kern w:val="2"/>
                <w:lang w:eastAsia="zh-CN"/>
              </w:rPr>
            </w:pPr>
          </w:p>
        </w:tc>
        <w:tc>
          <w:tcPr>
            <w:tcW w:w="507" w:type="pct"/>
            <w:tcBorders>
              <w:top w:val="single" w:sz="4" w:space="0" w:color="auto"/>
              <w:bottom w:val="single" w:sz="4" w:space="0" w:color="auto"/>
            </w:tcBorders>
          </w:tcPr>
          <w:p w14:paraId="2B5B056E" w14:textId="77777777" w:rsidR="001E2528" w:rsidRDefault="006E34CF">
            <w:pPr>
              <w:widowControl w:val="0"/>
              <w:spacing w:line="360" w:lineRule="auto"/>
              <w:jc w:val="both"/>
              <w:rPr>
                <w:rFonts w:ascii="Book Antiqua" w:eastAsia="宋体" w:hAnsi="Book Antiqua" w:cs="Calibri"/>
                <w:b/>
                <w:kern w:val="2"/>
                <w:lang w:eastAsia="zh-CN"/>
              </w:rPr>
            </w:pPr>
            <w:r>
              <w:rPr>
                <w:rFonts w:ascii="Book Antiqua" w:eastAsia="宋体" w:hAnsi="Book Antiqua" w:cs="Calibri"/>
                <w:b/>
                <w:kern w:val="2"/>
                <w:lang w:eastAsia="zh-CN"/>
              </w:rPr>
              <w:t xml:space="preserve">Male </w:t>
            </w:r>
          </w:p>
        </w:tc>
        <w:tc>
          <w:tcPr>
            <w:tcW w:w="592" w:type="pct"/>
            <w:tcBorders>
              <w:top w:val="single" w:sz="4" w:space="0" w:color="auto"/>
              <w:bottom w:val="single" w:sz="4" w:space="0" w:color="auto"/>
            </w:tcBorders>
          </w:tcPr>
          <w:p w14:paraId="5DEC0FCC" w14:textId="77777777" w:rsidR="001E2528" w:rsidRDefault="006E34CF">
            <w:pPr>
              <w:widowControl w:val="0"/>
              <w:spacing w:line="360" w:lineRule="auto"/>
              <w:jc w:val="both"/>
              <w:rPr>
                <w:rFonts w:ascii="Book Antiqua" w:eastAsia="宋体" w:hAnsi="Book Antiqua" w:cs="Calibri"/>
                <w:b/>
                <w:kern w:val="2"/>
                <w:lang w:eastAsia="zh-CN"/>
              </w:rPr>
            </w:pPr>
            <w:r>
              <w:rPr>
                <w:rFonts w:ascii="Book Antiqua" w:eastAsia="宋体" w:hAnsi="Book Antiqua" w:cs="Calibri"/>
                <w:b/>
                <w:kern w:val="2"/>
                <w:lang w:eastAsia="zh-CN"/>
              </w:rPr>
              <w:t xml:space="preserve">Female </w:t>
            </w:r>
          </w:p>
        </w:tc>
        <w:tc>
          <w:tcPr>
            <w:tcW w:w="1001" w:type="pct"/>
            <w:vMerge/>
            <w:tcBorders>
              <w:bottom w:val="single" w:sz="4" w:space="0" w:color="auto"/>
            </w:tcBorders>
          </w:tcPr>
          <w:p w14:paraId="4426DFD9" w14:textId="77777777" w:rsidR="001E2528" w:rsidRDefault="001E2528">
            <w:pPr>
              <w:widowControl w:val="0"/>
              <w:spacing w:line="360" w:lineRule="auto"/>
              <w:jc w:val="both"/>
              <w:rPr>
                <w:rFonts w:ascii="Book Antiqua" w:eastAsia="宋体" w:hAnsi="Book Antiqua" w:cs="Calibri"/>
                <w:kern w:val="2"/>
                <w:lang w:eastAsia="zh-CN"/>
              </w:rPr>
            </w:pPr>
          </w:p>
        </w:tc>
      </w:tr>
      <w:tr w:rsidR="001E2528" w14:paraId="25FC3FD5" w14:textId="77777777">
        <w:tc>
          <w:tcPr>
            <w:tcW w:w="2901" w:type="pct"/>
            <w:tcBorders>
              <w:top w:val="single" w:sz="4" w:space="0" w:color="auto"/>
              <w:bottom w:val="nil"/>
            </w:tcBorders>
          </w:tcPr>
          <w:p w14:paraId="4C8CF75B"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Peptic ulcer without bleeding</w:t>
            </w:r>
          </w:p>
        </w:tc>
        <w:tc>
          <w:tcPr>
            <w:tcW w:w="507" w:type="pct"/>
            <w:tcBorders>
              <w:top w:val="single" w:sz="4" w:space="0" w:color="auto"/>
              <w:bottom w:val="nil"/>
            </w:tcBorders>
          </w:tcPr>
          <w:p w14:paraId="56FA30C7"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75</w:t>
            </w:r>
          </w:p>
        </w:tc>
        <w:tc>
          <w:tcPr>
            <w:tcW w:w="592" w:type="pct"/>
            <w:tcBorders>
              <w:top w:val="single" w:sz="4" w:space="0" w:color="auto"/>
              <w:bottom w:val="nil"/>
            </w:tcBorders>
          </w:tcPr>
          <w:p w14:paraId="572E3083"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32</w:t>
            </w:r>
          </w:p>
        </w:tc>
        <w:tc>
          <w:tcPr>
            <w:tcW w:w="1001" w:type="pct"/>
            <w:tcBorders>
              <w:top w:val="single" w:sz="4" w:space="0" w:color="auto"/>
              <w:bottom w:val="nil"/>
            </w:tcBorders>
          </w:tcPr>
          <w:p w14:paraId="2207F2D9"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52.6 ± 14.7</w:t>
            </w:r>
          </w:p>
        </w:tc>
      </w:tr>
      <w:tr w:rsidR="001E2528" w14:paraId="7F0EB547" w14:textId="77777777">
        <w:tc>
          <w:tcPr>
            <w:tcW w:w="2901" w:type="pct"/>
            <w:tcBorders>
              <w:top w:val="nil"/>
              <w:bottom w:val="nil"/>
            </w:tcBorders>
          </w:tcPr>
          <w:p w14:paraId="59298F6A"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Peptic ulcer complicated by bleeding</w:t>
            </w:r>
          </w:p>
        </w:tc>
        <w:tc>
          <w:tcPr>
            <w:tcW w:w="507" w:type="pct"/>
            <w:tcBorders>
              <w:top w:val="nil"/>
              <w:bottom w:val="nil"/>
            </w:tcBorders>
          </w:tcPr>
          <w:p w14:paraId="2A6FC8D3"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63</w:t>
            </w:r>
          </w:p>
        </w:tc>
        <w:tc>
          <w:tcPr>
            <w:tcW w:w="592" w:type="pct"/>
            <w:tcBorders>
              <w:top w:val="nil"/>
              <w:bottom w:val="nil"/>
            </w:tcBorders>
          </w:tcPr>
          <w:p w14:paraId="1D780F09"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29</w:t>
            </w:r>
          </w:p>
        </w:tc>
        <w:tc>
          <w:tcPr>
            <w:tcW w:w="1001" w:type="pct"/>
            <w:tcBorders>
              <w:top w:val="nil"/>
              <w:bottom w:val="nil"/>
            </w:tcBorders>
          </w:tcPr>
          <w:p w14:paraId="21E59195"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47.9 ± 17.4</w:t>
            </w:r>
            <w:r>
              <w:rPr>
                <w:rFonts w:ascii="Book Antiqua" w:eastAsia="宋体" w:hAnsi="Book Antiqua" w:cs="Calibri" w:hint="eastAsia"/>
                <w:kern w:val="2"/>
                <w:vertAlign w:val="superscript"/>
                <w:lang w:eastAsia="zh-CN"/>
              </w:rPr>
              <w:t>a</w:t>
            </w:r>
          </w:p>
        </w:tc>
      </w:tr>
      <w:tr w:rsidR="001E2528" w14:paraId="642010C0" w14:textId="77777777">
        <w:tc>
          <w:tcPr>
            <w:tcW w:w="2901" w:type="pct"/>
            <w:tcBorders>
              <w:top w:val="nil"/>
              <w:bottom w:val="single" w:sz="4" w:space="0" w:color="auto"/>
            </w:tcBorders>
          </w:tcPr>
          <w:p w14:paraId="724D4ED0"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Total</w:t>
            </w:r>
          </w:p>
        </w:tc>
        <w:tc>
          <w:tcPr>
            <w:tcW w:w="507" w:type="pct"/>
            <w:tcBorders>
              <w:top w:val="nil"/>
              <w:bottom w:val="single" w:sz="4" w:space="0" w:color="auto"/>
            </w:tcBorders>
          </w:tcPr>
          <w:p w14:paraId="1AD582AB"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138</w:t>
            </w:r>
          </w:p>
        </w:tc>
        <w:tc>
          <w:tcPr>
            <w:tcW w:w="592" w:type="pct"/>
            <w:tcBorders>
              <w:top w:val="nil"/>
              <w:bottom w:val="single" w:sz="4" w:space="0" w:color="auto"/>
            </w:tcBorders>
          </w:tcPr>
          <w:p w14:paraId="0C028C67"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61</w:t>
            </w:r>
          </w:p>
        </w:tc>
        <w:tc>
          <w:tcPr>
            <w:tcW w:w="1001" w:type="pct"/>
            <w:tcBorders>
              <w:top w:val="nil"/>
              <w:bottom w:val="single" w:sz="4" w:space="0" w:color="auto"/>
            </w:tcBorders>
          </w:tcPr>
          <w:p w14:paraId="58D0FA52"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50.43 ± 16.16</w:t>
            </w:r>
          </w:p>
        </w:tc>
      </w:tr>
    </w:tbl>
    <w:p w14:paraId="3D2F8458" w14:textId="7B6A9BAD"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hint="eastAsia"/>
          <w:kern w:val="2"/>
          <w:vertAlign w:val="superscript"/>
          <w:lang w:eastAsia="zh-CN"/>
        </w:rPr>
        <w:t>1</w:t>
      </w:r>
      <w:r>
        <w:rPr>
          <w:rFonts w:ascii="Book Antiqua" w:eastAsia="宋体" w:hAnsi="Book Antiqua" w:cs="Calibri" w:hint="eastAsia"/>
          <w:kern w:val="2"/>
          <w:lang w:eastAsia="zh-CN"/>
        </w:rPr>
        <w:t>m</w:t>
      </w:r>
      <w:r>
        <w:rPr>
          <w:rFonts w:ascii="Book Antiqua" w:eastAsia="宋体" w:hAnsi="Book Antiqua" w:cs="Calibri"/>
          <w:kern w:val="2"/>
          <w:lang w:eastAsia="zh-CN"/>
        </w:rPr>
        <w:t xml:space="preserve">ean ± </w:t>
      </w:r>
      <w:r w:rsidR="00887D46">
        <w:rPr>
          <w:rFonts w:ascii="Book Antiqua" w:eastAsia="宋体" w:hAnsi="Book Antiqua" w:cs="Calibri"/>
          <w:kern w:val="2"/>
          <w:lang w:eastAsia="zh-CN"/>
        </w:rPr>
        <w:t>SD</w:t>
      </w:r>
      <w:r>
        <w:rPr>
          <w:rFonts w:ascii="Book Antiqua" w:eastAsia="宋体" w:hAnsi="Book Antiqua" w:cs="Calibri" w:hint="eastAsia"/>
          <w:kern w:val="2"/>
          <w:lang w:eastAsia="zh-CN"/>
        </w:rPr>
        <w:t>.</w:t>
      </w:r>
      <w:r>
        <w:rPr>
          <w:rFonts w:ascii="Book Antiqua" w:eastAsia="宋体" w:hAnsi="Book Antiqua" w:cs="Calibri"/>
          <w:kern w:val="2"/>
          <w:lang w:eastAsia="zh-CN"/>
        </w:rPr>
        <w:t xml:space="preserve"> </w:t>
      </w:r>
    </w:p>
    <w:p w14:paraId="62F501B4" w14:textId="77777777" w:rsidR="001E2528" w:rsidRDefault="006E34CF">
      <w:pPr>
        <w:widowControl w:val="0"/>
        <w:spacing w:line="360" w:lineRule="auto"/>
        <w:jc w:val="both"/>
        <w:rPr>
          <w:rFonts w:ascii="Book Antiqua" w:eastAsia="宋体" w:hAnsi="Book Antiqua" w:cs="Calibri"/>
          <w:bCs/>
          <w:kern w:val="2"/>
          <w:lang w:eastAsia="zh-CN"/>
        </w:rPr>
      </w:pPr>
      <w:r>
        <w:rPr>
          <w:rFonts w:ascii="Book Antiqua" w:eastAsia="宋体" w:hAnsi="Book Antiqua" w:cs="Calibri" w:hint="eastAsia"/>
          <w:kern w:val="2"/>
          <w:vertAlign w:val="superscript"/>
          <w:lang w:eastAsia="zh-CN"/>
        </w:rPr>
        <w:t>a</w:t>
      </w:r>
      <w:r>
        <w:rPr>
          <w:rFonts w:ascii="Book Antiqua" w:eastAsia="宋体" w:hAnsi="Book Antiqua" w:cs="Calibri" w:hint="eastAsia"/>
          <w:i/>
          <w:iCs/>
          <w:kern w:val="2"/>
          <w:lang w:eastAsia="zh-CN"/>
        </w:rPr>
        <w:t>P</w:t>
      </w:r>
      <w:r>
        <w:rPr>
          <w:rFonts w:ascii="Book Antiqua" w:eastAsia="宋体" w:hAnsi="Book Antiqua" w:cs="Calibri"/>
          <w:i/>
          <w:iCs/>
          <w:kern w:val="2"/>
          <w:lang w:eastAsia="zh-CN"/>
        </w:rPr>
        <w:t xml:space="preserve"> </w:t>
      </w:r>
      <w:r>
        <w:rPr>
          <w:rFonts w:ascii="Book Antiqua" w:eastAsia="宋体" w:hAnsi="Book Antiqua" w:cs="Calibri"/>
          <w:kern w:val="2"/>
          <w:lang w:eastAsia="zh-CN"/>
        </w:rPr>
        <w:t>&lt; 0.05</w:t>
      </w:r>
      <w:r>
        <w:rPr>
          <w:rFonts w:ascii="Book Antiqua" w:eastAsia="宋体" w:hAnsi="Book Antiqua" w:cs="Calibri"/>
          <w:bCs/>
          <w:kern w:val="2"/>
          <w:lang w:eastAsia="zh-CN"/>
        </w:rPr>
        <w:t xml:space="preserve"> compared to the non-bleeding group.</w:t>
      </w:r>
    </w:p>
    <w:p w14:paraId="6C4F3925" w14:textId="43E32D84" w:rsidR="001E2528" w:rsidRDefault="006E34CF">
      <w:pPr>
        <w:widowControl w:val="0"/>
        <w:spacing w:line="360" w:lineRule="auto"/>
        <w:jc w:val="both"/>
        <w:rPr>
          <w:rFonts w:ascii="Book Antiqua" w:eastAsia="宋体" w:hAnsi="Book Antiqua" w:cs="Calibri"/>
          <w:b/>
          <w:kern w:val="2"/>
          <w:lang w:eastAsia="zh-CN"/>
        </w:rPr>
      </w:pPr>
      <w:r>
        <w:rPr>
          <w:rFonts w:ascii="Book Antiqua" w:eastAsia="宋体" w:hAnsi="Book Antiqua" w:cs="Calibri"/>
          <w:bCs/>
          <w:kern w:val="2"/>
          <w:lang w:eastAsia="zh-CN"/>
        </w:rPr>
        <w:br w:type="page"/>
      </w:r>
      <w:r>
        <w:rPr>
          <w:rFonts w:ascii="Book Antiqua" w:eastAsia="宋体" w:hAnsi="Book Antiqua" w:cs="Calibri"/>
          <w:b/>
          <w:bCs/>
          <w:kern w:val="2"/>
          <w:lang w:eastAsia="zh-CN"/>
        </w:rPr>
        <w:lastRenderedPageBreak/>
        <w:t>Table 2</w:t>
      </w:r>
      <w:r>
        <w:rPr>
          <w:rFonts w:ascii="Book Antiqua" w:eastAsia="宋体" w:hAnsi="Book Antiqua" w:cs="Calibri" w:hint="eastAsia"/>
          <w:b/>
          <w:bCs/>
          <w:kern w:val="2"/>
          <w:lang w:eastAsia="zh-CN"/>
        </w:rPr>
        <w:t xml:space="preserve"> </w:t>
      </w:r>
      <w:r>
        <w:rPr>
          <w:rFonts w:ascii="Book Antiqua" w:eastAsia="宋体" w:hAnsi="Book Antiqua" w:cs="Calibri"/>
          <w:b/>
          <w:kern w:val="2"/>
          <w:lang w:eastAsia="zh-CN"/>
        </w:rPr>
        <w:t>Serum pepsinogen I, pepsinogen I</w:t>
      </w:r>
      <w:r>
        <w:rPr>
          <w:rFonts w:ascii="Book Antiqua" w:eastAsia="宋体" w:hAnsi="Book Antiqua" w:cs="Calibri" w:hint="eastAsia"/>
          <w:b/>
          <w:kern w:val="2"/>
          <w:lang w:eastAsia="zh-CN"/>
        </w:rPr>
        <w:t>I</w:t>
      </w:r>
      <w:r>
        <w:rPr>
          <w:rFonts w:ascii="Book Antiqua" w:eastAsia="宋体" w:hAnsi="Book Antiqua" w:cs="Calibri"/>
          <w:b/>
          <w:kern w:val="2"/>
          <w:lang w:eastAsia="zh-CN"/>
        </w:rPr>
        <w:t>, pepsinogen</w:t>
      </w:r>
      <w:r>
        <w:rPr>
          <w:b/>
        </w:rPr>
        <w:t xml:space="preserve"> </w:t>
      </w:r>
      <w:r>
        <w:rPr>
          <w:rFonts w:ascii="Book Antiqua" w:eastAsia="宋体" w:hAnsi="Book Antiqua" w:cs="Calibri"/>
          <w:b/>
          <w:kern w:val="2"/>
          <w:lang w:eastAsia="zh-CN"/>
        </w:rPr>
        <w:t>ratio, and gastrin-17 values for patient subgroups stratified by bleeding complication and ulcer type</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8"/>
        <w:gridCol w:w="764"/>
        <w:gridCol w:w="1791"/>
        <w:gridCol w:w="1381"/>
        <w:gridCol w:w="1224"/>
        <w:gridCol w:w="1231"/>
        <w:gridCol w:w="1327"/>
      </w:tblGrid>
      <w:tr w:rsidR="001E2528" w14:paraId="6980FC00" w14:textId="77777777" w:rsidTr="00887D46">
        <w:trPr>
          <w:trHeight w:val="516"/>
        </w:trPr>
        <w:tc>
          <w:tcPr>
            <w:tcW w:w="1369" w:type="pct"/>
            <w:gridSpan w:val="2"/>
            <w:tcBorders>
              <w:top w:val="single" w:sz="4" w:space="0" w:color="auto"/>
              <w:bottom w:val="single" w:sz="4" w:space="0" w:color="auto"/>
            </w:tcBorders>
          </w:tcPr>
          <w:p w14:paraId="365029B7" w14:textId="77777777" w:rsidR="001E2528" w:rsidRDefault="006E34CF">
            <w:pPr>
              <w:widowControl w:val="0"/>
              <w:spacing w:line="360" w:lineRule="auto"/>
              <w:jc w:val="both"/>
              <w:rPr>
                <w:rFonts w:ascii="Book Antiqua" w:eastAsia="宋体" w:hAnsi="Book Antiqua" w:cs="Calibri"/>
                <w:b/>
                <w:kern w:val="2"/>
                <w:lang w:eastAsia="zh-CN"/>
              </w:rPr>
            </w:pPr>
            <w:r>
              <w:rPr>
                <w:rFonts w:ascii="Book Antiqua" w:eastAsia="宋体" w:hAnsi="Book Antiqua" w:cs="Calibri"/>
                <w:b/>
                <w:kern w:val="2"/>
                <w:lang w:eastAsia="zh-CN"/>
              </w:rPr>
              <w:t>Group</w:t>
            </w:r>
          </w:p>
        </w:tc>
        <w:tc>
          <w:tcPr>
            <w:tcW w:w="935" w:type="pct"/>
            <w:tcBorders>
              <w:top w:val="single" w:sz="4" w:space="0" w:color="auto"/>
              <w:bottom w:val="single" w:sz="4" w:space="0" w:color="auto"/>
            </w:tcBorders>
          </w:tcPr>
          <w:p w14:paraId="3C5D3343" w14:textId="77777777" w:rsidR="001E2528" w:rsidRDefault="006E34CF">
            <w:pPr>
              <w:widowControl w:val="0"/>
              <w:spacing w:line="360" w:lineRule="auto"/>
              <w:jc w:val="both"/>
              <w:rPr>
                <w:rFonts w:ascii="Book Antiqua" w:eastAsia="宋体" w:hAnsi="Book Antiqua" w:cs="Calibri"/>
                <w:b/>
                <w:kern w:val="2"/>
                <w:lang w:eastAsia="zh-CN"/>
              </w:rPr>
            </w:pPr>
            <w:r>
              <w:rPr>
                <w:rFonts w:ascii="Book Antiqua" w:eastAsia="宋体" w:hAnsi="Book Antiqua" w:cs="Calibri"/>
                <w:b/>
                <w:kern w:val="2"/>
                <w:lang w:eastAsia="zh-CN"/>
              </w:rPr>
              <w:t>Number of cases (</w:t>
            </w:r>
            <w:r>
              <w:rPr>
                <w:rFonts w:ascii="Book Antiqua" w:eastAsia="宋体" w:hAnsi="Book Antiqua" w:cs="Calibri"/>
                <w:b/>
                <w:i/>
                <w:kern w:val="2"/>
                <w:lang w:eastAsia="zh-CN"/>
              </w:rPr>
              <w:t>n</w:t>
            </w:r>
            <w:r>
              <w:rPr>
                <w:rFonts w:ascii="Book Antiqua" w:eastAsia="宋体" w:hAnsi="Book Antiqua" w:cs="Calibri"/>
                <w:b/>
                <w:kern w:val="2"/>
                <w:lang w:eastAsia="zh-CN"/>
              </w:rPr>
              <w:t>)</w:t>
            </w:r>
          </w:p>
        </w:tc>
        <w:tc>
          <w:tcPr>
            <w:tcW w:w="721" w:type="pct"/>
            <w:tcBorders>
              <w:top w:val="single" w:sz="4" w:space="0" w:color="auto"/>
              <w:bottom w:val="single" w:sz="4" w:space="0" w:color="auto"/>
            </w:tcBorders>
          </w:tcPr>
          <w:p w14:paraId="5E846CC0" w14:textId="77777777" w:rsidR="001E2528" w:rsidRDefault="006E34CF">
            <w:pPr>
              <w:widowControl w:val="0"/>
              <w:spacing w:line="360" w:lineRule="auto"/>
              <w:jc w:val="both"/>
              <w:rPr>
                <w:rFonts w:ascii="Book Antiqua" w:eastAsia="宋体" w:hAnsi="Book Antiqua" w:cs="Calibri"/>
                <w:b/>
                <w:kern w:val="2"/>
                <w:lang w:eastAsia="zh-CN"/>
              </w:rPr>
            </w:pPr>
            <w:r>
              <w:rPr>
                <w:rFonts w:ascii="Book Antiqua" w:eastAsia="宋体" w:hAnsi="Book Antiqua" w:cs="Calibri"/>
                <w:b/>
                <w:kern w:val="2"/>
                <w:lang w:eastAsia="zh-CN"/>
              </w:rPr>
              <w:t>PGI (μg/L)</w:t>
            </w:r>
          </w:p>
        </w:tc>
        <w:tc>
          <w:tcPr>
            <w:tcW w:w="639" w:type="pct"/>
            <w:tcBorders>
              <w:top w:val="single" w:sz="4" w:space="0" w:color="auto"/>
              <w:bottom w:val="single" w:sz="4" w:space="0" w:color="auto"/>
            </w:tcBorders>
          </w:tcPr>
          <w:p w14:paraId="194CF2AB" w14:textId="77777777" w:rsidR="001E2528" w:rsidRDefault="006E34CF">
            <w:pPr>
              <w:widowControl w:val="0"/>
              <w:spacing w:line="360" w:lineRule="auto"/>
              <w:jc w:val="both"/>
              <w:rPr>
                <w:rFonts w:ascii="Book Antiqua" w:eastAsia="宋体" w:hAnsi="Book Antiqua" w:cs="Calibri"/>
                <w:b/>
                <w:kern w:val="2"/>
                <w:lang w:eastAsia="zh-CN"/>
              </w:rPr>
            </w:pPr>
            <w:r>
              <w:rPr>
                <w:rFonts w:ascii="Book Antiqua" w:eastAsia="宋体" w:hAnsi="Book Antiqua" w:cs="Calibri"/>
                <w:b/>
                <w:kern w:val="2"/>
                <w:lang w:eastAsia="zh-CN"/>
              </w:rPr>
              <w:t>PGII (μg/L)</w:t>
            </w:r>
          </w:p>
        </w:tc>
        <w:tc>
          <w:tcPr>
            <w:tcW w:w="643" w:type="pct"/>
            <w:tcBorders>
              <w:top w:val="single" w:sz="4" w:space="0" w:color="auto"/>
              <w:bottom w:val="single" w:sz="4" w:space="0" w:color="auto"/>
            </w:tcBorders>
          </w:tcPr>
          <w:p w14:paraId="380659B2" w14:textId="77777777" w:rsidR="001E2528" w:rsidRDefault="006E34CF">
            <w:pPr>
              <w:widowControl w:val="0"/>
              <w:spacing w:line="360" w:lineRule="auto"/>
              <w:jc w:val="both"/>
              <w:rPr>
                <w:rFonts w:ascii="Book Antiqua" w:eastAsia="宋体" w:hAnsi="Book Antiqua" w:cs="Calibri"/>
                <w:b/>
                <w:kern w:val="2"/>
                <w:lang w:eastAsia="zh-CN"/>
              </w:rPr>
            </w:pPr>
            <w:r>
              <w:rPr>
                <w:rFonts w:ascii="Book Antiqua" w:eastAsia="宋体" w:hAnsi="Book Antiqua" w:cs="Calibri"/>
                <w:b/>
                <w:kern w:val="2"/>
                <w:lang w:eastAsia="zh-CN"/>
              </w:rPr>
              <w:t>PGR (PGI/II)</w:t>
            </w:r>
          </w:p>
        </w:tc>
        <w:tc>
          <w:tcPr>
            <w:tcW w:w="693" w:type="pct"/>
            <w:tcBorders>
              <w:top w:val="single" w:sz="4" w:space="0" w:color="auto"/>
              <w:bottom w:val="single" w:sz="4" w:space="0" w:color="auto"/>
            </w:tcBorders>
          </w:tcPr>
          <w:p w14:paraId="66ABD7C1" w14:textId="77777777" w:rsidR="001E2528" w:rsidRDefault="006E34CF">
            <w:pPr>
              <w:widowControl w:val="0"/>
              <w:spacing w:line="360" w:lineRule="auto"/>
              <w:jc w:val="both"/>
              <w:rPr>
                <w:rFonts w:ascii="Book Antiqua" w:eastAsia="宋体" w:hAnsi="Book Antiqua" w:cs="Calibri"/>
                <w:b/>
                <w:kern w:val="2"/>
                <w:lang w:eastAsia="zh-CN"/>
              </w:rPr>
            </w:pPr>
            <w:r>
              <w:rPr>
                <w:rFonts w:ascii="Book Antiqua" w:eastAsia="宋体" w:hAnsi="Book Antiqua" w:cs="Calibri"/>
                <w:b/>
                <w:kern w:val="2"/>
                <w:lang w:eastAsia="zh-CN"/>
              </w:rPr>
              <w:t>G-17 (pmol/L)</w:t>
            </w:r>
          </w:p>
        </w:tc>
      </w:tr>
      <w:tr w:rsidR="001E2528" w14:paraId="285B026A" w14:textId="77777777" w:rsidTr="00887D46">
        <w:trPr>
          <w:trHeight w:val="459"/>
        </w:trPr>
        <w:tc>
          <w:tcPr>
            <w:tcW w:w="970" w:type="pct"/>
            <w:vMerge w:val="restart"/>
            <w:tcBorders>
              <w:top w:val="single" w:sz="4" w:space="0" w:color="auto"/>
              <w:bottom w:val="nil"/>
            </w:tcBorders>
          </w:tcPr>
          <w:p w14:paraId="145073A1"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Peptic ulcer group</w:t>
            </w:r>
          </w:p>
        </w:tc>
        <w:tc>
          <w:tcPr>
            <w:tcW w:w="398" w:type="pct"/>
            <w:tcBorders>
              <w:top w:val="single" w:sz="4" w:space="0" w:color="auto"/>
              <w:bottom w:val="nil"/>
            </w:tcBorders>
          </w:tcPr>
          <w:p w14:paraId="6D70A2FB"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GU</w:t>
            </w:r>
          </w:p>
        </w:tc>
        <w:tc>
          <w:tcPr>
            <w:tcW w:w="935" w:type="pct"/>
            <w:tcBorders>
              <w:top w:val="single" w:sz="4" w:space="0" w:color="auto"/>
              <w:bottom w:val="nil"/>
            </w:tcBorders>
          </w:tcPr>
          <w:p w14:paraId="15295991"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45</w:t>
            </w:r>
          </w:p>
        </w:tc>
        <w:tc>
          <w:tcPr>
            <w:tcW w:w="721" w:type="pct"/>
            <w:tcBorders>
              <w:top w:val="single" w:sz="4" w:space="0" w:color="auto"/>
              <w:bottom w:val="nil"/>
            </w:tcBorders>
          </w:tcPr>
          <w:p w14:paraId="6E5DD62E"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197.90 ± 89.97</w:t>
            </w:r>
          </w:p>
        </w:tc>
        <w:tc>
          <w:tcPr>
            <w:tcW w:w="639" w:type="pct"/>
            <w:tcBorders>
              <w:top w:val="single" w:sz="4" w:space="0" w:color="auto"/>
              <w:bottom w:val="nil"/>
            </w:tcBorders>
          </w:tcPr>
          <w:p w14:paraId="20EE9FFE"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20.40 ± 13.70</w:t>
            </w:r>
          </w:p>
        </w:tc>
        <w:tc>
          <w:tcPr>
            <w:tcW w:w="643" w:type="pct"/>
            <w:tcBorders>
              <w:top w:val="single" w:sz="4" w:space="0" w:color="auto"/>
              <w:bottom w:val="nil"/>
            </w:tcBorders>
          </w:tcPr>
          <w:p w14:paraId="7D7CA1B8"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11.46 ± 4.70</w:t>
            </w:r>
          </w:p>
        </w:tc>
        <w:tc>
          <w:tcPr>
            <w:tcW w:w="693" w:type="pct"/>
            <w:tcBorders>
              <w:top w:val="single" w:sz="4" w:space="0" w:color="auto"/>
              <w:bottom w:val="nil"/>
            </w:tcBorders>
          </w:tcPr>
          <w:p w14:paraId="315516DE"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7.24 ± 8.43</w:t>
            </w:r>
          </w:p>
        </w:tc>
      </w:tr>
      <w:tr w:rsidR="001E2528" w14:paraId="1B8DC565" w14:textId="77777777" w:rsidTr="00887D46">
        <w:tc>
          <w:tcPr>
            <w:tcW w:w="970" w:type="pct"/>
            <w:vMerge/>
            <w:tcBorders>
              <w:top w:val="nil"/>
              <w:bottom w:val="nil"/>
            </w:tcBorders>
          </w:tcPr>
          <w:p w14:paraId="46786616" w14:textId="77777777" w:rsidR="001E2528" w:rsidRDefault="001E2528">
            <w:pPr>
              <w:widowControl w:val="0"/>
              <w:spacing w:line="360" w:lineRule="auto"/>
              <w:jc w:val="both"/>
              <w:rPr>
                <w:rFonts w:ascii="Book Antiqua" w:eastAsia="宋体" w:hAnsi="Book Antiqua" w:cs="Calibri"/>
                <w:kern w:val="2"/>
                <w:lang w:eastAsia="zh-CN"/>
              </w:rPr>
            </w:pPr>
          </w:p>
        </w:tc>
        <w:tc>
          <w:tcPr>
            <w:tcW w:w="398" w:type="pct"/>
            <w:tcBorders>
              <w:top w:val="nil"/>
              <w:bottom w:val="nil"/>
            </w:tcBorders>
          </w:tcPr>
          <w:p w14:paraId="13F14212"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DU</w:t>
            </w:r>
          </w:p>
        </w:tc>
        <w:tc>
          <w:tcPr>
            <w:tcW w:w="935" w:type="pct"/>
            <w:tcBorders>
              <w:top w:val="nil"/>
              <w:bottom w:val="nil"/>
            </w:tcBorders>
          </w:tcPr>
          <w:p w14:paraId="29806B7B"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49</w:t>
            </w:r>
          </w:p>
        </w:tc>
        <w:tc>
          <w:tcPr>
            <w:tcW w:w="721" w:type="pct"/>
            <w:tcBorders>
              <w:top w:val="nil"/>
              <w:bottom w:val="nil"/>
            </w:tcBorders>
          </w:tcPr>
          <w:p w14:paraId="3EA81757"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224.43 ± 80.60</w:t>
            </w:r>
          </w:p>
        </w:tc>
        <w:tc>
          <w:tcPr>
            <w:tcW w:w="639" w:type="pct"/>
            <w:tcBorders>
              <w:top w:val="nil"/>
              <w:bottom w:val="nil"/>
            </w:tcBorders>
          </w:tcPr>
          <w:p w14:paraId="51942D49"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23.19 ± 17.05</w:t>
            </w:r>
          </w:p>
        </w:tc>
        <w:tc>
          <w:tcPr>
            <w:tcW w:w="643" w:type="pct"/>
            <w:tcBorders>
              <w:top w:val="nil"/>
              <w:bottom w:val="nil"/>
            </w:tcBorders>
          </w:tcPr>
          <w:p w14:paraId="3C9A2AB4"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12.58 ± 5.33</w:t>
            </w:r>
          </w:p>
        </w:tc>
        <w:tc>
          <w:tcPr>
            <w:tcW w:w="693" w:type="pct"/>
            <w:tcBorders>
              <w:top w:val="nil"/>
              <w:bottom w:val="nil"/>
            </w:tcBorders>
          </w:tcPr>
          <w:p w14:paraId="0165056D"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9.17 ± 6.33</w:t>
            </w:r>
          </w:p>
        </w:tc>
      </w:tr>
      <w:tr w:rsidR="001E2528" w14:paraId="1554FE33" w14:textId="77777777" w:rsidTr="00887D46">
        <w:tc>
          <w:tcPr>
            <w:tcW w:w="970" w:type="pct"/>
            <w:vMerge/>
            <w:tcBorders>
              <w:top w:val="nil"/>
              <w:bottom w:val="nil"/>
            </w:tcBorders>
          </w:tcPr>
          <w:p w14:paraId="28DA8045" w14:textId="77777777" w:rsidR="001E2528" w:rsidRDefault="001E2528">
            <w:pPr>
              <w:widowControl w:val="0"/>
              <w:spacing w:line="360" w:lineRule="auto"/>
              <w:jc w:val="both"/>
              <w:rPr>
                <w:rFonts w:ascii="Book Antiqua" w:eastAsia="宋体" w:hAnsi="Book Antiqua" w:cs="Calibri"/>
                <w:kern w:val="2"/>
                <w:lang w:eastAsia="zh-CN"/>
              </w:rPr>
            </w:pPr>
          </w:p>
        </w:tc>
        <w:tc>
          <w:tcPr>
            <w:tcW w:w="398" w:type="pct"/>
            <w:tcBorders>
              <w:top w:val="nil"/>
              <w:bottom w:val="nil"/>
            </w:tcBorders>
          </w:tcPr>
          <w:p w14:paraId="6177AE78"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CU</w:t>
            </w:r>
          </w:p>
        </w:tc>
        <w:tc>
          <w:tcPr>
            <w:tcW w:w="935" w:type="pct"/>
            <w:tcBorders>
              <w:top w:val="nil"/>
              <w:bottom w:val="nil"/>
            </w:tcBorders>
          </w:tcPr>
          <w:p w14:paraId="476D1A28"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13</w:t>
            </w:r>
          </w:p>
        </w:tc>
        <w:tc>
          <w:tcPr>
            <w:tcW w:w="721" w:type="pct"/>
            <w:tcBorders>
              <w:top w:val="nil"/>
              <w:bottom w:val="nil"/>
            </w:tcBorders>
          </w:tcPr>
          <w:p w14:paraId="3F91498C"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220.48 ± 107.82</w:t>
            </w:r>
          </w:p>
        </w:tc>
        <w:tc>
          <w:tcPr>
            <w:tcW w:w="639" w:type="pct"/>
            <w:tcBorders>
              <w:top w:val="nil"/>
              <w:bottom w:val="nil"/>
            </w:tcBorders>
          </w:tcPr>
          <w:p w14:paraId="43BF519B"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24.09 ± 10.16</w:t>
            </w:r>
          </w:p>
        </w:tc>
        <w:tc>
          <w:tcPr>
            <w:tcW w:w="643" w:type="pct"/>
            <w:tcBorders>
              <w:top w:val="nil"/>
              <w:bottom w:val="nil"/>
            </w:tcBorders>
          </w:tcPr>
          <w:p w14:paraId="1DAA87AB"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10.70 ± 5.86</w:t>
            </w:r>
          </w:p>
        </w:tc>
        <w:tc>
          <w:tcPr>
            <w:tcW w:w="693" w:type="pct"/>
            <w:tcBorders>
              <w:top w:val="nil"/>
              <w:bottom w:val="nil"/>
            </w:tcBorders>
          </w:tcPr>
          <w:p w14:paraId="3223753A"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13.11 ± 10.91</w:t>
            </w:r>
          </w:p>
        </w:tc>
      </w:tr>
      <w:tr w:rsidR="001E2528" w14:paraId="229CD203" w14:textId="77777777" w:rsidTr="00887D46">
        <w:tc>
          <w:tcPr>
            <w:tcW w:w="970" w:type="pct"/>
            <w:vMerge/>
            <w:tcBorders>
              <w:top w:val="nil"/>
              <w:bottom w:val="nil"/>
            </w:tcBorders>
          </w:tcPr>
          <w:p w14:paraId="78A8B2FB" w14:textId="77777777" w:rsidR="001E2528" w:rsidRDefault="001E2528">
            <w:pPr>
              <w:widowControl w:val="0"/>
              <w:spacing w:line="360" w:lineRule="auto"/>
              <w:jc w:val="both"/>
              <w:rPr>
                <w:rFonts w:ascii="Book Antiqua" w:eastAsia="宋体" w:hAnsi="Book Antiqua" w:cs="Calibri"/>
                <w:kern w:val="2"/>
                <w:lang w:eastAsia="zh-CN"/>
              </w:rPr>
            </w:pPr>
          </w:p>
        </w:tc>
        <w:tc>
          <w:tcPr>
            <w:tcW w:w="398" w:type="pct"/>
            <w:tcBorders>
              <w:top w:val="nil"/>
              <w:bottom w:val="nil"/>
            </w:tcBorders>
          </w:tcPr>
          <w:p w14:paraId="7AE739D2"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Total</w:t>
            </w:r>
          </w:p>
        </w:tc>
        <w:tc>
          <w:tcPr>
            <w:tcW w:w="935" w:type="pct"/>
            <w:tcBorders>
              <w:top w:val="nil"/>
              <w:bottom w:val="nil"/>
            </w:tcBorders>
          </w:tcPr>
          <w:p w14:paraId="13A22A33"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107</w:t>
            </w:r>
          </w:p>
        </w:tc>
        <w:tc>
          <w:tcPr>
            <w:tcW w:w="721" w:type="pct"/>
            <w:tcBorders>
              <w:top w:val="nil"/>
              <w:bottom w:val="nil"/>
            </w:tcBorders>
          </w:tcPr>
          <w:p w14:paraId="4F399236"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225.86 ± 91.10</w:t>
            </w:r>
          </w:p>
        </w:tc>
        <w:tc>
          <w:tcPr>
            <w:tcW w:w="639" w:type="pct"/>
            <w:tcBorders>
              <w:top w:val="nil"/>
              <w:bottom w:val="nil"/>
            </w:tcBorders>
          </w:tcPr>
          <w:p w14:paraId="6EAAF77C"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21.68 ± 14.47</w:t>
            </w:r>
          </w:p>
        </w:tc>
        <w:tc>
          <w:tcPr>
            <w:tcW w:w="643" w:type="pct"/>
            <w:tcBorders>
              <w:top w:val="nil"/>
              <w:bottom w:val="nil"/>
            </w:tcBorders>
          </w:tcPr>
          <w:p w14:paraId="2FE53008"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12.74 ± 5.51</w:t>
            </w:r>
          </w:p>
        </w:tc>
        <w:tc>
          <w:tcPr>
            <w:tcW w:w="693" w:type="pct"/>
            <w:tcBorders>
              <w:top w:val="nil"/>
              <w:bottom w:val="nil"/>
            </w:tcBorders>
          </w:tcPr>
          <w:p w14:paraId="0670709C"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13.03 ± 13.20</w:t>
            </w:r>
          </w:p>
        </w:tc>
      </w:tr>
      <w:tr w:rsidR="001E2528" w14:paraId="6F46C6BB" w14:textId="77777777" w:rsidTr="00887D46">
        <w:tc>
          <w:tcPr>
            <w:tcW w:w="970" w:type="pct"/>
            <w:vMerge w:val="restart"/>
            <w:tcBorders>
              <w:top w:val="nil"/>
            </w:tcBorders>
          </w:tcPr>
          <w:p w14:paraId="75317F8C" w14:textId="329883EF" w:rsidR="001E2528" w:rsidRDefault="006E34CF" w:rsidP="00EC401E">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Peptic ulcer complicated with upper gastrointestinal bleeding group</w:t>
            </w:r>
          </w:p>
        </w:tc>
        <w:tc>
          <w:tcPr>
            <w:tcW w:w="398" w:type="pct"/>
            <w:tcBorders>
              <w:top w:val="nil"/>
              <w:bottom w:val="nil"/>
            </w:tcBorders>
          </w:tcPr>
          <w:p w14:paraId="06F7227C"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GU</w:t>
            </w:r>
          </w:p>
        </w:tc>
        <w:tc>
          <w:tcPr>
            <w:tcW w:w="935" w:type="pct"/>
            <w:tcBorders>
              <w:top w:val="nil"/>
              <w:bottom w:val="nil"/>
            </w:tcBorders>
          </w:tcPr>
          <w:p w14:paraId="51F2B601"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20</w:t>
            </w:r>
          </w:p>
        </w:tc>
        <w:tc>
          <w:tcPr>
            <w:tcW w:w="721" w:type="pct"/>
            <w:tcBorders>
              <w:top w:val="nil"/>
              <w:bottom w:val="nil"/>
            </w:tcBorders>
          </w:tcPr>
          <w:p w14:paraId="673D1EBA"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240.52 ± 83.47</w:t>
            </w:r>
          </w:p>
        </w:tc>
        <w:tc>
          <w:tcPr>
            <w:tcW w:w="639" w:type="pct"/>
            <w:tcBorders>
              <w:top w:val="nil"/>
              <w:bottom w:val="nil"/>
            </w:tcBorders>
          </w:tcPr>
          <w:p w14:paraId="2ED0A1A9"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22.10 ± 15.30</w:t>
            </w:r>
          </w:p>
        </w:tc>
        <w:tc>
          <w:tcPr>
            <w:tcW w:w="643" w:type="pct"/>
            <w:tcBorders>
              <w:top w:val="nil"/>
              <w:bottom w:val="nil"/>
            </w:tcBorders>
          </w:tcPr>
          <w:p w14:paraId="14D68CF1"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15.15 ± 13.20</w:t>
            </w:r>
          </w:p>
        </w:tc>
        <w:tc>
          <w:tcPr>
            <w:tcW w:w="693" w:type="pct"/>
            <w:tcBorders>
              <w:top w:val="nil"/>
              <w:bottom w:val="nil"/>
            </w:tcBorders>
          </w:tcPr>
          <w:p w14:paraId="05E9A40A" w14:textId="4E73AE4B"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26.13 ± 13.68</w:t>
            </w:r>
            <w:r w:rsidR="00887D46" w:rsidRPr="00887D46">
              <w:rPr>
                <w:rFonts w:ascii="Book Antiqua" w:eastAsia="宋体" w:hAnsi="Book Antiqua" w:cs="Calibri"/>
                <w:bCs/>
                <w:kern w:val="2"/>
                <w:vertAlign w:val="superscript"/>
                <w:lang w:eastAsia="zh-CN"/>
              </w:rPr>
              <w:t>a</w:t>
            </w:r>
          </w:p>
        </w:tc>
      </w:tr>
      <w:tr w:rsidR="001E2528" w14:paraId="3F8DE033" w14:textId="77777777">
        <w:tc>
          <w:tcPr>
            <w:tcW w:w="970" w:type="pct"/>
            <w:vMerge/>
          </w:tcPr>
          <w:p w14:paraId="0942EF7E" w14:textId="77777777" w:rsidR="001E2528" w:rsidRDefault="001E2528">
            <w:pPr>
              <w:widowControl w:val="0"/>
              <w:spacing w:line="360" w:lineRule="auto"/>
              <w:jc w:val="both"/>
              <w:rPr>
                <w:rFonts w:ascii="Book Antiqua" w:eastAsia="宋体" w:hAnsi="Book Antiqua" w:cs="Calibri"/>
                <w:kern w:val="2"/>
                <w:lang w:eastAsia="zh-CN"/>
              </w:rPr>
            </w:pPr>
          </w:p>
        </w:tc>
        <w:tc>
          <w:tcPr>
            <w:tcW w:w="398" w:type="pct"/>
            <w:tcBorders>
              <w:top w:val="nil"/>
              <w:bottom w:val="nil"/>
            </w:tcBorders>
          </w:tcPr>
          <w:p w14:paraId="67EA7C7A"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DU</w:t>
            </w:r>
          </w:p>
        </w:tc>
        <w:tc>
          <w:tcPr>
            <w:tcW w:w="935" w:type="pct"/>
            <w:tcBorders>
              <w:top w:val="nil"/>
              <w:bottom w:val="nil"/>
            </w:tcBorders>
          </w:tcPr>
          <w:p w14:paraId="29B64E01"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64</w:t>
            </w:r>
          </w:p>
        </w:tc>
        <w:tc>
          <w:tcPr>
            <w:tcW w:w="721" w:type="pct"/>
            <w:tcBorders>
              <w:top w:val="nil"/>
              <w:bottom w:val="nil"/>
            </w:tcBorders>
          </w:tcPr>
          <w:p w14:paraId="51DB559A"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250.64 ± 85.70</w:t>
            </w:r>
          </w:p>
        </w:tc>
        <w:tc>
          <w:tcPr>
            <w:tcW w:w="639" w:type="pct"/>
            <w:tcBorders>
              <w:top w:val="nil"/>
              <w:bottom w:val="nil"/>
            </w:tcBorders>
          </w:tcPr>
          <w:p w14:paraId="666FDB98"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19.22 ± 10.71</w:t>
            </w:r>
          </w:p>
        </w:tc>
        <w:tc>
          <w:tcPr>
            <w:tcW w:w="643" w:type="pct"/>
            <w:tcBorders>
              <w:top w:val="nil"/>
              <w:bottom w:val="nil"/>
            </w:tcBorders>
          </w:tcPr>
          <w:p w14:paraId="6C485093"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14.91 ± 5.32</w:t>
            </w:r>
          </w:p>
        </w:tc>
        <w:tc>
          <w:tcPr>
            <w:tcW w:w="693" w:type="pct"/>
            <w:tcBorders>
              <w:top w:val="nil"/>
              <w:bottom w:val="nil"/>
            </w:tcBorders>
          </w:tcPr>
          <w:p w14:paraId="2D4808FF" w14:textId="60DEB1E0"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25.84 ± 15.00</w:t>
            </w:r>
            <w:r w:rsidR="00887D46" w:rsidRPr="00887D46">
              <w:rPr>
                <w:rFonts w:ascii="Book Antiqua" w:eastAsia="宋体" w:hAnsi="Book Antiqua" w:cs="Calibri"/>
                <w:bCs/>
                <w:kern w:val="2"/>
                <w:vertAlign w:val="superscript"/>
                <w:lang w:eastAsia="zh-CN"/>
              </w:rPr>
              <w:t xml:space="preserve"> a</w:t>
            </w:r>
          </w:p>
        </w:tc>
      </w:tr>
      <w:tr w:rsidR="001E2528" w14:paraId="5F5EF66F" w14:textId="77777777">
        <w:tc>
          <w:tcPr>
            <w:tcW w:w="970" w:type="pct"/>
            <w:vMerge/>
          </w:tcPr>
          <w:p w14:paraId="40DEDBE5" w14:textId="77777777" w:rsidR="001E2528" w:rsidRDefault="001E2528">
            <w:pPr>
              <w:widowControl w:val="0"/>
              <w:spacing w:line="360" w:lineRule="auto"/>
              <w:jc w:val="both"/>
              <w:rPr>
                <w:rFonts w:ascii="Book Antiqua" w:eastAsia="宋体" w:hAnsi="Book Antiqua" w:cs="Calibri"/>
                <w:kern w:val="2"/>
                <w:lang w:eastAsia="zh-CN"/>
              </w:rPr>
            </w:pPr>
          </w:p>
        </w:tc>
        <w:tc>
          <w:tcPr>
            <w:tcW w:w="398" w:type="pct"/>
            <w:tcBorders>
              <w:top w:val="nil"/>
              <w:bottom w:val="nil"/>
            </w:tcBorders>
          </w:tcPr>
          <w:p w14:paraId="40A6B217"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CU</w:t>
            </w:r>
          </w:p>
        </w:tc>
        <w:tc>
          <w:tcPr>
            <w:tcW w:w="935" w:type="pct"/>
            <w:tcBorders>
              <w:top w:val="nil"/>
              <w:bottom w:val="nil"/>
            </w:tcBorders>
          </w:tcPr>
          <w:p w14:paraId="560AE449"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8</w:t>
            </w:r>
          </w:p>
        </w:tc>
        <w:tc>
          <w:tcPr>
            <w:tcW w:w="721" w:type="pct"/>
            <w:tcBorders>
              <w:top w:val="nil"/>
              <w:bottom w:val="nil"/>
            </w:tcBorders>
          </w:tcPr>
          <w:p w14:paraId="7AE4ACBE"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238.55 ± 95.15</w:t>
            </w:r>
          </w:p>
        </w:tc>
        <w:tc>
          <w:tcPr>
            <w:tcW w:w="639" w:type="pct"/>
            <w:tcBorders>
              <w:top w:val="nil"/>
              <w:bottom w:val="nil"/>
            </w:tcBorders>
          </w:tcPr>
          <w:p w14:paraId="31C3E844"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18.30 ± 7.51</w:t>
            </w:r>
          </w:p>
        </w:tc>
        <w:tc>
          <w:tcPr>
            <w:tcW w:w="643" w:type="pct"/>
            <w:tcBorders>
              <w:top w:val="nil"/>
              <w:bottom w:val="nil"/>
            </w:tcBorders>
          </w:tcPr>
          <w:p w14:paraId="43B23A44"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14.70 ± 6.31</w:t>
            </w:r>
          </w:p>
        </w:tc>
        <w:tc>
          <w:tcPr>
            <w:tcW w:w="693" w:type="pct"/>
            <w:tcBorders>
              <w:top w:val="nil"/>
              <w:bottom w:val="nil"/>
            </w:tcBorders>
          </w:tcPr>
          <w:p w14:paraId="27721A12"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19.32 ± 8.87</w:t>
            </w:r>
          </w:p>
        </w:tc>
      </w:tr>
      <w:tr w:rsidR="001E2528" w14:paraId="27AF50BB" w14:textId="77777777">
        <w:tc>
          <w:tcPr>
            <w:tcW w:w="970" w:type="pct"/>
            <w:vMerge/>
          </w:tcPr>
          <w:p w14:paraId="5920EE9E" w14:textId="77777777" w:rsidR="001E2528" w:rsidRDefault="001E2528">
            <w:pPr>
              <w:widowControl w:val="0"/>
              <w:spacing w:line="360" w:lineRule="auto"/>
              <w:jc w:val="both"/>
              <w:rPr>
                <w:rFonts w:ascii="Book Antiqua" w:eastAsia="宋体" w:hAnsi="Book Antiqua" w:cs="Calibri"/>
                <w:kern w:val="2"/>
                <w:lang w:eastAsia="zh-CN"/>
              </w:rPr>
            </w:pPr>
          </w:p>
        </w:tc>
        <w:tc>
          <w:tcPr>
            <w:tcW w:w="398" w:type="pct"/>
            <w:tcBorders>
              <w:top w:val="nil"/>
            </w:tcBorders>
          </w:tcPr>
          <w:p w14:paraId="5F6F0B9F"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 xml:space="preserve">Total </w:t>
            </w:r>
          </w:p>
        </w:tc>
        <w:tc>
          <w:tcPr>
            <w:tcW w:w="935" w:type="pct"/>
            <w:tcBorders>
              <w:top w:val="nil"/>
            </w:tcBorders>
          </w:tcPr>
          <w:p w14:paraId="421DC600"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92</w:t>
            </w:r>
          </w:p>
        </w:tc>
        <w:tc>
          <w:tcPr>
            <w:tcW w:w="721" w:type="pct"/>
            <w:tcBorders>
              <w:top w:val="nil"/>
            </w:tcBorders>
          </w:tcPr>
          <w:p w14:paraId="0B41D5C7"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234.98 ± 90.67</w:t>
            </w:r>
          </w:p>
        </w:tc>
        <w:tc>
          <w:tcPr>
            <w:tcW w:w="639" w:type="pct"/>
            <w:tcBorders>
              <w:top w:val="nil"/>
            </w:tcBorders>
          </w:tcPr>
          <w:p w14:paraId="77B2FCB8"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19.65 ± 12.25</w:t>
            </w:r>
          </w:p>
        </w:tc>
        <w:tc>
          <w:tcPr>
            <w:tcW w:w="643" w:type="pct"/>
            <w:tcBorders>
              <w:top w:val="nil"/>
            </w:tcBorders>
          </w:tcPr>
          <w:p w14:paraId="28961F59"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14.44 ± 7.39</w:t>
            </w:r>
          </w:p>
        </w:tc>
        <w:tc>
          <w:tcPr>
            <w:tcW w:w="693" w:type="pct"/>
            <w:tcBorders>
              <w:top w:val="nil"/>
            </w:tcBorders>
          </w:tcPr>
          <w:p w14:paraId="223D6097"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25.34 ± 14.29</w:t>
            </w:r>
            <w:r>
              <w:rPr>
                <w:rFonts w:ascii="Book Antiqua" w:eastAsia="宋体" w:hAnsi="Book Antiqua" w:cs="Calibri" w:hint="eastAsia"/>
                <w:kern w:val="2"/>
                <w:vertAlign w:val="superscript"/>
                <w:lang w:eastAsia="zh-CN"/>
              </w:rPr>
              <w:t>a</w:t>
            </w:r>
          </w:p>
        </w:tc>
      </w:tr>
    </w:tbl>
    <w:p w14:paraId="3652BF1B" w14:textId="77777777" w:rsidR="00634E5B" w:rsidRDefault="006E34CF">
      <w:pPr>
        <w:widowControl w:val="0"/>
        <w:spacing w:line="360" w:lineRule="auto"/>
        <w:jc w:val="both"/>
        <w:rPr>
          <w:rFonts w:ascii="Book Antiqua" w:eastAsia="宋体" w:hAnsi="Book Antiqua" w:cs="Calibri"/>
          <w:bCs/>
          <w:kern w:val="2"/>
          <w:lang w:eastAsia="zh-CN"/>
        </w:rPr>
      </w:pPr>
      <w:r>
        <w:rPr>
          <w:rFonts w:ascii="Book Antiqua" w:eastAsia="宋体" w:hAnsi="Book Antiqua" w:cs="Calibri" w:hint="eastAsia"/>
          <w:kern w:val="2"/>
          <w:vertAlign w:val="superscript"/>
        </w:rPr>
        <w:t>a</w:t>
      </w:r>
      <w:r>
        <w:rPr>
          <w:rFonts w:ascii="Book Antiqua" w:eastAsia="宋体" w:hAnsi="Book Antiqua" w:cs="Calibri" w:hint="eastAsia"/>
          <w:i/>
          <w:iCs/>
          <w:kern w:val="2"/>
          <w:lang w:eastAsia="zh-CN"/>
        </w:rPr>
        <w:t xml:space="preserve">P </w:t>
      </w:r>
      <w:r>
        <w:rPr>
          <w:rFonts w:ascii="Book Antiqua" w:eastAsia="宋体" w:hAnsi="Book Antiqua" w:cs="Calibri"/>
          <w:kern w:val="2"/>
          <w:lang w:eastAsia="zh-CN"/>
        </w:rPr>
        <w:t>&lt;</w:t>
      </w:r>
      <w:r>
        <w:rPr>
          <w:rFonts w:ascii="Book Antiqua" w:eastAsia="宋体" w:hAnsi="Book Antiqua" w:cs="Calibri" w:hint="eastAsia"/>
          <w:kern w:val="2"/>
          <w:lang w:eastAsia="zh-CN"/>
        </w:rPr>
        <w:t xml:space="preserve"> </w:t>
      </w:r>
      <w:r>
        <w:rPr>
          <w:rFonts w:ascii="Book Antiqua" w:eastAsia="宋体" w:hAnsi="Book Antiqua" w:cs="Calibri"/>
          <w:kern w:val="2"/>
          <w:lang w:eastAsia="zh-CN"/>
        </w:rPr>
        <w:t>0.01</w:t>
      </w:r>
      <w:r>
        <w:rPr>
          <w:rFonts w:ascii="Book Antiqua" w:eastAsia="宋体" w:hAnsi="Book Antiqua" w:cs="Calibri"/>
          <w:bCs/>
          <w:kern w:val="2"/>
          <w:lang w:eastAsia="zh-CN"/>
        </w:rPr>
        <w:t xml:space="preserve"> compared to the corresponding non-bleeding group.</w:t>
      </w:r>
      <w:r>
        <w:rPr>
          <w:rFonts w:ascii="Book Antiqua" w:eastAsia="宋体" w:hAnsi="Book Antiqua" w:cs="Calibri" w:hint="eastAsia"/>
          <w:bCs/>
          <w:kern w:val="2"/>
          <w:lang w:eastAsia="zh-CN"/>
        </w:rPr>
        <w:t xml:space="preserve"> </w:t>
      </w:r>
    </w:p>
    <w:p w14:paraId="0BB8E18A" w14:textId="12A3F09F"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hint="eastAsia"/>
          <w:kern w:val="2"/>
          <w:lang w:eastAsia="zh-CN"/>
        </w:rPr>
        <w:t>PGI: P</w:t>
      </w:r>
      <w:r>
        <w:rPr>
          <w:rFonts w:ascii="Book Antiqua" w:eastAsia="宋体" w:hAnsi="Book Antiqua" w:cs="Calibri"/>
          <w:kern w:val="2"/>
          <w:lang w:eastAsia="zh-CN"/>
        </w:rPr>
        <w:t>epsinogen I</w:t>
      </w:r>
      <w:r>
        <w:rPr>
          <w:rFonts w:ascii="Book Antiqua" w:eastAsia="宋体" w:hAnsi="Book Antiqua" w:cs="Calibri" w:hint="eastAsia"/>
          <w:kern w:val="2"/>
          <w:lang w:eastAsia="zh-CN"/>
        </w:rPr>
        <w:t>; PGII: P</w:t>
      </w:r>
      <w:r>
        <w:rPr>
          <w:rFonts w:ascii="Book Antiqua" w:eastAsia="宋体" w:hAnsi="Book Antiqua" w:cs="Calibri"/>
          <w:kern w:val="2"/>
          <w:lang w:eastAsia="zh-CN"/>
        </w:rPr>
        <w:t>epsinogen I</w:t>
      </w:r>
      <w:r>
        <w:rPr>
          <w:rFonts w:ascii="Book Antiqua" w:eastAsia="宋体" w:hAnsi="Book Antiqua" w:cs="Calibri" w:hint="eastAsia"/>
          <w:kern w:val="2"/>
          <w:lang w:eastAsia="zh-CN"/>
        </w:rPr>
        <w:t>I;</w:t>
      </w:r>
      <w:r>
        <w:rPr>
          <w:rFonts w:ascii="Book Antiqua" w:eastAsia="宋体" w:hAnsi="Book Antiqua" w:cs="Calibri"/>
          <w:kern w:val="2"/>
          <w:lang w:eastAsia="zh-CN"/>
        </w:rPr>
        <w:t xml:space="preserve"> </w:t>
      </w:r>
      <w:r w:rsidR="00EC401E">
        <w:rPr>
          <w:rFonts w:ascii="Book Antiqua" w:eastAsia="宋体" w:hAnsi="Book Antiqua" w:cs="Calibri"/>
          <w:kern w:val="2"/>
          <w:lang w:eastAsia="zh-CN"/>
        </w:rPr>
        <w:t xml:space="preserve">PGR: </w:t>
      </w:r>
      <w:r w:rsidR="00EC401E">
        <w:rPr>
          <w:rFonts w:ascii="Book Antiqua" w:eastAsia="Book Antiqua" w:hAnsi="Book Antiqua" w:cs="Book Antiqua"/>
          <w:color w:val="000000"/>
        </w:rPr>
        <w:t>PGI/PGII ratio;</w:t>
      </w:r>
      <w:r w:rsidR="00EC401E">
        <w:rPr>
          <w:rFonts w:ascii="Book Antiqua" w:eastAsia="宋体" w:hAnsi="Book Antiqua" w:cs="Calibri"/>
          <w:kern w:val="2"/>
          <w:lang w:eastAsia="zh-CN"/>
        </w:rPr>
        <w:t xml:space="preserve"> G-17: </w:t>
      </w:r>
      <w:r w:rsidR="000A58B8">
        <w:rPr>
          <w:rFonts w:ascii="Book Antiqua" w:eastAsia="宋体" w:hAnsi="Book Antiqua" w:cs="Calibri"/>
          <w:kern w:val="2"/>
          <w:lang w:eastAsia="zh-CN"/>
        </w:rPr>
        <w:t>G</w:t>
      </w:r>
      <w:r w:rsidR="00EC401E">
        <w:rPr>
          <w:rFonts w:ascii="Book Antiqua" w:eastAsia="宋体" w:hAnsi="Book Antiqua" w:cs="Calibri"/>
          <w:kern w:val="2"/>
          <w:lang w:eastAsia="zh-CN"/>
        </w:rPr>
        <w:t>astrin</w:t>
      </w:r>
      <w:r w:rsidR="000A58B8">
        <w:rPr>
          <w:rFonts w:ascii="Book Antiqua" w:eastAsia="宋体" w:hAnsi="Book Antiqua" w:cs="Calibri"/>
          <w:kern w:val="2"/>
          <w:lang w:eastAsia="zh-CN"/>
        </w:rPr>
        <w:t>-</w:t>
      </w:r>
      <w:r w:rsidR="00EC401E">
        <w:rPr>
          <w:rFonts w:ascii="Book Antiqua" w:eastAsia="宋体" w:hAnsi="Book Antiqua" w:cs="Calibri"/>
          <w:kern w:val="2"/>
          <w:lang w:eastAsia="zh-CN"/>
        </w:rPr>
        <w:t>17</w:t>
      </w:r>
      <w:r w:rsidR="000A58B8">
        <w:rPr>
          <w:rFonts w:ascii="Book Antiqua" w:eastAsia="宋体" w:hAnsi="Book Antiqua" w:cs="Calibri"/>
          <w:kern w:val="2"/>
          <w:lang w:eastAsia="zh-CN"/>
        </w:rPr>
        <w:t xml:space="preserve">; </w:t>
      </w:r>
      <w:r>
        <w:rPr>
          <w:rFonts w:ascii="Book Antiqua" w:eastAsia="宋体" w:hAnsi="Book Antiqua" w:cs="Calibri"/>
          <w:kern w:val="2"/>
          <w:lang w:eastAsia="zh-CN"/>
        </w:rPr>
        <w:t xml:space="preserve">GU: </w:t>
      </w:r>
      <w:r>
        <w:rPr>
          <w:rFonts w:ascii="Book Antiqua" w:eastAsia="宋体" w:hAnsi="Book Antiqua" w:cs="Calibri" w:hint="eastAsia"/>
          <w:kern w:val="2"/>
          <w:lang w:eastAsia="zh-CN"/>
        </w:rPr>
        <w:t>G</w:t>
      </w:r>
      <w:r>
        <w:rPr>
          <w:rFonts w:ascii="Book Antiqua" w:eastAsia="宋体" w:hAnsi="Book Antiqua" w:cs="Calibri"/>
          <w:kern w:val="2"/>
          <w:lang w:eastAsia="zh-CN"/>
        </w:rPr>
        <w:t>astric ulcer</w:t>
      </w:r>
      <w:r>
        <w:rPr>
          <w:rFonts w:ascii="Book Antiqua" w:eastAsia="宋体" w:hAnsi="Book Antiqua" w:cs="Calibri" w:hint="eastAsia"/>
          <w:kern w:val="2"/>
          <w:lang w:eastAsia="zh-CN"/>
        </w:rPr>
        <w:t>;</w:t>
      </w:r>
      <w:r>
        <w:rPr>
          <w:rFonts w:ascii="Book Antiqua" w:eastAsia="宋体" w:hAnsi="Book Antiqua" w:cs="Calibri"/>
          <w:kern w:val="2"/>
          <w:lang w:eastAsia="zh-CN"/>
        </w:rPr>
        <w:t xml:space="preserve"> DU: </w:t>
      </w:r>
      <w:r>
        <w:rPr>
          <w:rFonts w:ascii="Book Antiqua" w:eastAsia="宋体" w:hAnsi="Book Antiqua" w:cs="Calibri" w:hint="eastAsia"/>
          <w:kern w:val="2"/>
          <w:lang w:eastAsia="zh-CN"/>
        </w:rPr>
        <w:t>D</w:t>
      </w:r>
      <w:r>
        <w:rPr>
          <w:rFonts w:ascii="Book Antiqua" w:eastAsia="宋体" w:hAnsi="Book Antiqua" w:cs="Calibri"/>
          <w:kern w:val="2"/>
          <w:lang w:eastAsia="zh-CN"/>
        </w:rPr>
        <w:t>uodenal ulcer</w:t>
      </w:r>
      <w:r>
        <w:rPr>
          <w:rFonts w:ascii="Book Antiqua" w:eastAsia="宋体" w:hAnsi="Book Antiqua" w:cs="Calibri" w:hint="eastAsia"/>
          <w:kern w:val="2"/>
          <w:lang w:eastAsia="zh-CN"/>
        </w:rPr>
        <w:t>;</w:t>
      </w:r>
      <w:r>
        <w:rPr>
          <w:rFonts w:ascii="Book Antiqua" w:eastAsia="宋体" w:hAnsi="Book Antiqua" w:cs="Calibri"/>
          <w:kern w:val="2"/>
          <w:lang w:eastAsia="zh-CN"/>
        </w:rPr>
        <w:t xml:space="preserve"> CU: </w:t>
      </w:r>
      <w:r>
        <w:rPr>
          <w:rFonts w:ascii="Book Antiqua" w:eastAsia="宋体" w:hAnsi="Book Antiqua" w:cs="Calibri" w:hint="eastAsia"/>
          <w:kern w:val="2"/>
          <w:lang w:eastAsia="zh-CN"/>
        </w:rPr>
        <w:t>C</w:t>
      </w:r>
      <w:r>
        <w:rPr>
          <w:rFonts w:ascii="Book Antiqua" w:eastAsia="宋体" w:hAnsi="Book Antiqua" w:cs="Calibri"/>
          <w:kern w:val="2"/>
          <w:lang w:eastAsia="zh-CN"/>
        </w:rPr>
        <w:t xml:space="preserve">omplex ulcer. </w:t>
      </w:r>
    </w:p>
    <w:p w14:paraId="4EB1292C"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b/>
          <w:bCs/>
          <w:kern w:val="2"/>
          <w:lang w:eastAsia="zh-CN"/>
        </w:rPr>
        <w:br w:type="page"/>
      </w:r>
      <w:r>
        <w:rPr>
          <w:rFonts w:ascii="Book Antiqua" w:eastAsia="宋体" w:hAnsi="Book Antiqua" w:cs="Calibri"/>
          <w:b/>
          <w:bCs/>
          <w:kern w:val="2"/>
          <w:lang w:eastAsia="zh-CN"/>
        </w:rPr>
        <w:lastRenderedPageBreak/>
        <w:t xml:space="preserve">Table </w:t>
      </w:r>
      <w:r w:rsidRPr="00887D46">
        <w:rPr>
          <w:rFonts w:ascii="Book Antiqua" w:eastAsia="宋体" w:hAnsi="Book Antiqua" w:cs="Calibri"/>
          <w:b/>
          <w:bCs/>
          <w:kern w:val="2"/>
          <w:lang w:eastAsia="zh-CN"/>
        </w:rPr>
        <w:t>3</w:t>
      </w:r>
      <w:r w:rsidRPr="00887D46">
        <w:rPr>
          <w:rFonts w:ascii="Book Antiqua" w:eastAsia="宋体" w:hAnsi="Book Antiqua" w:cs="Calibri" w:hint="eastAsia"/>
          <w:b/>
          <w:bCs/>
          <w:kern w:val="2"/>
          <w:lang w:eastAsia="zh-CN"/>
        </w:rPr>
        <w:t xml:space="preserve"> </w:t>
      </w:r>
      <w:r w:rsidRPr="00887D46">
        <w:rPr>
          <w:rFonts w:ascii="Book Antiqua" w:eastAsia="宋体" w:hAnsi="Book Antiqua" w:cs="Calibri"/>
          <w:b/>
          <w:bCs/>
          <w:kern w:val="2"/>
          <w:lang w:eastAsia="zh-CN"/>
        </w:rPr>
        <w:t xml:space="preserve">Association between serum gastrin-17 and upper gastrointestinal bleeding </w:t>
      </w:r>
    </w:p>
    <w:tbl>
      <w:tblPr>
        <w:tblStyle w:val="a9"/>
        <w:tblW w:w="0" w:type="auto"/>
        <w:tblLook w:val="04A0" w:firstRow="1" w:lastRow="0" w:firstColumn="1" w:lastColumn="0" w:noHBand="0" w:noVBand="1"/>
      </w:tblPr>
      <w:tblGrid>
        <w:gridCol w:w="2992"/>
        <w:gridCol w:w="1306"/>
        <w:gridCol w:w="2611"/>
        <w:gridCol w:w="850"/>
        <w:gridCol w:w="889"/>
      </w:tblGrid>
      <w:tr w:rsidR="001E2528" w14:paraId="4F82B3F6" w14:textId="77777777">
        <w:tc>
          <w:tcPr>
            <w:tcW w:w="2992" w:type="dxa"/>
            <w:tcBorders>
              <w:left w:val="nil"/>
              <w:right w:val="nil"/>
            </w:tcBorders>
          </w:tcPr>
          <w:p w14:paraId="7D85661B" w14:textId="77777777" w:rsidR="001E2528" w:rsidRDefault="006E34CF">
            <w:pPr>
              <w:widowControl w:val="0"/>
              <w:spacing w:line="360" w:lineRule="auto"/>
              <w:jc w:val="both"/>
              <w:rPr>
                <w:rFonts w:ascii="Book Antiqua" w:eastAsia="宋体" w:hAnsi="Book Antiqua" w:cs="Calibri"/>
                <w:b/>
                <w:kern w:val="2"/>
                <w:lang w:eastAsia="zh-CN"/>
              </w:rPr>
            </w:pPr>
            <w:r>
              <w:rPr>
                <w:rFonts w:ascii="Book Antiqua" w:eastAsia="宋体" w:hAnsi="Book Antiqua" w:cs="Calibri"/>
                <w:b/>
                <w:kern w:val="2"/>
                <w:lang w:eastAsia="zh-CN"/>
              </w:rPr>
              <w:t>Serum G-17 level</w:t>
            </w:r>
          </w:p>
        </w:tc>
        <w:tc>
          <w:tcPr>
            <w:tcW w:w="1306" w:type="dxa"/>
            <w:tcBorders>
              <w:left w:val="nil"/>
              <w:right w:val="nil"/>
            </w:tcBorders>
          </w:tcPr>
          <w:p w14:paraId="01AB13F2" w14:textId="77777777" w:rsidR="001E2528" w:rsidRDefault="006E34CF">
            <w:pPr>
              <w:widowControl w:val="0"/>
              <w:spacing w:line="360" w:lineRule="auto"/>
              <w:jc w:val="both"/>
              <w:rPr>
                <w:rFonts w:ascii="Book Antiqua" w:eastAsia="宋体" w:hAnsi="Book Antiqua" w:cs="Calibri"/>
                <w:b/>
                <w:kern w:val="2"/>
                <w:lang w:eastAsia="zh-CN"/>
              </w:rPr>
            </w:pPr>
            <w:r>
              <w:rPr>
                <w:rFonts w:ascii="Book Antiqua" w:eastAsia="宋体" w:hAnsi="Book Antiqua" w:cs="Calibri"/>
                <w:b/>
                <w:kern w:val="2"/>
                <w:lang w:eastAsia="zh-CN"/>
              </w:rPr>
              <w:t>Peptic ulcer</w:t>
            </w:r>
            <w:r>
              <w:rPr>
                <w:rFonts w:ascii="Book Antiqua" w:eastAsia="宋体" w:hAnsi="Book Antiqua" w:cs="Calibri" w:hint="eastAsia"/>
                <w:b/>
                <w:kern w:val="2"/>
                <w:lang w:eastAsia="zh-CN"/>
              </w:rPr>
              <w:t>,</w:t>
            </w:r>
            <w:r>
              <w:rPr>
                <w:rFonts w:ascii="Book Antiqua" w:eastAsia="宋体" w:hAnsi="Book Antiqua" w:cs="Calibri"/>
                <w:b/>
                <w:kern w:val="2"/>
                <w:lang w:eastAsia="zh-CN"/>
              </w:rPr>
              <w:t xml:space="preserve"> </w:t>
            </w:r>
            <w:r>
              <w:rPr>
                <w:rFonts w:ascii="Book Antiqua" w:eastAsia="宋体" w:hAnsi="Book Antiqua" w:cs="Calibri"/>
                <w:b/>
                <w:i/>
                <w:kern w:val="2"/>
                <w:lang w:eastAsia="zh-CN"/>
              </w:rPr>
              <w:t>n</w:t>
            </w:r>
            <w:r>
              <w:rPr>
                <w:rFonts w:ascii="Book Antiqua" w:eastAsia="宋体" w:hAnsi="Book Antiqua" w:cs="Calibri" w:hint="eastAsia"/>
                <w:b/>
                <w:i/>
                <w:kern w:val="2"/>
                <w:lang w:eastAsia="zh-CN"/>
              </w:rPr>
              <w:t xml:space="preserve"> </w:t>
            </w:r>
            <w:r>
              <w:rPr>
                <w:rFonts w:ascii="Book Antiqua" w:eastAsia="宋体" w:hAnsi="Book Antiqua" w:cs="Calibri"/>
                <w:b/>
                <w:kern w:val="2"/>
                <w:lang w:eastAsia="zh-CN"/>
              </w:rPr>
              <w:t>(%)</w:t>
            </w:r>
          </w:p>
        </w:tc>
        <w:tc>
          <w:tcPr>
            <w:tcW w:w="2611" w:type="dxa"/>
            <w:tcBorders>
              <w:left w:val="nil"/>
              <w:right w:val="nil"/>
            </w:tcBorders>
          </w:tcPr>
          <w:p w14:paraId="1B28E164" w14:textId="200A40B1" w:rsidR="001E2528" w:rsidRDefault="006E34CF" w:rsidP="000A58B8">
            <w:pPr>
              <w:widowControl w:val="0"/>
              <w:spacing w:line="360" w:lineRule="auto"/>
              <w:jc w:val="both"/>
              <w:rPr>
                <w:rFonts w:ascii="Book Antiqua" w:eastAsia="宋体" w:hAnsi="Book Antiqua" w:cs="Calibri"/>
                <w:b/>
                <w:kern w:val="2"/>
                <w:lang w:eastAsia="zh-CN"/>
              </w:rPr>
            </w:pPr>
            <w:r>
              <w:rPr>
                <w:rFonts w:ascii="Book Antiqua" w:eastAsia="宋体" w:hAnsi="Book Antiqua" w:cs="Calibri"/>
                <w:b/>
                <w:kern w:val="2"/>
                <w:lang w:eastAsia="zh-CN"/>
              </w:rPr>
              <w:t xml:space="preserve">Peptic ulcer complicated </w:t>
            </w:r>
            <w:r w:rsidR="000A58B8">
              <w:rPr>
                <w:rFonts w:ascii="Book Antiqua" w:eastAsia="宋体" w:hAnsi="Book Antiqua" w:cs="Calibri"/>
                <w:b/>
                <w:kern w:val="2"/>
                <w:lang w:eastAsia="zh-CN"/>
              </w:rPr>
              <w:t>by</w:t>
            </w:r>
            <w:r>
              <w:rPr>
                <w:rFonts w:ascii="Book Antiqua" w:eastAsia="宋体" w:hAnsi="Book Antiqua" w:cs="Calibri"/>
                <w:b/>
                <w:kern w:val="2"/>
                <w:lang w:eastAsia="zh-CN"/>
              </w:rPr>
              <w:t xml:space="preserve"> bleeding</w:t>
            </w:r>
            <w:r>
              <w:rPr>
                <w:rFonts w:ascii="Book Antiqua" w:eastAsia="宋体" w:hAnsi="Book Antiqua" w:cs="Calibri" w:hint="eastAsia"/>
                <w:b/>
                <w:kern w:val="2"/>
                <w:lang w:eastAsia="zh-CN"/>
              </w:rPr>
              <w:t>,</w:t>
            </w:r>
            <w:r>
              <w:rPr>
                <w:rFonts w:ascii="Book Antiqua" w:eastAsia="宋体" w:hAnsi="Book Antiqua" w:cs="Calibri"/>
                <w:b/>
                <w:kern w:val="2"/>
                <w:lang w:eastAsia="zh-CN"/>
              </w:rPr>
              <w:t xml:space="preserve"> </w:t>
            </w:r>
            <w:r>
              <w:rPr>
                <w:rFonts w:ascii="Book Antiqua" w:eastAsia="宋体" w:hAnsi="Book Antiqua" w:cs="Calibri"/>
                <w:b/>
                <w:i/>
                <w:kern w:val="2"/>
                <w:lang w:eastAsia="zh-CN"/>
              </w:rPr>
              <w:t>n</w:t>
            </w:r>
            <w:r>
              <w:rPr>
                <w:rFonts w:ascii="Book Antiqua" w:eastAsia="宋体" w:hAnsi="Book Antiqua" w:cs="Calibri" w:hint="eastAsia"/>
                <w:b/>
                <w:i/>
                <w:kern w:val="2"/>
                <w:lang w:eastAsia="zh-CN"/>
              </w:rPr>
              <w:t xml:space="preserve"> </w:t>
            </w:r>
            <w:r>
              <w:rPr>
                <w:rFonts w:ascii="Book Antiqua" w:eastAsia="宋体" w:hAnsi="Book Antiqua" w:cs="Calibri"/>
                <w:b/>
                <w:kern w:val="2"/>
                <w:lang w:eastAsia="zh-CN"/>
              </w:rPr>
              <w:t>(%)</w:t>
            </w:r>
          </w:p>
        </w:tc>
        <w:tc>
          <w:tcPr>
            <w:tcW w:w="850" w:type="dxa"/>
            <w:tcBorders>
              <w:left w:val="nil"/>
              <w:right w:val="nil"/>
            </w:tcBorders>
          </w:tcPr>
          <w:p w14:paraId="0A5B6ED5" w14:textId="77777777" w:rsidR="001E2528" w:rsidRDefault="006E34CF">
            <w:pPr>
              <w:widowControl w:val="0"/>
              <w:spacing w:line="360" w:lineRule="auto"/>
              <w:jc w:val="both"/>
              <w:rPr>
                <w:rFonts w:ascii="Book Antiqua" w:eastAsia="宋体" w:hAnsi="Book Antiqua" w:cs="Calibri"/>
                <w:b/>
                <w:kern w:val="2"/>
                <w:lang w:eastAsia="zh-CN"/>
              </w:rPr>
            </w:pPr>
            <w:r>
              <w:rPr>
                <w:rFonts w:ascii="Book Antiqua" w:eastAsia="宋体" w:hAnsi="Book Antiqua" w:cs="Calibri"/>
                <w:b/>
                <w:kern w:val="2"/>
                <w:lang w:eastAsia="zh-CN"/>
              </w:rPr>
              <w:t>Total</w:t>
            </w:r>
            <w:r>
              <w:rPr>
                <w:rFonts w:ascii="Book Antiqua" w:eastAsia="宋体" w:hAnsi="Book Antiqua" w:cs="Calibri" w:hint="eastAsia"/>
                <w:b/>
                <w:kern w:val="2"/>
                <w:lang w:eastAsia="zh-CN"/>
              </w:rPr>
              <w:t xml:space="preserve">, </w:t>
            </w:r>
            <w:r>
              <w:rPr>
                <w:rFonts w:ascii="Book Antiqua" w:eastAsia="宋体" w:hAnsi="Book Antiqua" w:cs="Calibri" w:hint="eastAsia"/>
                <w:b/>
                <w:i/>
                <w:kern w:val="2"/>
                <w:lang w:eastAsia="zh-CN"/>
              </w:rPr>
              <w:t>n</w:t>
            </w:r>
          </w:p>
        </w:tc>
        <w:tc>
          <w:tcPr>
            <w:tcW w:w="889" w:type="dxa"/>
            <w:tcBorders>
              <w:left w:val="nil"/>
              <w:right w:val="nil"/>
            </w:tcBorders>
          </w:tcPr>
          <w:p w14:paraId="70B7A004" w14:textId="1B1726E7" w:rsidR="001E2528" w:rsidRDefault="00887D46">
            <w:pPr>
              <w:widowControl w:val="0"/>
              <w:spacing w:line="360" w:lineRule="auto"/>
              <w:jc w:val="both"/>
              <w:rPr>
                <w:rFonts w:ascii="Book Antiqua" w:eastAsia="宋体" w:hAnsi="Book Antiqua" w:cs="Calibri"/>
                <w:b/>
                <w:kern w:val="2"/>
                <w:lang w:eastAsia="zh-CN"/>
              </w:rPr>
            </w:pPr>
            <w:r>
              <w:rPr>
                <w:rFonts w:ascii="Book Antiqua" w:eastAsia="宋体" w:hAnsi="Book Antiqua" w:cs="Calibri"/>
                <w:b/>
                <w:i/>
                <w:iCs/>
                <w:kern w:val="2"/>
                <w:lang w:eastAsia="zh-CN"/>
              </w:rPr>
              <w:t>P</w:t>
            </w:r>
            <w:r w:rsidR="006E34CF">
              <w:rPr>
                <w:rFonts w:ascii="Book Antiqua" w:eastAsia="宋体" w:hAnsi="Book Antiqua" w:cs="Calibri"/>
                <w:b/>
                <w:kern w:val="2"/>
                <w:lang w:eastAsia="zh-CN"/>
              </w:rPr>
              <w:t xml:space="preserve"> value</w:t>
            </w:r>
          </w:p>
        </w:tc>
      </w:tr>
      <w:tr w:rsidR="001E2528" w14:paraId="38F4E0E5" w14:textId="77777777">
        <w:tc>
          <w:tcPr>
            <w:tcW w:w="2992" w:type="dxa"/>
            <w:tcBorders>
              <w:left w:val="nil"/>
              <w:bottom w:val="nil"/>
              <w:right w:val="nil"/>
            </w:tcBorders>
          </w:tcPr>
          <w:p w14:paraId="643EBD9B"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Normal (≤</w:t>
            </w:r>
            <w:r>
              <w:rPr>
                <w:rFonts w:ascii="Book Antiqua" w:eastAsia="宋体" w:hAnsi="Book Antiqua" w:cs="Calibri" w:hint="eastAsia"/>
                <w:kern w:val="2"/>
                <w:lang w:eastAsia="zh-CN"/>
              </w:rPr>
              <w:t xml:space="preserve"> </w:t>
            </w:r>
            <w:r>
              <w:rPr>
                <w:rFonts w:ascii="Book Antiqua" w:eastAsia="宋体" w:hAnsi="Book Antiqua" w:cs="Calibri"/>
                <w:kern w:val="2"/>
                <w:lang w:eastAsia="zh-CN"/>
              </w:rPr>
              <w:t>15 pmol/L)</w:t>
            </w:r>
          </w:p>
        </w:tc>
        <w:tc>
          <w:tcPr>
            <w:tcW w:w="1306" w:type="dxa"/>
            <w:tcBorders>
              <w:left w:val="nil"/>
              <w:bottom w:val="nil"/>
              <w:right w:val="nil"/>
            </w:tcBorders>
          </w:tcPr>
          <w:p w14:paraId="55FCC9F6"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85</w:t>
            </w:r>
            <w:r>
              <w:rPr>
                <w:rFonts w:ascii="Book Antiqua" w:eastAsia="宋体" w:hAnsi="Book Antiqua" w:cs="Calibri" w:hint="eastAsia"/>
                <w:kern w:val="2"/>
                <w:lang w:eastAsia="zh-CN"/>
              </w:rPr>
              <w:t xml:space="preserve"> </w:t>
            </w:r>
            <w:r>
              <w:rPr>
                <w:rFonts w:ascii="Book Antiqua" w:eastAsia="宋体" w:hAnsi="Book Antiqua" w:cs="Calibri"/>
                <w:kern w:val="2"/>
                <w:lang w:eastAsia="zh-CN"/>
              </w:rPr>
              <w:t>(72.6)</w:t>
            </w:r>
          </w:p>
        </w:tc>
        <w:tc>
          <w:tcPr>
            <w:tcW w:w="2611" w:type="dxa"/>
            <w:tcBorders>
              <w:left w:val="nil"/>
              <w:bottom w:val="nil"/>
              <w:right w:val="nil"/>
            </w:tcBorders>
          </w:tcPr>
          <w:p w14:paraId="5DDCB65C"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32</w:t>
            </w:r>
            <w:r>
              <w:rPr>
                <w:rFonts w:ascii="Book Antiqua" w:eastAsia="宋体" w:hAnsi="Book Antiqua" w:cs="Calibri" w:hint="eastAsia"/>
                <w:kern w:val="2"/>
                <w:lang w:eastAsia="zh-CN"/>
              </w:rPr>
              <w:t xml:space="preserve"> </w:t>
            </w:r>
            <w:r>
              <w:rPr>
                <w:rFonts w:ascii="Book Antiqua" w:eastAsia="宋体" w:hAnsi="Book Antiqua" w:cs="Calibri"/>
                <w:kern w:val="2"/>
                <w:lang w:eastAsia="zh-CN"/>
              </w:rPr>
              <w:t>(27.4)</w:t>
            </w:r>
          </w:p>
        </w:tc>
        <w:tc>
          <w:tcPr>
            <w:tcW w:w="850" w:type="dxa"/>
            <w:tcBorders>
              <w:left w:val="nil"/>
              <w:bottom w:val="nil"/>
              <w:right w:val="nil"/>
            </w:tcBorders>
          </w:tcPr>
          <w:p w14:paraId="774CD903"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117</w:t>
            </w:r>
          </w:p>
        </w:tc>
        <w:tc>
          <w:tcPr>
            <w:tcW w:w="889" w:type="dxa"/>
            <w:tcBorders>
              <w:left w:val="nil"/>
              <w:bottom w:val="nil"/>
              <w:right w:val="nil"/>
            </w:tcBorders>
          </w:tcPr>
          <w:p w14:paraId="5A2E3004" w14:textId="77777777" w:rsidR="001E2528" w:rsidRDefault="001E2528">
            <w:pPr>
              <w:widowControl w:val="0"/>
              <w:spacing w:line="360" w:lineRule="auto"/>
              <w:jc w:val="both"/>
              <w:rPr>
                <w:rFonts w:ascii="Book Antiqua" w:eastAsia="宋体" w:hAnsi="Book Antiqua" w:cs="Calibri"/>
                <w:kern w:val="2"/>
                <w:lang w:eastAsia="zh-CN"/>
              </w:rPr>
            </w:pPr>
          </w:p>
        </w:tc>
      </w:tr>
      <w:tr w:rsidR="001E2528" w14:paraId="2BC925A1" w14:textId="77777777">
        <w:tc>
          <w:tcPr>
            <w:tcW w:w="2992" w:type="dxa"/>
            <w:tcBorders>
              <w:top w:val="nil"/>
              <w:left w:val="nil"/>
              <w:bottom w:val="nil"/>
              <w:right w:val="nil"/>
            </w:tcBorders>
          </w:tcPr>
          <w:p w14:paraId="25648A0F"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Elevated (&gt;</w:t>
            </w:r>
            <w:r>
              <w:rPr>
                <w:rFonts w:ascii="Book Antiqua" w:eastAsia="宋体" w:hAnsi="Book Antiqua" w:cs="Calibri" w:hint="eastAsia"/>
                <w:kern w:val="2"/>
                <w:lang w:eastAsia="zh-CN"/>
              </w:rPr>
              <w:t xml:space="preserve"> </w:t>
            </w:r>
            <w:r>
              <w:rPr>
                <w:rFonts w:ascii="Book Antiqua" w:eastAsia="宋体" w:hAnsi="Book Antiqua" w:cs="Calibri"/>
                <w:kern w:val="2"/>
                <w:lang w:eastAsia="zh-CN"/>
              </w:rPr>
              <w:t>15 pmol/L)</w:t>
            </w:r>
          </w:p>
        </w:tc>
        <w:tc>
          <w:tcPr>
            <w:tcW w:w="1306" w:type="dxa"/>
            <w:tcBorders>
              <w:top w:val="nil"/>
              <w:left w:val="nil"/>
              <w:bottom w:val="nil"/>
              <w:right w:val="nil"/>
            </w:tcBorders>
          </w:tcPr>
          <w:p w14:paraId="1D112543"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22</w:t>
            </w:r>
            <w:r>
              <w:rPr>
                <w:rFonts w:ascii="Book Antiqua" w:eastAsia="宋体" w:hAnsi="Book Antiqua" w:cs="Calibri" w:hint="eastAsia"/>
                <w:kern w:val="2"/>
                <w:lang w:eastAsia="zh-CN"/>
              </w:rPr>
              <w:t xml:space="preserve"> </w:t>
            </w:r>
            <w:r>
              <w:rPr>
                <w:rFonts w:ascii="Book Antiqua" w:eastAsia="宋体" w:hAnsi="Book Antiqua" w:cs="Calibri"/>
                <w:kern w:val="2"/>
                <w:lang w:eastAsia="zh-CN"/>
              </w:rPr>
              <w:t>(26.8)</w:t>
            </w:r>
          </w:p>
        </w:tc>
        <w:tc>
          <w:tcPr>
            <w:tcW w:w="2611" w:type="dxa"/>
            <w:tcBorders>
              <w:top w:val="nil"/>
              <w:left w:val="nil"/>
              <w:bottom w:val="nil"/>
              <w:right w:val="nil"/>
            </w:tcBorders>
          </w:tcPr>
          <w:p w14:paraId="35CF3D94"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60</w:t>
            </w:r>
            <w:r>
              <w:rPr>
                <w:rFonts w:ascii="Book Antiqua" w:eastAsia="宋体" w:hAnsi="Book Antiqua" w:cs="Calibri" w:hint="eastAsia"/>
                <w:kern w:val="2"/>
                <w:lang w:eastAsia="zh-CN"/>
              </w:rPr>
              <w:t xml:space="preserve"> </w:t>
            </w:r>
            <w:r>
              <w:rPr>
                <w:rFonts w:ascii="Book Antiqua" w:eastAsia="宋体" w:hAnsi="Book Antiqua" w:cs="Calibri"/>
                <w:kern w:val="2"/>
                <w:lang w:eastAsia="zh-CN"/>
              </w:rPr>
              <w:t>(73.2)</w:t>
            </w:r>
          </w:p>
        </w:tc>
        <w:tc>
          <w:tcPr>
            <w:tcW w:w="850" w:type="dxa"/>
            <w:tcBorders>
              <w:top w:val="nil"/>
              <w:left w:val="nil"/>
              <w:bottom w:val="nil"/>
              <w:right w:val="nil"/>
            </w:tcBorders>
          </w:tcPr>
          <w:p w14:paraId="6A7A201E"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82</w:t>
            </w:r>
          </w:p>
        </w:tc>
        <w:tc>
          <w:tcPr>
            <w:tcW w:w="889" w:type="dxa"/>
            <w:tcBorders>
              <w:top w:val="nil"/>
              <w:left w:val="nil"/>
              <w:bottom w:val="nil"/>
              <w:right w:val="nil"/>
            </w:tcBorders>
          </w:tcPr>
          <w:p w14:paraId="6A2F186E" w14:textId="77777777" w:rsidR="001E2528" w:rsidRDefault="001E2528">
            <w:pPr>
              <w:widowControl w:val="0"/>
              <w:spacing w:line="360" w:lineRule="auto"/>
              <w:jc w:val="both"/>
              <w:rPr>
                <w:rFonts w:ascii="Book Antiqua" w:eastAsia="宋体" w:hAnsi="Book Antiqua" w:cs="Calibri"/>
                <w:kern w:val="2"/>
                <w:lang w:eastAsia="zh-CN"/>
              </w:rPr>
            </w:pPr>
          </w:p>
        </w:tc>
      </w:tr>
      <w:tr w:rsidR="001E2528" w14:paraId="1580762B" w14:textId="77777777">
        <w:tc>
          <w:tcPr>
            <w:tcW w:w="2992" w:type="dxa"/>
            <w:tcBorders>
              <w:top w:val="nil"/>
              <w:left w:val="nil"/>
              <w:right w:val="nil"/>
            </w:tcBorders>
          </w:tcPr>
          <w:p w14:paraId="5EB55A04"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Total</w:t>
            </w:r>
          </w:p>
        </w:tc>
        <w:tc>
          <w:tcPr>
            <w:tcW w:w="1306" w:type="dxa"/>
            <w:tcBorders>
              <w:top w:val="nil"/>
              <w:left w:val="nil"/>
              <w:right w:val="nil"/>
            </w:tcBorders>
          </w:tcPr>
          <w:p w14:paraId="6E4B450F"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107</w:t>
            </w:r>
          </w:p>
        </w:tc>
        <w:tc>
          <w:tcPr>
            <w:tcW w:w="2611" w:type="dxa"/>
            <w:tcBorders>
              <w:top w:val="nil"/>
              <w:left w:val="nil"/>
              <w:right w:val="nil"/>
            </w:tcBorders>
          </w:tcPr>
          <w:p w14:paraId="58A54915"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92</w:t>
            </w:r>
          </w:p>
        </w:tc>
        <w:tc>
          <w:tcPr>
            <w:tcW w:w="850" w:type="dxa"/>
            <w:tcBorders>
              <w:top w:val="nil"/>
              <w:left w:val="nil"/>
              <w:right w:val="nil"/>
            </w:tcBorders>
          </w:tcPr>
          <w:p w14:paraId="57F1958D"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199</w:t>
            </w:r>
          </w:p>
        </w:tc>
        <w:tc>
          <w:tcPr>
            <w:tcW w:w="889" w:type="dxa"/>
            <w:tcBorders>
              <w:top w:val="nil"/>
              <w:left w:val="nil"/>
              <w:right w:val="nil"/>
            </w:tcBorders>
          </w:tcPr>
          <w:p w14:paraId="6A0323C7" w14:textId="77777777" w:rsidR="001E2528" w:rsidRDefault="006E34CF">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0.000</w:t>
            </w:r>
          </w:p>
        </w:tc>
      </w:tr>
    </w:tbl>
    <w:p w14:paraId="0B0D8CCD" w14:textId="4FD6C678" w:rsidR="00D31434" w:rsidRDefault="006E34CF" w:rsidP="00887D46">
      <w:pPr>
        <w:widowControl w:val="0"/>
        <w:spacing w:line="360" w:lineRule="auto"/>
        <w:jc w:val="both"/>
        <w:rPr>
          <w:rFonts w:ascii="Book Antiqua" w:eastAsia="宋体" w:hAnsi="Book Antiqua" w:cs="Calibri"/>
          <w:kern w:val="2"/>
          <w:lang w:eastAsia="zh-CN"/>
        </w:rPr>
      </w:pPr>
      <w:r>
        <w:rPr>
          <w:rFonts w:ascii="Book Antiqua" w:eastAsia="宋体" w:hAnsi="Book Antiqua" w:cs="Calibri"/>
          <w:kern w:val="2"/>
          <w:lang w:eastAsia="zh-CN"/>
        </w:rPr>
        <w:t>G-17</w:t>
      </w:r>
      <w:r>
        <w:rPr>
          <w:rFonts w:ascii="Book Antiqua" w:eastAsia="宋体" w:hAnsi="Book Antiqua" w:cs="Calibri" w:hint="eastAsia"/>
          <w:kern w:val="2"/>
          <w:lang w:eastAsia="zh-CN"/>
        </w:rPr>
        <w:t>: G</w:t>
      </w:r>
      <w:r>
        <w:rPr>
          <w:rFonts w:ascii="Book Antiqua" w:eastAsia="宋体" w:hAnsi="Book Antiqua" w:cs="Calibri"/>
          <w:kern w:val="2"/>
          <w:lang w:eastAsia="zh-CN"/>
        </w:rPr>
        <w:t>astrin-17</w:t>
      </w:r>
      <w:r>
        <w:rPr>
          <w:rFonts w:ascii="Book Antiqua" w:eastAsia="宋体" w:hAnsi="Book Antiqua" w:cs="Calibri" w:hint="eastAsia"/>
          <w:kern w:val="2"/>
          <w:lang w:eastAsia="zh-CN"/>
        </w:rPr>
        <w:t>.</w:t>
      </w:r>
    </w:p>
    <w:p w14:paraId="7D88CE4B" w14:textId="77777777" w:rsidR="00D31434" w:rsidRDefault="00D31434">
      <w:pPr>
        <w:rPr>
          <w:rFonts w:ascii="Book Antiqua" w:eastAsia="宋体" w:hAnsi="Book Antiqua" w:cs="Calibri"/>
          <w:kern w:val="2"/>
          <w:lang w:eastAsia="zh-CN"/>
        </w:rPr>
      </w:pPr>
      <w:r>
        <w:rPr>
          <w:rFonts w:ascii="Book Antiqua" w:eastAsia="宋体" w:hAnsi="Book Antiqua" w:cs="Calibri"/>
          <w:kern w:val="2"/>
          <w:lang w:eastAsia="zh-CN"/>
        </w:rPr>
        <w:br w:type="page"/>
      </w:r>
    </w:p>
    <w:p w14:paraId="2A59917B" w14:textId="77777777" w:rsidR="00D31434" w:rsidRDefault="00D31434" w:rsidP="00D31434">
      <w:pPr>
        <w:jc w:val="center"/>
        <w:rPr>
          <w:rFonts w:ascii="Book Antiqua" w:hAnsi="Book Antiqua"/>
          <w:lang w:eastAsia="zh-CN"/>
        </w:rPr>
      </w:pPr>
    </w:p>
    <w:p w14:paraId="492EF3E0" w14:textId="77777777" w:rsidR="00D31434" w:rsidRDefault="00D31434" w:rsidP="00D31434">
      <w:pPr>
        <w:jc w:val="center"/>
        <w:rPr>
          <w:rFonts w:ascii="Book Antiqua" w:hAnsi="Book Antiqua"/>
          <w:lang w:eastAsia="zh-CN"/>
        </w:rPr>
      </w:pPr>
    </w:p>
    <w:p w14:paraId="294EAA33" w14:textId="77777777" w:rsidR="00D31434" w:rsidRDefault="00D31434" w:rsidP="00D31434">
      <w:pPr>
        <w:jc w:val="center"/>
        <w:rPr>
          <w:rFonts w:ascii="Book Antiqua" w:hAnsi="Book Antiqua"/>
          <w:lang w:eastAsia="zh-CN"/>
        </w:rPr>
      </w:pPr>
    </w:p>
    <w:p w14:paraId="49E4277D" w14:textId="77777777" w:rsidR="00D31434" w:rsidRDefault="00D31434" w:rsidP="00D31434">
      <w:pPr>
        <w:jc w:val="center"/>
        <w:rPr>
          <w:rFonts w:ascii="Book Antiqua" w:hAnsi="Book Antiqua"/>
          <w:lang w:eastAsia="zh-CN"/>
        </w:rPr>
      </w:pPr>
    </w:p>
    <w:p w14:paraId="50CBD2C1" w14:textId="77777777" w:rsidR="00D31434" w:rsidRDefault="00D31434" w:rsidP="00D31434">
      <w:pPr>
        <w:jc w:val="center"/>
        <w:rPr>
          <w:rFonts w:ascii="Book Antiqua" w:hAnsi="Book Antiqua"/>
          <w:lang w:eastAsia="zh-CN"/>
        </w:rPr>
      </w:pPr>
    </w:p>
    <w:p w14:paraId="366128FB" w14:textId="39F337DC" w:rsidR="00D31434" w:rsidRDefault="00D31434" w:rsidP="00D31434">
      <w:pPr>
        <w:jc w:val="center"/>
        <w:rPr>
          <w:rFonts w:ascii="Book Antiqua" w:hAnsi="Book Antiqua"/>
          <w:lang w:eastAsia="zh-CN"/>
        </w:rPr>
      </w:pPr>
      <w:r>
        <w:rPr>
          <w:rFonts w:ascii="Book Antiqua" w:hAnsi="Book Antiqua"/>
          <w:noProof/>
          <w:lang w:eastAsia="zh-CN"/>
        </w:rPr>
        <w:drawing>
          <wp:inline distT="0" distB="0" distL="0" distR="0" wp14:anchorId="33948FB0" wp14:editId="6B125928">
            <wp:extent cx="2495550" cy="14414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486DEA1E" w14:textId="77777777" w:rsidR="00D31434" w:rsidRDefault="00D31434" w:rsidP="00D31434">
      <w:pPr>
        <w:jc w:val="center"/>
        <w:rPr>
          <w:rFonts w:ascii="Book Antiqua" w:hAnsi="Book Antiqua"/>
          <w:lang w:eastAsia="zh-CN"/>
        </w:rPr>
      </w:pPr>
    </w:p>
    <w:p w14:paraId="3BBB5EEF" w14:textId="77777777" w:rsidR="00D31434" w:rsidRDefault="00D31434" w:rsidP="00D3143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E35CF18" w14:textId="77777777" w:rsidR="00D31434" w:rsidRDefault="00D31434" w:rsidP="00D3143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1567E26" w14:textId="77777777" w:rsidR="00D31434" w:rsidRDefault="00D31434" w:rsidP="00D3143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E3234A6" w14:textId="77777777" w:rsidR="00D31434" w:rsidRDefault="00D31434" w:rsidP="00D3143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71A8AAA" w14:textId="77777777" w:rsidR="00D31434" w:rsidRDefault="00D31434" w:rsidP="00D3143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04664BD" w14:textId="77777777" w:rsidR="00D31434" w:rsidRDefault="00D31434" w:rsidP="00D31434">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67937D5A" w14:textId="77777777" w:rsidR="00D31434" w:rsidRDefault="00D31434" w:rsidP="00D31434">
      <w:pPr>
        <w:jc w:val="center"/>
        <w:rPr>
          <w:rFonts w:ascii="Book Antiqua" w:hAnsi="Book Antiqua"/>
          <w:lang w:eastAsia="zh-CN"/>
        </w:rPr>
      </w:pPr>
    </w:p>
    <w:p w14:paraId="203CC59B" w14:textId="77777777" w:rsidR="00D31434" w:rsidRDefault="00D31434" w:rsidP="00D31434">
      <w:pPr>
        <w:jc w:val="center"/>
        <w:rPr>
          <w:rFonts w:ascii="Book Antiqua" w:hAnsi="Book Antiqua"/>
          <w:lang w:eastAsia="zh-CN"/>
        </w:rPr>
      </w:pPr>
    </w:p>
    <w:p w14:paraId="567591F7" w14:textId="77777777" w:rsidR="00D31434" w:rsidRDefault="00D31434" w:rsidP="00D31434">
      <w:pPr>
        <w:jc w:val="center"/>
        <w:rPr>
          <w:rFonts w:ascii="Book Antiqua" w:hAnsi="Book Antiqua"/>
          <w:lang w:eastAsia="zh-CN"/>
        </w:rPr>
      </w:pPr>
    </w:p>
    <w:p w14:paraId="776D9595" w14:textId="4332A06E" w:rsidR="00D31434" w:rsidRDefault="00D31434" w:rsidP="00D31434">
      <w:pPr>
        <w:jc w:val="center"/>
        <w:rPr>
          <w:rFonts w:ascii="Book Antiqua" w:hAnsi="Book Antiqua"/>
          <w:lang w:eastAsia="zh-CN"/>
        </w:rPr>
      </w:pPr>
      <w:r>
        <w:rPr>
          <w:rFonts w:ascii="Book Antiqua" w:hAnsi="Book Antiqua"/>
          <w:noProof/>
          <w:lang w:eastAsia="zh-CN"/>
        </w:rPr>
        <w:drawing>
          <wp:inline distT="0" distB="0" distL="0" distR="0" wp14:anchorId="6559352B" wp14:editId="79EE39F7">
            <wp:extent cx="1447800" cy="144145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421061B3" w14:textId="77777777" w:rsidR="00D31434" w:rsidRDefault="00D31434" w:rsidP="00D31434">
      <w:pPr>
        <w:jc w:val="center"/>
        <w:rPr>
          <w:rFonts w:ascii="Book Antiqua" w:hAnsi="Book Antiqua"/>
          <w:lang w:eastAsia="zh-CN"/>
        </w:rPr>
      </w:pPr>
    </w:p>
    <w:p w14:paraId="0980F183" w14:textId="77777777" w:rsidR="00D31434" w:rsidRDefault="00D31434" w:rsidP="00D31434">
      <w:pPr>
        <w:jc w:val="center"/>
        <w:rPr>
          <w:rFonts w:ascii="Book Antiqua" w:hAnsi="Book Antiqua"/>
          <w:lang w:eastAsia="zh-CN"/>
        </w:rPr>
      </w:pPr>
    </w:p>
    <w:p w14:paraId="32BDEE21" w14:textId="77777777" w:rsidR="00D31434" w:rsidRDefault="00D31434" w:rsidP="00D31434">
      <w:pPr>
        <w:jc w:val="center"/>
        <w:rPr>
          <w:rFonts w:ascii="Book Antiqua" w:hAnsi="Book Antiqua"/>
          <w:lang w:eastAsia="zh-CN"/>
        </w:rPr>
      </w:pPr>
    </w:p>
    <w:p w14:paraId="3B654307" w14:textId="77777777" w:rsidR="00D31434" w:rsidRDefault="00D31434" w:rsidP="00D31434">
      <w:pPr>
        <w:jc w:val="center"/>
        <w:rPr>
          <w:rFonts w:ascii="Book Antiqua" w:hAnsi="Book Antiqua"/>
          <w:lang w:eastAsia="zh-CN"/>
        </w:rPr>
      </w:pPr>
    </w:p>
    <w:p w14:paraId="36C9319E" w14:textId="77777777" w:rsidR="00D31434" w:rsidRDefault="00D31434" w:rsidP="00D31434">
      <w:pPr>
        <w:jc w:val="center"/>
        <w:rPr>
          <w:rFonts w:ascii="Book Antiqua" w:hAnsi="Book Antiqua"/>
          <w:lang w:eastAsia="zh-CN"/>
        </w:rPr>
      </w:pPr>
    </w:p>
    <w:p w14:paraId="5F815E93" w14:textId="77777777" w:rsidR="00D31434" w:rsidRDefault="00D31434" w:rsidP="00D31434">
      <w:pPr>
        <w:jc w:val="center"/>
        <w:rPr>
          <w:rFonts w:ascii="Book Antiqua" w:hAnsi="Book Antiqua"/>
          <w:lang w:eastAsia="zh-CN"/>
        </w:rPr>
      </w:pPr>
    </w:p>
    <w:p w14:paraId="011627FD" w14:textId="77777777" w:rsidR="00D31434" w:rsidRDefault="00D31434" w:rsidP="00D31434">
      <w:pPr>
        <w:jc w:val="center"/>
        <w:rPr>
          <w:rFonts w:ascii="Book Antiqua" w:hAnsi="Book Antiqua"/>
          <w:lang w:eastAsia="zh-CN"/>
        </w:rPr>
      </w:pPr>
    </w:p>
    <w:p w14:paraId="4A08CEAE" w14:textId="77777777" w:rsidR="00D31434" w:rsidRDefault="00D31434" w:rsidP="00D31434">
      <w:pPr>
        <w:jc w:val="center"/>
        <w:rPr>
          <w:rFonts w:ascii="Book Antiqua" w:hAnsi="Book Antiqua"/>
          <w:lang w:eastAsia="zh-CN"/>
        </w:rPr>
      </w:pPr>
    </w:p>
    <w:p w14:paraId="4EEDC4C6" w14:textId="77777777" w:rsidR="00D31434" w:rsidRDefault="00D31434" w:rsidP="00D31434">
      <w:pPr>
        <w:jc w:val="center"/>
        <w:rPr>
          <w:rFonts w:ascii="Book Antiqua" w:hAnsi="Book Antiqua"/>
          <w:lang w:eastAsia="zh-CN"/>
        </w:rPr>
      </w:pPr>
    </w:p>
    <w:p w14:paraId="12A2C3E3" w14:textId="77777777" w:rsidR="00D31434" w:rsidRDefault="00D31434" w:rsidP="00D31434">
      <w:pPr>
        <w:jc w:val="right"/>
        <w:rPr>
          <w:rFonts w:ascii="Book Antiqua" w:hAnsi="Book Antiqua"/>
          <w:color w:val="000000" w:themeColor="text1"/>
          <w:lang w:eastAsia="zh-CN"/>
        </w:rPr>
      </w:pPr>
    </w:p>
    <w:p w14:paraId="09419AC8" w14:textId="77777777" w:rsidR="00D31434" w:rsidRDefault="00D31434" w:rsidP="00D31434">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66A48031" w14:textId="77777777" w:rsidR="001E2528" w:rsidRPr="00D31434" w:rsidRDefault="001E2528" w:rsidP="00887D46">
      <w:pPr>
        <w:widowControl w:val="0"/>
        <w:spacing w:line="360" w:lineRule="auto"/>
        <w:jc w:val="both"/>
        <w:rPr>
          <w:rFonts w:ascii="Book Antiqua" w:eastAsia="宋体" w:hAnsi="Book Antiqua" w:cs="Calibri"/>
          <w:kern w:val="2"/>
          <w:lang w:eastAsia="zh-CN"/>
        </w:rPr>
      </w:pPr>
    </w:p>
    <w:sectPr w:rsidR="001E2528" w:rsidRPr="00D314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02293" w14:textId="77777777" w:rsidR="00246118" w:rsidRDefault="00246118">
      <w:r>
        <w:separator/>
      </w:r>
    </w:p>
  </w:endnote>
  <w:endnote w:type="continuationSeparator" w:id="0">
    <w:p w14:paraId="04A85B8D" w14:textId="77777777" w:rsidR="00246118" w:rsidRDefault="0024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aramond-Bold">
    <w:altName w:val="Segoe Print"/>
    <w:charset w:val="00"/>
    <w:family w:val="auto"/>
    <w:pitch w:val="default"/>
    <w:sig w:usb0="00000000"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6F3A" w14:textId="77777777" w:rsidR="001E2528" w:rsidRDefault="006E34CF">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sidR="00B604B3">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B604B3">
      <w:rPr>
        <w:rFonts w:ascii="Book Antiqua" w:hAnsi="Book Antiqua"/>
        <w:noProof/>
        <w:sz w:val="24"/>
        <w:szCs w:val="24"/>
      </w:rPr>
      <w:t>20</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86967" w14:textId="77777777" w:rsidR="00246118" w:rsidRDefault="00246118">
      <w:r>
        <w:separator/>
      </w:r>
    </w:p>
  </w:footnote>
  <w:footnote w:type="continuationSeparator" w:id="0">
    <w:p w14:paraId="160D4915" w14:textId="77777777" w:rsidR="00246118" w:rsidRDefault="00246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87E10"/>
    <w:rsid w:val="000A58B8"/>
    <w:rsid w:val="0017161D"/>
    <w:rsid w:val="001954A6"/>
    <w:rsid w:val="001B1502"/>
    <w:rsid w:val="001B2744"/>
    <w:rsid w:val="001D2F98"/>
    <w:rsid w:val="001E2528"/>
    <w:rsid w:val="00243234"/>
    <w:rsid w:val="00246118"/>
    <w:rsid w:val="00300265"/>
    <w:rsid w:val="003C485B"/>
    <w:rsid w:val="00421BBA"/>
    <w:rsid w:val="00470678"/>
    <w:rsid w:val="004C7DE6"/>
    <w:rsid w:val="004D2166"/>
    <w:rsid w:val="005845F6"/>
    <w:rsid w:val="006061FE"/>
    <w:rsid w:val="00634E5B"/>
    <w:rsid w:val="006A5ACE"/>
    <w:rsid w:val="006D78FB"/>
    <w:rsid w:val="006E34CF"/>
    <w:rsid w:val="007301F5"/>
    <w:rsid w:val="007A3B25"/>
    <w:rsid w:val="007C1A5E"/>
    <w:rsid w:val="007E3DCD"/>
    <w:rsid w:val="008114BC"/>
    <w:rsid w:val="00840897"/>
    <w:rsid w:val="00885D3B"/>
    <w:rsid w:val="00887D46"/>
    <w:rsid w:val="008F71C7"/>
    <w:rsid w:val="00920262"/>
    <w:rsid w:val="00941935"/>
    <w:rsid w:val="00982C00"/>
    <w:rsid w:val="009D5444"/>
    <w:rsid w:val="00A104BC"/>
    <w:rsid w:val="00A54753"/>
    <w:rsid w:val="00A77B3E"/>
    <w:rsid w:val="00AB62E0"/>
    <w:rsid w:val="00B12404"/>
    <w:rsid w:val="00B604B3"/>
    <w:rsid w:val="00B672EC"/>
    <w:rsid w:val="00B738B6"/>
    <w:rsid w:val="00BA27A8"/>
    <w:rsid w:val="00C014E3"/>
    <w:rsid w:val="00C65CBE"/>
    <w:rsid w:val="00CA2A55"/>
    <w:rsid w:val="00D31434"/>
    <w:rsid w:val="00E069DF"/>
    <w:rsid w:val="00E4594B"/>
    <w:rsid w:val="00EC401E"/>
    <w:rsid w:val="00F32947"/>
    <w:rsid w:val="00FE722F"/>
    <w:rsid w:val="0E0D058A"/>
    <w:rsid w:val="5B470D39"/>
    <w:rsid w:val="623144BF"/>
    <w:rsid w:val="7E122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D04A39"/>
  <w15:docId w15:val="{4A0AC322-40A6-46A2-9A67-8ED7F229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vam">
    <w:name w:val="dx-vam"/>
    <w:basedOn w:val="a0"/>
  </w:style>
  <w:style w:type="character" w:customStyle="1" w:styleId="a4">
    <w:name w:val="批注框文本 字符"/>
    <w:basedOn w:val="a0"/>
    <w:link w:val="a3"/>
    <w:rPr>
      <w:sz w:val="18"/>
      <w:szCs w:val="18"/>
    </w:rPr>
  </w:style>
  <w:style w:type="character" w:customStyle="1" w:styleId="a8">
    <w:name w:val="页眉 字符"/>
    <w:basedOn w:val="a0"/>
    <w:link w:val="a7"/>
    <w:rPr>
      <w:sz w:val="18"/>
      <w:szCs w:val="18"/>
    </w:rPr>
  </w:style>
  <w:style w:type="character" w:customStyle="1" w:styleId="a6">
    <w:name w:val="页脚 字符"/>
    <w:basedOn w:val="a0"/>
    <w:link w:val="a5"/>
    <w:rPr>
      <w:sz w:val="18"/>
      <w:szCs w:val="18"/>
    </w:rPr>
  </w:style>
  <w:style w:type="paragraph" w:styleId="aa">
    <w:name w:val="Revision"/>
    <w:hidden/>
    <w:uiPriority w:val="99"/>
    <w:unhideWhenUsed/>
    <w:rsid w:val="00C014E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74569">
      <w:bodyDiv w:val="1"/>
      <w:marLeft w:val="0"/>
      <w:marRight w:val="0"/>
      <w:marTop w:val="0"/>
      <w:marBottom w:val="0"/>
      <w:divBdr>
        <w:top w:val="none" w:sz="0" w:space="0" w:color="auto"/>
        <w:left w:val="none" w:sz="0" w:space="0" w:color="auto"/>
        <w:bottom w:val="none" w:sz="0" w:space="0" w:color="auto"/>
        <w:right w:val="none" w:sz="0" w:space="0" w:color="auto"/>
      </w:divBdr>
    </w:div>
    <w:div w:id="1963074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4C6AD603-021C-4743-84DD-3F9EF7C81DD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4208</Words>
  <Characters>23986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Jia-Hui</cp:lastModifiedBy>
  <cp:revision>10</cp:revision>
  <dcterms:created xsi:type="dcterms:W3CDTF">2021-10-14T13:31:00Z</dcterms:created>
  <dcterms:modified xsi:type="dcterms:W3CDTF">2021-12-02T10:29:00Z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DC5AEB6375FC4579AE2E315D080424FA</vt:lpwstr>
  </property>
</Properties>
</file>