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2579"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000C84C7" w14:textId="77777777" w:rsidR="00333EB7" w:rsidRPr="00247ED5" w:rsidRDefault="00333EB7" w:rsidP="005B567D">
      <w:pPr>
        <w:pStyle w:val="TableTitle"/>
        <w:rPr>
          <w:szCs w:val="24"/>
        </w:rPr>
      </w:pPr>
    </w:p>
    <w:tbl>
      <w:tblPr>
        <w:tblW w:w="14850" w:type="dxa"/>
        <w:tblBorders>
          <w:insideH w:val="single" w:sz="4" w:space="0" w:color="auto"/>
        </w:tblBorders>
        <w:tblLook w:val="0000" w:firstRow="0" w:lastRow="0" w:firstColumn="0" w:lastColumn="0" w:noHBand="0" w:noVBand="0"/>
      </w:tblPr>
      <w:tblGrid>
        <w:gridCol w:w="1949"/>
        <w:gridCol w:w="616"/>
        <w:gridCol w:w="8458"/>
        <w:gridCol w:w="3827"/>
      </w:tblGrid>
      <w:tr w:rsidR="00E429D4" w:rsidRPr="000142B2" w14:paraId="1B93D1EB" w14:textId="77777777" w:rsidTr="00E429D4">
        <w:trPr>
          <w:trHeight w:val="61"/>
        </w:trPr>
        <w:tc>
          <w:tcPr>
            <w:tcW w:w="0" w:type="auto"/>
          </w:tcPr>
          <w:p w14:paraId="7B4E7665"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C20F210"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8458" w:type="dxa"/>
            <w:tcBorders>
              <w:bottom w:val="single" w:sz="4" w:space="0" w:color="auto"/>
            </w:tcBorders>
            <w:vAlign w:val="bottom"/>
          </w:tcPr>
          <w:p w14:paraId="66F30A2E"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3827" w:type="dxa"/>
            <w:tcBorders>
              <w:top w:val="nil"/>
              <w:bottom w:val="single" w:sz="4" w:space="0" w:color="auto"/>
              <w:right w:val="nil"/>
            </w:tcBorders>
            <w:shd w:val="clear" w:color="auto" w:fill="auto"/>
          </w:tcPr>
          <w:p w14:paraId="14DA73A9" w14:textId="45939CDD" w:rsidR="00333EB7" w:rsidRPr="00333EB7" w:rsidRDefault="00333EB7" w:rsidP="00333EB7">
            <w:pPr>
              <w:pStyle w:val="TableHeader"/>
              <w:tabs>
                <w:tab w:val="left" w:pos="5400"/>
              </w:tabs>
              <w:jc w:val="center"/>
              <w:rPr>
                <w:bCs/>
                <w:sz w:val="20"/>
              </w:rPr>
            </w:pPr>
            <w:r w:rsidRPr="00333EB7">
              <w:rPr>
                <w:bCs/>
                <w:sz w:val="20"/>
              </w:rPr>
              <w:t>Page No</w:t>
            </w:r>
            <w:r w:rsidR="00E429D4">
              <w:rPr>
                <w:bCs/>
                <w:sz w:val="20"/>
              </w:rPr>
              <w:t xml:space="preserve"> / Relevant text from manuscript</w:t>
            </w:r>
          </w:p>
        </w:tc>
      </w:tr>
      <w:bookmarkEnd w:id="0"/>
      <w:bookmarkEnd w:id="1"/>
      <w:bookmarkEnd w:id="2"/>
      <w:bookmarkEnd w:id="3"/>
      <w:bookmarkEnd w:id="4"/>
      <w:bookmarkEnd w:id="5"/>
      <w:bookmarkEnd w:id="6"/>
      <w:bookmarkEnd w:id="7"/>
      <w:bookmarkEnd w:id="8"/>
      <w:tr w:rsidR="00E429D4" w:rsidRPr="000142B2" w14:paraId="42856D67" w14:textId="77777777" w:rsidTr="00E429D4">
        <w:trPr>
          <w:trHeight w:val="61"/>
        </w:trPr>
        <w:tc>
          <w:tcPr>
            <w:tcW w:w="0" w:type="auto"/>
            <w:vMerge w:val="restart"/>
          </w:tcPr>
          <w:p w14:paraId="10E8EEB4"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531A2A0F" w14:textId="77777777" w:rsidR="00333EB7" w:rsidRPr="000142B2" w:rsidRDefault="00333EB7" w:rsidP="0022554A">
            <w:pPr>
              <w:tabs>
                <w:tab w:val="left" w:pos="5400"/>
              </w:tabs>
              <w:jc w:val="center"/>
              <w:rPr>
                <w:sz w:val="20"/>
              </w:rPr>
            </w:pPr>
            <w:r w:rsidRPr="000142B2">
              <w:rPr>
                <w:sz w:val="20"/>
              </w:rPr>
              <w:t>1</w:t>
            </w:r>
          </w:p>
        </w:tc>
        <w:tc>
          <w:tcPr>
            <w:tcW w:w="8458" w:type="dxa"/>
            <w:tcBorders>
              <w:top w:val="single" w:sz="4" w:space="0" w:color="auto"/>
              <w:bottom w:val="nil"/>
              <w:right w:val="single" w:sz="4" w:space="0" w:color="auto"/>
            </w:tcBorders>
          </w:tcPr>
          <w:p w14:paraId="2DCC63E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3827" w:type="dxa"/>
            <w:tcBorders>
              <w:top w:val="single" w:sz="4" w:space="0" w:color="auto"/>
              <w:left w:val="single" w:sz="4" w:space="0" w:color="auto"/>
              <w:bottom w:val="nil"/>
              <w:right w:val="nil"/>
            </w:tcBorders>
            <w:shd w:val="clear" w:color="auto" w:fill="auto"/>
          </w:tcPr>
          <w:p w14:paraId="152188AF" w14:textId="2EC52DB7" w:rsidR="00333EB7" w:rsidRPr="000142B2" w:rsidRDefault="00E1451F" w:rsidP="009907AA">
            <w:pPr>
              <w:spacing w:line="240" w:lineRule="auto"/>
              <w:rPr>
                <w:sz w:val="20"/>
              </w:rPr>
            </w:pPr>
            <w:r>
              <w:rPr>
                <w:sz w:val="20"/>
              </w:rPr>
              <w:t xml:space="preserve">Page </w:t>
            </w:r>
            <w:r w:rsidR="009907AA">
              <w:rPr>
                <w:sz w:val="20"/>
              </w:rPr>
              <w:t>1</w:t>
            </w:r>
            <w:r w:rsidR="00EE7C6C">
              <w:rPr>
                <w:sz w:val="20"/>
              </w:rPr>
              <w:t>;</w:t>
            </w:r>
            <w:r w:rsidR="00EE7C6C" w:rsidRPr="001649B3">
              <w:rPr>
                <w:rFonts w:ascii="Book Antiqua" w:hAnsi="Book Antiqua"/>
                <w:color w:val="000000" w:themeColor="text1"/>
                <w:sz w:val="20"/>
                <w:lang w:val="en-US"/>
              </w:rPr>
              <w:t>Observational, prospective, multicenter study in IBD patients treated with CT-P13 in clinical practice who were naïve to biological treatments, or fail to respond to other anti-TNF drugs, or had switched from infliximab.</w:t>
            </w:r>
            <w:r w:rsidR="00EE7C6C" w:rsidRPr="00E34634">
              <w:rPr>
                <w:rFonts w:ascii="Book Antiqua" w:hAnsi="Book Antiqua"/>
                <w:color w:val="000000" w:themeColor="text1"/>
                <w:szCs w:val="24"/>
                <w:lang w:val="en-US"/>
              </w:rPr>
              <w:t xml:space="preserve"> </w:t>
            </w:r>
            <w:r w:rsidR="009907AA">
              <w:rPr>
                <w:sz w:val="20"/>
              </w:rPr>
              <w:t xml:space="preserve"> </w:t>
            </w:r>
          </w:p>
        </w:tc>
      </w:tr>
      <w:tr w:rsidR="00E429D4" w:rsidRPr="000142B2" w14:paraId="4D0BD8B7" w14:textId="77777777" w:rsidTr="00E429D4">
        <w:trPr>
          <w:trHeight w:val="61"/>
        </w:trPr>
        <w:tc>
          <w:tcPr>
            <w:tcW w:w="0" w:type="auto"/>
            <w:vMerge/>
          </w:tcPr>
          <w:p w14:paraId="13C2DB5E"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35665B8C" w14:textId="77777777" w:rsidR="00333EB7" w:rsidRPr="000142B2" w:rsidRDefault="00333EB7" w:rsidP="0022554A">
            <w:pPr>
              <w:tabs>
                <w:tab w:val="left" w:pos="5400"/>
              </w:tabs>
              <w:jc w:val="center"/>
              <w:rPr>
                <w:sz w:val="20"/>
              </w:rPr>
            </w:pPr>
          </w:p>
        </w:tc>
        <w:tc>
          <w:tcPr>
            <w:tcW w:w="8458" w:type="dxa"/>
            <w:tcBorders>
              <w:top w:val="nil"/>
              <w:bottom w:val="nil"/>
              <w:right w:val="single" w:sz="4" w:space="0" w:color="auto"/>
            </w:tcBorders>
          </w:tcPr>
          <w:p w14:paraId="32D2DEC1"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3827" w:type="dxa"/>
            <w:tcBorders>
              <w:top w:val="nil"/>
              <w:left w:val="single" w:sz="4" w:space="0" w:color="auto"/>
              <w:bottom w:val="nil"/>
              <w:right w:val="nil"/>
            </w:tcBorders>
            <w:shd w:val="clear" w:color="auto" w:fill="auto"/>
          </w:tcPr>
          <w:p w14:paraId="5EB8643C" w14:textId="77777777" w:rsidR="00333EB7" w:rsidRDefault="00333EB7">
            <w:pPr>
              <w:spacing w:line="240" w:lineRule="auto"/>
              <w:rPr>
                <w:sz w:val="20"/>
              </w:rPr>
            </w:pPr>
          </w:p>
          <w:p w14:paraId="62EA2EA2" w14:textId="54B66133" w:rsidR="00EE7C6C" w:rsidRPr="000142B2" w:rsidRDefault="00E1451F">
            <w:pPr>
              <w:spacing w:line="240" w:lineRule="auto"/>
              <w:rPr>
                <w:sz w:val="20"/>
              </w:rPr>
            </w:pPr>
            <w:r>
              <w:rPr>
                <w:sz w:val="20"/>
              </w:rPr>
              <w:t xml:space="preserve">Page </w:t>
            </w:r>
            <w:r w:rsidR="00EE7C6C">
              <w:rPr>
                <w:sz w:val="20"/>
              </w:rPr>
              <w:t>1 (lines 4</w:t>
            </w:r>
            <w:r w:rsidR="00613577">
              <w:rPr>
                <w:sz w:val="20"/>
              </w:rPr>
              <w:t>9</w:t>
            </w:r>
            <w:r w:rsidR="00EE7C6C">
              <w:rPr>
                <w:sz w:val="20"/>
              </w:rPr>
              <w:t>-8</w:t>
            </w:r>
            <w:r w:rsidR="00613577">
              <w:rPr>
                <w:sz w:val="20"/>
              </w:rPr>
              <w:t>7</w:t>
            </w:r>
            <w:r w:rsidR="00EE7C6C">
              <w:rPr>
                <w:sz w:val="20"/>
              </w:rPr>
              <w:t>); Abstract</w:t>
            </w:r>
          </w:p>
        </w:tc>
      </w:tr>
      <w:tr w:rsidR="00E429D4" w:rsidRPr="00333EB7" w14:paraId="561CF5E5" w14:textId="77777777" w:rsidTr="00E429D4">
        <w:trPr>
          <w:trHeight w:val="61"/>
        </w:trPr>
        <w:tc>
          <w:tcPr>
            <w:tcW w:w="14850" w:type="dxa"/>
            <w:gridSpan w:val="4"/>
          </w:tcPr>
          <w:p w14:paraId="5A85B27B"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E429D4" w:rsidRPr="000142B2" w14:paraId="6F50A5D9" w14:textId="77777777" w:rsidTr="00E429D4">
        <w:trPr>
          <w:trHeight w:val="61"/>
        </w:trPr>
        <w:tc>
          <w:tcPr>
            <w:tcW w:w="0" w:type="auto"/>
          </w:tcPr>
          <w:p w14:paraId="30122A88"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3F6832A" w14:textId="77777777" w:rsidR="00333EB7" w:rsidRPr="000142B2" w:rsidRDefault="00333EB7" w:rsidP="0022554A">
            <w:pPr>
              <w:tabs>
                <w:tab w:val="left" w:pos="5400"/>
              </w:tabs>
              <w:jc w:val="center"/>
              <w:rPr>
                <w:sz w:val="20"/>
              </w:rPr>
            </w:pPr>
            <w:r w:rsidRPr="000142B2">
              <w:rPr>
                <w:sz w:val="20"/>
              </w:rPr>
              <w:t>2</w:t>
            </w:r>
          </w:p>
        </w:tc>
        <w:tc>
          <w:tcPr>
            <w:tcW w:w="8458" w:type="dxa"/>
            <w:tcBorders>
              <w:right w:val="single" w:sz="4" w:space="0" w:color="auto"/>
            </w:tcBorders>
          </w:tcPr>
          <w:p w14:paraId="6312C157"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3827" w:type="dxa"/>
            <w:tcBorders>
              <w:top w:val="nil"/>
              <w:left w:val="single" w:sz="4" w:space="0" w:color="auto"/>
              <w:bottom w:val="single" w:sz="4" w:space="0" w:color="auto"/>
              <w:right w:val="nil"/>
            </w:tcBorders>
            <w:shd w:val="clear" w:color="auto" w:fill="auto"/>
          </w:tcPr>
          <w:p w14:paraId="619013B3" w14:textId="0F7EBA54" w:rsidR="00333EB7" w:rsidRPr="000142B2" w:rsidRDefault="00E1451F">
            <w:pPr>
              <w:spacing w:line="240" w:lineRule="auto"/>
              <w:rPr>
                <w:sz w:val="20"/>
              </w:rPr>
            </w:pPr>
            <w:r>
              <w:rPr>
                <w:sz w:val="20"/>
              </w:rPr>
              <w:t xml:space="preserve">Pages </w:t>
            </w:r>
            <w:r w:rsidR="005573E9">
              <w:rPr>
                <w:sz w:val="20"/>
              </w:rPr>
              <w:t>5</w:t>
            </w:r>
            <w:r w:rsidR="001649B3">
              <w:rPr>
                <w:sz w:val="20"/>
              </w:rPr>
              <w:t>-6 (lines 9</w:t>
            </w:r>
            <w:r w:rsidR="00613577">
              <w:rPr>
                <w:sz w:val="20"/>
              </w:rPr>
              <w:t>9</w:t>
            </w:r>
            <w:r w:rsidR="001649B3">
              <w:rPr>
                <w:sz w:val="20"/>
              </w:rPr>
              <w:t>-1</w:t>
            </w:r>
            <w:r w:rsidR="00613577">
              <w:rPr>
                <w:sz w:val="20"/>
              </w:rPr>
              <w:t>46</w:t>
            </w:r>
            <w:r w:rsidR="001649B3">
              <w:rPr>
                <w:sz w:val="20"/>
              </w:rPr>
              <w:t>)</w:t>
            </w:r>
          </w:p>
        </w:tc>
      </w:tr>
      <w:tr w:rsidR="00E429D4" w:rsidRPr="000142B2" w14:paraId="5CE73B7A" w14:textId="77777777" w:rsidTr="00E429D4">
        <w:trPr>
          <w:trHeight w:val="61"/>
        </w:trPr>
        <w:tc>
          <w:tcPr>
            <w:tcW w:w="0" w:type="auto"/>
          </w:tcPr>
          <w:p w14:paraId="03F75E49"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43E8D216" w14:textId="77777777" w:rsidR="00333EB7" w:rsidRPr="000142B2" w:rsidRDefault="00333EB7" w:rsidP="0022554A">
            <w:pPr>
              <w:tabs>
                <w:tab w:val="left" w:pos="5400"/>
              </w:tabs>
              <w:jc w:val="center"/>
              <w:rPr>
                <w:sz w:val="20"/>
              </w:rPr>
            </w:pPr>
            <w:r w:rsidRPr="000142B2">
              <w:rPr>
                <w:sz w:val="20"/>
              </w:rPr>
              <w:t>3</w:t>
            </w:r>
          </w:p>
        </w:tc>
        <w:tc>
          <w:tcPr>
            <w:tcW w:w="8458" w:type="dxa"/>
            <w:tcBorders>
              <w:right w:val="single" w:sz="4" w:space="0" w:color="auto"/>
            </w:tcBorders>
          </w:tcPr>
          <w:p w14:paraId="55D07F57"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3827" w:type="dxa"/>
            <w:tcBorders>
              <w:top w:val="single" w:sz="4" w:space="0" w:color="auto"/>
              <w:left w:val="single" w:sz="4" w:space="0" w:color="auto"/>
              <w:bottom w:val="nil"/>
              <w:right w:val="nil"/>
            </w:tcBorders>
            <w:shd w:val="clear" w:color="auto" w:fill="auto"/>
          </w:tcPr>
          <w:p w14:paraId="3AB21548" w14:textId="38065E44" w:rsidR="00333EB7" w:rsidRPr="000142B2" w:rsidRDefault="00E1451F" w:rsidP="00800F35">
            <w:pPr>
              <w:spacing w:line="240" w:lineRule="auto"/>
              <w:rPr>
                <w:sz w:val="20"/>
              </w:rPr>
            </w:pPr>
            <w:r>
              <w:rPr>
                <w:sz w:val="20"/>
              </w:rPr>
              <w:t xml:space="preserve">Page </w:t>
            </w:r>
            <w:r w:rsidR="001649B3">
              <w:rPr>
                <w:sz w:val="20"/>
              </w:rPr>
              <w:t>6 (lines 1</w:t>
            </w:r>
            <w:r w:rsidR="00613577">
              <w:rPr>
                <w:sz w:val="20"/>
              </w:rPr>
              <w:t>44</w:t>
            </w:r>
            <w:r w:rsidR="001649B3">
              <w:rPr>
                <w:sz w:val="20"/>
              </w:rPr>
              <w:t>-1</w:t>
            </w:r>
            <w:r w:rsidR="00613577">
              <w:rPr>
                <w:sz w:val="20"/>
              </w:rPr>
              <w:t>46</w:t>
            </w:r>
            <w:r w:rsidR="001649B3">
              <w:rPr>
                <w:sz w:val="20"/>
              </w:rPr>
              <w:t xml:space="preserve">); </w:t>
            </w:r>
            <w:r w:rsidR="001649B3" w:rsidRPr="001649B3">
              <w:rPr>
                <w:rFonts w:ascii="Book Antiqua" w:hAnsi="Book Antiqua"/>
                <w:sz w:val="20"/>
                <w:lang w:val="en-US"/>
              </w:rPr>
              <w:t xml:space="preserve">In this study, we aimed to analyze clinical response rates to CT-P13, commercialized under the trade name of </w:t>
            </w:r>
            <w:proofErr w:type="spellStart"/>
            <w:r w:rsidR="001649B3" w:rsidRPr="001649B3">
              <w:rPr>
                <w:rFonts w:ascii="Book Antiqua" w:hAnsi="Book Antiqua"/>
                <w:sz w:val="20"/>
                <w:lang w:val="en-US"/>
              </w:rPr>
              <w:t>Remsima</w:t>
            </w:r>
            <w:proofErr w:type="spellEnd"/>
            <w:r w:rsidR="001649B3" w:rsidRPr="001649B3">
              <w:rPr>
                <w:rFonts w:ascii="Book Antiqua" w:hAnsi="Book Antiqua"/>
                <w:sz w:val="20"/>
                <w:vertAlign w:val="superscript"/>
                <w:lang w:val="en-US"/>
              </w:rPr>
              <w:t>®</w:t>
            </w:r>
            <w:r w:rsidR="001649B3" w:rsidRPr="001649B3">
              <w:rPr>
                <w:rFonts w:ascii="Book Antiqua" w:hAnsi="Book Antiqua"/>
                <w:sz w:val="20"/>
                <w:lang w:val="en-US"/>
              </w:rPr>
              <w:t>, and adverse events in patients with IBD treated in real-life practice.</w:t>
            </w:r>
          </w:p>
        </w:tc>
      </w:tr>
      <w:tr w:rsidR="00E429D4" w:rsidRPr="00333EB7" w14:paraId="45AC73F9" w14:textId="77777777" w:rsidTr="00E429D4">
        <w:trPr>
          <w:trHeight w:val="146"/>
        </w:trPr>
        <w:tc>
          <w:tcPr>
            <w:tcW w:w="14850" w:type="dxa"/>
            <w:gridSpan w:val="4"/>
          </w:tcPr>
          <w:p w14:paraId="2DE1ACBC"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E429D4" w:rsidRPr="000142B2" w14:paraId="70ECBE3D" w14:textId="77777777" w:rsidTr="0021239A">
        <w:trPr>
          <w:trHeight w:val="1690"/>
        </w:trPr>
        <w:tc>
          <w:tcPr>
            <w:tcW w:w="0" w:type="auto"/>
          </w:tcPr>
          <w:p w14:paraId="03EA02D5"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437B6405" w14:textId="77777777" w:rsidR="00333EB7" w:rsidRPr="000142B2" w:rsidRDefault="00333EB7" w:rsidP="0022554A">
            <w:pPr>
              <w:tabs>
                <w:tab w:val="left" w:pos="5400"/>
              </w:tabs>
              <w:jc w:val="center"/>
              <w:rPr>
                <w:sz w:val="20"/>
              </w:rPr>
            </w:pPr>
            <w:r w:rsidRPr="000142B2">
              <w:rPr>
                <w:sz w:val="20"/>
              </w:rPr>
              <w:t>4</w:t>
            </w:r>
          </w:p>
        </w:tc>
        <w:tc>
          <w:tcPr>
            <w:tcW w:w="8458" w:type="dxa"/>
            <w:tcBorders>
              <w:right w:val="single" w:sz="4" w:space="0" w:color="auto"/>
            </w:tcBorders>
          </w:tcPr>
          <w:p w14:paraId="6FB8E7F5"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3827" w:type="dxa"/>
            <w:tcBorders>
              <w:top w:val="nil"/>
              <w:left w:val="single" w:sz="4" w:space="0" w:color="auto"/>
              <w:bottom w:val="single" w:sz="4" w:space="0" w:color="auto"/>
              <w:right w:val="nil"/>
            </w:tcBorders>
            <w:shd w:val="clear" w:color="auto" w:fill="auto"/>
          </w:tcPr>
          <w:p w14:paraId="23A7A189" w14:textId="66164AAB" w:rsidR="00333EB7" w:rsidRPr="000142B2" w:rsidRDefault="00E1451F" w:rsidP="00E1451F">
            <w:pPr>
              <w:spacing w:line="240" w:lineRule="auto"/>
              <w:rPr>
                <w:sz w:val="20"/>
              </w:rPr>
            </w:pPr>
            <w:r>
              <w:rPr>
                <w:sz w:val="20"/>
              </w:rPr>
              <w:t xml:space="preserve">Pages </w:t>
            </w:r>
            <w:r w:rsidR="00E429D4">
              <w:rPr>
                <w:sz w:val="20"/>
              </w:rPr>
              <w:t>6-7 (lines 14</w:t>
            </w:r>
            <w:r w:rsidR="00613577">
              <w:rPr>
                <w:sz w:val="20"/>
              </w:rPr>
              <w:t>7</w:t>
            </w:r>
            <w:r w:rsidR="00E429D4">
              <w:rPr>
                <w:sz w:val="20"/>
              </w:rPr>
              <w:t>-159);</w:t>
            </w:r>
            <w:r w:rsidR="00E429D4" w:rsidRPr="00E429D4">
              <w:rPr>
                <w:sz w:val="18"/>
                <w:szCs w:val="18"/>
              </w:rPr>
              <w:t xml:space="preserve"> </w:t>
            </w:r>
            <w:r w:rsidR="00E429D4" w:rsidRPr="0021239A">
              <w:rPr>
                <w:rFonts w:ascii="Book Antiqua" w:hAnsi="Book Antiqua"/>
                <w:sz w:val="20"/>
                <w:lang w:val="en-US"/>
              </w:rPr>
              <w:t xml:space="preserve">This was an observational, prospective, multicenter study conducted at eight Spanish hospitals. </w:t>
            </w:r>
          </w:p>
        </w:tc>
      </w:tr>
      <w:tr w:rsidR="00E429D4" w:rsidRPr="000142B2" w14:paraId="203613FE" w14:textId="77777777" w:rsidTr="00E429D4">
        <w:trPr>
          <w:trHeight w:val="257"/>
        </w:trPr>
        <w:tc>
          <w:tcPr>
            <w:tcW w:w="0" w:type="auto"/>
          </w:tcPr>
          <w:p w14:paraId="454B1036"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BB9D0BD" w14:textId="77777777" w:rsidR="00333EB7" w:rsidRPr="000142B2" w:rsidRDefault="00333EB7" w:rsidP="0022554A">
            <w:pPr>
              <w:tabs>
                <w:tab w:val="left" w:pos="5400"/>
              </w:tabs>
              <w:jc w:val="center"/>
              <w:rPr>
                <w:sz w:val="20"/>
              </w:rPr>
            </w:pPr>
            <w:r w:rsidRPr="000142B2">
              <w:rPr>
                <w:sz w:val="20"/>
              </w:rPr>
              <w:t>5</w:t>
            </w:r>
          </w:p>
        </w:tc>
        <w:tc>
          <w:tcPr>
            <w:tcW w:w="8458" w:type="dxa"/>
            <w:tcBorders>
              <w:bottom w:val="single" w:sz="4" w:space="0" w:color="auto"/>
              <w:right w:val="single" w:sz="4" w:space="0" w:color="auto"/>
            </w:tcBorders>
          </w:tcPr>
          <w:p w14:paraId="5289DCCB"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3827" w:type="dxa"/>
            <w:tcBorders>
              <w:top w:val="single" w:sz="4" w:space="0" w:color="auto"/>
              <w:left w:val="single" w:sz="4" w:space="0" w:color="auto"/>
              <w:bottom w:val="single" w:sz="4" w:space="0" w:color="auto"/>
              <w:right w:val="nil"/>
            </w:tcBorders>
            <w:shd w:val="clear" w:color="auto" w:fill="auto"/>
          </w:tcPr>
          <w:p w14:paraId="19148A81" w14:textId="2211871B" w:rsidR="00A553BC" w:rsidRPr="0021239A" w:rsidRDefault="00E1451F" w:rsidP="00E1451F">
            <w:pPr>
              <w:spacing w:line="240" w:lineRule="auto"/>
              <w:rPr>
                <w:rFonts w:ascii="Book Antiqua" w:hAnsi="Book Antiqua"/>
                <w:sz w:val="20"/>
                <w:lang w:val="en-US"/>
              </w:rPr>
            </w:pPr>
            <w:r>
              <w:rPr>
                <w:rFonts w:ascii="Book Antiqua" w:hAnsi="Book Antiqua"/>
                <w:sz w:val="20"/>
                <w:lang w:val="en-US"/>
              </w:rPr>
              <w:t xml:space="preserve">Page </w:t>
            </w:r>
            <w:r w:rsidR="00065177">
              <w:rPr>
                <w:rFonts w:ascii="Book Antiqua" w:hAnsi="Book Antiqua"/>
                <w:sz w:val="20"/>
                <w:lang w:val="en-US"/>
              </w:rPr>
              <w:t>6 (lines 1</w:t>
            </w:r>
            <w:r w:rsidR="00A05D77">
              <w:rPr>
                <w:rFonts w:ascii="Book Antiqua" w:hAnsi="Book Antiqua"/>
                <w:sz w:val="20"/>
                <w:lang w:val="en-US"/>
              </w:rPr>
              <w:t>60</w:t>
            </w:r>
            <w:r w:rsidR="00065177">
              <w:rPr>
                <w:rFonts w:ascii="Book Antiqua" w:hAnsi="Book Antiqua"/>
                <w:sz w:val="20"/>
                <w:lang w:val="en-US"/>
              </w:rPr>
              <w:t>-1</w:t>
            </w:r>
            <w:r w:rsidR="00DE3D33">
              <w:rPr>
                <w:rFonts w:ascii="Book Antiqua" w:hAnsi="Book Antiqua"/>
                <w:sz w:val="20"/>
                <w:lang w:val="en-US"/>
              </w:rPr>
              <w:t>76</w:t>
            </w:r>
            <w:r w:rsidR="00065177">
              <w:rPr>
                <w:rFonts w:ascii="Book Antiqua" w:hAnsi="Book Antiqua"/>
                <w:sz w:val="20"/>
                <w:lang w:val="en-US"/>
              </w:rPr>
              <w:t>);</w:t>
            </w:r>
            <w:r w:rsidR="00A553BC">
              <w:rPr>
                <w:rFonts w:ascii="Book Antiqua" w:hAnsi="Book Antiqua"/>
                <w:sz w:val="20"/>
                <w:lang w:val="en-US"/>
              </w:rPr>
              <w:t xml:space="preserve"> </w:t>
            </w:r>
            <w:r w:rsidR="00065177" w:rsidRPr="0021239A">
              <w:rPr>
                <w:rFonts w:ascii="Book Antiqua" w:hAnsi="Book Antiqua"/>
                <w:sz w:val="20"/>
                <w:lang w:val="en-US"/>
              </w:rPr>
              <w:t>The duration of the study was at least one year. Study variables were recorded in patients’ clinical histories and in an electronic</w:t>
            </w:r>
            <w:r w:rsidR="00065177">
              <w:rPr>
                <w:rFonts w:ascii="Book Antiqua" w:hAnsi="Book Antiqua"/>
                <w:sz w:val="20"/>
                <w:lang w:val="en-US"/>
              </w:rPr>
              <w:t xml:space="preserve"> database (Excel), and </w:t>
            </w:r>
            <w:r w:rsidR="00A553BC" w:rsidRPr="0021239A">
              <w:rPr>
                <w:rFonts w:ascii="Book Antiqua" w:hAnsi="Book Antiqua"/>
                <w:sz w:val="20"/>
                <w:lang w:val="en-US"/>
              </w:rPr>
              <w:t xml:space="preserve">all data were collected in a Case Report Form (CRF) for the epidemiological analysis by the physician responsible for the patient. </w:t>
            </w:r>
          </w:p>
          <w:p w14:paraId="0DE83496" w14:textId="77777777" w:rsidR="00333EB7" w:rsidRPr="000142B2" w:rsidRDefault="00333EB7">
            <w:pPr>
              <w:spacing w:line="240" w:lineRule="auto"/>
              <w:rPr>
                <w:sz w:val="20"/>
              </w:rPr>
            </w:pPr>
          </w:p>
        </w:tc>
      </w:tr>
      <w:bookmarkEnd w:id="23"/>
      <w:bookmarkEnd w:id="24"/>
      <w:tr w:rsidR="00E429D4" w:rsidRPr="000142B2" w14:paraId="35F8A605" w14:textId="77777777" w:rsidTr="00E429D4">
        <w:trPr>
          <w:trHeight w:val="248"/>
        </w:trPr>
        <w:tc>
          <w:tcPr>
            <w:tcW w:w="0" w:type="auto"/>
            <w:vMerge w:val="restart"/>
          </w:tcPr>
          <w:p w14:paraId="55A9C546" w14:textId="77777777" w:rsidR="00333EB7" w:rsidRPr="000142B2" w:rsidRDefault="00333EB7" w:rsidP="0022554A">
            <w:pPr>
              <w:tabs>
                <w:tab w:val="left" w:pos="5400"/>
              </w:tabs>
              <w:rPr>
                <w:bCs/>
                <w:sz w:val="20"/>
              </w:rPr>
            </w:pPr>
            <w:r w:rsidRPr="000142B2">
              <w:rPr>
                <w:bCs/>
                <w:sz w:val="20"/>
              </w:rPr>
              <w:lastRenderedPageBreak/>
              <w:t>Participants</w:t>
            </w:r>
          </w:p>
        </w:tc>
        <w:tc>
          <w:tcPr>
            <w:tcW w:w="0" w:type="auto"/>
            <w:vMerge w:val="restart"/>
          </w:tcPr>
          <w:p w14:paraId="6D01EBA3" w14:textId="77777777" w:rsidR="00333EB7" w:rsidRPr="000142B2" w:rsidRDefault="00333EB7" w:rsidP="0022554A">
            <w:pPr>
              <w:tabs>
                <w:tab w:val="left" w:pos="5400"/>
              </w:tabs>
              <w:jc w:val="center"/>
              <w:rPr>
                <w:sz w:val="20"/>
              </w:rPr>
            </w:pPr>
            <w:r w:rsidRPr="000142B2">
              <w:rPr>
                <w:sz w:val="20"/>
              </w:rPr>
              <w:t>6</w:t>
            </w:r>
          </w:p>
        </w:tc>
        <w:tc>
          <w:tcPr>
            <w:tcW w:w="8458" w:type="dxa"/>
            <w:tcBorders>
              <w:top w:val="single" w:sz="4" w:space="0" w:color="auto"/>
              <w:bottom w:val="nil"/>
              <w:right w:val="single" w:sz="4" w:space="0" w:color="auto"/>
            </w:tcBorders>
          </w:tcPr>
          <w:p w14:paraId="7DB9CAE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3827" w:type="dxa"/>
            <w:tcBorders>
              <w:top w:val="single" w:sz="4" w:space="0" w:color="auto"/>
              <w:left w:val="single" w:sz="4" w:space="0" w:color="auto"/>
              <w:bottom w:val="nil"/>
              <w:right w:val="nil"/>
            </w:tcBorders>
            <w:shd w:val="clear" w:color="auto" w:fill="auto"/>
          </w:tcPr>
          <w:p w14:paraId="5BAA7934" w14:textId="137D0633" w:rsidR="00333EB7" w:rsidRPr="000142B2" w:rsidRDefault="00E1451F">
            <w:pPr>
              <w:spacing w:line="240" w:lineRule="auto"/>
              <w:rPr>
                <w:sz w:val="20"/>
              </w:rPr>
            </w:pPr>
            <w:r>
              <w:rPr>
                <w:sz w:val="20"/>
              </w:rPr>
              <w:t xml:space="preserve">Page </w:t>
            </w:r>
            <w:r w:rsidR="00065177">
              <w:rPr>
                <w:sz w:val="20"/>
              </w:rPr>
              <w:t>7 (lines 1</w:t>
            </w:r>
            <w:r w:rsidR="00DE3D33">
              <w:rPr>
                <w:sz w:val="20"/>
              </w:rPr>
              <w:t>78</w:t>
            </w:r>
            <w:r w:rsidR="00065177">
              <w:rPr>
                <w:sz w:val="20"/>
              </w:rPr>
              <w:t>-1</w:t>
            </w:r>
            <w:r w:rsidR="00DE3D33">
              <w:rPr>
                <w:sz w:val="20"/>
              </w:rPr>
              <w:t>85</w:t>
            </w:r>
            <w:r w:rsidR="00065177">
              <w:rPr>
                <w:sz w:val="20"/>
              </w:rPr>
              <w:t xml:space="preserve">); </w:t>
            </w:r>
            <w:r w:rsidR="00065177" w:rsidRPr="00065177">
              <w:rPr>
                <w:rFonts w:ascii="Book Antiqua" w:hAnsi="Book Antiqua"/>
                <w:sz w:val="20"/>
                <w:lang w:val="en-US"/>
              </w:rPr>
              <w:t xml:space="preserve">The study included IBD patients treated with </w:t>
            </w:r>
            <w:proofErr w:type="spellStart"/>
            <w:r w:rsidR="00065177" w:rsidRPr="00065177">
              <w:rPr>
                <w:rFonts w:ascii="Book Antiqua" w:hAnsi="Book Antiqua"/>
                <w:sz w:val="20"/>
                <w:lang w:val="en-US"/>
              </w:rPr>
              <w:t>Remsima</w:t>
            </w:r>
            <w:proofErr w:type="spellEnd"/>
            <w:r w:rsidR="00065177" w:rsidRPr="00065177">
              <w:rPr>
                <w:rFonts w:ascii="Book Antiqua" w:hAnsi="Book Antiqua"/>
                <w:sz w:val="20"/>
                <w:vertAlign w:val="superscript"/>
                <w:lang w:val="en-US"/>
              </w:rPr>
              <w:t xml:space="preserve">® </w:t>
            </w:r>
            <w:r w:rsidR="00065177" w:rsidRPr="00065177">
              <w:rPr>
                <w:rFonts w:ascii="Book Antiqua" w:hAnsi="Book Antiqua"/>
                <w:sz w:val="20"/>
                <w:lang w:val="en-US"/>
              </w:rPr>
              <w:t>(infliximab biosimilar, CT-P13, Kern Pharma, Spain) in clinical practice who were naïve to biological treatments, or with failure to respond to other anti-TNF drugs, or who had switched from infliximab (Remicade</w:t>
            </w:r>
            <w:r w:rsidR="00065177" w:rsidRPr="00065177">
              <w:rPr>
                <w:rFonts w:ascii="Book Antiqua" w:hAnsi="Book Antiqua"/>
                <w:sz w:val="20"/>
                <w:vertAlign w:val="superscript"/>
                <w:lang w:val="en-US"/>
              </w:rPr>
              <w:t>®</w:t>
            </w:r>
            <w:r w:rsidR="00065177" w:rsidRPr="00065177">
              <w:rPr>
                <w:rFonts w:ascii="Book Antiqua" w:hAnsi="Book Antiqua"/>
                <w:sz w:val="20"/>
                <w:lang w:val="en-US"/>
              </w:rPr>
              <w:t>).</w:t>
            </w:r>
            <w:r w:rsidR="00065177">
              <w:rPr>
                <w:rFonts w:ascii="Book Antiqua" w:hAnsi="Book Antiqua"/>
                <w:szCs w:val="24"/>
                <w:lang w:val="en-US"/>
              </w:rPr>
              <w:t xml:space="preserve"> </w:t>
            </w:r>
            <w:r w:rsidR="006A78F1" w:rsidRPr="006A78F1">
              <w:rPr>
                <w:rFonts w:ascii="Book Antiqua" w:hAnsi="Book Antiqua"/>
                <w:sz w:val="20"/>
                <w:lang w:val="en-US"/>
              </w:rPr>
              <w:t>12 months of follow-up but n</w:t>
            </w:r>
            <w:r w:rsidR="00065177" w:rsidRPr="006A78F1">
              <w:rPr>
                <w:rFonts w:ascii="Book Antiqua" w:hAnsi="Book Antiqua"/>
                <w:sz w:val="20"/>
                <w:lang w:val="en-US"/>
              </w:rPr>
              <w:t>o</w:t>
            </w:r>
            <w:r w:rsidR="00065177" w:rsidRPr="0021239A">
              <w:rPr>
                <w:rFonts w:ascii="Book Antiqua" w:hAnsi="Book Antiqua"/>
                <w:sz w:val="20"/>
                <w:lang w:val="en-US"/>
              </w:rPr>
              <w:t xml:space="preserve"> diagnostic or follow-up interventions were conducted on patients outside of </w:t>
            </w:r>
            <w:r w:rsidR="00065177">
              <w:rPr>
                <w:rFonts w:ascii="Book Antiqua" w:hAnsi="Book Antiqua"/>
                <w:sz w:val="20"/>
                <w:lang w:val="en-US"/>
              </w:rPr>
              <w:t xml:space="preserve">the usual clinical practice. </w:t>
            </w:r>
          </w:p>
        </w:tc>
      </w:tr>
      <w:tr w:rsidR="00E429D4" w:rsidRPr="000142B2" w14:paraId="3F0477C8" w14:textId="77777777" w:rsidTr="00E429D4">
        <w:trPr>
          <w:trHeight w:val="61"/>
        </w:trPr>
        <w:tc>
          <w:tcPr>
            <w:tcW w:w="0" w:type="auto"/>
            <w:vMerge/>
          </w:tcPr>
          <w:p w14:paraId="1F05D766"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3E2525C4" w14:textId="77777777" w:rsidR="00333EB7" w:rsidRPr="000142B2" w:rsidRDefault="00333EB7" w:rsidP="0022554A">
            <w:pPr>
              <w:tabs>
                <w:tab w:val="left" w:pos="5400"/>
              </w:tabs>
              <w:jc w:val="center"/>
              <w:rPr>
                <w:sz w:val="20"/>
              </w:rPr>
            </w:pPr>
          </w:p>
        </w:tc>
        <w:tc>
          <w:tcPr>
            <w:tcW w:w="8458" w:type="dxa"/>
            <w:tcBorders>
              <w:top w:val="nil"/>
              <w:bottom w:val="single" w:sz="4" w:space="0" w:color="auto"/>
              <w:right w:val="single" w:sz="4" w:space="0" w:color="auto"/>
            </w:tcBorders>
          </w:tcPr>
          <w:p w14:paraId="3226B582"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3827" w:type="dxa"/>
            <w:tcBorders>
              <w:top w:val="nil"/>
              <w:left w:val="single" w:sz="4" w:space="0" w:color="auto"/>
              <w:bottom w:val="single" w:sz="4" w:space="0" w:color="auto"/>
              <w:right w:val="nil"/>
            </w:tcBorders>
            <w:shd w:val="clear" w:color="auto" w:fill="auto"/>
          </w:tcPr>
          <w:p w14:paraId="120E05E2" w14:textId="77777777" w:rsidR="00333EB7" w:rsidRPr="000142B2" w:rsidRDefault="00333EB7">
            <w:pPr>
              <w:spacing w:line="240" w:lineRule="auto"/>
              <w:rPr>
                <w:sz w:val="20"/>
              </w:rPr>
            </w:pPr>
          </w:p>
        </w:tc>
      </w:tr>
      <w:tr w:rsidR="00E429D4" w:rsidRPr="000142B2" w14:paraId="0A73DE8C" w14:textId="77777777" w:rsidTr="00E429D4">
        <w:trPr>
          <w:trHeight w:val="376"/>
        </w:trPr>
        <w:tc>
          <w:tcPr>
            <w:tcW w:w="0" w:type="auto"/>
          </w:tcPr>
          <w:p w14:paraId="297414D7"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5504622" w14:textId="77777777" w:rsidR="00333EB7" w:rsidRPr="000142B2" w:rsidRDefault="00333EB7" w:rsidP="0022554A">
            <w:pPr>
              <w:tabs>
                <w:tab w:val="left" w:pos="5400"/>
              </w:tabs>
              <w:jc w:val="center"/>
              <w:rPr>
                <w:sz w:val="20"/>
              </w:rPr>
            </w:pPr>
            <w:r w:rsidRPr="000142B2">
              <w:rPr>
                <w:sz w:val="20"/>
              </w:rPr>
              <w:t>7</w:t>
            </w:r>
          </w:p>
        </w:tc>
        <w:tc>
          <w:tcPr>
            <w:tcW w:w="8458" w:type="dxa"/>
            <w:tcBorders>
              <w:top w:val="single" w:sz="4" w:space="0" w:color="auto"/>
              <w:bottom w:val="single" w:sz="4" w:space="0" w:color="auto"/>
              <w:right w:val="single" w:sz="4" w:space="0" w:color="auto"/>
            </w:tcBorders>
          </w:tcPr>
          <w:p w14:paraId="539F71DF"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3827" w:type="dxa"/>
            <w:tcBorders>
              <w:top w:val="single" w:sz="4" w:space="0" w:color="auto"/>
              <w:left w:val="single" w:sz="4" w:space="0" w:color="auto"/>
              <w:bottom w:val="single" w:sz="4" w:space="0" w:color="auto"/>
              <w:right w:val="nil"/>
            </w:tcBorders>
            <w:shd w:val="clear" w:color="auto" w:fill="auto"/>
          </w:tcPr>
          <w:p w14:paraId="6D6BD3D4" w14:textId="1A2E2789" w:rsidR="006A78F1" w:rsidRPr="00E34634" w:rsidRDefault="00E1451F" w:rsidP="006A78F1">
            <w:pPr>
              <w:spacing w:line="240" w:lineRule="auto"/>
              <w:rPr>
                <w:rFonts w:ascii="Book Antiqua" w:hAnsi="Book Antiqua"/>
                <w:szCs w:val="24"/>
                <w:lang w:val="en-US"/>
              </w:rPr>
            </w:pPr>
            <w:r>
              <w:rPr>
                <w:sz w:val="20"/>
              </w:rPr>
              <w:t xml:space="preserve">Page </w:t>
            </w:r>
            <w:r w:rsidR="006A78F1">
              <w:rPr>
                <w:sz w:val="20"/>
              </w:rPr>
              <w:t>7</w:t>
            </w:r>
            <w:r w:rsidR="00DE3D33">
              <w:rPr>
                <w:sz w:val="20"/>
              </w:rPr>
              <w:t>-8</w:t>
            </w:r>
            <w:r w:rsidR="006A78F1">
              <w:rPr>
                <w:sz w:val="20"/>
              </w:rPr>
              <w:t xml:space="preserve"> (lines 1</w:t>
            </w:r>
            <w:r w:rsidR="00DE3D33">
              <w:rPr>
                <w:sz w:val="20"/>
              </w:rPr>
              <w:t>88</w:t>
            </w:r>
            <w:r w:rsidR="006A78F1">
              <w:rPr>
                <w:sz w:val="20"/>
              </w:rPr>
              <w:t>-</w:t>
            </w:r>
            <w:r w:rsidR="00DE3D33">
              <w:rPr>
                <w:sz w:val="20"/>
              </w:rPr>
              <w:t>211</w:t>
            </w:r>
            <w:r w:rsidR="006A78F1">
              <w:rPr>
                <w:sz w:val="20"/>
              </w:rPr>
              <w:t xml:space="preserve">); </w:t>
            </w:r>
            <w:r w:rsidR="006A78F1" w:rsidRPr="006A78F1">
              <w:rPr>
                <w:rFonts w:ascii="Book Antiqua" w:hAnsi="Book Antiqua"/>
                <w:sz w:val="20"/>
                <w:lang w:val="en-US"/>
              </w:rPr>
              <w:t>The primary endpoint was clinical response rates and number of adverse events in IBD patients treated with CT-P13 (</w:t>
            </w:r>
            <w:proofErr w:type="spellStart"/>
            <w:r w:rsidR="006A78F1" w:rsidRPr="006A78F1">
              <w:rPr>
                <w:rFonts w:ascii="Book Antiqua" w:hAnsi="Book Antiqua"/>
                <w:sz w:val="20"/>
                <w:lang w:val="en-US"/>
              </w:rPr>
              <w:t>Remsima</w:t>
            </w:r>
            <w:proofErr w:type="spellEnd"/>
            <w:r w:rsidR="006A78F1" w:rsidRPr="006A78F1">
              <w:rPr>
                <w:rFonts w:ascii="Book Antiqua" w:hAnsi="Book Antiqua"/>
                <w:sz w:val="20"/>
                <w:vertAlign w:val="superscript"/>
                <w:lang w:val="en-US"/>
              </w:rPr>
              <w:t>®</w:t>
            </w:r>
            <w:r w:rsidR="006A78F1" w:rsidRPr="006A78F1">
              <w:rPr>
                <w:rFonts w:ascii="Book Antiqua" w:hAnsi="Book Antiqua"/>
                <w:sz w:val="20"/>
                <w:lang w:val="en-US"/>
              </w:rPr>
              <w:t>) in real-life practice. Variables were collected at baseline and every three months during 12 months of follow-up</w:t>
            </w:r>
            <w:r w:rsidR="006A78F1">
              <w:rPr>
                <w:rFonts w:ascii="Book Antiqua" w:hAnsi="Book Antiqua"/>
                <w:sz w:val="20"/>
                <w:lang w:val="en-US"/>
              </w:rPr>
              <w:t xml:space="preserve">. </w:t>
            </w:r>
            <w:r w:rsidR="006A78F1" w:rsidRPr="006A78F1">
              <w:rPr>
                <w:rFonts w:ascii="Book Antiqua" w:hAnsi="Book Antiqua"/>
                <w:sz w:val="20"/>
                <w:lang w:val="en-US"/>
              </w:rPr>
              <w:t>CT-P13 (</w:t>
            </w:r>
            <w:proofErr w:type="spellStart"/>
            <w:r w:rsidR="006A78F1" w:rsidRPr="006A78F1">
              <w:rPr>
                <w:rFonts w:ascii="Book Antiqua" w:hAnsi="Book Antiqua"/>
                <w:sz w:val="20"/>
                <w:lang w:val="en-US"/>
              </w:rPr>
              <w:t>Remsima</w:t>
            </w:r>
            <w:proofErr w:type="spellEnd"/>
            <w:r w:rsidR="006A78F1" w:rsidRPr="006A78F1">
              <w:rPr>
                <w:rFonts w:ascii="Book Antiqua" w:hAnsi="Book Antiqua"/>
                <w:sz w:val="20"/>
                <w:vertAlign w:val="superscript"/>
                <w:lang w:val="en-US"/>
              </w:rPr>
              <w:t>®</w:t>
            </w:r>
            <w:r w:rsidR="006A78F1" w:rsidRPr="006A78F1">
              <w:rPr>
                <w:rFonts w:ascii="Book Antiqua" w:hAnsi="Book Antiqua"/>
                <w:sz w:val="20"/>
                <w:lang w:val="en-US"/>
              </w:rPr>
              <w:t>) trough levels and anti-drug antibodies were determined according to clinical practice before each infusion. The primary efficacy variable was the proportion of patients who were in clinical remission and/or had a clinical response at each visit.</w:t>
            </w:r>
          </w:p>
          <w:p w14:paraId="26E06AF4" w14:textId="44A41DE1" w:rsidR="00333EB7" w:rsidRPr="000142B2" w:rsidRDefault="00333EB7">
            <w:pPr>
              <w:spacing w:line="240" w:lineRule="auto"/>
              <w:rPr>
                <w:sz w:val="20"/>
              </w:rPr>
            </w:pPr>
          </w:p>
        </w:tc>
      </w:tr>
      <w:tr w:rsidR="00E429D4" w:rsidRPr="000142B2" w14:paraId="08A59A48" w14:textId="77777777" w:rsidTr="00E429D4">
        <w:trPr>
          <w:trHeight w:val="125"/>
        </w:trPr>
        <w:tc>
          <w:tcPr>
            <w:tcW w:w="0" w:type="auto"/>
          </w:tcPr>
          <w:p w14:paraId="1A2D546A"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80C18C9"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8458" w:type="dxa"/>
            <w:tcBorders>
              <w:top w:val="single" w:sz="4" w:space="0" w:color="auto"/>
              <w:right w:val="single" w:sz="4" w:space="0" w:color="auto"/>
            </w:tcBorders>
          </w:tcPr>
          <w:p w14:paraId="631FAC49"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3827" w:type="dxa"/>
            <w:tcBorders>
              <w:top w:val="single" w:sz="4" w:space="0" w:color="auto"/>
              <w:left w:val="single" w:sz="4" w:space="0" w:color="auto"/>
              <w:bottom w:val="single" w:sz="4" w:space="0" w:color="auto"/>
              <w:right w:val="nil"/>
            </w:tcBorders>
            <w:shd w:val="clear" w:color="auto" w:fill="auto"/>
          </w:tcPr>
          <w:p w14:paraId="02CD009F" w14:textId="5E07A0F3" w:rsidR="003F0FC8" w:rsidRPr="00E34634" w:rsidRDefault="00E1451F" w:rsidP="003F0FC8">
            <w:pPr>
              <w:spacing w:line="240" w:lineRule="auto"/>
              <w:rPr>
                <w:rFonts w:ascii="Book Antiqua" w:hAnsi="Book Antiqua"/>
                <w:szCs w:val="24"/>
                <w:lang w:val="en-US"/>
              </w:rPr>
            </w:pPr>
            <w:r>
              <w:rPr>
                <w:sz w:val="20"/>
              </w:rPr>
              <w:t xml:space="preserve">Page </w:t>
            </w:r>
            <w:r w:rsidR="00DE3D33">
              <w:rPr>
                <w:sz w:val="20"/>
              </w:rPr>
              <w:t>8</w:t>
            </w:r>
            <w:r w:rsidR="003F0FC8">
              <w:rPr>
                <w:sz w:val="20"/>
              </w:rPr>
              <w:t xml:space="preserve"> (lines 1</w:t>
            </w:r>
            <w:r w:rsidR="00DE3D33">
              <w:rPr>
                <w:sz w:val="20"/>
              </w:rPr>
              <w:t>95</w:t>
            </w:r>
            <w:r w:rsidR="003F0FC8">
              <w:rPr>
                <w:sz w:val="20"/>
              </w:rPr>
              <w:t>-1</w:t>
            </w:r>
            <w:r w:rsidR="00DE3D33">
              <w:rPr>
                <w:sz w:val="20"/>
              </w:rPr>
              <w:t>08</w:t>
            </w:r>
            <w:r w:rsidR="006A78F1">
              <w:rPr>
                <w:sz w:val="20"/>
              </w:rPr>
              <w:t xml:space="preserve">); </w:t>
            </w:r>
            <w:r w:rsidR="006A78F1" w:rsidRPr="003F0FC8">
              <w:rPr>
                <w:rFonts w:ascii="Book Antiqua" w:hAnsi="Book Antiqua"/>
                <w:sz w:val="20"/>
                <w:lang w:val="en-US"/>
              </w:rPr>
              <w:t>It was considered active clinical disease when HBI (Harvey-Bradshaw Index)</w:t>
            </w:r>
            <w:r w:rsidR="006A78F1" w:rsidRPr="003F0FC8" w:rsidDel="000C2BB6">
              <w:rPr>
                <w:rFonts w:ascii="Book Antiqua" w:hAnsi="Book Antiqua"/>
                <w:sz w:val="20"/>
                <w:lang w:val="en-US"/>
              </w:rPr>
              <w:t xml:space="preserve"> </w:t>
            </w:r>
            <w:r w:rsidR="006A78F1" w:rsidRPr="003F0FC8">
              <w:rPr>
                <w:rFonts w:ascii="Book Antiqua" w:hAnsi="Book Antiqua"/>
                <w:sz w:val="20"/>
                <w:lang w:val="en-US"/>
              </w:rPr>
              <w:t xml:space="preserve">&gt;4 (CD) or PMS (Partial Mayo Score) &gt;2 (UC) or active fistula. A fistula was considered active if it presented suppuration spontaneously or with digital pressure, and inactive if there was no suppuration. It was considered clinical remission when HBI ≤4 (CD) or PMS ≤2 </w:t>
            </w:r>
            <w:r w:rsidR="006A78F1" w:rsidRPr="003F0FC8">
              <w:rPr>
                <w:rFonts w:ascii="Book Antiqua" w:hAnsi="Book Antiqua"/>
                <w:sz w:val="20"/>
                <w:lang w:val="en-US"/>
              </w:rPr>
              <w:lastRenderedPageBreak/>
              <w:t>(UC) or inactive fistula. A clinical response was considered when there was a decrease of at least 2 points in HBI or PMS or improvement of fistula.  The disease was considered stable when HBI ≤4 (CD) or PMS ≤ 2 (UC) and C-reactive protein (CRP) &lt;5 mg/L for at least 6 months. Relapse or exacerbation was defined by the need to scale the dosage of CT-P13 (</w:t>
            </w:r>
            <w:proofErr w:type="spellStart"/>
            <w:r w:rsidR="006A78F1" w:rsidRPr="003F0FC8">
              <w:rPr>
                <w:rFonts w:ascii="Book Antiqua" w:hAnsi="Book Antiqua"/>
                <w:sz w:val="20"/>
                <w:lang w:val="en-US"/>
              </w:rPr>
              <w:t>Remsima</w:t>
            </w:r>
            <w:proofErr w:type="spellEnd"/>
            <w:r w:rsidR="006A78F1" w:rsidRPr="003F0FC8">
              <w:rPr>
                <w:rFonts w:ascii="Book Antiqua" w:hAnsi="Book Antiqua"/>
                <w:sz w:val="20"/>
                <w:vertAlign w:val="superscript"/>
                <w:lang w:val="en-US"/>
              </w:rPr>
              <w:t>®</w:t>
            </w:r>
            <w:r w:rsidR="006A78F1" w:rsidRPr="003F0FC8">
              <w:rPr>
                <w:rFonts w:ascii="Book Antiqua" w:hAnsi="Book Antiqua"/>
                <w:sz w:val="20"/>
                <w:lang w:val="en-US"/>
              </w:rPr>
              <w:t>) (shorten interval and/or increased doses), the addition of corticosteroids, or switching to another biologic agent based on the physician's decision. Loss of response was defined as active disease after primary response after at least the first four infusions of the biologic drug.</w:t>
            </w:r>
            <w:r w:rsidR="003F0FC8" w:rsidRPr="003F0FC8">
              <w:rPr>
                <w:rFonts w:ascii="Book Antiqua" w:hAnsi="Book Antiqua"/>
                <w:sz w:val="20"/>
                <w:lang w:val="en-US"/>
              </w:rPr>
              <w:t xml:space="preserve"> The safety variable was the number of adverse effects described in the follow-up.</w:t>
            </w:r>
          </w:p>
          <w:p w14:paraId="7F2FA6AF" w14:textId="7A113FE4" w:rsidR="006A78F1" w:rsidRPr="006A78F1" w:rsidRDefault="006A78F1" w:rsidP="006A78F1">
            <w:pPr>
              <w:spacing w:line="240" w:lineRule="auto"/>
              <w:ind w:firstLine="708"/>
              <w:rPr>
                <w:rFonts w:ascii="Book Antiqua" w:hAnsi="Book Antiqua"/>
                <w:sz w:val="20"/>
                <w:lang w:val="en-US"/>
              </w:rPr>
            </w:pPr>
          </w:p>
          <w:p w14:paraId="5121617B" w14:textId="33ADB036" w:rsidR="00333EB7" w:rsidRPr="000142B2" w:rsidRDefault="00333EB7">
            <w:pPr>
              <w:spacing w:line="240" w:lineRule="auto"/>
              <w:rPr>
                <w:sz w:val="20"/>
              </w:rPr>
            </w:pPr>
          </w:p>
        </w:tc>
      </w:tr>
      <w:tr w:rsidR="00E429D4" w:rsidRPr="000142B2" w14:paraId="0A615F26" w14:textId="77777777" w:rsidTr="00E429D4">
        <w:trPr>
          <w:trHeight w:val="119"/>
        </w:trPr>
        <w:tc>
          <w:tcPr>
            <w:tcW w:w="0" w:type="auto"/>
          </w:tcPr>
          <w:p w14:paraId="541C7387"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lastRenderedPageBreak/>
              <w:t>Bias</w:t>
            </w:r>
          </w:p>
        </w:tc>
        <w:tc>
          <w:tcPr>
            <w:tcW w:w="0" w:type="auto"/>
          </w:tcPr>
          <w:p w14:paraId="6288E4CC" w14:textId="77777777" w:rsidR="00333EB7" w:rsidRPr="000142B2" w:rsidRDefault="00333EB7" w:rsidP="0022554A">
            <w:pPr>
              <w:tabs>
                <w:tab w:val="left" w:pos="5400"/>
              </w:tabs>
              <w:jc w:val="center"/>
              <w:rPr>
                <w:sz w:val="20"/>
              </w:rPr>
            </w:pPr>
            <w:r w:rsidRPr="000142B2">
              <w:rPr>
                <w:sz w:val="20"/>
              </w:rPr>
              <w:t>9</w:t>
            </w:r>
          </w:p>
        </w:tc>
        <w:tc>
          <w:tcPr>
            <w:tcW w:w="8458" w:type="dxa"/>
            <w:tcBorders>
              <w:right w:val="single" w:sz="4" w:space="0" w:color="auto"/>
            </w:tcBorders>
          </w:tcPr>
          <w:p w14:paraId="38BE4F62"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3827" w:type="dxa"/>
            <w:tcBorders>
              <w:top w:val="single" w:sz="4" w:space="0" w:color="auto"/>
              <w:left w:val="single" w:sz="4" w:space="0" w:color="auto"/>
              <w:bottom w:val="single" w:sz="4" w:space="0" w:color="auto"/>
              <w:right w:val="nil"/>
            </w:tcBorders>
            <w:shd w:val="clear" w:color="auto" w:fill="auto"/>
          </w:tcPr>
          <w:p w14:paraId="77F8444E" w14:textId="45DACDAA" w:rsidR="00333EB7" w:rsidRPr="00E82B41" w:rsidRDefault="00E82B41">
            <w:pPr>
              <w:spacing w:line="240" w:lineRule="auto"/>
              <w:rPr>
                <w:color w:val="000000" w:themeColor="text1"/>
                <w:sz w:val="20"/>
              </w:rPr>
            </w:pPr>
            <w:r w:rsidRPr="00E82B41">
              <w:rPr>
                <w:color w:val="000000" w:themeColor="text1"/>
                <w:sz w:val="20"/>
              </w:rPr>
              <w:t>Page 6 (lines 1</w:t>
            </w:r>
            <w:r w:rsidR="00DE3D33">
              <w:rPr>
                <w:color w:val="000000" w:themeColor="text1"/>
                <w:sz w:val="20"/>
              </w:rPr>
              <w:t>56</w:t>
            </w:r>
            <w:r w:rsidRPr="00E82B41">
              <w:rPr>
                <w:color w:val="000000" w:themeColor="text1"/>
                <w:sz w:val="20"/>
              </w:rPr>
              <w:t>-15</w:t>
            </w:r>
            <w:r w:rsidR="00DE3D33">
              <w:rPr>
                <w:color w:val="000000" w:themeColor="text1"/>
                <w:sz w:val="20"/>
              </w:rPr>
              <w:t>9</w:t>
            </w:r>
            <w:r w:rsidRPr="00E82B41">
              <w:rPr>
                <w:color w:val="000000" w:themeColor="text1"/>
                <w:sz w:val="20"/>
              </w:rPr>
              <w:t>). No diagnostic or follow-up interventions were conducted on patients outside of the usual clinical practice,</w:t>
            </w:r>
          </w:p>
        </w:tc>
      </w:tr>
      <w:tr w:rsidR="00E429D4" w:rsidRPr="000142B2" w14:paraId="090566DF" w14:textId="77777777" w:rsidTr="00E429D4">
        <w:trPr>
          <w:trHeight w:val="129"/>
        </w:trPr>
        <w:tc>
          <w:tcPr>
            <w:tcW w:w="0" w:type="auto"/>
          </w:tcPr>
          <w:p w14:paraId="548BDD31"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14B176F9" w14:textId="77777777" w:rsidR="00333EB7" w:rsidRPr="000142B2" w:rsidRDefault="00333EB7" w:rsidP="0022554A">
            <w:pPr>
              <w:tabs>
                <w:tab w:val="left" w:pos="5400"/>
              </w:tabs>
              <w:jc w:val="center"/>
              <w:rPr>
                <w:sz w:val="20"/>
              </w:rPr>
            </w:pPr>
            <w:r w:rsidRPr="000142B2">
              <w:rPr>
                <w:sz w:val="20"/>
              </w:rPr>
              <w:t>10</w:t>
            </w:r>
          </w:p>
        </w:tc>
        <w:tc>
          <w:tcPr>
            <w:tcW w:w="8458" w:type="dxa"/>
            <w:tcBorders>
              <w:right w:val="single" w:sz="4" w:space="0" w:color="auto"/>
            </w:tcBorders>
          </w:tcPr>
          <w:p w14:paraId="772DDD95" w14:textId="77777777" w:rsidR="00333EB7" w:rsidRPr="000142B2" w:rsidRDefault="00333EB7" w:rsidP="0022554A">
            <w:pPr>
              <w:tabs>
                <w:tab w:val="left" w:pos="5400"/>
              </w:tabs>
              <w:rPr>
                <w:sz w:val="20"/>
              </w:rPr>
            </w:pPr>
            <w:r w:rsidRPr="000142B2">
              <w:rPr>
                <w:sz w:val="20"/>
              </w:rPr>
              <w:t>Explain how the study size was arrived at</w:t>
            </w:r>
          </w:p>
        </w:tc>
        <w:tc>
          <w:tcPr>
            <w:tcW w:w="3827" w:type="dxa"/>
            <w:tcBorders>
              <w:top w:val="single" w:sz="4" w:space="0" w:color="auto"/>
              <w:left w:val="single" w:sz="4" w:space="0" w:color="auto"/>
              <w:bottom w:val="single" w:sz="4" w:space="0" w:color="auto"/>
              <w:right w:val="nil"/>
            </w:tcBorders>
            <w:shd w:val="clear" w:color="auto" w:fill="auto"/>
          </w:tcPr>
          <w:p w14:paraId="359AA6FF" w14:textId="74723E3F" w:rsidR="00333EB7" w:rsidRPr="000142B2" w:rsidRDefault="00E1451F">
            <w:pPr>
              <w:spacing w:line="240" w:lineRule="auto"/>
              <w:rPr>
                <w:sz w:val="20"/>
              </w:rPr>
            </w:pPr>
            <w:r>
              <w:rPr>
                <w:sz w:val="20"/>
              </w:rPr>
              <w:t xml:space="preserve">Page </w:t>
            </w:r>
            <w:r w:rsidR="003F0FC8">
              <w:rPr>
                <w:sz w:val="20"/>
              </w:rPr>
              <w:t>8 (line 2</w:t>
            </w:r>
            <w:r w:rsidR="005D2D5B">
              <w:rPr>
                <w:sz w:val="20"/>
              </w:rPr>
              <w:t>22</w:t>
            </w:r>
            <w:r w:rsidR="003F0FC8">
              <w:rPr>
                <w:sz w:val="20"/>
              </w:rPr>
              <w:t>); Sample size was not defined.</w:t>
            </w:r>
          </w:p>
        </w:tc>
      </w:tr>
      <w:tr w:rsidR="00E429D4" w:rsidRPr="000142B2" w14:paraId="065F497A" w14:textId="77777777" w:rsidTr="00E429D4">
        <w:trPr>
          <w:trHeight w:val="248"/>
        </w:trPr>
        <w:tc>
          <w:tcPr>
            <w:tcW w:w="0" w:type="auto"/>
          </w:tcPr>
          <w:p w14:paraId="2F483182"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FA0206A" w14:textId="77777777" w:rsidR="00333EB7" w:rsidRPr="000142B2" w:rsidRDefault="00333EB7" w:rsidP="0022554A">
            <w:pPr>
              <w:tabs>
                <w:tab w:val="left" w:pos="5400"/>
              </w:tabs>
              <w:jc w:val="center"/>
              <w:rPr>
                <w:sz w:val="20"/>
              </w:rPr>
            </w:pPr>
            <w:r w:rsidRPr="000142B2">
              <w:rPr>
                <w:sz w:val="20"/>
              </w:rPr>
              <w:t>11</w:t>
            </w:r>
          </w:p>
        </w:tc>
        <w:tc>
          <w:tcPr>
            <w:tcW w:w="8458" w:type="dxa"/>
            <w:tcBorders>
              <w:bottom w:val="single" w:sz="4" w:space="0" w:color="auto"/>
              <w:right w:val="single" w:sz="4" w:space="0" w:color="auto"/>
            </w:tcBorders>
          </w:tcPr>
          <w:p w14:paraId="3D087AB1"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3827" w:type="dxa"/>
            <w:tcBorders>
              <w:top w:val="single" w:sz="4" w:space="0" w:color="auto"/>
              <w:left w:val="single" w:sz="4" w:space="0" w:color="auto"/>
              <w:bottom w:val="single" w:sz="4" w:space="0" w:color="auto"/>
              <w:right w:val="nil"/>
            </w:tcBorders>
            <w:shd w:val="clear" w:color="auto" w:fill="auto"/>
          </w:tcPr>
          <w:p w14:paraId="0957BFA1" w14:textId="6B80DEF2" w:rsidR="00333EB7" w:rsidRPr="00E64D94" w:rsidRDefault="00E1451F">
            <w:pPr>
              <w:spacing w:line="240" w:lineRule="auto"/>
              <w:rPr>
                <w:sz w:val="20"/>
              </w:rPr>
            </w:pPr>
            <w:r>
              <w:rPr>
                <w:sz w:val="20"/>
              </w:rPr>
              <w:t xml:space="preserve">Page </w:t>
            </w:r>
            <w:r w:rsidR="00E64D94">
              <w:rPr>
                <w:sz w:val="20"/>
              </w:rPr>
              <w:t>8 (lines 2</w:t>
            </w:r>
            <w:r w:rsidR="005D2D5B">
              <w:rPr>
                <w:sz w:val="20"/>
              </w:rPr>
              <w:t>25</w:t>
            </w:r>
            <w:r w:rsidR="00E64D94">
              <w:rPr>
                <w:sz w:val="20"/>
              </w:rPr>
              <w:t>-2</w:t>
            </w:r>
            <w:r w:rsidR="005D2D5B">
              <w:rPr>
                <w:sz w:val="20"/>
              </w:rPr>
              <w:t>26</w:t>
            </w:r>
            <w:r w:rsidR="00E64D94">
              <w:rPr>
                <w:sz w:val="20"/>
              </w:rPr>
              <w:t xml:space="preserve">); </w:t>
            </w:r>
            <w:r w:rsidR="00E64D94" w:rsidRPr="00E64D94">
              <w:rPr>
                <w:rFonts w:ascii="Book Antiqua" w:hAnsi="Book Antiqua"/>
                <w:sz w:val="20"/>
                <w:lang w:val="en-US"/>
              </w:rPr>
              <w:t>The results for categorical variables were presented as frequencies and percentages.</w:t>
            </w:r>
          </w:p>
        </w:tc>
      </w:tr>
      <w:tr w:rsidR="00E429D4" w:rsidRPr="000142B2" w14:paraId="1D6BC991" w14:textId="77777777" w:rsidTr="00E429D4">
        <w:trPr>
          <w:trHeight w:val="257"/>
        </w:trPr>
        <w:tc>
          <w:tcPr>
            <w:tcW w:w="0" w:type="auto"/>
            <w:vMerge w:val="restart"/>
          </w:tcPr>
          <w:p w14:paraId="10927376"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5D643ACD" w14:textId="77777777" w:rsidR="00333EB7" w:rsidRPr="000142B2" w:rsidRDefault="00333EB7" w:rsidP="0022554A">
            <w:pPr>
              <w:tabs>
                <w:tab w:val="left" w:pos="5400"/>
              </w:tabs>
              <w:jc w:val="center"/>
              <w:rPr>
                <w:sz w:val="20"/>
              </w:rPr>
            </w:pPr>
            <w:r w:rsidRPr="000142B2">
              <w:rPr>
                <w:sz w:val="20"/>
              </w:rPr>
              <w:t>12</w:t>
            </w:r>
          </w:p>
        </w:tc>
        <w:tc>
          <w:tcPr>
            <w:tcW w:w="8458" w:type="dxa"/>
            <w:tcBorders>
              <w:top w:val="single" w:sz="4" w:space="0" w:color="auto"/>
              <w:bottom w:val="nil"/>
              <w:right w:val="single" w:sz="4" w:space="0" w:color="auto"/>
            </w:tcBorders>
          </w:tcPr>
          <w:p w14:paraId="6930A88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3827" w:type="dxa"/>
            <w:tcBorders>
              <w:top w:val="single" w:sz="4" w:space="0" w:color="auto"/>
              <w:left w:val="single" w:sz="4" w:space="0" w:color="auto"/>
              <w:bottom w:val="nil"/>
              <w:right w:val="nil"/>
            </w:tcBorders>
            <w:shd w:val="clear" w:color="auto" w:fill="auto"/>
          </w:tcPr>
          <w:p w14:paraId="6CEBD36F" w14:textId="379A5FCE" w:rsidR="00333EB7" w:rsidRDefault="00E1451F">
            <w:pPr>
              <w:spacing w:line="240" w:lineRule="auto"/>
              <w:rPr>
                <w:rFonts w:ascii="Book Antiqua" w:hAnsi="Book Antiqua"/>
                <w:sz w:val="20"/>
                <w:lang w:val="en-US"/>
              </w:rPr>
            </w:pPr>
            <w:r>
              <w:rPr>
                <w:sz w:val="20"/>
              </w:rPr>
              <w:t xml:space="preserve">Page </w:t>
            </w:r>
            <w:r w:rsidR="007A71AF">
              <w:rPr>
                <w:sz w:val="20"/>
              </w:rPr>
              <w:t>8 (lines 2</w:t>
            </w:r>
            <w:r w:rsidR="00183523">
              <w:rPr>
                <w:sz w:val="20"/>
              </w:rPr>
              <w:t>2</w:t>
            </w:r>
            <w:r w:rsidR="007A71AF">
              <w:rPr>
                <w:sz w:val="20"/>
              </w:rPr>
              <w:t>3-2</w:t>
            </w:r>
            <w:r w:rsidR="00183523">
              <w:rPr>
                <w:sz w:val="20"/>
              </w:rPr>
              <w:t>28</w:t>
            </w:r>
            <w:r w:rsidR="007A71AF">
              <w:rPr>
                <w:sz w:val="20"/>
              </w:rPr>
              <w:t xml:space="preserve">); </w:t>
            </w:r>
            <w:r w:rsidR="00065BA5">
              <w:rPr>
                <w:sz w:val="20"/>
              </w:rPr>
              <w:t xml:space="preserve">a) </w:t>
            </w:r>
            <w:r w:rsidR="007A71AF" w:rsidRPr="007A71AF">
              <w:rPr>
                <w:rFonts w:ascii="Book Antiqua" w:hAnsi="Book Antiqua"/>
                <w:sz w:val="20"/>
                <w:lang w:val="en-US"/>
              </w:rPr>
              <w:t xml:space="preserve">A descriptive analysis of all the variables of interest was made. The results of continuous variables were presented as mean and standard deviation (SD). The statistical analysis included appropriate measures for statistical significance (Student’s paired two-sample t-test) using the standard cutoff for significance of </w:t>
            </w:r>
            <w:r w:rsidR="007A71AF" w:rsidRPr="007A71AF">
              <w:rPr>
                <w:rFonts w:ascii="Book Antiqua" w:hAnsi="Book Antiqua"/>
                <w:i/>
                <w:iCs/>
                <w:sz w:val="20"/>
                <w:lang w:val="en-US"/>
              </w:rPr>
              <w:t xml:space="preserve">p&lt;0.05 </w:t>
            </w:r>
            <w:r w:rsidR="007A71AF" w:rsidRPr="007A71AF">
              <w:rPr>
                <w:rFonts w:ascii="Book Antiqua" w:hAnsi="Book Antiqua"/>
                <w:sz w:val="20"/>
                <w:lang w:val="en-US"/>
              </w:rPr>
              <w:t>via Microsoft Excel.</w:t>
            </w:r>
          </w:p>
          <w:p w14:paraId="644E7AEA" w14:textId="77777777" w:rsidR="00065BA5" w:rsidRDefault="00065BA5">
            <w:pPr>
              <w:spacing w:line="240" w:lineRule="auto"/>
              <w:rPr>
                <w:rFonts w:ascii="Book Antiqua" w:hAnsi="Book Antiqua"/>
                <w:sz w:val="20"/>
                <w:lang w:val="en-US"/>
              </w:rPr>
            </w:pPr>
            <w:r>
              <w:rPr>
                <w:rFonts w:ascii="Book Antiqua" w:hAnsi="Book Antiqua"/>
                <w:sz w:val="20"/>
                <w:lang w:val="en-US"/>
              </w:rPr>
              <w:t>b) No subgroups</w:t>
            </w:r>
          </w:p>
          <w:p w14:paraId="31CE4983" w14:textId="77777777" w:rsidR="00065BA5" w:rsidRDefault="00065BA5">
            <w:pPr>
              <w:spacing w:line="240" w:lineRule="auto"/>
              <w:rPr>
                <w:rFonts w:ascii="Book Antiqua" w:hAnsi="Book Antiqua"/>
                <w:sz w:val="20"/>
                <w:lang w:val="en-US"/>
              </w:rPr>
            </w:pPr>
            <w:r>
              <w:rPr>
                <w:rFonts w:ascii="Book Antiqua" w:hAnsi="Book Antiqua"/>
                <w:sz w:val="20"/>
                <w:lang w:val="en-US"/>
              </w:rPr>
              <w:lastRenderedPageBreak/>
              <w:t>c) No missing data</w:t>
            </w:r>
          </w:p>
          <w:p w14:paraId="0ABD5B7F" w14:textId="6EF9E61A" w:rsidR="00065BA5" w:rsidRPr="000142B2" w:rsidRDefault="00065BA5">
            <w:pPr>
              <w:spacing w:line="240" w:lineRule="auto"/>
              <w:rPr>
                <w:sz w:val="20"/>
              </w:rPr>
            </w:pPr>
            <w:r>
              <w:rPr>
                <w:rFonts w:ascii="Book Antiqua" w:hAnsi="Book Antiqua"/>
                <w:sz w:val="20"/>
                <w:lang w:val="en-US"/>
              </w:rPr>
              <w:t xml:space="preserve">d) </w:t>
            </w:r>
            <w:r w:rsidRPr="00065BA5">
              <w:rPr>
                <w:rFonts w:ascii="Book Antiqua" w:hAnsi="Book Antiqua"/>
                <w:color w:val="C0504D" w:themeColor="accent2"/>
                <w:sz w:val="20"/>
                <w:lang w:val="en-US"/>
              </w:rPr>
              <w:t>----------</w:t>
            </w:r>
          </w:p>
        </w:tc>
      </w:tr>
      <w:tr w:rsidR="00E429D4" w:rsidRPr="000142B2" w14:paraId="61102BA9" w14:textId="77777777" w:rsidTr="00E429D4">
        <w:trPr>
          <w:trHeight w:val="61"/>
        </w:trPr>
        <w:tc>
          <w:tcPr>
            <w:tcW w:w="0" w:type="auto"/>
            <w:vMerge/>
          </w:tcPr>
          <w:p w14:paraId="4B207C84" w14:textId="51E6ECA6"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3855C0AD" w14:textId="77777777" w:rsidR="00333EB7" w:rsidRPr="000142B2" w:rsidRDefault="00333EB7" w:rsidP="0022554A">
            <w:pPr>
              <w:tabs>
                <w:tab w:val="left" w:pos="5400"/>
              </w:tabs>
              <w:jc w:val="center"/>
              <w:rPr>
                <w:sz w:val="20"/>
              </w:rPr>
            </w:pPr>
          </w:p>
        </w:tc>
        <w:tc>
          <w:tcPr>
            <w:tcW w:w="8458" w:type="dxa"/>
            <w:tcBorders>
              <w:top w:val="nil"/>
              <w:bottom w:val="nil"/>
              <w:right w:val="single" w:sz="4" w:space="0" w:color="auto"/>
            </w:tcBorders>
          </w:tcPr>
          <w:p w14:paraId="4CCD75D4"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3827" w:type="dxa"/>
            <w:tcBorders>
              <w:top w:val="nil"/>
              <w:left w:val="single" w:sz="4" w:space="0" w:color="auto"/>
              <w:bottom w:val="nil"/>
              <w:right w:val="nil"/>
            </w:tcBorders>
            <w:shd w:val="clear" w:color="auto" w:fill="auto"/>
          </w:tcPr>
          <w:p w14:paraId="012E1CB6" w14:textId="6413D410" w:rsidR="00333EB7" w:rsidRPr="000142B2" w:rsidRDefault="00065BA5">
            <w:pPr>
              <w:spacing w:line="240" w:lineRule="auto"/>
              <w:rPr>
                <w:sz w:val="20"/>
              </w:rPr>
            </w:pPr>
            <w:r>
              <w:rPr>
                <w:sz w:val="20"/>
              </w:rPr>
              <w:t>e) N/A</w:t>
            </w:r>
          </w:p>
        </w:tc>
      </w:tr>
      <w:tr w:rsidR="00E429D4" w:rsidRPr="000142B2" w14:paraId="1B317D2C" w14:textId="77777777" w:rsidTr="00E429D4">
        <w:trPr>
          <w:trHeight w:val="61"/>
        </w:trPr>
        <w:tc>
          <w:tcPr>
            <w:tcW w:w="0" w:type="auto"/>
            <w:vMerge/>
          </w:tcPr>
          <w:p w14:paraId="4467DF6B"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FF2D5D3" w14:textId="77777777" w:rsidR="00333EB7" w:rsidRPr="000142B2" w:rsidRDefault="00333EB7" w:rsidP="0022554A">
            <w:pPr>
              <w:tabs>
                <w:tab w:val="left" w:pos="5400"/>
              </w:tabs>
              <w:jc w:val="center"/>
              <w:rPr>
                <w:sz w:val="20"/>
              </w:rPr>
            </w:pPr>
          </w:p>
        </w:tc>
        <w:tc>
          <w:tcPr>
            <w:tcW w:w="8458" w:type="dxa"/>
            <w:tcBorders>
              <w:top w:val="nil"/>
              <w:bottom w:val="nil"/>
              <w:right w:val="single" w:sz="4" w:space="0" w:color="auto"/>
            </w:tcBorders>
          </w:tcPr>
          <w:p w14:paraId="0201E436"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3827" w:type="dxa"/>
            <w:tcBorders>
              <w:top w:val="nil"/>
              <w:left w:val="single" w:sz="4" w:space="0" w:color="auto"/>
              <w:bottom w:val="nil"/>
              <w:right w:val="nil"/>
            </w:tcBorders>
            <w:shd w:val="clear" w:color="auto" w:fill="auto"/>
          </w:tcPr>
          <w:p w14:paraId="1D9C95F4" w14:textId="77777777" w:rsidR="00333EB7" w:rsidRPr="000142B2" w:rsidRDefault="00333EB7">
            <w:pPr>
              <w:spacing w:line="240" w:lineRule="auto"/>
              <w:rPr>
                <w:sz w:val="20"/>
              </w:rPr>
            </w:pPr>
          </w:p>
        </w:tc>
      </w:tr>
      <w:tr w:rsidR="00E429D4" w:rsidRPr="000142B2" w14:paraId="63D8C506" w14:textId="77777777" w:rsidTr="00E429D4">
        <w:trPr>
          <w:trHeight w:val="61"/>
        </w:trPr>
        <w:tc>
          <w:tcPr>
            <w:tcW w:w="0" w:type="auto"/>
            <w:vMerge/>
          </w:tcPr>
          <w:p w14:paraId="549BCF0F"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86356A0" w14:textId="77777777" w:rsidR="00333EB7" w:rsidRPr="000142B2" w:rsidRDefault="00333EB7" w:rsidP="0022554A">
            <w:pPr>
              <w:tabs>
                <w:tab w:val="left" w:pos="5400"/>
              </w:tabs>
              <w:jc w:val="center"/>
              <w:rPr>
                <w:sz w:val="20"/>
              </w:rPr>
            </w:pPr>
          </w:p>
        </w:tc>
        <w:tc>
          <w:tcPr>
            <w:tcW w:w="8458" w:type="dxa"/>
            <w:tcBorders>
              <w:top w:val="nil"/>
              <w:bottom w:val="nil"/>
              <w:right w:val="single" w:sz="4" w:space="0" w:color="auto"/>
            </w:tcBorders>
          </w:tcPr>
          <w:p w14:paraId="15FF32B6"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3827" w:type="dxa"/>
            <w:tcBorders>
              <w:top w:val="nil"/>
              <w:left w:val="single" w:sz="4" w:space="0" w:color="auto"/>
              <w:bottom w:val="nil"/>
              <w:right w:val="nil"/>
            </w:tcBorders>
            <w:shd w:val="clear" w:color="auto" w:fill="auto"/>
          </w:tcPr>
          <w:p w14:paraId="7A4929E2" w14:textId="77777777" w:rsidR="00333EB7" w:rsidRPr="000142B2" w:rsidRDefault="00333EB7">
            <w:pPr>
              <w:spacing w:line="240" w:lineRule="auto"/>
              <w:rPr>
                <w:sz w:val="20"/>
              </w:rPr>
            </w:pPr>
          </w:p>
        </w:tc>
      </w:tr>
      <w:tr w:rsidR="00E429D4" w:rsidRPr="000142B2" w14:paraId="17EBBDCE" w14:textId="77777777" w:rsidTr="00E429D4">
        <w:trPr>
          <w:trHeight w:val="61"/>
        </w:trPr>
        <w:tc>
          <w:tcPr>
            <w:tcW w:w="0" w:type="auto"/>
            <w:vMerge/>
          </w:tcPr>
          <w:p w14:paraId="0E0B7630"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8C1BE57" w14:textId="77777777" w:rsidR="00333EB7" w:rsidRPr="000142B2" w:rsidRDefault="00333EB7" w:rsidP="0022554A">
            <w:pPr>
              <w:tabs>
                <w:tab w:val="left" w:pos="5400"/>
              </w:tabs>
              <w:jc w:val="center"/>
              <w:rPr>
                <w:sz w:val="20"/>
              </w:rPr>
            </w:pPr>
          </w:p>
        </w:tc>
        <w:tc>
          <w:tcPr>
            <w:tcW w:w="8458" w:type="dxa"/>
            <w:tcBorders>
              <w:top w:val="nil"/>
              <w:bottom w:val="nil"/>
              <w:right w:val="single" w:sz="4" w:space="0" w:color="auto"/>
            </w:tcBorders>
          </w:tcPr>
          <w:p w14:paraId="6BB00491"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3827" w:type="dxa"/>
            <w:tcBorders>
              <w:top w:val="nil"/>
              <w:left w:val="single" w:sz="4" w:space="0" w:color="auto"/>
              <w:bottom w:val="single" w:sz="4" w:space="0" w:color="auto"/>
              <w:right w:val="nil"/>
            </w:tcBorders>
            <w:shd w:val="clear" w:color="auto" w:fill="auto"/>
          </w:tcPr>
          <w:p w14:paraId="5AAC1D45" w14:textId="77777777" w:rsidR="00333EB7" w:rsidRPr="000142B2" w:rsidRDefault="00333EB7">
            <w:pPr>
              <w:spacing w:line="240" w:lineRule="auto"/>
              <w:rPr>
                <w:sz w:val="20"/>
              </w:rPr>
            </w:pPr>
          </w:p>
        </w:tc>
      </w:tr>
      <w:tr w:rsidR="00E429D4" w:rsidRPr="000142B2" w14:paraId="3CBD67AD" w14:textId="77777777" w:rsidTr="00E429D4">
        <w:trPr>
          <w:trHeight w:val="61"/>
        </w:trPr>
        <w:tc>
          <w:tcPr>
            <w:tcW w:w="11023" w:type="dxa"/>
            <w:gridSpan w:val="3"/>
            <w:tcBorders>
              <w:right w:val="single" w:sz="4" w:space="0" w:color="auto"/>
            </w:tcBorders>
          </w:tcPr>
          <w:p w14:paraId="49DD443A"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3827" w:type="dxa"/>
            <w:tcBorders>
              <w:top w:val="single" w:sz="4" w:space="0" w:color="auto"/>
              <w:left w:val="single" w:sz="4" w:space="0" w:color="auto"/>
              <w:bottom w:val="single" w:sz="4" w:space="0" w:color="auto"/>
              <w:right w:val="nil"/>
            </w:tcBorders>
            <w:shd w:val="clear" w:color="auto" w:fill="auto"/>
          </w:tcPr>
          <w:p w14:paraId="488F4E58" w14:textId="77777777" w:rsidR="00333EB7" w:rsidRPr="000142B2" w:rsidRDefault="00333EB7">
            <w:pPr>
              <w:spacing w:line="240" w:lineRule="auto"/>
              <w:rPr>
                <w:sz w:val="20"/>
              </w:rPr>
            </w:pPr>
          </w:p>
        </w:tc>
      </w:tr>
      <w:tr w:rsidR="00E429D4" w:rsidRPr="000142B2" w14:paraId="0AAD1CD2" w14:textId="77777777" w:rsidTr="00E429D4">
        <w:trPr>
          <w:trHeight w:val="61"/>
        </w:trPr>
        <w:tc>
          <w:tcPr>
            <w:tcW w:w="0" w:type="auto"/>
            <w:vMerge w:val="restart"/>
          </w:tcPr>
          <w:p w14:paraId="493F2C4B"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179307EC"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8458" w:type="dxa"/>
            <w:tcBorders>
              <w:top w:val="single" w:sz="4" w:space="0" w:color="auto"/>
              <w:bottom w:val="nil"/>
              <w:right w:val="single" w:sz="4" w:space="0" w:color="auto"/>
            </w:tcBorders>
          </w:tcPr>
          <w:p w14:paraId="7EA3B7EE"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3827" w:type="dxa"/>
            <w:tcBorders>
              <w:top w:val="single" w:sz="4" w:space="0" w:color="auto"/>
              <w:left w:val="single" w:sz="4" w:space="0" w:color="auto"/>
              <w:bottom w:val="nil"/>
              <w:right w:val="nil"/>
            </w:tcBorders>
            <w:shd w:val="clear" w:color="auto" w:fill="auto"/>
          </w:tcPr>
          <w:p w14:paraId="7DBDE26C" w14:textId="75288216" w:rsidR="008C151E" w:rsidRDefault="00E1451F" w:rsidP="008C151E">
            <w:pPr>
              <w:spacing w:line="240" w:lineRule="auto"/>
              <w:rPr>
                <w:rFonts w:ascii="Book Antiqua" w:hAnsi="Book Antiqua"/>
                <w:szCs w:val="24"/>
                <w:lang w:val="en-US"/>
              </w:rPr>
            </w:pPr>
            <w:r>
              <w:rPr>
                <w:sz w:val="20"/>
              </w:rPr>
              <w:t xml:space="preserve">Pages </w:t>
            </w:r>
            <w:r w:rsidR="009A25F8">
              <w:rPr>
                <w:sz w:val="20"/>
              </w:rPr>
              <w:t xml:space="preserve">8-9 (lines </w:t>
            </w:r>
            <w:r w:rsidR="00065BA5">
              <w:rPr>
                <w:sz w:val="20"/>
              </w:rPr>
              <w:t>2</w:t>
            </w:r>
            <w:r w:rsidR="00A05D77">
              <w:rPr>
                <w:sz w:val="20"/>
              </w:rPr>
              <w:t>3</w:t>
            </w:r>
            <w:r w:rsidR="00065BA5">
              <w:rPr>
                <w:sz w:val="20"/>
              </w:rPr>
              <w:t>0-</w:t>
            </w:r>
            <w:r w:rsidR="00A05D77">
              <w:rPr>
                <w:sz w:val="20"/>
              </w:rPr>
              <w:t>312</w:t>
            </w:r>
            <w:r w:rsidR="00065BA5">
              <w:rPr>
                <w:sz w:val="20"/>
              </w:rPr>
              <w:t xml:space="preserve">); </w:t>
            </w:r>
            <w:r w:rsidR="008C151E">
              <w:rPr>
                <w:sz w:val="20"/>
              </w:rPr>
              <w:t xml:space="preserve">a) </w:t>
            </w:r>
            <w:r w:rsidR="008C151E" w:rsidRPr="008C151E">
              <w:rPr>
                <w:rFonts w:ascii="Book Antiqua" w:hAnsi="Book Antiqua"/>
                <w:sz w:val="20"/>
                <w:lang w:val="en-US"/>
              </w:rPr>
              <w:t>A total of 220 IBD patients treated with CT-P13 (</w:t>
            </w:r>
            <w:proofErr w:type="spellStart"/>
            <w:r w:rsidR="008C151E" w:rsidRPr="008C151E">
              <w:rPr>
                <w:rFonts w:ascii="Book Antiqua" w:hAnsi="Book Antiqua"/>
                <w:sz w:val="20"/>
                <w:lang w:val="en-US"/>
              </w:rPr>
              <w:t>Remsima</w:t>
            </w:r>
            <w:proofErr w:type="spellEnd"/>
            <w:r w:rsidR="008C151E" w:rsidRPr="008C151E">
              <w:rPr>
                <w:rFonts w:ascii="Book Antiqua" w:hAnsi="Book Antiqua"/>
                <w:sz w:val="20"/>
                <w:vertAlign w:val="superscript"/>
                <w:lang w:val="en-US"/>
              </w:rPr>
              <w:t>®</w:t>
            </w:r>
            <w:r w:rsidR="008C151E" w:rsidRPr="008C151E">
              <w:rPr>
                <w:rFonts w:ascii="Book Antiqua" w:hAnsi="Book Antiqua"/>
                <w:sz w:val="20"/>
                <w:lang w:val="en-US"/>
              </w:rPr>
              <w:t>) were included in the study: 87 (40%) with UC and 133 (60%) with CD. At the time of starting CT-P13 (</w:t>
            </w:r>
            <w:proofErr w:type="spellStart"/>
            <w:r w:rsidR="008C151E" w:rsidRPr="008C151E">
              <w:rPr>
                <w:rFonts w:ascii="Book Antiqua" w:hAnsi="Book Antiqua"/>
                <w:sz w:val="20"/>
                <w:lang w:val="en-US"/>
              </w:rPr>
              <w:t>Remsima</w:t>
            </w:r>
            <w:proofErr w:type="spellEnd"/>
            <w:r w:rsidR="008C151E" w:rsidRPr="008C151E">
              <w:rPr>
                <w:rFonts w:ascii="Book Antiqua" w:hAnsi="Book Antiqua"/>
                <w:sz w:val="20"/>
                <w:vertAlign w:val="superscript"/>
                <w:lang w:val="en-US"/>
              </w:rPr>
              <w:t>®</w:t>
            </w:r>
            <w:r w:rsidR="008C151E" w:rsidRPr="008C151E">
              <w:rPr>
                <w:rFonts w:ascii="Book Antiqua" w:hAnsi="Book Antiqua"/>
                <w:sz w:val="20"/>
                <w:lang w:val="en-US"/>
              </w:rPr>
              <w:t>) treatment, mean age of patients was 41.47 (SD 15.74). They were well distributed by gender: 42% were male and 58% were female. Most patients (140, 63.6%) were non-smokers, 37 (16.8%) were smokers, and 28 (12.8%) were former smokers.</w:t>
            </w:r>
            <w:r w:rsidR="008C151E" w:rsidRPr="00E34634">
              <w:rPr>
                <w:rFonts w:ascii="Book Antiqua" w:hAnsi="Book Antiqua"/>
                <w:szCs w:val="24"/>
                <w:lang w:val="en-US"/>
              </w:rPr>
              <w:t xml:space="preserve"> </w:t>
            </w:r>
          </w:p>
          <w:p w14:paraId="79FC9881" w14:textId="77777777" w:rsidR="00877B9A" w:rsidRDefault="00877B9A" w:rsidP="008C151E">
            <w:pPr>
              <w:spacing w:line="240" w:lineRule="auto"/>
              <w:rPr>
                <w:rFonts w:ascii="Book Antiqua" w:hAnsi="Book Antiqua"/>
                <w:szCs w:val="24"/>
                <w:lang w:val="en-US"/>
              </w:rPr>
            </w:pPr>
          </w:p>
          <w:p w14:paraId="6A7387BE" w14:textId="77777777" w:rsidR="00877B9A" w:rsidRPr="00E34634" w:rsidRDefault="00877B9A" w:rsidP="008C151E">
            <w:pPr>
              <w:spacing w:line="240" w:lineRule="auto"/>
              <w:rPr>
                <w:rFonts w:ascii="Book Antiqua" w:hAnsi="Book Antiqua"/>
                <w:szCs w:val="24"/>
                <w:lang w:val="en-US"/>
              </w:rPr>
            </w:pPr>
          </w:p>
          <w:p w14:paraId="69D42570" w14:textId="5EA74DBA" w:rsidR="008C151E" w:rsidRPr="000142B2" w:rsidRDefault="008C151E" w:rsidP="008C151E">
            <w:pPr>
              <w:spacing w:line="240" w:lineRule="auto"/>
              <w:rPr>
                <w:sz w:val="20"/>
              </w:rPr>
            </w:pPr>
            <w:r>
              <w:rPr>
                <w:sz w:val="20"/>
              </w:rPr>
              <w:t xml:space="preserve">b) </w:t>
            </w:r>
            <w:r w:rsidR="00877B9A">
              <w:rPr>
                <w:sz w:val="20"/>
              </w:rPr>
              <w:t xml:space="preserve">Page </w:t>
            </w:r>
            <w:r>
              <w:rPr>
                <w:sz w:val="20"/>
              </w:rPr>
              <w:t xml:space="preserve">7 (lines </w:t>
            </w:r>
            <w:r w:rsidR="00A05D77">
              <w:rPr>
                <w:sz w:val="20"/>
              </w:rPr>
              <w:t>181</w:t>
            </w:r>
            <w:r>
              <w:rPr>
                <w:sz w:val="20"/>
              </w:rPr>
              <w:t>-1</w:t>
            </w:r>
            <w:r w:rsidR="00A05D77">
              <w:rPr>
                <w:sz w:val="20"/>
              </w:rPr>
              <w:t>83</w:t>
            </w:r>
            <w:r>
              <w:rPr>
                <w:sz w:val="20"/>
              </w:rPr>
              <w:t xml:space="preserve">); </w:t>
            </w:r>
            <w:r w:rsidRPr="008C151E">
              <w:rPr>
                <w:rFonts w:ascii="Book Antiqua" w:hAnsi="Book Antiqua"/>
                <w:sz w:val="20"/>
                <w:lang w:val="en-US"/>
              </w:rPr>
              <w:t>Patients who were unresponsive to infliximab or allergic or intolerant to infliximab or its excipients, or had a contraindication to infliximab were excluded.</w:t>
            </w:r>
          </w:p>
        </w:tc>
      </w:tr>
      <w:tr w:rsidR="00E429D4" w:rsidRPr="000142B2" w14:paraId="78389561" w14:textId="77777777" w:rsidTr="00E429D4">
        <w:trPr>
          <w:trHeight w:val="61"/>
        </w:trPr>
        <w:tc>
          <w:tcPr>
            <w:tcW w:w="0" w:type="auto"/>
            <w:vMerge/>
          </w:tcPr>
          <w:p w14:paraId="2E3763AE"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1DF7D751" w14:textId="77777777" w:rsidR="00333EB7" w:rsidRPr="000142B2" w:rsidRDefault="00333EB7" w:rsidP="0022554A">
            <w:pPr>
              <w:tabs>
                <w:tab w:val="left" w:pos="5400"/>
              </w:tabs>
              <w:jc w:val="center"/>
              <w:rPr>
                <w:sz w:val="20"/>
              </w:rPr>
            </w:pPr>
          </w:p>
        </w:tc>
        <w:tc>
          <w:tcPr>
            <w:tcW w:w="8458" w:type="dxa"/>
            <w:tcBorders>
              <w:top w:val="nil"/>
              <w:bottom w:val="nil"/>
              <w:right w:val="single" w:sz="4" w:space="0" w:color="auto"/>
            </w:tcBorders>
          </w:tcPr>
          <w:p w14:paraId="480BEE61" w14:textId="77777777" w:rsidR="00333EB7" w:rsidRPr="000142B2" w:rsidRDefault="00333EB7" w:rsidP="0022554A">
            <w:pPr>
              <w:tabs>
                <w:tab w:val="left" w:pos="5400"/>
              </w:tabs>
              <w:rPr>
                <w:sz w:val="20"/>
              </w:rPr>
            </w:pPr>
            <w:r w:rsidRPr="000142B2">
              <w:rPr>
                <w:sz w:val="20"/>
              </w:rPr>
              <w:t>(b) Give reasons for non-participation at each stage</w:t>
            </w:r>
          </w:p>
        </w:tc>
        <w:tc>
          <w:tcPr>
            <w:tcW w:w="3827" w:type="dxa"/>
            <w:tcBorders>
              <w:top w:val="nil"/>
              <w:left w:val="single" w:sz="4" w:space="0" w:color="auto"/>
              <w:bottom w:val="nil"/>
              <w:right w:val="nil"/>
            </w:tcBorders>
            <w:shd w:val="clear" w:color="auto" w:fill="auto"/>
          </w:tcPr>
          <w:p w14:paraId="0CC4E2AC" w14:textId="2D126EAF" w:rsidR="00333EB7" w:rsidRPr="000142B2" w:rsidRDefault="008C151E">
            <w:pPr>
              <w:spacing w:line="240" w:lineRule="auto"/>
              <w:rPr>
                <w:sz w:val="20"/>
              </w:rPr>
            </w:pPr>
            <w:r>
              <w:rPr>
                <w:sz w:val="20"/>
              </w:rPr>
              <w:t>c) N/A</w:t>
            </w:r>
          </w:p>
        </w:tc>
      </w:tr>
      <w:tr w:rsidR="00E429D4" w:rsidRPr="000142B2" w14:paraId="207CDF2D" w14:textId="77777777" w:rsidTr="00E429D4">
        <w:trPr>
          <w:trHeight w:val="61"/>
        </w:trPr>
        <w:tc>
          <w:tcPr>
            <w:tcW w:w="0" w:type="auto"/>
            <w:vMerge/>
          </w:tcPr>
          <w:p w14:paraId="2DC7B395"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1413305" w14:textId="77777777" w:rsidR="00333EB7" w:rsidRPr="000142B2" w:rsidRDefault="00333EB7" w:rsidP="0022554A">
            <w:pPr>
              <w:tabs>
                <w:tab w:val="left" w:pos="5400"/>
              </w:tabs>
              <w:jc w:val="center"/>
              <w:rPr>
                <w:sz w:val="20"/>
              </w:rPr>
            </w:pPr>
          </w:p>
        </w:tc>
        <w:tc>
          <w:tcPr>
            <w:tcW w:w="8458" w:type="dxa"/>
            <w:tcBorders>
              <w:top w:val="nil"/>
              <w:bottom w:val="single" w:sz="4" w:space="0" w:color="auto"/>
              <w:right w:val="single" w:sz="4" w:space="0" w:color="auto"/>
            </w:tcBorders>
          </w:tcPr>
          <w:p w14:paraId="1D4F2321"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3827" w:type="dxa"/>
            <w:tcBorders>
              <w:top w:val="nil"/>
              <w:left w:val="single" w:sz="4" w:space="0" w:color="auto"/>
              <w:bottom w:val="single" w:sz="4" w:space="0" w:color="auto"/>
              <w:right w:val="nil"/>
            </w:tcBorders>
            <w:shd w:val="clear" w:color="auto" w:fill="auto"/>
          </w:tcPr>
          <w:p w14:paraId="00037A71" w14:textId="77777777" w:rsidR="00333EB7" w:rsidRPr="000142B2" w:rsidRDefault="00333EB7">
            <w:pPr>
              <w:spacing w:line="240" w:lineRule="auto"/>
              <w:rPr>
                <w:sz w:val="20"/>
              </w:rPr>
            </w:pPr>
          </w:p>
        </w:tc>
      </w:tr>
      <w:tr w:rsidR="00E429D4" w:rsidRPr="000142B2" w14:paraId="5B7069E5" w14:textId="77777777" w:rsidTr="00E429D4">
        <w:trPr>
          <w:trHeight w:val="61"/>
        </w:trPr>
        <w:tc>
          <w:tcPr>
            <w:tcW w:w="0" w:type="auto"/>
            <w:vMerge w:val="restart"/>
          </w:tcPr>
          <w:p w14:paraId="718A7592"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67CD60DA"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8458" w:type="dxa"/>
            <w:tcBorders>
              <w:top w:val="single" w:sz="4" w:space="0" w:color="auto"/>
              <w:bottom w:val="nil"/>
              <w:right w:val="single" w:sz="4" w:space="0" w:color="auto"/>
            </w:tcBorders>
          </w:tcPr>
          <w:p w14:paraId="4D0988B3"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3827" w:type="dxa"/>
            <w:tcBorders>
              <w:top w:val="single" w:sz="4" w:space="0" w:color="auto"/>
              <w:left w:val="single" w:sz="4" w:space="0" w:color="auto"/>
              <w:bottom w:val="nil"/>
              <w:right w:val="nil"/>
            </w:tcBorders>
            <w:shd w:val="clear" w:color="auto" w:fill="auto"/>
          </w:tcPr>
          <w:p w14:paraId="020A8B65" w14:textId="1C519FAB" w:rsidR="00333EB7" w:rsidRDefault="002D2835" w:rsidP="002D2835">
            <w:pPr>
              <w:spacing w:line="240" w:lineRule="auto"/>
              <w:rPr>
                <w:rFonts w:ascii="Book Antiqua" w:hAnsi="Book Antiqua"/>
                <w:sz w:val="20"/>
                <w:lang w:val="en-US"/>
              </w:rPr>
            </w:pPr>
            <w:r>
              <w:rPr>
                <w:sz w:val="20"/>
              </w:rPr>
              <w:t xml:space="preserve">a) </w:t>
            </w:r>
            <w:r w:rsidR="00877B9A">
              <w:rPr>
                <w:sz w:val="20"/>
              </w:rPr>
              <w:t xml:space="preserve">Page </w:t>
            </w:r>
            <w:r>
              <w:rPr>
                <w:sz w:val="20"/>
              </w:rPr>
              <w:t>7 (lines 1</w:t>
            </w:r>
            <w:r w:rsidR="00A05D77">
              <w:rPr>
                <w:sz w:val="20"/>
              </w:rPr>
              <w:t>78</w:t>
            </w:r>
            <w:r>
              <w:rPr>
                <w:sz w:val="20"/>
              </w:rPr>
              <w:t>-1</w:t>
            </w:r>
            <w:r w:rsidR="00A05D77">
              <w:rPr>
                <w:sz w:val="20"/>
              </w:rPr>
              <w:t>81</w:t>
            </w:r>
            <w:r>
              <w:rPr>
                <w:sz w:val="20"/>
              </w:rPr>
              <w:t xml:space="preserve">); </w:t>
            </w:r>
            <w:r w:rsidRPr="002D2835">
              <w:rPr>
                <w:rFonts w:ascii="Book Antiqua" w:hAnsi="Book Antiqua"/>
                <w:sz w:val="20"/>
                <w:lang w:val="en-US"/>
              </w:rPr>
              <w:t xml:space="preserve">The study included IBD patients treated with </w:t>
            </w:r>
            <w:proofErr w:type="spellStart"/>
            <w:r w:rsidRPr="002D2835">
              <w:rPr>
                <w:rFonts w:ascii="Book Antiqua" w:hAnsi="Book Antiqua"/>
                <w:sz w:val="20"/>
                <w:lang w:val="en-US"/>
              </w:rPr>
              <w:t>Remsima</w:t>
            </w:r>
            <w:proofErr w:type="spellEnd"/>
            <w:r w:rsidRPr="002D2835">
              <w:rPr>
                <w:rFonts w:ascii="Book Antiqua" w:hAnsi="Book Antiqua"/>
                <w:sz w:val="20"/>
                <w:vertAlign w:val="superscript"/>
                <w:lang w:val="en-US"/>
              </w:rPr>
              <w:t xml:space="preserve">® </w:t>
            </w:r>
            <w:r w:rsidRPr="002D2835">
              <w:rPr>
                <w:rFonts w:ascii="Book Antiqua" w:hAnsi="Book Antiqua"/>
                <w:sz w:val="20"/>
                <w:lang w:val="en-US"/>
              </w:rPr>
              <w:t>(infliximab biosimilar, CT-P13, Kern Pharma, Spain) in clinical practice who were naïve to biological treatments, or with failure to respond to other anti-TNF drugs, or who had switched from infliximab (Remicade</w:t>
            </w:r>
            <w:r w:rsidRPr="002D2835">
              <w:rPr>
                <w:rFonts w:ascii="Book Antiqua" w:hAnsi="Book Antiqua"/>
                <w:sz w:val="20"/>
                <w:vertAlign w:val="superscript"/>
                <w:lang w:val="en-US"/>
              </w:rPr>
              <w:t>®</w:t>
            </w:r>
            <w:r w:rsidRPr="002D2835">
              <w:rPr>
                <w:rFonts w:ascii="Book Antiqua" w:hAnsi="Book Antiqua"/>
                <w:sz w:val="20"/>
                <w:lang w:val="en-US"/>
              </w:rPr>
              <w:t>).</w:t>
            </w:r>
          </w:p>
          <w:p w14:paraId="6992485A" w14:textId="77777777" w:rsidR="002D2835" w:rsidRDefault="002D2835" w:rsidP="002D2835">
            <w:pPr>
              <w:spacing w:line="240" w:lineRule="auto"/>
              <w:rPr>
                <w:rFonts w:ascii="Book Antiqua" w:hAnsi="Book Antiqua"/>
                <w:sz w:val="20"/>
                <w:lang w:val="en-US"/>
              </w:rPr>
            </w:pPr>
            <w:r>
              <w:rPr>
                <w:rFonts w:ascii="Book Antiqua" w:hAnsi="Book Antiqua"/>
                <w:sz w:val="20"/>
                <w:lang w:val="en-US"/>
              </w:rPr>
              <w:t>b) N/A</w:t>
            </w:r>
          </w:p>
          <w:p w14:paraId="01CE1E63" w14:textId="393DA4FE" w:rsidR="002D2835" w:rsidRPr="000142B2" w:rsidRDefault="002D2835" w:rsidP="002D2835">
            <w:pPr>
              <w:spacing w:line="240" w:lineRule="auto"/>
              <w:rPr>
                <w:sz w:val="20"/>
              </w:rPr>
            </w:pPr>
            <w:r>
              <w:rPr>
                <w:rFonts w:ascii="Book Antiqua" w:hAnsi="Book Antiqua"/>
                <w:sz w:val="20"/>
                <w:lang w:val="en-US"/>
              </w:rPr>
              <w:lastRenderedPageBreak/>
              <w:t>c)</w:t>
            </w:r>
            <w:r w:rsidR="000C41C4">
              <w:rPr>
                <w:rFonts w:ascii="Book Antiqua" w:hAnsi="Book Antiqua"/>
                <w:sz w:val="20"/>
                <w:lang w:val="en-US"/>
              </w:rPr>
              <w:t xml:space="preserve"> </w:t>
            </w:r>
            <w:r w:rsidR="00877B9A">
              <w:rPr>
                <w:rFonts w:ascii="Book Antiqua" w:hAnsi="Book Antiqua"/>
                <w:sz w:val="20"/>
                <w:lang w:val="en-US"/>
              </w:rPr>
              <w:t xml:space="preserve">page </w:t>
            </w:r>
            <w:r w:rsidR="00CC2140">
              <w:rPr>
                <w:rFonts w:ascii="Book Antiqua" w:hAnsi="Book Antiqua"/>
                <w:sz w:val="20"/>
                <w:lang w:val="en-US"/>
              </w:rPr>
              <w:t>10</w:t>
            </w:r>
            <w:r w:rsidR="000C41C4">
              <w:rPr>
                <w:rFonts w:ascii="Book Antiqua" w:hAnsi="Book Antiqua"/>
                <w:sz w:val="20"/>
                <w:lang w:val="en-US"/>
              </w:rPr>
              <w:t xml:space="preserve"> (line 2</w:t>
            </w:r>
            <w:r w:rsidR="00CC2140">
              <w:rPr>
                <w:rFonts w:ascii="Book Antiqua" w:hAnsi="Book Antiqua"/>
                <w:sz w:val="20"/>
                <w:lang w:val="en-US"/>
              </w:rPr>
              <w:t>6</w:t>
            </w:r>
            <w:r w:rsidR="000C41C4">
              <w:rPr>
                <w:rFonts w:ascii="Book Antiqua" w:hAnsi="Book Antiqua"/>
                <w:sz w:val="20"/>
                <w:lang w:val="en-US"/>
              </w:rPr>
              <w:t>2</w:t>
            </w:r>
            <w:r w:rsidR="00CC2140">
              <w:rPr>
                <w:rFonts w:ascii="Book Antiqua" w:hAnsi="Book Antiqua"/>
                <w:sz w:val="20"/>
                <w:lang w:val="en-US"/>
              </w:rPr>
              <w:t>-263</w:t>
            </w:r>
            <w:r w:rsidR="000C41C4">
              <w:rPr>
                <w:rFonts w:ascii="Book Antiqua" w:hAnsi="Book Antiqua"/>
                <w:sz w:val="20"/>
                <w:lang w:val="en-US"/>
              </w:rPr>
              <w:t>); One year follow up.</w:t>
            </w:r>
          </w:p>
        </w:tc>
      </w:tr>
      <w:tr w:rsidR="00E429D4" w:rsidRPr="000142B2" w14:paraId="107F6C17" w14:textId="77777777" w:rsidTr="00E429D4">
        <w:trPr>
          <w:trHeight w:val="61"/>
        </w:trPr>
        <w:tc>
          <w:tcPr>
            <w:tcW w:w="0" w:type="auto"/>
            <w:vMerge/>
          </w:tcPr>
          <w:p w14:paraId="029B5D4D" w14:textId="2BEE9A69"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1D56F4B1" w14:textId="77777777" w:rsidR="00333EB7" w:rsidRPr="000142B2" w:rsidRDefault="00333EB7" w:rsidP="0022554A">
            <w:pPr>
              <w:tabs>
                <w:tab w:val="left" w:pos="5400"/>
              </w:tabs>
              <w:jc w:val="center"/>
              <w:rPr>
                <w:sz w:val="20"/>
              </w:rPr>
            </w:pPr>
          </w:p>
        </w:tc>
        <w:tc>
          <w:tcPr>
            <w:tcW w:w="8458" w:type="dxa"/>
            <w:tcBorders>
              <w:top w:val="nil"/>
              <w:bottom w:val="nil"/>
              <w:right w:val="single" w:sz="4" w:space="0" w:color="auto"/>
            </w:tcBorders>
          </w:tcPr>
          <w:p w14:paraId="2BF5FA1A"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3827" w:type="dxa"/>
            <w:tcBorders>
              <w:top w:val="nil"/>
              <w:left w:val="single" w:sz="4" w:space="0" w:color="auto"/>
              <w:bottom w:val="nil"/>
              <w:right w:val="nil"/>
            </w:tcBorders>
            <w:shd w:val="clear" w:color="auto" w:fill="auto"/>
          </w:tcPr>
          <w:p w14:paraId="16889316" w14:textId="77777777" w:rsidR="00333EB7" w:rsidRPr="000142B2" w:rsidRDefault="00333EB7">
            <w:pPr>
              <w:spacing w:line="240" w:lineRule="auto"/>
              <w:rPr>
                <w:sz w:val="20"/>
              </w:rPr>
            </w:pPr>
          </w:p>
        </w:tc>
      </w:tr>
      <w:tr w:rsidR="00E429D4" w:rsidRPr="000142B2" w14:paraId="06166BF5" w14:textId="77777777" w:rsidTr="00E429D4">
        <w:trPr>
          <w:trHeight w:val="61"/>
        </w:trPr>
        <w:tc>
          <w:tcPr>
            <w:tcW w:w="0" w:type="auto"/>
            <w:vMerge/>
          </w:tcPr>
          <w:p w14:paraId="03627192"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2AB9EE4" w14:textId="77777777" w:rsidR="00333EB7" w:rsidRPr="000142B2" w:rsidRDefault="00333EB7" w:rsidP="0022554A">
            <w:pPr>
              <w:tabs>
                <w:tab w:val="left" w:pos="5400"/>
              </w:tabs>
              <w:jc w:val="center"/>
              <w:rPr>
                <w:sz w:val="20"/>
              </w:rPr>
            </w:pPr>
          </w:p>
        </w:tc>
        <w:tc>
          <w:tcPr>
            <w:tcW w:w="8458" w:type="dxa"/>
            <w:tcBorders>
              <w:top w:val="nil"/>
              <w:bottom w:val="single" w:sz="4" w:space="0" w:color="auto"/>
              <w:right w:val="single" w:sz="4" w:space="0" w:color="auto"/>
            </w:tcBorders>
          </w:tcPr>
          <w:p w14:paraId="3CFB7B27"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3827" w:type="dxa"/>
            <w:tcBorders>
              <w:top w:val="nil"/>
              <w:left w:val="single" w:sz="4" w:space="0" w:color="auto"/>
              <w:bottom w:val="single" w:sz="4" w:space="0" w:color="auto"/>
              <w:right w:val="nil"/>
            </w:tcBorders>
            <w:shd w:val="clear" w:color="auto" w:fill="auto"/>
          </w:tcPr>
          <w:p w14:paraId="16B0576B" w14:textId="77777777" w:rsidR="00333EB7" w:rsidRPr="000142B2" w:rsidRDefault="00333EB7">
            <w:pPr>
              <w:spacing w:line="240" w:lineRule="auto"/>
              <w:rPr>
                <w:sz w:val="20"/>
              </w:rPr>
            </w:pPr>
          </w:p>
        </w:tc>
      </w:tr>
      <w:tr w:rsidR="00E429D4" w:rsidRPr="000142B2" w14:paraId="258AED8B" w14:textId="77777777" w:rsidTr="00E429D4">
        <w:trPr>
          <w:trHeight w:val="127"/>
        </w:trPr>
        <w:tc>
          <w:tcPr>
            <w:tcW w:w="0" w:type="auto"/>
            <w:tcBorders>
              <w:bottom w:val="single" w:sz="4" w:space="0" w:color="auto"/>
            </w:tcBorders>
          </w:tcPr>
          <w:p w14:paraId="25383F71"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9E696AF"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8458" w:type="dxa"/>
            <w:tcBorders>
              <w:top w:val="single" w:sz="4" w:space="0" w:color="auto"/>
              <w:bottom w:val="single" w:sz="4" w:space="0" w:color="auto"/>
              <w:right w:val="single" w:sz="4" w:space="0" w:color="auto"/>
            </w:tcBorders>
          </w:tcPr>
          <w:p w14:paraId="1E2FA01A"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3827" w:type="dxa"/>
            <w:tcBorders>
              <w:top w:val="single" w:sz="4" w:space="0" w:color="auto"/>
              <w:left w:val="single" w:sz="4" w:space="0" w:color="auto"/>
              <w:bottom w:val="single" w:sz="4" w:space="0" w:color="auto"/>
              <w:right w:val="nil"/>
            </w:tcBorders>
            <w:shd w:val="clear" w:color="auto" w:fill="auto"/>
          </w:tcPr>
          <w:p w14:paraId="241DC7E9" w14:textId="2A035FED" w:rsidR="00333EB7" w:rsidRPr="000142B2" w:rsidRDefault="00123F90">
            <w:pPr>
              <w:spacing w:line="240" w:lineRule="auto"/>
              <w:rPr>
                <w:sz w:val="20"/>
              </w:rPr>
            </w:pPr>
            <w:r>
              <w:rPr>
                <w:sz w:val="20"/>
              </w:rPr>
              <w:t>N/A</w:t>
            </w:r>
          </w:p>
        </w:tc>
      </w:tr>
    </w:tbl>
    <w:p w14:paraId="5DC7B44D" w14:textId="0738D9E9" w:rsidR="00333EB7" w:rsidRDefault="00333EB7">
      <w:bookmarkStart w:id="74" w:name="italic40" w:colFirst="0" w:colLast="0"/>
      <w:bookmarkStart w:id="75" w:name="bold41" w:colFirst="0" w:colLast="0"/>
      <w:bookmarkEnd w:id="71"/>
      <w:bookmarkEnd w:id="72"/>
    </w:p>
    <w:tbl>
      <w:tblPr>
        <w:tblW w:w="14850" w:type="dxa"/>
        <w:tblBorders>
          <w:insideH w:val="single" w:sz="4" w:space="0" w:color="auto"/>
        </w:tblBorders>
        <w:tblLook w:val="0000" w:firstRow="0" w:lastRow="0" w:firstColumn="0" w:lastColumn="0" w:noHBand="0" w:noVBand="0"/>
      </w:tblPr>
      <w:tblGrid>
        <w:gridCol w:w="1494"/>
        <w:gridCol w:w="416"/>
        <w:gridCol w:w="9113"/>
        <w:gridCol w:w="3827"/>
      </w:tblGrid>
      <w:tr w:rsidR="00B67B90" w:rsidRPr="000142B2" w14:paraId="62B60520" w14:textId="77777777" w:rsidTr="00B67B90">
        <w:tc>
          <w:tcPr>
            <w:tcW w:w="0" w:type="auto"/>
            <w:vMerge w:val="restart"/>
            <w:tcBorders>
              <w:top w:val="single" w:sz="4" w:space="0" w:color="auto"/>
              <w:bottom w:val="single" w:sz="4" w:space="0" w:color="auto"/>
            </w:tcBorders>
          </w:tcPr>
          <w:p w14:paraId="515CE0C3" w14:textId="77777777"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14:paraId="73277D2B" w14:textId="77777777" w:rsidR="00333EB7" w:rsidRPr="000142B2" w:rsidRDefault="00333EB7" w:rsidP="0022554A">
            <w:pPr>
              <w:tabs>
                <w:tab w:val="left" w:pos="5400"/>
              </w:tabs>
              <w:jc w:val="center"/>
              <w:rPr>
                <w:sz w:val="20"/>
              </w:rPr>
            </w:pPr>
            <w:r w:rsidRPr="000142B2">
              <w:rPr>
                <w:sz w:val="20"/>
              </w:rPr>
              <w:t>16</w:t>
            </w:r>
          </w:p>
        </w:tc>
        <w:tc>
          <w:tcPr>
            <w:tcW w:w="9113" w:type="dxa"/>
            <w:tcBorders>
              <w:top w:val="single" w:sz="4" w:space="0" w:color="auto"/>
              <w:bottom w:val="nil"/>
              <w:right w:val="single" w:sz="4" w:space="0" w:color="auto"/>
            </w:tcBorders>
          </w:tcPr>
          <w:p w14:paraId="4CF9BCC7"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3827" w:type="dxa"/>
            <w:tcBorders>
              <w:top w:val="single" w:sz="4" w:space="0" w:color="auto"/>
              <w:left w:val="single" w:sz="4" w:space="0" w:color="auto"/>
              <w:bottom w:val="nil"/>
              <w:right w:val="nil"/>
            </w:tcBorders>
            <w:shd w:val="clear" w:color="auto" w:fill="auto"/>
          </w:tcPr>
          <w:p w14:paraId="23CBF656" w14:textId="44C120B6" w:rsidR="00333EB7" w:rsidRPr="008E323E" w:rsidRDefault="008E323E" w:rsidP="00B67B90">
            <w:pPr>
              <w:spacing w:line="240" w:lineRule="auto"/>
              <w:ind w:right="-108"/>
              <w:rPr>
                <w:color w:val="C0504D" w:themeColor="accent2"/>
                <w:sz w:val="20"/>
              </w:rPr>
            </w:pPr>
            <w:r w:rsidRPr="008E323E">
              <w:rPr>
                <w:color w:val="C0504D" w:themeColor="accent2"/>
                <w:sz w:val="20"/>
              </w:rPr>
              <w:t>-------------</w:t>
            </w:r>
          </w:p>
        </w:tc>
      </w:tr>
      <w:tr w:rsidR="00B67B90" w:rsidRPr="000142B2" w14:paraId="5C11DFDC" w14:textId="77777777" w:rsidTr="00B67B90">
        <w:tc>
          <w:tcPr>
            <w:tcW w:w="0" w:type="auto"/>
            <w:vMerge/>
            <w:tcBorders>
              <w:top w:val="single" w:sz="4" w:space="0" w:color="auto"/>
              <w:bottom w:val="single" w:sz="4" w:space="0" w:color="auto"/>
            </w:tcBorders>
          </w:tcPr>
          <w:p w14:paraId="7BEF8C31"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FE21F66" w14:textId="77777777" w:rsidR="00333EB7" w:rsidRPr="000142B2" w:rsidRDefault="00333EB7" w:rsidP="0022554A">
            <w:pPr>
              <w:tabs>
                <w:tab w:val="left" w:pos="5400"/>
              </w:tabs>
              <w:jc w:val="center"/>
              <w:rPr>
                <w:sz w:val="20"/>
              </w:rPr>
            </w:pPr>
          </w:p>
        </w:tc>
        <w:tc>
          <w:tcPr>
            <w:tcW w:w="9113" w:type="dxa"/>
            <w:tcBorders>
              <w:top w:val="nil"/>
              <w:bottom w:val="nil"/>
              <w:right w:val="single" w:sz="4" w:space="0" w:color="auto"/>
            </w:tcBorders>
          </w:tcPr>
          <w:p w14:paraId="10DB5F9A"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3827" w:type="dxa"/>
            <w:tcBorders>
              <w:top w:val="nil"/>
              <w:left w:val="single" w:sz="4" w:space="0" w:color="auto"/>
              <w:bottom w:val="nil"/>
              <w:right w:val="nil"/>
            </w:tcBorders>
            <w:shd w:val="clear" w:color="auto" w:fill="auto"/>
          </w:tcPr>
          <w:p w14:paraId="4AEF5EBA" w14:textId="77777777" w:rsidR="00333EB7" w:rsidRPr="000142B2" w:rsidRDefault="00333EB7" w:rsidP="00B67B90">
            <w:pPr>
              <w:spacing w:line="240" w:lineRule="auto"/>
              <w:ind w:right="-108"/>
              <w:rPr>
                <w:sz w:val="20"/>
              </w:rPr>
            </w:pPr>
          </w:p>
        </w:tc>
      </w:tr>
      <w:tr w:rsidR="00B67B90" w:rsidRPr="000142B2" w14:paraId="6EBC76A6" w14:textId="77777777" w:rsidTr="00B67B90">
        <w:tc>
          <w:tcPr>
            <w:tcW w:w="0" w:type="auto"/>
            <w:vMerge/>
            <w:tcBorders>
              <w:top w:val="single" w:sz="4" w:space="0" w:color="auto"/>
              <w:bottom w:val="single" w:sz="4" w:space="0" w:color="auto"/>
            </w:tcBorders>
          </w:tcPr>
          <w:p w14:paraId="34C5D00B"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23CAF6A9" w14:textId="77777777" w:rsidR="00333EB7" w:rsidRPr="000142B2" w:rsidRDefault="00333EB7" w:rsidP="0022554A">
            <w:pPr>
              <w:tabs>
                <w:tab w:val="left" w:pos="5400"/>
              </w:tabs>
              <w:jc w:val="center"/>
              <w:rPr>
                <w:sz w:val="20"/>
              </w:rPr>
            </w:pPr>
          </w:p>
        </w:tc>
        <w:tc>
          <w:tcPr>
            <w:tcW w:w="9113" w:type="dxa"/>
            <w:tcBorders>
              <w:top w:val="nil"/>
              <w:bottom w:val="single" w:sz="4" w:space="0" w:color="auto"/>
              <w:right w:val="single" w:sz="4" w:space="0" w:color="auto"/>
            </w:tcBorders>
          </w:tcPr>
          <w:p w14:paraId="3C6581DE"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3827" w:type="dxa"/>
            <w:tcBorders>
              <w:top w:val="nil"/>
              <w:left w:val="single" w:sz="4" w:space="0" w:color="auto"/>
              <w:bottom w:val="single" w:sz="4" w:space="0" w:color="auto"/>
              <w:right w:val="nil"/>
            </w:tcBorders>
            <w:shd w:val="clear" w:color="auto" w:fill="auto"/>
          </w:tcPr>
          <w:p w14:paraId="1D33FEA3" w14:textId="77777777" w:rsidR="00333EB7" w:rsidRPr="000142B2" w:rsidRDefault="00333EB7" w:rsidP="00B67B90">
            <w:pPr>
              <w:spacing w:line="240" w:lineRule="auto"/>
              <w:ind w:right="-108"/>
              <w:rPr>
                <w:sz w:val="20"/>
              </w:rPr>
            </w:pPr>
          </w:p>
        </w:tc>
      </w:tr>
      <w:tr w:rsidR="00B67B90" w:rsidRPr="000142B2" w14:paraId="3AE0FE25" w14:textId="77777777" w:rsidTr="00B67B90">
        <w:tc>
          <w:tcPr>
            <w:tcW w:w="0" w:type="auto"/>
            <w:tcBorders>
              <w:top w:val="single" w:sz="4" w:space="0" w:color="auto"/>
              <w:bottom w:val="single" w:sz="4" w:space="0" w:color="auto"/>
            </w:tcBorders>
          </w:tcPr>
          <w:p w14:paraId="4F20AA6D"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3336F5A2" w14:textId="77777777" w:rsidR="00333EB7" w:rsidRPr="000142B2" w:rsidRDefault="00333EB7" w:rsidP="0022554A">
            <w:pPr>
              <w:tabs>
                <w:tab w:val="left" w:pos="5400"/>
              </w:tabs>
              <w:jc w:val="center"/>
              <w:rPr>
                <w:sz w:val="20"/>
              </w:rPr>
            </w:pPr>
            <w:r w:rsidRPr="000142B2">
              <w:rPr>
                <w:sz w:val="20"/>
              </w:rPr>
              <w:t>17</w:t>
            </w:r>
          </w:p>
        </w:tc>
        <w:tc>
          <w:tcPr>
            <w:tcW w:w="9113" w:type="dxa"/>
            <w:tcBorders>
              <w:top w:val="single" w:sz="4" w:space="0" w:color="auto"/>
              <w:bottom w:val="single" w:sz="4" w:space="0" w:color="auto"/>
              <w:right w:val="single" w:sz="4" w:space="0" w:color="auto"/>
            </w:tcBorders>
          </w:tcPr>
          <w:p w14:paraId="5E7A201E"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3827" w:type="dxa"/>
            <w:tcBorders>
              <w:top w:val="single" w:sz="4" w:space="0" w:color="auto"/>
              <w:left w:val="single" w:sz="4" w:space="0" w:color="auto"/>
              <w:bottom w:val="single" w:sz="4" w:space="0" w:color="auto"/>
              <w:right w:val="nil"/>
            </w:tcBorders>
            <w:shd w:val="clear" w:color="auto" w:fill="auto"/>
          </w:tcPr>
          <w:p w14:paraId="0E2EF7B1" w14:textId="4010D131" w:rsidR="00333EB7" w:rsidRPr="000142B2" w:rsidRDefault="008E323E" w:rsidP="00B67B90">
            <w:pPr>
              <w:spacing w:line="240" w:lineRule="auto"/>
              <w:ind w:right="-108"/>
              <w:rPr>
                <w:sz w:val="20"/>
              </w:rPr>
            </w:pPr>
            <w:r>
              <w:rPr>
                <w:sz w:val="20"/>
              </w:rPr>
              <w:t>N/A</w:t>
            </w:r>
          </w:p>
        </w:tc>
      </w:tr>
      <w:tr w:rsidR="00B67B90" w:rsidRPr="00333EB7" w14:paraId="01065C75" w14:textId="77777777" w:rsidTr="00B67B90">
        <w:trPr>
          <w:gridAfter w:val="1"/>
          <w:wAfter w:w="3827" w:type="dxa"/>
        </w:trPr>
        <w:tc>
          <w:tcPr>
            <w:tcW w:w="11023" w:type="dxa"/>
            <w:gridSpan w:val="3"/>
            <w:tcBorders>
              <w:top w:val="single" w:sz="4" w:space="0" w:color="auto"/>
              <w:bottom w:val="nil"/>
              <w:right w:val="nil"/>
            </w:tcBorders>
          </w:tcPr>
          <w:p w14:paraId="648297CC"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B67B90" w:rsidRPr="000142B2" w14:paraId="5970CD47" w14:textId="77777777" w:rsidTr="00B67B90">
        <w:tc>
          <w:tcPr>
            <w:tcW w:w="0" w:type="auto"/>
            <w:tcBorders>
              <w:top w:val="single" w:sz="4" w:space="0" w:color="auto"/>
              <w:bottom w:val="single" w:sz="4" w:space="0" w:color="auto"/>
            </w:tcBorders>
          </w:tcPr>
          <w:p w14:paraId="6C15A4D5"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15615F4B" w14:textId="77777777" w:rsidR="00333EB7" w:rsidRPr="000142B2" w:rsidRDefault="00333EB7" w:rsidP="0022554A">
            <w:pPr>
              <w:tabs>
                <w:tab w:val="left" w:pos="5400"/>
              </w:tabs>
              <w:jc w:val="center"/>
              <w:rPr>
                <w:sz w:val="20"/>
              </w:rPr>
            </w:pPr>
            <w:r w:rsidRPr="000142B2">
              <w:rPr>
                <w:sz w:val="20"/>
              </w:rPr>
              <w:t>18</w:t>
            </w:r>
          </w:p>
        </w:tc>
        <w:tc>
          <w:tcPr>
            <w:tcW w:w="9113" w:type="dxa"/>
            <w:tcBorders>
              <w:top w:val="single" w:sz="4" w:space="0" w:color="auto"/>
              <w:bottom w:val="single" w:sz="4" w:space="0" w:color="auto"/>
              <w:right w:val="single" w:sz="4" w:space="0" w:color="auto"/>
            </w:tcBorders>
          </w:tcPr>
          <w:p w14:paraId="53916C14"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3827" w:type="dxa"/>
            <w:tcBorders>
              <w:top w:val="single" w:sz="4" w:space="0" w:color="auto"/>
              <w:left w:val="single" w:sz="4" w:space="0" w:color="auto"/>
              <w:bottom w:val="single" w:sz="4" w:space="0" w:color="auto"/>
              <w:right w:val="nil"/>
            </w:tcBorders>
            <w:shd w:val="clear" w:color="auto" w:fill="auto"/>
          </w:tcPr>
          <w:p w14:paraId="0CEC1F13" w14:textId="1535BD8C" w:rsidR="00333EB7" w:rsidRPr="000142B2" w:rsidRDefault="00877B9A" w:rsidP="00B67B90">
            <w:pPr>
              <w:spacing w:line="240" w:lineRule="auto"/>
              <w:ind w:right="-108"/>
              <w:rPr>
                <w:sz w:val="20"/>
              </w:rPr>
            </w:pPr>
            <w:r>
              <w:rPr>
                <w:sz w:val="20"/>
              </w:rPr>
              <w:t xml:space="preserve">Pages </w:t>
            </w:r>
            <w:r w:rsidR="008E323E">
              <w:rPr>
                <w:sz w:val="20"/>
              </w:rPr>
              <w:t>1</w:t>
            </w:r>
            <w:r w:rsidR="00CC2140">
              <w:rPr>
                <w:sz w:val="20"/>
              </w:rPr>
              <w:t>2</w:t>
            </w:r>
            <w:r w:rsidR="008E323E">
              <w:rPr>
                <w:sz w:val="20"/>
              </w:rPr>
              <w:t>-1</w:t>
            </w:r>
            <w:r w:rsidR="00CC2140">
              <w:rPr>
                <w:sz w:val="20"/>
              </w:rPr>
              <w:t>4</w:t>
            </w:r>
            <w:r w:rsidR="008E323E">
              <w:rPr>
                <w:sz w:val="20"/>
              </w:rPr>
              <w:t xml:space="preserve"> (lines </w:t>
            </w:r>
            <w:r w:rsidR="00CC2140">
              <w:rPr>
                <w:sz w:val="20"/>
              </w:rPr>
              <w:t>314</w:t>
            </w:r>
            <w:r w:rsidR="008E323E">
              <w:rPr>
                <w:sz w:val="20"/>
              </w:rPr>
              <w:t>-3</w:t>
            </w:r>
            <w:r w:rsidR="00CC2140">
              <w:rPr>
                <w:sz w:val="20"/>
              </w:rPr>
              <w:t>88</w:t>
            </w:r>
            <w:r w:rsidR="008E323E">
              <w:rPr>
                <w:sz w:val="20"/>
              </w:rPr>
              <w:t>)</w:t>
            </w:r>
            <w:r w:rsidR="009F0687">
              <w:rPr>
                <w:sz w:val="20"/>
              </w:rPr>
              <w:t>; Discussion</w:t>
            </w:r>
          </w:p>
        </w:tc>
      </w:tr>
      <w:tr w:rsidR="00B67B90" w:rsidRPr="000142B2" w14:paraId="2CD5DC6D" w14:textId="77777777" w:rsidTr="00B67B90">
        <w:tc>
          <w:tcPr>
            <w:tcW w:w="0" w:type="auto"/>
            <w:tcBorders>
              <w:top w:val="single" w:sz="4" w:space="0" w:color="auto"/>
            </w:tcBorders>
          </w:tcPr>
          <w:p w14:paraId="57801188"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72D6818" w14:textId="77777777" w:rsidR="00333EB7" w:rsidRPr="000142B2" w:rsidRDefault="00333EB7" w:rsidP="0022554A">
            <w:pPr>
              <w:tabs>
                <w:tab w:val="left" w:pos="5400"/>
              </w:tabs>
              <w:jc w:val="center"/>
              <w:rPr>
                <w:sz w:val="20"/>
              </w:rPr>
            </w:pPr>
            <w:r w:rsidRPr="000142B2">
              <w:rPr>
                <w:sz w:val="20"/>
              </w:rPr>
              <w:t>19</w:t>
            </w:r>
          </w:p>
        </w:tc>
        <w:tc>
          <w:tcPr>
            <w:tcW w:w="9113" w:type="dxa"/>
            <w:tcBorders>
              <w:top w:val="single" w:sz="4" w:space="0" w:color="auto"/>
              <w:right w:val="single" w:sz="4" w:space="0" w:color="auto"/>
            </w:tcBorders>
          </w:tcPr>
          <w:p w14:paraId="53FF4AD1"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3827" w:type="dxa"/>
            <w:tcBorders>
              <w:top w:val="single" w:sz="4" w:space="0" w:color="auto"/>
              <w:left w:val="single" w:sz="4" w:space="0" w:color="auto"/>
              <w:bottom w:val="single" w:sz="4" w:space="0" w:color="auto"/>
              <w:right w:val="nil"/>
            </w:tcBorders>
            <w:shd w:val="clear" w:color="auto" w:fill="auto"/>
          </w:tcPr>
          <w:p w14:paraId="03E61590" w14:textId="74DB50ED" w:rsidR="00333EB7" w:rsidRPr="000142B2" w:rsidRDefault="00877B9A" w:rsidP="00B67B90">
            <w:pPr>
              <w:spacing w:line="240" w:lineRule="auto"/>
              <w:ind w:right="-108"/>
              <w:rPr>
                <w:sz w:val="20"/>
              </w:rPr>
            </w:pPr>
            <w:r>
              <w:rPr>
                <w:sz w:val="20"/>
              </w:rPr>
              <w:t xml:space="preserve">Page </w:t>
            </w:r>
            <w:r w:rsidR="009F0687">
              <w:rPr>
                <w:sz w:val="20"/>
              </w:rPr>
              <w:t>12 (3</w:t>
            </w:r>
            <w:r w:rsidR="00680121">
              <w:rPr>
                <w:sz w:val="20"/>
              </w:rPr>
              <w:t>52</w:t>
            </w:r>
            <w:r w:rsidR="009F0687">
              <w:rPr>
                <w:sz w:val="20"/>
              </w:rPr>
              <w:t>-3</w:t>
            </w:r>
            <w:r w:rsidR="00680121">
              <w:rPr>
                <w:sz w:val="20"/>
              </w:rPr>
              <w:t>55</w:t>
            </w:r>
            <w:r w:rsidR="009F0687">
              <w:rPr>
                <w:sz w:val="20"/>
              </w:rPr>
              <w:t xml:space="preserve">); Unequal number of </w:t>
            </w:r>
            <w:r>
              <w:rPr>
                <w:sz w:val="20"/>
              </w:rPr>
              <w:t>patients</w:t>
            </w:r>
            <w:r w:rsidR="009F0687">
              <w:rPr>
                <w:sz w:val="20"/>
              </w:rPr>
              <w:t xml:space="preserve">, </w:t>
            </w:r>
            <w:r w:rsidR="00680121">
              <w:rPr>
                <w:sz w:val="20"/>
              </w:rPr>
              <w:t>(359-361)</w:t>
            </w:r>
            <w:r w:rsidR="009F0687">
              <w:rPr>
                <w:sz w:val="20"/>
              </w:rPr>
              <w:t>available data heterogeneous across visits.</w:t>
            </w:r>
          </w:p>
        </w:tc>
      </w:tr>
      <w:tr w:rsidR="00B67B90" w:rsidRPr="000142B2" w14:paraId="4FBBB073" w14:textId="77777777" w:rsidTr="00B67B90">
        <w:tc>
          <w:tcPr>
            <w:tcW w:w="0" w:type="auto"/>
          </w:tcPr>
          <w:p w14:paraId="23761465"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03F93585" w14:textId="77777777" w:rsidR="00333EB7" w:rsidRPr="000142B2" w:rsidRDefault="00333EB7" w:rsidP="0022554A">
            <w:pPr>
              <w:tabs>
                <w:tab w:val="left" w:pos="5400"/>
              </w:tabs>
              <w:jc w:val="center"/>
              <w:rPr>
                <w:sz w:val="20"/>
              </w:rPr>
            </w:pPr>
            <w:r w:rsidRPr="000142B2">
              <w:rPr>
                <w:sz w:val="20"/>
              </w:rPr>
              <w:t>20</w:t>
            </w:r>
          </w:p>
        </w:tc>
        <w:tc>
          <w:tcPr>
            <w:tcW w:w="9113" w:type="dxa"/>
            <w:tcBorders>
              <w:right w:val="single" w:sz="4" w:space="0" w:color="auto"/>
            </w:tcBorders>
          </w:tcPr>
          <w:p w14:paraId="0A86E618"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3827" w:type="dxa"/>
            <w:tcBorders>
              <w:top w:val="single" w:sz="4" w:space="0" w:color="auto"/>
              <w:left w:val="single" w:sz="4" w:space="0" w:color="auto"/>
              <w:bottom w:val="single" w:sz="4" w:space="0" w:color="auto"/>
              <w:right w:val="nil"/>
            </w:tcBorders>
            <w:shd w:val="clear" w:color="auto" w:fill="auto"/>
          </w:tcPr>
          <w:p w14:paraId="7435D1BA" w14:textId="485AF5EC" w:rsidR="00333EB7" w:rsidRPr="000142B2" w:rsidRDefault="00877B9A" w:rsidP="00B67B90">
            <w:pPr>
              <w:spacing w:line="240" w:lineRule="auto"/>
              <w:ind w:right="-108"/>
              <w:rPr>
                <w:sz w:val="20"/>
              </w:rPr>
            </w:pPr>
            <w:r>
              <w:rPr>
                <w:sz w:val="20"/>
              </w:rPr>
              <w:t xml:space="preserve">Page </w:t>
            </w:r>
            <w:r w:rsidR="00B15F09">
              <w:rPr>
                <w:sz w:val="20"/>
              </w:rPr>
              <w:t>1</w:t>
            </w:r>
            <w:r w:rsidR="00CC2140">
              <w:rPr>
                <w:sz w:val="20"/>
              </w:rPr>
              <w:t>2</w:t>
            </w:r>
            <w:r w:rsidR="00B15F09">
              <w:rPr>
                <w:sz w:val="20"/>
              </w:rPr>
              <w:t>-1</w:t>
            </w:r>
            <w:r w:rsidR="00CC2140">
              <w:rPr>
                <w:sz w:val="20"/>
              </w:rPr>
              <w:t>4</w:t>
            </w:r>
            <w:r w:rsidR="00B15F09">
              <w:rPr>
                <w:sz w:val="20"/>
              </w:rPr>
              <w:t xml:space="preserve"> (lines </w:t>
            </w:r>
            <w:r w:rsidR="00CC2140">
              <w:rPr>
                <w:sz w:val="20"/>
              </w:rPr>
              <w:t>314</w:t>
            </w:r>
            <w:r w:rsidR="00B15F09">
              <w:rPr>
                <w:sz w:val="20"/>
              </w:rPr>
              <w:t>-3</w:t>
            </w:r>
            <w:r w:rsidR="00CC2140">
              <w:rPr>
                <w:sz w:val="20"/>
              </w:rPr>
              <w:t>88</w:t>
            </w:r>
            <w:r w:rsidR="00B15F09">
              <w:rPr>
                <w:sz w:val="20"/>
              </w:rPr>
              <w:t>); Discussion</w:t>
            </w:r>
          </w:p>
        </w:tc>
      </w:tr>
      <w:tr w:rsidR="00B67B90" w:rsidRPr="000142B2" w14:paraId="2CCFFD0C" w14:textId="77777777" w:rsidTr="00B67B90">
        <w:tc>
          <w:tcPr>
            <w:tcW w:w="0" w:type="auto"/>
            <w:tcBorders>
              <w:bottom w:val="single" w:sz="4" w:space="0" w:color="auto"/>
            </w:tcBorders>
          </w:tcPr>
          <w:p w14:paraId="6E6D0A8F"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83B0788" w14:textId="77777777" w:rsidR="00333EB7" w:rsidRPr="000142B2" w:rsidRDefault="00333EB7" w:rsidP="0022554A">
            <w:pPr>
              <w:tabs>
                <w:tab w:val="left" w:pos="5400"/>
              </w:tabs>
              <w:jc w:val="center"/>
              <w:rPr>
                <w:sz w:val="20"/>
              </w:rPr>
            </w:pPr>
            <w:r w:rsidRPr="000142B2">
              <w:rPr>
                <w:sz w:val="20"/>
              </w:rPr>
              <w:t>21</w:t>
            </w:r>
          </w:p>
        </w:tc>
        <w:tc>
          <w:tcPr>
            <w:tcW w:w="9113" w:type="dxa"/>
            <w:tcBorders>
              <w:bottom w:val="single" w:sz="4" w:space="0" w:color="auto"/>
              <w:right w:val="single" w:sz="4" w:space="0" w:color="auto"/>
            </w:tcBorders>
          </w:tcPr>
          <w:p w14:paraId="3B9CE8B6"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3827" w:type="dxa"/>
            <w:tcBorders>
              <w:top w:val="single" w:sz="4" w:space="0" w:color="auto"/>
              <w:left w:val="single" w:sz="4" w:space="0" w:color="auto"/>
              <w:bottom w:val="single" w:sz="4" w:space="0" w:color="auto"/>
              <w:right w:val="nil"/>
            </w:tcBorders>
            <w:shd w:val="clear" w:color="auto" w:fill="auto"/>
          </w:tcPr>
          <w:p w14:paraId="0D987512" w14:textId="5BB9D5F3" w:rsidR="00333EB7" w:rsidRPr="000142B2" w:rsidRDefault="00877B9A" w:rsidP="00B67B90">
            <w:pPr>
              <w:spacing w:line="240" w:lineRule="auto"/>
              <w:ind w:right="-108"/>
              <w:rPr>
                <w:sz w:val="20"/>
              </w:rPr>
            </w:pPr>
            <w:r>
              <w:rPr>
                <w:sz w:val="20"/>
              </w:rPr>
              <w:t xml:space="preserve">Pages </w:t>
            </w:r>
            <w:r w:rsidR="00B15F09">
              <w:rPr>
                <w:sz w:val="20"/>
              </w:rPr>
              <w:t>1</w:t>
            </w:r>
            <w:r w:rsidR="00680121">
              <w:rPr>
                <w:sz w:val="20"/>
              </w:rPr>
              <w:t>4</w:t>
            </w:r>
            <w:r w:rsidR="00B15F09">
              <w:rPr>
                <w:sz w:val="20"/>
              </w:rPr>
              <w:t xml:space="preserve"> (lines 3</w:t>
            </w:r>
            <w:r w:rsidR="00680121">
              <w:rPr>
                <w:sz w:val="20"/>
              </w:rPr>
              <w:t>85</w:t>
            </w:r>
            <w:r w:rsidR="00B15F09">
              <w:rPr>
                <w:sz w:val="20"/>
              </w:rPr>
              <w:t>-3</w:t>
            </w:r>
            <w:r w:rsidR="00680121">
              <w:rPr>
                <w:sz w:val="20"/>
              </w:rPr>
              <w:t>88</w:t>
            </w:r>
            <w:r w:rsidR="00B15F09">
              <w:rPr>
                <w:sz w:val="20"/>
              </w:rPr>
              <w:t xml:space="preserve">); </w:t>
            </w:r>
            <w:r w:rsidR="00B15F09" w:rsidRPr="00B15F09">
              <w:rPr>
                <w:rFonts w:ascii="Book Antiqua" w:hAnsi="Book Antiqua"/>
                <w:sz w:val="20"/>
                <w:lang w:val="en-US"/>
              </w:rPr>
              <w:t>CT-P13 (</w:t>
            </w:r>
            <w:proofErr w:type="spellStart"/>
            <w:r w:rsidR="00B15F09" w:rsidRPr="00B15F09">
              <w:rPr>
                <w:rFonts w:ascii="Book Antiqua" w:hAnsi="Book Antiqua"/>
                <w:sz w:val="20"/>
                <w:lang w:val="en-US"/>
              </w:rPr>
              <w:t>Remsima</w:t>
            </w:r>
            <w:proofErr w:type="spellEnd"/>
            <w:r w:rsidR="00B15F09" w:rsidRPr="00B15F09">
              <w:rPr>
                <w:rFonts w:ascii="Book Antiqua" w:hAnsi="Book Antiqua"/>
                <w:sz w:val="20"/>
                <w:vertAlign w:val="superscript"/>
                <w:lang w:val="en-US"/>
              </w:rPr>
              <w:t>®</w:t>
            </w:r>
            <w:r w:rsidR="00B15F09" w:rsidRPr="00B15F09">
              <w:rPr>
                <w:rFonts w:ascii="Book Antiqua" w:hAnsi="Book Antiqua"/>
                <w:sz w:val="20"/>
                <w:lang w:val="en-US"/>
              </w:rPr>
              <w:t>) is an effective and safe biosimilar of infliximab for the treatment of CD and UC in real-life practice, being a valid and attractive alternative for the treatment of IBD, since it allows reducing healthcare costs and facilitates access to biological treatments for more patients.</w:t>
            </w:r>
          </w:p>
        </w:tc>
      </w:tr>
      <w:tr w:rsidR="00B67B90" w:rsidRPr="00333EB7" w14:paraId="17787EDF" w14:textId="77777777" w:rsidTr="00B67B90">
        <w:trPr>
          <w:gridAfter w:val="1"/>
          <w:wAfter w:w="3827" w:type="dxa"/>
        </w:trPr>
        <w:tc>
          <w:tcPr>
            <w:tcW w:w="11023" w:type="dxa"/>
            <w:gridSpan w:val="3"/>
            <w:tcBorders>
              <w:top w:val="single" w:sz="4" w:space="0" w:color="auto"/>
              <w:bottom w:val="nil"/>
              <w:right w:val="nil"/>
            </w:tcBorders>
          </w:tcPr>
          <w:p w14:paraId="422B701A"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B67B90" w:rsidRPr="000142B2" w14:paraId="0948F421" w14:textId="77777777" w:rsidTr="00B67B90">
        <w:tc>
          <w:tcPr>
            <w:tcW w:w="0" w:type="auto"/>
            <w:tcBorders>
              <w:top w:val="single" w:sz="4" w:space="0" w:color="auto"/>
              <w:bottom w:val="single" w:sz="4" w:space="0" w:color="auto"/>
            </w:tcBorders>
          </w:tcPr>
          <w:p w14:paraId="04A7FA4C"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3B39DB73" w14:textId="77777777" w:rsidR="00333EB7" w:rsidRPr="000142B2" w:rsidRDefault="00333EB7" w:rsidP="0022554A">
            <w:pPr>
              <w:tabs>
                <w:tab w:val="left" w:pos="5400"/>
              </w:tabs>
              <w:jc w:val="center"/>
              <w:rPr>
                <w:sz w:val="20"/>
              </w:rPr>
            </w:pPr>
            <w:r w:rsidRPr="000142B2">
              <w:rPr>
                <w:sz w:val="20"/>
              </w:rPr>
              <w:t>22</w:t>
            </w:r>
          </w:p>
        </w:tc>
        <w:tc>
          <w:tcPr>
            <w:tcW w:w="9113" w:type="dxa"/>
            <w:tcBorders>
              <w:top w:val="single" w:sz="4" w:space="0" w:color="auto"/>
              <w:bottom w:val="single" w:sz="4" w:space="0" w:color="auto"/>
              <w:right w:val="single" w:sz="4" w:space="0" w:color="auto"/>
            </w:tcBorders>
          </w:tcPr>
          <w:p w14:paraId="35A49A34"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3827" w:type="dxa"/>
            <w:tcBorders>
              <w:top w:val="single" w:sz="4" w:space="0" w:color="auto"/>
              <w:left w:val="single" w:sz="4" w:space="0" w:color="auto"/>
              <w:bottom w:val="single" w:sz="4" w:space="0" w:color="auto"/>
              <w:right w:val="nil"/>
            </w:tcBorders>
            <w:shd w:val="clear" w:color="auto" w:fill="auto"/>
          </w:tcPr>
          <w:p w14:paraId="06BC850D" w14:textId="753B5C3E" w:rsidR="00333EB7" w:rsidRPr="000142B2" w:rsidRDefault="00877B9A" w:rsidP="00B67B90">
            <w:pPr>
              <w:spacing w:line="240" w:lineRule="auto"/>
              <w:ind w:right="-108"/>
              <w:rPr>
                <w:sz w:val="20"/>
              </w:rPr>
            </w:pPr>
            <w:r>
              <w:rPr>
                <w:sz w:val="20"/>
              </w:rPr>
              <w:t xml:space="preserve">Page </w:t>
            </w:r>
            <w:r w:rsidR="00B15F09">
              <w:rPr>
                <w:sz w:val="20"/>
              </w:rPr>
              <w:t>2 (lines 3</w:t>
            </w:r>
            <w:r w:rsidR="00680121">
              <w:rPr>
                <w:sz w:val="20"/>
              </w:rPr>
              <w:t>8</w:t>
            </w:r>
            <w:r w:rsidR="00B15F09">
              <w:rPr>
                <w:sz w:val="20"/>
              </w:rPr>
              <w:t>-3</w:t>
            </w:r>
            <w:r w:rsidR="00680121">
              <w:rPr>
                <w:sz w:val="20"/>
              </w:rPr>
              <w:t>9</w:t>
            </w:r>
            <w:r w:rsidR="00B15F09">
              <w:rPr>
                <w:sz w:val="20"/>
              </w:rPr>
              <w:t xml:space="preserve">); </w:t>
            </w:r>
            <w:r w:rsidR="00B15F09" w:rsidRPr="00B15F09">
              <w:rPr>
                <w:rFonts w:ascii="Book Antiqua" w:hAnsi="Book Antiqua"/>
                <w:sz w:val="20"/>
                <w:lang w:val="en-US"/>
              </w:rPr>
              <w:t>Kern Pharma Laboratories provided funds for the statistical analysis and article writing.</w:t>
            </w:r>
          </w:p>
        </w:tc>
      </w:tr>
      <w:bookmarkEnd w:id="94"/>
      <w:bookmarkEnd w:id="95"/>
    </w:tbl>
    <w:p w14:paraId="4ECA5680" w14:textId="77777777" w:rsidR="000142B2" w:rsidRPr="000142B2" w:rsidRDefault="000142B2" w:rsidP="0022554A">
      <w:pPr>
        <w:pStyle w:val="TableNote"/>
        <w:tabs>
          <w:tab w:val="left" w:pos="5400"/>
        </w:tabs>
        <w:rPr>
          <w:bCs/>
          <w:sz w:val="20"/>
        </w:rPr>
      </w:pPr>
    </w:p>
    <w:p w14:paraId="43655566"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18A0F49" w14:textId="77777777" w:rsidR="00AE2C57" w:rsidRPr="000142B2" w:rsidRDefault="00AE2C57" w:rsidP="0022554A">
      <w:pPr>
        <w:pStyle w:val="TableNote"/>
        <w:tabs>
          <w:tab w:val="left" w:pos="5400"/>
        </w:tabs>
        <w:rPr>
          <w:sz w:val="20"/>
        </w:rPr>
      </w:pPr>
    </w:p>
    <w:p w14:paraId="6ABB8C0E" w14:textId="3260179A" w:rsidR="000142B2" w:rsidRPr="000142B2" w:rsidRDefault="000142B2" w:rsidP="000142B2">
      <w:pPr>
        <w:pStyle w:val="TableNote"/>
        <w:tabs>
          <w:tab w:val="left" w:pos="5400"/>
        </w:tabs>
        <w:rPr>
          <w:sz w:val="20"/>
        </w:rPr>
      </w:pPr>
      <w:r w:rsidRPr="004B7127">
        <w:rPr>
          <w:b/>
          <w:sz w:val="20"/>
        </w:rPr>
        <w:lastRenderedPageBreak/>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sectPr w:rsidR="000142B2" w:rsidRPr="000142B2" w:rsidSect="009907AA">
      <w:footerReference w:type="even" r:id="rId7"/>
      <w:footerReference w:type="default" r:id="rId8"/>
      <w:pgSz w:w="16840" w:h="11900" w:orient="landscape"/>
      <w:pgMar w:top="1134" w:right="899" w:bottom="1134" w:left="89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09782" w14:textId="77777777" w:rsidR="002E6357" w:rsidRDefault="002E6357">
      <w:r>
        <w:separator/>
      </w:r>
    </w:p>
  </w:endnote>
  <w:endnote w:type="continuationSeparator" w:id="0">
    <w:p w14:paraId="1DA641F4" w14:textId="77777777" w:rsidR="002E6357" w:rsidRDefault="002E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5AAD" w14:textId="77777777" w:rsidR="00877B9A" w:rsidRDefault="00877B9A" w:rsidP="00DA66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405E9D" w14:textId="77777777" w:rsidR="00877B9A" w:rsidRDefault="00877B9A" w:rsidP="005D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4D1D" w14:textId="77777777" w:rsidR="00877B9A" w:rsidRDefault="00877B9A" w:rsidP="007B59F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2B41">
      <w:rPr>
        <w:rStyle w:val="Nmerodepgina"/>
        <w:noProof/>
      </w:rPr>
      <w:t>1</w:t>
    </w:r>
    <w:r>
      <w:rPr>
        <w:rStyle w:val="Nmerodepgina"/>
      </w:rPr>
      <w:fldChar w:fldCharType="end"/>
    </w:r>
  </w:p>
  <w:p w14:paraId="0E0C107A" w14:textId="77777777" w:rsidR="00877B9A" w:rsidRDefault="00877B9A" w:rsidP="005D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92C96" w14:textId="77777777" w:rsidR="002E6357" w:rsidRDefault="002E6357">
      <w:r>
        <w:separator/>
      </w:r>
    </w:p>
  </w:footnote>
  <w:footnote w:type="continuationSeparator" w:id="0">
    <w:p w14:paraId="505FDBA6" w14:textId="77777777" w:rsidR="002E6357" w:rsidRDefault="002E6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142B2"/>
    <w:rsid w:val="00023515"/>
    <w:rsid w:val="00065177"/>
    <w:rsid w:val="00065BA5"/>
    <w:rsid w:val="00093E3A"/>
    <w:rsid w:val="000B6FD4"/>
    <w:rsid w:val="000C41C4"/>
    <w:rsid w:val="000E691B"/>
    <w:rsid w:val="000F26ED"/>
    <w:rsid w:val="00110BFB"/>
    <w:rsid w:val="00123F90"/>
    <w:rsid w:val="00134AAC"/>
    <w:rsid w:val="001649B3"/>
    <w:rsid w:val="00183523"/>
    <w:rsid w:val="00192920"/>
    <w:rsid w:val="001A495C"/>
    <w:rsid w:val="001A75E9"/>
    <w:rsid w:val="001E02AD"/>
    <w:rsid w:val="0021239A"/>
    <w:rsid w:val="0021265E"/>
    <w:rsid w:val="00215E03"/>
    <w:rsid w:val="00224268"/>
    <w:rsid w:val="0022554A"/>
    <w:rsid w:val="00226A29"/>
    <w:rsid w:val="00247ED5"/>
    <w:rsid w:val="002552FD"/>
    <w:rsid w:val="002B385C"/>
    <w:rsid w:val="002C731D"/>
    <w:rsid w:val="002D06D0"/>
    <w:rsid w:val="002D1ABE"/>
    <w:rsid w:val="002D2835"/>
    <w:rsid w:val="002E6357"/>
    <w:rsid w:val="002F1A87"/>
    <w:rsid w:val="00333EB7"/>
    <w:rsid w:val="003354B7"/>
    <w:rsid w:val="003508EF"/>
    <w:rsid w:val="00372129"/>
    <w:rsid w:val="0037443F"/>
    <w:rsid w:val="00385050"/>
    <w:rsid w:val="003A3FDD"/>
    <w:rsid w:val="003F0FC8"/>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573E9"/>
    <w:rsid w:val="00590F64"/>
    <w:rsid w:val="005923E5"/>
    <w:rsid w:val="005A5F3D"/>
    <w:rsid w:val="005B567D"/>
    <w:rsid w:val="005D0CFC"/>
    <w:rsid w:val="005D19F4"/>
    <w:rsid w:val="005D2D5B"/>
    <w:rsid w:val="005F254A"/>
    <w:rsid w:val="00613577"/>
    <w:rsid w:val="00615929"/>
    <w:rsid w:val="0065657F"/>
    <w:rsid w:val="00666336"/>
    <w:rsid w:val="00680121"/>
    <w:rsid w:val="00683E42"/>
    <w:rsid w:val="006A2F18"/>
    <w:rsid w:val="006A5DD9"/>
    <w:rsid w:val="006A78F1"/>
    <w:rsid w:val="006B2915"/>
    <w:rsid w:val="006B56D7"/>
    <w:rsid w:val="006C0B63"/>
    <w:rsid w:val="006C7601"/>
    <w:rsid w:val="006D16AA"/>
    <w:rsid w:val="006D535A"/>
    <w:rsid w:val="006F66AC"/>
    <w:rsid w:val="00701AC5"/>
    <w:rsid w:val="0074576C"/>
    <w:rsid w:val="00754BA5"/>
    <w:rsid w:val="007562C3"/>
    <w:rsid w:val="007A4FC0"/>
    <w:rsid w:val="007A71AF"/>
    <w:rsid w:val="007B59F0"/>
    <w:rsid w:val="007C72F6"/>
    <w:rsid w:val="00800F35"/>
    <w:rsid w:val="00816966"/>
    <w:rsid w:val="00817D26"/>
    <w:rsid w:val="00821CD4"/>
    <w:rsid w:val="008423A7"/>
    <w:rsid w:val="008440CC"/>
    <w:rsid w:val="008646A1"/>
    <w:rsid w:val="00877B9A"/>
    <w:rsid w:val="0089107E"/>
    <w:rsid w:val="00891604"/>
    <w:rsid w:val="008C151E"/>
    <w:rsid w:val="008D225B"/>
    <w:rsid w:val="008E323E"/>
    <w:rsid w:val="00921BF8"/>
    <w:rsid w:val="009367F9"/>
    <w:rsid w:val="009642BE"/>
    <w:rsid w:val="0097125A"/>
    <w:rsid w:val="009872CC"/>
    <w:rsid w:val="009907AA"/>
    <w:rsid w:val="009A25F8"/>
    <w:rsid w:val="009B10F1"/>
    <w:rsid w:val="009B368D"/>
    <w:rsid w:val="009C24D4"/>
    <w:rsid w:val="009E0429"/>
    <w:rsid w:val="009F0687"/>
    <w:rsid w:val="00A05D77"/>
    <w:rsid w:val="00A42352"/>
    <w:rsid w:val="00A527E4"/>
    <w:rsid w:val="00A553BC"/>
    <w:rsid w:val="00A5565C"/>
    <w:rsid w:val="00A5640D"/>
    <w:rsid w:val="00A71BE3"/>
    <w:rsid w:val="00A729D6"/>
    <w:rsid w:val="00A938BF"/>
    <w:rsid w:val="00AE2C57"/>
    <w:rsid w:val="00AE5BF1"/>
    <w:rsid w:val="00AF4615"/>
    <w:rsid w:val="00B15F09"/>
    <w:rsid w:val="00B50DF8"/>
    <w:rsid w:val="00B54EA0"/>
    <w:rsid w:val="00B60EFB"/>
    <w:rsid w:val="00B65366"/>
    <w:rsid w:val="00B67B90"/>
    <w:rsid w:val="00B77807"/>
    <w:rsid w:val="00B82DB5"/>
    <w:rsid w:val="00B940E9"/>
    <w:rsid w:val="00BA1206"/>
    <w:rsid w:val="00BC1A55"/>
    <w:rsid w:val="00BC7FE6"/>
    <w:rsid w:val="00BE3709"/>
    <w:rsid w:val="00C96F8D"/>
    <w:rsid w:val="00CB6CC8"/>
    <w:rsid w:val="00CC2140"/>
    <w:rsid w:val="00CC4C93"/>
    <w:rsid w:val="00D120D2"/>
    <w:rsid w:val="00D20D7C"/>
    <w:rsid w:val="00D26FCA"/>
    <w:rsid w:val="00D6407C"/>
    <w:rsid w:val="00D87AF7"/>
    <w:rsid w:val="00DA120C"/>
    <w:rsid w:val="00DA667F"/>
    <w:rsid w:val="00DC4BEF"/>
    <w:rsid w:val="00DE3D33"/>
    <w:rsid w:val="00E10628"/>
    <w:rsid w:val="00E144CD"/>
    <w:rsid w:val="00E1451F"/>
    <w:rsid w:val="00E2292B"/>
    <w:rsid w:val="00E429D4"/>
    <w:rsid w:val="00E64D94"/>
    <w:rsid w:val="00E67E84"/>
    <w:rsid w:val="00E82B41"/>
    <w:rsid w:val="00EA6E28"/>
    <w:rsid w:val="00EB0168"/>
    <w:rsid w:val="00EE7C6C"/>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F126B"/>
  <w15:docId w15:val="{F083BD1C-4B4C-8E4C-ACBF-3AB498C3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35</TotalTime>
  <Pages>6</Pages>
  <Words>1515</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Jose M. Huguet Malaves</cp:lastModifiedBy>
  <cp:revision>3</cp:revision>
  <cp:lastPrinted>2007-09-19T09:02:00Z</cp:lastPrinted>
  <dcterms:created xsi:type="dcterms:W3CDTF">2021-02-16T09:58:00Z</dcterms:created>
  <dcterms:modified xsi:type="dcterms:W3CDTF">2021-04-22T16:54:00Z</dcterms:modified>
</cp:coreProperties>
</file>