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84BD2"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5919986"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67406</w:t>
      </w:r>
    </w:p>
    <w:p w14:paraId="0DBB622E"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B23089" w14:textId="77777777" w:rsidR="00A57EAC" w:rsidRDefault="00A57EAC" w:rsidP="001D7F02">
      <w:pPr>
        <w:snapToGrid w:val="0"/>
        <w:spacing w:line="360" w:lineRule="auto"/>
        <w:jc w:val="both"/>
        <w:rPr>
          <w:rFonts w:ascii="Book Antiqua" w:hAnsi="Book Antiqua"/>
        </w:rPr>
      </w:pPr>
    </w:p>
    <w:p w14:paraId="16FCEFF5"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b/>
          <w:caps/>
          <w:color w:val="000000"/>
        </w:rPr>
        <w:t>p</w:t>
      </w:r>
      <w:r>
        <w:rPr>
          <w:rFonts w:ascii="Book Antiqua" w:eastAsia="Book Antiqua" w:hAnsi="Book Antiqua" w:cs="Book Antiqua"/>
          <w:b/>
          <w:color w:val="000000"/>
        </w:rPr>
        <w:t>roximal true lumen collapse in a chronic type B aortic dissection patient: A case report</w:t>
      </w:r>
    </w:p>
    <w:p w14:paraId="008E4AF9" w14:textId="77777777" w:rsidR="00A57EAC" w:rsidRDefault="00A57EAC" w:rsidP="001D7F02">
      <w:pPr>
        <w:snapToGrid w:val="0"/>
        <w:spacing w:line="360" w:lineRule="auto"/>
        <w:jc w:val="both"/>
        <w:rPr>
          <w:rFonts w:ascii="Book Antiqua" w:hAnsi="Book Antiqua"/>
        </w:rPr>
      </w:pPr>
    </w:p>
    <w:p w14:paraId="6DDED213"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color w:val="000000"/>
        </w:rPr>
        <w:t>Zhang</w:t>
      </w:r>
      <w:r>
        <w:rPr>
          <w:rFonts w:ascii="Book Antiqua" w:eastAsia="Book Antiqua" w:hAnsi="Book Antiqua" w:cs="Book Antiqua"/>
          <w:color w:val="000000"/>
          <w:shd w:val="clear" w:color="auto" w:fill="FFFFFF"/>
        </w:rPr>
        <w:t xml:space="preserve"> L </w:t>
      </w:r>
      <w:r>
        <w:rPr>
          <w:rFonts w:ascii="Book Antiqua" w:eastAsia="Book Antiqua" w:hAnsi="Book Antiqua" w:cs="Book Antiqua"/>
          <w:i/>
          <w:color w:val="000000"/>
          <w:shd w:val="clear" w:color="auto" w:fill="FFFFFF"/>
        </w:rPr>
        <w:t>et al</w:t>
      </w:r>
      <w:r>
        <w:rPr>
          <w:rFonts w:ascii="Book Antiqua" w:eastAsia="Book Antiqua" w:hAnsi="Book Antiqua" w:cs="Book Antiqua"/>
          <w:color w:val="000000"/>
          <w:shd w:val="clear" w:color="auto" w:fill="FFFFFF"/>
        </w:rPr>
        <w:t>. CTBAD</w:t>
      </w:r>
      <w:r>
        <w:rPr>
          <w:rFonts w:ascii="Book Antiqua" w:eastAsia="Book Antiqua" w:hAnsi="Book Antiqua" w:cs="Book Antiqua"/>
          <w:color w:val="000000"/>
        </w:rPr>
        <w:t xml:space="preserve"> with proximal true lumen collapse</w:t>
      </w:r>
    </w:p>
    <w:p w14:paraId="182E15C5" w14:textId="77777777" w:rsidR="00A57EAC" w:rsidRDefault="00A57EAC" w:rsidP="001D7F02">
      <w:pPr>
        <w:snapToGrid w:val="0"/>
        <w:spacing w:line="360" w:lineRule="auto"/>
        <w:jc w:val="both"/>
        <w:rPr>
          <w:rFonts w:ascii="Book Antiqua" w:hAnsi="Book Antiqua"/>
        </w:rPr>
      </w:pPr>
    </w:p>
    <w:p w14:paraId="3B05F71D"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color w:val="000000"/>
        </w:rPr>
        <w:t xml:space="preserve">Li Zhang, Wei-Kang Guan, Hua-Ping Wu, Xiang Li, </w:t>
      </w:r>
      <w:r w:rsidRPr="00337B64">
        <w:rPr>
          <w:rFonts w:ascii="Book Antiqua" w:eastAsia="Book Antiqua" w:hAnsi="Book Antiqua" w:cs="Book Antiqua"/>
          <w:caps/>
          <w:color w:val="000000"/>
        </w:rPr>
        <w:t>k</w:t>
      </w:r>
      <w:r>
        <w:rPr>
          <w:rFonts w:ascii="Book Antiqua" w:eastAsia="Book Antiqua" w:hAnsi="Book Antiqua" w:cs="Book Antiqua"/>
          <w:color w:val="000000"/>
        </w:rPr>
        <w:t>ai</w:t>
      </w:r>
      <w:r>
        <w:rPr>
          <w:rFonts w:ascii="Book Antiqua" w:eastAsia="SimSun" w:hAnsi="Book Antiqua" w:cs="Book Antiqua" w:hint="eastAsia"/>
          <w:color w:val="000000"/>
          <w:lang w:eastAsia="zh-CN"/>
        </w:rPr>
        <w:t>-</w:t>
      </w:r>
      <w:r w:rsidRPr="00337B64">
        <w:rPr>
          <w:rFonts w:ascii="Book Antiqua" w:eastAsia="Book Antiqua" w:hAnsi="Book Antiqua" w:cs="Book Antiqua"/>
          <w:caps/>
          <w:color w:val="000000"/>
        </w:rPr>
        <w:t>p</w:t>
      </w:r>
      <w:r>
        <w:rPr>
          <w:rFonts w:ascii="Book Antiqua" w:eastAsia="Book Antiqua" w:hAnsi="Book Antiqua" w:cs="Book Antiqua"/>
          <w:color w:val="000000"/>
        </w:rPr>
        <w:t>ing Lv, Cun-Liang Zeng, Huan-Huan Song, Qian-Ling Ye</w:t>
      </w:r>
    </w:p>
    <w:p w14:paraId="6EE5F77D" w14:textId="77777777" w:rsidR="00A57EAC" w:rsidRDefault="00A57EAC" w:rsidP="001D7F02">
      <w:pPr>
        <w:snapToGrid w:val="0"/>
        <w:spacing w:line="360" w:lineRule="auto"/>
        <w:jc w:val="both"/>
        <w:rPr>
          <w:rFonts w:ascii="Book Antiqua" w:hAnsi="Book Antiqua"/>
        </w:rPr>
      </w:pPr>
    </w:p>
    <w:p w14:paraId="07545C17"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b/>
          <w:bCs/>
          <w:color w:val="000000"/>
        </w:rPr>
        <w:t xml:space="preserve">Li Zhang, Wei-Kang Guan, Hua-Ping Wu, Xiang Li, </w:t>
      </w:r>
      <w:r w:rsidRPr="00337B64">
        <w:rPr>
          <w:rFonts w:ascii="Book Antiqua" w:eastAsia="Book Antiqua" w:hAnsi="Book Antiqua" w:cs="Book Antiqua"/>
          <w:b/>
          <w:bCs/>
          <w:caps/>
          <w:color w:val="000000"/>
        </w:rPr>
        <w:t>k</w:t>
      </w:r>
      <w:r>
        <w:rPr>
          <w:rFonts w:ascii="Book Antiqua" w:eastAsia="Book Antiqua" w:hAnsi="Book Antiqua" w:cs="Book Antiqua"/>
          <w:b/>
          <w:bCs/>
          <w:color w:val="000000"/>
        </w:rPr>
        <w:t>ai</w:t>
      </w:r>
      <w:r>
        <w:rPr>
          <w:rFonts w:ascii="Book Antiqua" w:eastAsia="SimSun" w:hAnsi="Book Antiqua" w:cs="Book Antiqua" w:hint="eastAsia"/>
          <w:b/>
          <w:bCs/>
          <w:color w:val="000000"/>
          <w:lang w:eastAsia="zh-CN"/>
        </w:rPr>
        <w:t>-</w:t>
      </w:r>
      <w:r w:rsidRPr="00337B64">
        <w:rPr>
          <w:rFonts w:ascii="Book Antiqua" w:eastAsia="Book Antiqua" w:hAnsi="Book Antiqua" w:cs="Book Antiqua"/>
          <w:b/>
          <w:bCs/>
          <w:caps/>
          <w:color w:val="000000"/>
        </w:rPr>
        <w:t>p</w:t>
      </w:r>
      <w:r>
        <w:rPr>
          <w:rFonts w:ascii="Book Antiqua" w:eastAsia="Book Antiqua" w:hAnsi="Book Antiqua" w:cs="Book Antiqua"/>
          <w:b/>
          <w:bCs/>
          <w:color w:val="000000"/>
        </w:rPr>
        <w:t xml:space="preserve">ing Lv, Cun-Liang Zeng, Huan-Huan Song, Qian-Ling Ye, </w:t>
      </w:r>
      <w:r>
        <w:rPr>
          <w:rFonts w:ascii="Book Antiqua" w:eastAsia="Book Antiqua" w:hAnsi="Book Antiqua" w:cs="Book Antiqua"/>
          <w:color w:val="000000"/>
        </w:rPr>
        <w:t xml:space="preserve">Department of Vascular Surgery, Dazhou </w:t>
      </w:r>
      <w:r>
        <w:rPr>
          <w:rFonts w:ascii="Book Antiqua" w:eastAsia="Book Antiqua" w:hAnsi="Book Antiqua" w:cs="Book Antiqua"/>
          <w:caps/>
          <w:color w:val="000000"/>
        </w:rPr>
        <w:t>c</w:t>
      </w:r>
      <w:r>
        <w:rPr>
          <w:rFonts w:ascii="Book Antiqua" w:eastAsia="Book Antiqua" w:hAnsi="Book Antiqua" w:cs="Book Antiqua"/>
          <w:color w:val="000000"/>
        </w:rPr>
        <w:t xml:space="preserve">entral </w:t>
      </w:r>
      <w:r>
        <w:rPr>
          <w:rFonts w:ascii="Book Antiqua" w:eastAsia="Book Antiqua" w:hAnsi="Book Antiqua" w:cs="Book Antiqua"/>
          <w:caps/>
          <w:color w:val="000000"/>
        </w:rPr>
        <w:t>h</w:t>
      </w:r>
      <w:r>
        <w:rPr>
          <w:rFonts w:ascii="Book Antiqua" w:eastAsia="Book Antiqua" w:hAnsi="Book Antiqua" w:cs="Book Antiqua"/>
          <w:color w:val="000000"/>
        </w:rPr>
        <w:t>osptial, Dazhou 0833, Sichuan Province, China</w:t>
      </w:r>
    </w:p>
    <w:p w14:paraId="4A5DA490" w14:textId="77777777" w:rsidR="00A57EAC" w:rsidRDefault="00A57EAC" w:rsidP="001D7F02">
      <w:pPr>
        <w:snapToGrid w:val="0"/>
        <w:spacing w:line="360" w:lineRule="auto"/>
        <w:jc w:val="both"/>
        <w:rPr>
          <w:rFonts w:ascii="Book Antiqua" w:hAnsi="Book Antiqua"/>
        </w:rPr>
      </w:pPr>
    </w:p>
    <w:p w14:paraId="057F09B9" w14:textId="60055321" w:rsidR="00A57EAC" w:rsidRDefault="00E71D72" w:rsidP="001D7F02">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rPr>
        <w:t>Wu HP, Zhang L, Li X and Lv KP</w:t>
      </w:r>
      <w:r>
        <w:rPr>
          <w:rFonts w:ascii="Book Antiqua" w:eastAsia="Book Antiqua" w:hAnsi="Book Antiqua" w:cs="Book Antiqua"/>
          <w:b/>
          <w:bCs/>
          <w:color w:val="000000"/>
        </w:rPr>
        <w:t xml:space="preserve"> </w:t>
      </w:r>
      <w:r>
        <w:rPr>
          <w:rFonts w:ascii="Book Antiqua" w:eastAsia="Book Antiqua" w:hAnsi="Book Antiqua" w:cs="Book Antiqua"/>
          <w:color w:val="000000"/>
        </w:rPr>
        <w:t>were responsible for the treatment and management of the patient;</w:t>
      </w:r>
      <w:r>
        <w:rPr>
          <w:rFonts w:ascii="Book Antiqua" w:eastAsia="Book Antiqua" w:hAnsi="Book Antiqua" w:cs="Book Antiqua"/>
          <w:bCs/>
          <w:color w:val="000000"/>
        </w:rPr>
        <w:t xml:space="preserve"> Song HH and Zeng CL </w:t>
      </w:r>
      <w:r>
        <w:rPr>
          <w:rFonts w:ascii="Book Antiqua" w:eastAsia="Book Antiqua" w:hAnsi="Book Antiqua" w:cs="Book Antiqua"/>
          <w:color w:val="000000"/>
        </w:rPr>
        <w:t>contributed to data collection, literature review, and manuscript writing;</w:t>
      </w:r>
      <w:r w:rsidR="00607AC6">
        <w:rPr>
          <w:rFonts w:ascii="Book Antiqua" w:eastAsia="Book Antiqua" w:hAnsi="Book Antiqua" w:cs="Book Antiqua"/>
          <w:color w:val="000000"/>
        </w:rPr>
        <w:t xml:space="preserve"> </w:t>
      </w:r>
      <w:r>
        <w:rPr>
          <w:rFonts w:ascii="Book Antiqua" w:eastAsia="Book Antiqua" w:hAnsi="Book Antiqua" w:cs="Book Antiqua"/>
          <w:bCs/>
          <w:color w:val="000000"/>
        </w:rPr>
        <w:t xml:space="preserve">Guan WK and Ye QL </w:t>
      </w:r>
      <w:r>
        <w:rPr>
          <w:rFonts w:ascii="Book Antiqua" w:eastAsia="Book Antiqua" w:hAnsi="Book Antiqua" w:cs="Book Antiqua"/>
          <w:color w:val="000000"/>
        </w:rPr>
        <w:t xml:space="preserve">analyzed the data of the patient; </w:t>
      </w:r>
      <w:r w:rsidR="001D7F02">
        <w:rPr>
          <w:rFonts w:ascii="Book Antiqua" w:eastAsia="Book Antiqua" w:hAnsi="Book Antiqua" w:cs="Book Antiqua"/>
          <w:color w:val="000000"/>
        </w:rPr>
        <w:t>A</w:t>
      </w:r>
      <w:r>
        <w:rPr>
          <w:rFonts w:ascii="Book Antiqua" w:eastAsia="Book Antiqua" w:hAnsi="Book Antiqua" w:cs="Book Antiqua"/>
          <w:color w:val="000000"/>
        </w:rPr>
        <w:t>ll authors were involved in writing the manuscript and read and approved the final manuscript.</w:t>
      </w:r>
    </w:p>
    <w:p w14:paraId="75A4B6C6" w14:textId="77777777" w:rsidR="00A57EAC" w:rsidRDefault="00A57EAC">
      <w:pPr>
        <w:snapToGrid w:val="0"/>
        <w:spacing w:line="360" w:lineRule="auto"/>
        <w:jc w:val="both"/>
        <w:rPr>
          <w:rFonts w:ascii="Book Antiqua" w:hAnsi="Book Antiqua"/>
        </w:rPr>
      </w:pPr>
    </w:p>
    <w:p w14:paraId="4B04CF74"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Li Zhang, MSc, Associate Chief Physician, </w:t>
      </w:r>
      <w:r>
        <w:rPr>
          <w:rFonts w:ascii="Book Antiqua" w:eastAsia="Book Antiqua" w:hAnsi="Book Antiqua" w:cs="Book Antiqua"/>
          <w:color w:val="000000"/>
        </w:rPr>
        <w:t xml:space="preserve">Department of Vascular Surgery, Dazhou </w:t>
      </w:r>
      <w:r>
        <w:rPr>
          <w:rFonts w:ascii="Book Antiqua" w:eastAsia="Book Antiqua" w:hAnsi="Book Antiqua" w:cs="Book Antiqua"/>
          <w:caps/>
          <w:color w:val="000000"/>
        </w:rPr>
        <w:t>c</w:t>
      </w:r>
      <w:r>
        <w:rPr>
          <w:rFonts w:ascii="Book Antiqua" w:eastAsia="Book Antiqua" w:hAnsi="Book Antiqua" w:cs="Book Antiqua"/>
          <w:color w:val="000000"/>
        </w:rPr>
        <w:t xml:space="preserve">entral </w:t>
      </w:r>
      <w:r>
        <w:rPr>
          <w:rFonts w:ascii="Book Antiqua" w:eastAsia="Book Antiqua" w:hAnsi="Book Antiqua" w:cs="Book Antiqua"/>
          <w:caps/>
          <w:color w:val="000000"/>
        </w:rPr>
        <w:t>h</w:t>
      </w:r>
      <w:r>
        <w:rPr>
          <w:rFonts w:ascii="Book Antiqua" w:eastAsia="Book Antiqua" w:hAnsi="Book Antiqua" w:cs="Book Antiqua"/>
          <w:color w:val="000000"/>
        </w:rPr>
        <w:t>osptial, No. 56 Nanyuemiao Street, Tongchuan District, Dazhou 635000, Sichuan Province, China. 50328731@qq.com</w:t>
      </w:r>
    </w:p>
    <w:p w14:paraId="129762FF" w14:textId="77777777" w:rsidR="00A57EAC" w:rsidRDefault="00A57EAC">
      <w:pPr>
        <w:snapToGrid w:val="0"/>
        <w:spacing w:line="360" w:lineRule="auto"/>
        <w:jc w:val="both"/>
        <w:rPr>
          <w:rFonts w:ascii="Book Antiqua" w:hAnsi="Book Antiqua"/>
        </w:rPr>
      </w:pPr>
    </w:p>
    <w:p w14:paraId="54BD798C"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23, 2021</w:t>
      </w:r>
    </w:p>
    <w:p w14:paraId="03ECD072"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7, 2021</w:t>
      </w:r>
    </w:p>
    <w:p w14:paraId="2F055E10" w14:textId="2600BDDF"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7D615C" w:rsidRPr="007D615C">
        <w:rPr>
          <w:rFonts w:ascii="Book Antiqua" w:eastAsia="Book Antiqua" w:hAnsi="Book Antiqua" w:cs="Book Antiqua"/>
          <w:color w:val="000000"/>
        </w:rPr>
        <w:t>September 14, 2021</w:t>
      </w:r>
    </w:p>
    <w:p w14:paraId="7BF64B93"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255690A"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Abstract</w:t>
      </w:r>
    </w:p>
    <w:p w14:paraId="01AB8C6A"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lastRenderedPageBreak/>
        <w:t>BACKGROUND</w:t>
      </w:r>
    </w:p>
    <w:p w14:paraId="2D366193"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In the context of aortic dissection, increasing pressure within the newly formed false lumen can result in the progressive compression of the true aortic channel. However, true lumen collapse in chronic type B aortic dissection (cTBAD) patients is rare, with few clinical or experimental studies to date having explored the causes of such collapse.</w:t>
      </w:r>
    </w:p>
    <w:p w14:paraId="1A4A1E8C" w14:textId="77777777" w:rsidR="00A57EAC" w:rsidRDefault="00A57EAC">
      <w:pPr>
        <w:snapToGrid w:val="0"/>
        <w:spacing w:line="360" w:lineRule="auto"/>
        <w:jc w:val="both"/>
        <w:rPr>
          <w:rFonts w:ascii="Book Antiqua" w:hAnsi="Book Antiqua"/>
        </w:rPr>
      </w:pPr>
    </w:p>
    <w:p w14:paraId="288298AF"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3528316A" w14:textId="4752F2E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 xml:space="preserve">In the present report, we describe a rare case of true-lumen collapse in an 83-year-old patient diagnosed with cTBAD, and we discuss potential therapeutic interventions for such cases. Following thoracic endovascular aortic repair (TEVAR), computed tomography angiography revealed satisfactory stent-graft positioning, no endoleakage, true lumen enlargement, thrombus formation in the false lumen, and slight enlargement of the true lumen distal to the stent-graft. Computational hemodynamic analyses indicated that the wall shear stress and pressure within the false lumen were significantly reduced following TEVAR. </w:t>
      </w:r>
    </w:p>
    <w:p w14:paraId="61FC800E" w14:textId="77777777" w:rsidR="00A57EAC" w:rsidRDefault="00A57EAC">
      <w:pPr>
        <w:snapToGrid w:val="0"/>
        <w:spacing w:line="360" w:lineRule="auto"/>
        <w:jc w:val="both"/>
        <w:rPr>
          <w:rFonts w:ascii="Book Antiqua" w:hAnsi="Book Antiqua"/>
        </w:rPr>
      </w:pPr>
    </w:p>
    <w:p w14:paraId="2EC97D0B"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CONCLUSION</w:t>
      </w:r>
    </w:p>
    <w:p w14:paraId="02CECE51"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TEVAR treatment of cTBAD patients suffering from proximal true lumen collapse can facilitate some degree of effective remodeling.</w:t>
      </w:r>
    </w:p>
    <w:p w14:paraId="52CD9932" w14:textId="77777777" w:rsidR="00A57EAC" w:rsidRDefault="00A57EAC">
      <w:pPr>
        <w:snapToGrid w:val="0"/>
        <w:spacing w:line="360" w:lineRule="auto"/>
        <w:jc w:val="both"/>
        <w:rPr>
          <w:rFonts w:ascii="Book Antiqua" w:hAnsi="Book Antiqua"/>
        </w:rPr>
      </w:pPr>
    </w:p>
    <w:p w14:paraId="347AED9B"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t</w:t>
      </w:r>
      <w:r>
        <w:rPr>
          <w:rFonts w:ascii="Book Antiqua" w:eastAsia="Book Antiqua" w:hAnsi="Book Antiqua" w:cs="Book Antiqua"/>
          <w:color w:val="000000"/>
        </w:rPr>
        <w:t xml:space="preserve">rue lumen collapse; </w:t>
      </w:r>
      <w:r>
        <w:rPr>
          <w:rFonts w:ascii="Book Antiqua" w:eastAsia="Book Antiqua" w:hAnsi="Book Antiqua" w:cs="Book Antiqua"/>
          <w:caps/>
          <w:color w:val="000000"/>
        </w:rPr>
        <w:t>c</w:t>
      </w:r>
      <w:r>
        <w:rPr>
          <w:rFonts w:ascii="Book Antiqua" w:eastAsia="Book Antiqua" w:hAnsi="Book Antiqua" w:cs="Book Antiqua"/>
          <w:color w:val="000000"/>
        </w:rPr>
        <w:t xml:space="preserve">hronic type B aortic dissection; </w:t>
      </w:r>
      <w:r>
        <w:rPr>
          <w:rFonts w:ascii="Book Antiqua" w:eastAsia="Book Antiqua" w:hAnsi="Book Antiqua" w:cs="Book Antiqua"/>
          <w:caps/>
          <w:color w:val="000000"/>
        </w:rPr>
        <w:t>t</w:t>
      </w:r>
      <w:r>
        <w:rPr>
          <w:rFonts w:ascii="Book Antiqua" w:eastAsia="Book Antiqua" w:hAnsi="Book Antiqua" w:cs="Book Antiqua"/>
          <w:color w:val="000000"/>
        </w:rPr>
        <w:t xml:space="preserve">horacic endovascular repair; </w:t>
      </w:r>
      <w:r>
        <w:rPr>
          <w:rFonts w:ascii="Book Antiqua" w:eastAsia="Book Antiqua" w:hAnsi="Book Antiqua" w:cs="Book Antiqua"/>
          <w:caps/>
          <w:color w:val="000000"/>
        </w:rPr>
        <w:t>c</w:t>
      </w:r>
      <w:r>
        <w:rPr>
          <w:rFonts w:ascii="Book Antiqua" w:eastAsia="Book Antiqua" w:hAnsi="Book Antiqua" w:cs="Book Antiqua"/>
          <w:color w:val="000000"/>
        </w:rPr>
        <w:t xml:space="preserve">omputational hemodynamics analysis;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6AFA2700" w14:textId="77777777" w:rsidR="00A57EAC" w:rsidRDefault="00A57EAC">
      <w:pPr>
        <w:snapToGrid w:val="0"/>
        <w:spacing w:line="360" w:lineRule="auto"/>
        <w:jc w:val="both"/>
        <w:rPr>
          <w:rFonts w:ascii="Book Antiqua" w:hAnsi="Book Antiqua"/>
        </w:rPr>
      </w:pPr>
    </w:p>
    <w:p w14:paraId="19B72715"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 xml:space="preserve">Zhang L, Guan WK, Wu HP, Li X, Lv K, Zeng CL, Song HH, Ye QL. Proximal true lumen collapse in a chronic type B aortic dissection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26322AD" w14:textId="77777777" w:rsidR="00A57EAC" w:rsidRDefault="00A57EAC">
      <w:pPr>
        <w:snapToGrid w:val="0"/>
        <w:spacing w:line="360" w:lineRule="auto"/>
        <w:jc w:val="both"/>
        <w:rPr>
          <w:rFonts w:ascii="Book Antiqua" w:hAnsi="Book Antiqua"/>
        </w:rPr>
      </w:pPr>
    </w:p>
    <w:p w14:paraId="50361CB7"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describe a rare case of true-lumen collapse in an 83-year-old patient with chronic type B aortic dissection, and we discuss potential therapeutic interventions for such cases.</w:t>
      </w:r>
    </w:p>
    <w:p w14:paraId="46F87877" w14:textId="77777777" w:rsidR="00A57EAC" w:rsidRDefault="00A57EAC">
      <w:pPr>
        <w:snapToGrid w:val="0"/>
        <w:spacing w:line="360" w:lineRule="auto"/>
        <w:jc w:val="both"/>
        <w:rPr>
          <w:rFonts w:ascii="Book Antiqua" w:hAnsi="Book Antiqua"/>
        </w:rPr>
      </w:pPr>
    </w:p>
    <w:p w14:paraId="45323ADB"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308C44B" w14:textId="543D608F"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Intimal aortic tears that ultimately cause aortic dissection can allow blood to flow between the medial layers of the dissected aorta, leading to the formation of a double-barreled aortic lumen. Over time, increasing pressure within the newly formed false lumen can result in the progressive compression of the true aortic channel. Studies in experimental model systems suggest that the incidence of true-lumen collapse is strongly dependent upon the differential between the inflow</w:t>
      </w:r>
      <w:r w:rsidR="00607AC6">
        <w:rPr>
          <w:rFonts w:ascii="Book Antiqua" w:eastAsia="Book Antiqua" w:hAnsi="Book Antiqua" w:cs="Book Antiqua"/>
          <w:color w:val="000000"/>
        </w:rPr>
        <w:t xml:space="preserve"> </w:t>
      </w:r>
      <w:r>
        <w:rPr>
          <w:rFonts w:ascii="Book Antiqua" w:eastAsia="Book Antiqua" w:hAnsi="Book Antiqua" w:cs="Book Antiqua"/>
          <w:color w:val="000000"/>
        </w:rPr>
        <w:t>: outflow capacity ratios of the true lumen and the false lumen, with this incidence further being influenced by other physiologic and anatomic factors. The definitive treatment for such cases of true lumen collapse is the targeted repair of the entry tear as a means of reducing inflow into the false lumen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True lumen collapse in chronic type B aortic dissection (cTBAD) patients is rare, with few clinical or experimental studies to date having explored the causes of true lumen collapse in this context. Optimal treatment methods for patients suffering from this rare condition are similarly not well defined. In the present report, we describe the case of a cTBAD patient who suffered from true lumen collapse. Using computed tomography angiography (CTA) data from this patient collected at both initial presentation and at 3 and 28 mo post-treatment, we additionally develop computational models to observe hemodynamic changes before and after </w:t>
      </w:r>
      <w:r w:rsidR="00607AC6">
        <w:rPr>
          <w:rFonts w:ascii="Book Antiqua" w:eastAsia="Book Antiqua" w:hAnsi="Book Antiqua" w:cs="Book Antiqua"/>
          <w:color w:val="000000"/>
        </w:rPr>
        <w:t>thoracic endovascular aortic repair (</w:t>
      </w:r>
      <w:r>
        <w:rPr>
          <w:rFonts w:ascii="Book Antiqua" w:eastAsia="Book Antiqua" w:hAnsi="Book Antiqua" w:cs="Book Antiqua"/>
          <w:color w:val="000000"/>
        </w:rPr>
        <w:t>TEVAR</w:t>
      </w:r>
      <w:r w:rsidR="00607AC6">
        <w:rPr>
          <w:rFonts w:ascii="Book Antiqua" w:eastAsia="Book Antiqua" w:hAnsi="Book Antiqua" w:cs="Book Antiqua"/>
          <w:color w:val="000000"/>
        </w:rPr>
        <w:t>)</w:t>
      </w:r>
      <w:r>
        <w:rPr>
          <w:rFonts w:ascii="Book Antiqua" w:eastAsia="Book Antiqua" w:hAnsi="Book Antiqua" w:cs="Book Antiqua"/>
          <w:color w:val="000000"/>
        </w:rPr>
        <w:t>.</w:t>
      </w:r>
    </w:p>
    <w:p w14:paraId="725F37D3" w14:textId="77777777" w:rsidR="00A57EAC" w:rsidRDefault="00A57EAC">
      <w:pPr>
        <w:snapToGrid w:val="0"/>
        <w:spacing w:line="360" w:lineRule="auto"/>
        <w:jc w:val="both"/>
        <w:rPr>
          <w:rFonts w:ascii="Book Antiqua" w:hAnsi="Book Antiqua"/>
        </w:rPr>
      </w:pPr>
    </w:p>
    <w:p w14:paraId="49ED9DE7"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CF7153"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203B3ECB"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An 83-year-old male was admitted to our hospital due to the incidental detection of an aortic dissection aneurysm during a standard health examination.</w:t>
      </w:r>
    </w:p>
    <w:p w14:paraId="1BE4A9B8" w14:textId="77777777" w:rsidR="00A57EAC" w:rsidRDefault="00A57EAC">
      <w:pPr>
        <w:snapToGrid w:val="0"/>
        <w:spacing w:line="360" w:lineRule="auto"/>
        <w:jc w:val="both"/>
        <w:rPr>
          <w:rFonts w:ascii="Book Antiqua" w:hAnsi="Book Antiqua"/>
        </w:rPr>
      </w:pPr>
    </w:p>
    <w:p w14:paraId="2E4FC59F"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455D2D11" w14:textId="51AE2338"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The patient did not exhibit any chest or back pain and was incidentally diagnosed with an aortic dissection aneurysm while undergoing a routine health evaluation. </w:t>
      </w:r>
    </w:p>
    <w:p w14:paraId="2296C9E2" w14:textId="77777777" w:rsidR="00A57EAC" w:rsidRDefault="00A57EAC">
      <w:pPr>
        <w:snapToGrid w:val="0"/>
        <w:spacing w:line="360" w:lineRule="auto"/>
        <w:jc w:val="both"/>
        <w:rPr>
          <w:rFonts w:ascii="Book Antiqua" w:hAnsi="Book Antiqua"/>
        </w:rPr>
      </w:pPr>
    </w:p>
    <w:p w14:paraId="0DCB9B60"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57147529"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The patient had previously been diagnosed with hepatic and renal cysts.</w:t>
      </w:r>
    </w:p>
    <w:p w14:paraId="46DF8414" w14:textId="77777777" w:rsidR="00A57EAC" w:rsidRDefault="00A57EAC">
      <w:pPr>
        <w:snapToGrid w:val="0"/>
        <w:spacing w:line="360" w:lineRule="auto"/>
        <w:jc w:val="both"/>
        <w:rPr>
          <w:rFonts w:ascii="Book Antiqua" w:hAnsi="Book Antiqua"/>
        </w:rPr>
      </w:pPr>
    </w:p>
    <w:p w14:paraId="07DAD979"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1D5A124"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The patient had no remarkable personal or family history.</w:t>
      </w:r>
    </w:p>
    <w:p w14:paraId="2B93C609" w14:textId="77777777" w:rsidR="00A57EAC" w:rsidRDefault="00A57EAC">
      <w:pPr>
        <w:snapToGrid w:val="0"/>
        <w:spacing w:line="360" w:lineRule="auto"/>
        <w:jc w:val="both"/>
        <w:rPr>
          <w:rFonts w:ascii="Book Antiqua" w:hAnsi="Book Antiqua"/>
        </w:rPr>
      </w:pPr>
    </w:p>
    <w:p w14:paraId="5F2106BB"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110C2E5F"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The arteries of the extremities exhibited normal pulsatile activity, and all limbs exhibited normal motor and sensory functions. There was also no evidence of peritonitis.</w:t>
      </w:r>
    </w:p>
    <w:p w14:paraId="1B5B9E59" w14:textId="77777777" w:rsidR="00A57EAC" w:rsidRDefault="00A57EAC">
      <w:pPr>
        <w:snapToGrid w:val="0"/>
        <w:spacing w:line="360" w:lineRule="auto"/>
        <w:jc w:val="both"/>
        <w:rPr>
          <w:rFonts w:ascii="Book Antiqua" w:hAnsi="Book Antiqua"/>
        </w:rPr>
      </w:pPr>
    </w:p>
    <w:p w14:paraId="24D679C6"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530A78AB" w14:textId="77777777" w:rsidR="00A57EAC" w:rsidRDefault="00E71D72">
      <w:pPr>
        <w:snapToGrid w:val="0"/>
        <w:spacing w:line="360" w:lineRule="auto"/>
        <w:jc w:val="both"/>
        <w:rPr>
          <w:rFonts w:ascii="Book Antiqua" w:hAnsi="Book Antiqua"/>
        </w:rPr>
      </w:pPr>
      <w:bookmarkStart w:id="0" w:name="OLE_LINK1"/>
      <w:r>
        <w:rPr>
          <w:rFonts w:ascii="Book Antiqua" w:eastAsia="Book Antiqua" w:hAnsi="Book Antiqua" w:cs="Book Antiqua"/>
          <w:color w:val="000000"/>
        </w:rPr>
        <w:t>No abnormality</w:t>
      </w:r>
      <w:bookmarkEnd w:id="0"/>
      <w:r>
        <w:rPr>
          <w:rFonts w:ascii="Book Antiqua" w:eastAsia="Book Antiqua" w:hAnsi="Book Antiqua" w:cs="Book Antiqua"/>
          <w:color w:val="000000"/>
        </w:rPr>
        <w:t>.</w:t>
      </w:r>
    </w:p>
    <w:p w14:paraId="53C42CDC" w14:textId="77777777" w:rsidR="00A57EAC" w:rsidRDefault="00A57EAC">
      <w:pPr>
        <w:snapToGrid w:val="0"/>
        <w:spacing w:line="360" w:lineRule="auto"/>
        <w:jc w:val="both"/>
        <w:rPr>
          <w:rFonts w:ascii="Book Antiqua" w:hAnsi="Book Antiqua"/>
        </w:rPr>
      </w:pPr>
    </w:p>
    <w:p w14:paraId="27F9CD9D"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551C3C5" w14:textId="65E0B125"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CTA confirmed the dissection of the descending aorta and aortic arch. A dilated false lumen with evidence of calcification was visible as was the collapse of the proximal true lumen. The aortic dissection had a maximal diameter of 51.8 mm, with no tearing of the thoracic aorta. The distal tear was located on the common trunk of the celiac axis and the superior mesenteric artery and had a maximal diameter of 10.71 mm (Figure 1).</w:t>
      </w:r>
    </w:p>
    <w:p w14:paraId="1CD03E33" w14:textId="77777777" w:rsidR="00A57EAC" w:rsidRDefault="00A57EAC">
      <w:pPr>
        <w:snapToGrid w:val="0"/>
        <w:spacing w:line="360" w:lineRule="auto"/>
        <w:jc w:val="both"/>
        <w:rPr>
          <w:rFonts w:ascii="Book Antiqua" w:hAnsi="Book Antiqua"/>
        </w:rPr>
      </w:pPr>
    </w:p>
    <w:p w14:paraId="7BEEF800"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9AD1129"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CTBAD with proximal true lumen collapse, liver cyst, renal cyst.</w:t>
      </w:r>
    </w:p>
    <w:p w14:paraId="1F7820CC" w14:textId="77777777" w:rsidR="00A57EAC" w:rsidRDefault="00A57EAC">
      <w:pPr>
        <w:snapToGrid w:val="0"/>
        <w:spacing w:line="360" w:lineRule="auto"/>
        <w:jc w:val="both"/>
        <w:rPr>
          <w:rFonts w:ascii="Book Antiqua" w:hAnsi="Book Antiqua"/>
        </w:rPr>
      </w:pPr>
    </w:p>
    <w:p w14:paraId="5E8EEFD9"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2C944B73" w14:textId="1B71BF1B"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Significant compression of the proximal true lumen was evident in an aortogram, and the catheter used for this intervention had a helical shape (Figure 2A) that was corrected using a Lunderquist guidewire (Figure 2B). In order to achieve true lumen enlargement without causing endoleakage, upper limb ischemia, or stroke, we employed a left subclavian arterial fenestration approach to conduct TEVAR. Owing to differences in the diameter of the aortic arch and the descending aorta, we used two ANKURA</w:t>
      </w:r>
      <w:r w:rsidRPr="00DD0C6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stent-</w:t>
      </w:r>
      <w:r>
        <w:rPr>
          <w:rFonts w:ascii="Book Antiqua" w:eastAsia="Book Antiqua" w:hAnsi="Book Antiqua" w:cs="Book Antiqua"/>
          <w:color w:val="000000"/>
        </w:rPr>
        <w:lastRenderedPageBreak/>
        <w:t>grafts (Lifetech Scientific Co., Ltd., </w:t>
      </w:r>
      <w:r w:rsidR="00607AC6">
        <w:rPr>
          <w:rFonts w:ascii="Book Antiqua" w:eastAsia="Book Antiqua" w:hAnsi="Book Antiqua" w:cs="Book Antiqua"/>
          <w:color w:val="000000"/>
        </w:rPr>
        <w:t xml:space="preserve">Shenzhen, </w:t>
      </w:r>
      <w:r>
        <w:rPr>
          <w:rFonts w:ascii="Book Antiqua" w:eastAsia="Book Antiqua" w:hAnsi="Book Antiqua" w:cs="Book Antiqua"/>
          <w:color w:val="000000"/>
        </w:rPr>
        <w:t>China). These stent-grafts (34-30 mm and 30-26 mm diameter, 120 mm long) were deployed from the distal to the left common carotid artery to the descending aorta such that they overlapped one another. The sharpened end of a V18 wire was then used to fenestrate the ANKURA stent graft</w:t>
      </w:r>
      <w:r w:rsidR="004307A3">
        <w:rPr>
          <w:rFonts w:ascii="Book Antiqua" w:eastAsia="Book Antiqua" w:hAnsi="Book Antiqua" w:cs="Book Antiqua"/>
          <w:color w:val="000000"/>
        </w:rPr>
        <w:t>,</w:t>
      </w:r>
      <w:r>
        <w:rPr>
          <w:rFonts w:ascii="Book Antiqua" w:eastAsia="Book Antiqua" w:hAnsi="Book Antiqua" w:cs="Book Antiqua"/>
          <w:color w:val="000000"/>
        </w:rPr>
        <w:t> with this hole being enlarged through the use of a balloon dilatation catheter (INVATEC 3.5-120 mm and 8-40 mm, Medtronic, Inc</w:t>
      </w:r>
      <w:r w:rsidR="004307A3">
        <w:rPr>
          <w:rFonts w:ascii="Book Antiqua" w:eastAsia="Book Antiqua" w:hAnsi="Book Antiqua" w:cs="Book Antiqua"/>
          <w:color w:val="000000"/>
        </w:rPr>
        <w:t>., Dublin, Ireland</w:t>
      </w:r>
      <w:r>
        <w:rPr>
          <w:rFonts w:ascii="Book Antiqua" w:eastAsia="Book Antiqua" w:hAnsi="Book Antiqua" w:cs="Book Antiqua"/>
          <w:color w:val="000000"/>
        </w:rPr>
        <w:t>), after which we placed the Fluency stent (10 mm in diameter, 40 mm in length) into the ANKURA stent graft. Balloon dilatation of the stent-graft was then performed. Subsequent angiography did not show any evidence of endoleakage, with satisfactory left subclavian artery blood blow (Figure 2C and D). A Coda balloon (C</w:t>
      </w:r>
      <w:r w:rsidR="004307A3">
        <w:rPr>
          <w:rFonts w:ascii="Book Antiqua" w:eastAsia="Book Antiqua" w:hAnsi="Book Antiqua" w:cs="Book Antiqua"/>
          <w:color w:val="000000"/>
        </w:rPr>
        <w:t>ook Medical, Bloomington, IN</w:t>
      </w:r>
      <w:r>
        <w:rPr>
          <w:rFonts w:ascii="Book Antiqua" w:eastAsia="Book Antiqua" w:hAnsi="Book Antiqua" w:cs="Book Antiqua"/>
          <w:color w:val="000000"/>
        </w:rPr>
        <w:t>, United States) was used to expand the aortic stent overlap, and the stent shape was satisfactory upon subsequent angiographic assessment (Figure 2E and F).</w:t>
      </w:r>
    </w:p>
    <w:p w14:paraId="501F38AB" w14:textId="77777777" w:rsidR="00A57EAC" w:rsidRDefault="00A57EAC">
      <w:pPr>
        <w:snapToGrid w:val="0"/>
        <w:spacing w:line="360" w:lineRule="auto"/>
        <w:jc w:val="both"/>
        <w:rPr>
          <w:rFonts w:ascii="Book Antiqua" w:hAnsi="Book Antiqua"/>
        </w:rPr>
      </w:pPr>
    </w:p>
    <w:p w14:paraId="58CDD34F"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B3059B5" w14:textId="466E614E"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 xml:space="preserve">On day 5 post-treatment, the patient was discharged without any incidence of paraplegia, neurological abnormalities, or other serious adverse events. At 3- and 28-mo post-surgery, the patient underwent routine physical examination and CTA. CTA imaging data in the DICOM format were imported into the Mimics 19.0 software (Materialise Inc., </w:t>
      </w:r>
      <w:r w:rsidR="004307A3">
        <w:rPr>
          <w:rFonts w:ascii="Book Antiqua" w:eastAsia="Book Antiqua" w:hAnsi="Book Antiqua" w:cs="Book Antiqua"/>
          <w:color w:val="000000"/>
        </w:rPr>
        <w:t xml:space="preserve">Leuven, </w:t>
      </w:r>
      <w:r>
        <w:rPr>
          <w:rFonts w:ascii="Book Antiqua" w:eastAsia="Book Antiqua" w:hAnsi="Book Antiqua" w:cs="Book Antiqua"/>
          <w:color w:val="000000"/>
        </w:rPr>
        <w:t xml:space="preserve">Belgium) for three-dimensional model reconstruction and associated measurements. Data produced by Stefanov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were used to guide hemodynamic analyses of the cardiac cycle.</w:t>
      </w:r>
    </w:p>
    <w:p w14:paraId="38EE770E" w14:textId="77777777" w:rsidR="00A57EAC" w:rsidRDefault="00E71D7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Following TEVAR, CTA results indicated that the true lumen was significantly enlarged in the stented region, while the false lumen gradually decreased in size and became completely thrombotic (Figure 3). These results thus indicate that following TEVAR the maximal descending aortic diameter grew smaller, whereas the diameter and area of the true lumen increased (Table 1). </w:t>
      </w:r>
    </w:p>
    <w:p w14:paraId="2F5A2922" w14:textId="77777777" w:rsidR="00A57EAC" w:rsidRDefault="00E71D7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Prior to TEVAR, flow within the false lumen exhibited helical features, and pressure and wall shear stress values were significantly higher in the false lumen relative to the true lumen, with these changes being most prominent in the enlarged region of the false </w:t>
      </w:r>
      <w:r>
        <w:rPr>
          <w:rFonts w:ascii="Book Antiqua" w:eastAsia="Book Antiqua" w:hAnsi="Book Antiqua" w:cs="Book Antiqua"/>
          <w:color w:val="000000"/>
        </w:rPr>
        <w:lastRenderedPageBreak/>
        <w:t>lumen. Following TEVAR, there was no evidence of helical flow within the false lumen. In addition, treatment was associated with significant reductions in both pressure and wall shear stress within the false lumen and significant increases in these values in the true lumen, with these pressure values being nearly equal proximal to the tear (Figure 4).</w:t>
      </w:r>
    </w:p>
    <w:p w14:paraId="30E8B70C" w14:textId="77777777" w:rsidR="00A57EAC" w:rsidRDefault="00A57EAC">
      <w:pPr>
        <w:snapToGrid w:val="0"/>
        <w:spacing w:line="360" w:lineRule="auto"/>
        <w:jc w:val="both"/>
        <w:rPr>
          <w:rFonts w:ascii="Book Antiqua" w:hAnsi="Book Antiqua"/>
        </w:rPr>
      </w:pPr>
    </w:p>
    <w:p w14:paraId="6AC31BF3"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A143C40" w14:textId="479B1E30"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Following the publication of the 2014 European Society of Cardiology guidelines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preemptive TEVAR has now received broad approval as the treatment of choice for patients diagnosed with subacute uncomplicated type B aortic dissection. Treatment of these patients is recommended in order to reduce the risk of aortic expansion, rupture, and recurrent dissection. Even following treatment, between 20% and 40% of these patients will </w:t>
      </w:r>
      <w:r w:rsidR="004307A3">
        <w:rPr>
          <w:rFonts w:ascii="Book Antiqua" w:eastAsia="Book Antiqua" w:hAnsi="Book Antiqua" w:cs="Book Antiqua"/>
          <w:color w:val="000000"/>
        </w:rPr>
        <w:t>need</w:t>
      </w:r>
      <w:r>
        <w:rPr>
          <w:rFonts w:ascii="Book Antiqua" w:eastAsia="Book Antiqua" w:hAnsi="Book Antiqua" w:cs="Book Antiqua"/>
          <w:color w:val="000000"/>
        </w:rPr>
        <w:t> a secondary operation for the treatment of aortic aneurysmal degeneration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Favorable aortic remodeling above the celiac artery has been observed following TEVAR treatment</w:t>
      </w:r>
      <w:r w:rsidR="004307A3">
        <w:rPr>
          <w:rFonts w:ascii="Book Antiqua" w:eastAsia="Book Antiqua" w:hAnsi="Book Antiqua" w:cs="Book Antiqua"/>
          <w:color w:val="000000"/>
        </w:rPr>
        <w:t>,</w:t>
      </w:r>
      <w:r>
        <w:rPr>
          <w:rFonts w:ascii="Book Antiqua" w:eastAsia="Book Antiqua" w:hAnsi="Book Antiqua" w:cs="Book Antiqua"/>
          <w:color w:val="000000"/>
        </w:rPr>
        <w:t xml:space="preserve"> with no differences in remodeling outcomes being observed between acute and chronic complicated type B aortic dissection patients</w:t>
      </w:r>
      <w:r>
        <w:rPr>
          <w:rFonts w:ascii="Book Antiqua" w:eastAsia="Book Antiqua" w:hAnsi="Book Antiqua" w:cs="Book Antiqua"/>
          <w:color w:val="000000"/>
          <w:vertAlign w:val="superscript"/>
        </w:rPr>
        <w:t>[6]</w:t>
      </w:r>
      <w:r>
        <w:rPr>
          <w:rFonts w:ascii="Book Antiqua" w:eastAsia="Book Antiqua" w:hAnsi="Book Antiqua" w:cs="Book Antiqua"/>
          <w:color w:val="000000"/>
        </w:rPr>
        <w:t>. Favorable early and mid-term outcomes have previously been observed following the endovascular treatment of type B chronic aneurysmal aortic dissection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and one or more additional procedures can achieve a good long-term result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Secondary aortic intervention after TEVAR for type B aortic dissection </w:t>
      </w:r>
      <w:r w:rsidRPr="0064700D">
        <w:rPr>
          <w:rFonts w:ascii="Book Antiqua" w:eastAsia="Book Antiqua" w:hAnsi="Book Antiqua" w:cs="Book Antiqua"/>
        </w:rPr>
        <w:t>does not affect survival</w:t>
      </w:r>
      <w:r w:rsidRPr="0064700D">
        <w:rPr>
          <w:rFonts w:ascii="Book Antiqua" w:eastAsia="Book Antiqua" w:hAnsi="Book Antiqua" w:cs="Book Antiqua"/>
          <w:vertAlign w:val="superscript"/>
        </w:rPr>
        <w:t>[9]</w:t>
      </w:r>
      <w:r w:rsidRPr="0064700D">
        <w:rPr>
          <w:rFonts w:ascii="Book Antiqua" w:eastAsia="Book Antiqua" w:hAnsi="Book Antiqua" w:cs="Book Antiqua"/>
        </w:rPr>
        <w:t>. Even so, these past findings suggest that endovascular treatment the TEVAR-based treatment of proximal true-lumen collapse in a cTBAD patient</w:t>
      </w:r>
      <w:r w:rsidR="002451D7" w:rsidRPr="0064700D">
        <w:t xml:space="preserve"> </w:t>
      </w:r>
      <w:r w:rsidR="002451D7" w:rsidRPr="0064700D">
        <w:rPr>
          <w:rFonts w:ascii="Book Antiqua" w:eastAsia="Book Antiqua" w:hAnsi="Book Antiqua" w:cs="Book Antiqua"/>
        </w:rPr>
        <w:t>could be considered to be one of the effective treatment options</w:t>
      </w:r>
      <w:r w:rsidRPr="0064700D">
        <w:rPr>
          <w:rFonts w:ascii="Book Antiqua" w:eastAsia="Book Antiqua" w:hAnsi="Book Antiqua" w:cs="Book Antiqua"/>
        </w:rPr>
        <w:t xml:space="preserve">. Following TEVAR, the false </w:t>
      </w:r>
      <w:r>
        <w:rPr>
          <w:rFonts w:ascii="Book Antiqua" w:eastAsia="Book Antiqua" w:hAnsi="Book Antiqua" w:cs="Book Antiqua"/>
          <w:color w:val="000000"/>
        </w:rPr>
        <w:t xml:space="preserve">lumen in this patient gradually underwent complete thrombosis, the maximal descending aortic diameter decreased, and the size and diameter of the true lumen in both the graft and distal regions increased, consistent with the work of Chung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For patients with symptomatic aortic dissection with true lumen collapse, endovascular fenestration of the dissection flap and/or expansion of the true lumen with a large-diameter balloon can be used to increase the perfusion of the true lumen, as demonstrated in previously published case reports</w:t>
      </w:r>
      <w:r>
        <w:rPr>
          <w:rFonts w:ascii="Book Antiqua" w:eastAsia="Book Antiqua" w:hAnsi="Book Antiqua" w:cs="Book Antiqua"/>
          <w:color w:val="000000"/>
          <w:vertAlign w:val="superscript"/>
        </w:rPr>
        <w:t>[10,11]</w:t>
      </w:r>
      <w:r>
        <w:rPr>
          <w:rFonts w:ascii="Book Antiqua" w:eastAsia="Book Antiqua" w:hAnsi="Book Antiqua" w:cs="Book Antiqua"/>
          <w:color w:val="000000"/>
        </w:rPr>
        <w:t>.</w:t>
      </w:r>
    </w:p>
    <w:p w14:paraId="55585092" w14:textId="2742B66B" w:rsidR="00A57EAC" w:rsidRDefault="00E71D7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Few anatomic predictors of true lumen collapse had been identified to date, with true lumen size at admission being the factor most strongly associated with such collapse or </w:t>
      </w:r>
      <w:r>
        <w:rPr>
          <w:rFonts w:ascii="Book Antiqua" w:eastAsia="Book Antiqua" w:hAnsi="Book Antiqua" w:cs="Book Antiqua"/>
          <w:color w:val="000000"/>
        </w:rPr>
        <w:lastRenderedPageBreak/>
        <w:t>malperfusion</w:t>
      </w:r>
      <w:r w:rsidR="004307A3">
        <w:rPr>
          <w:rFonts w:ascii="Book Antiqua" w:eastAsia="Book Antiqua" w:hAnsi="Book Antiqua" w:cs="Book Antiqua"/>
          <w:color w:val="000000"/>
        </w:rPr>
        <w:t>,</w:t>
      </w:r>
      <w:r>
        <w:rPr>
          <w:rFonts w:ascii="Book Antiqua" w:eastAsia="Book Antiqua" w:hAnsi="Book Antiqua" w:cs="Book Antiqua"/>
          <w:color w:val="000000"/>
        </w:rPr>
        <w:t xml:space="preserve"> as it typically corresponds to significant changes in false lumen blood flow as measured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computational hemodynamic analyses</w:t>
      </w:r>
      <w:r>
        <w:rPr>
          <w:rFonts w:ascii="Book Antiqua" w:eastAsia="Book Antiqua" w:hAnsi="Book Antiqua" w:cs="Book Antiqua"/>
          <w:color w:val="000000"/>
          <w:vertAlign w:val="superscript"/>
        </w:rPr>
        <w:t>[12]</w:t>
      </w:r>
      <w:r>
        <w:rPr>
          <w:rFonts w:ascii="Book Antiqua" w:eastAsia="Book Antiqua" w:hAnsi="Book Antiqua" w:cs="Book Antiqua"/>
          <w:color w:val="000000"/>
        </w:rPr>
        <w:t>. Such computational hemodynamic approaches have been used with increasing frequency as a means of assessing cases of aortic dissection, as both pressure and wall shear stress are key parameters associated with dissection onset and progression. Importantly, lower levels of wall shear stress in the false lumen can promote local thrombosis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In the present case, we observed high pressure within the proximal false lumen that was associated with an impinging jet of high-pressure blood flow along the outer wall of this false lumen. This jet impingement was also associated with a visible local increase in the aortic diameter. Following the TEVAR treatment of this patient, we observed complete thrombosis of the false lumen with only a small percentage of blood flow still entering into this compartment. This was associated with higher pressure in the true lumen relative to the false lumen unlike the near-equal pressure values observed before treatment, thereby reversing this factor associated with luminal collapse. Prior to TEVAR, we observed clear evidence of higher shear wall stress in the proximal false lumen relative to the true lumen, whereas this was reversed following treatment. Our computational analyses further confirmed that reductions in pressure and wall shear stress may facilitate positive aortic wall remodeling.</w:t>
      </w:r>
    </w:p>
    <w:p w14:paraId="3817CB67" w14:textId="0451669A" w:rsidR="00A57EAC" w:rsidRDefault="00E71D7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While these findings are promising, this study is limited by the fact that it is a description of a single case. Future studies that expand upon these results in a larger patient cohort are essential in order to </w:t>
      </w:r>
      <w:r w:rsidR="004307A3">
        <w:rPr>
          <w:rFonts w:ascii="Book Antiqua" w:eastAsia="Book Antiqua" w:hAnsi="Book Antiqua" w:cs="Book Antiqua"/>
          <w:color w:val="000000"/>
        </w:rPr>
        <w:t xml:space="preserve">define </w:t>
      </w:r>
      <w:r>
        <w:rPr>
          <w:rFonts w:ascii="Book Antiqua" w:eastAsia="Book Antiqua" w:hAnsi="Book Antiqua" w:cs="Book Antiqua"/>
          <w:color w:val="000000"/>
        </w:rPr>
        <w:t>more conclusively optimal treatment strategies in similar cases.</w:t>
      </w:r>
    </w:p>
    <w:p w14:paraId="03E30A82" w14:textId="77777777" w:rsidR="00A57EAC" w:rsidRDefault="00A57EAC">
      <w:pPr>
        <w:snapToGrid w:val="0"/>
        <w:spacing w:line="360" w:lineRule="auto"/>
        <w:jc w:val="both"/>
        <w:rPr>
          <w:rFonts w:ascii="Book Antiqua" w:hAnsi="Book Antiqua"/>
        </w:rPr>
      </w:pPr>
    </w:p>
    <w:p w14:paraId="3816D9C5"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5FAD2B6A"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The findings from the present case suggest that TEVAR can be effectively implemented as a means of treating proximal true-lumen collapse in cTBAD patients. This treatment strategy achieved good efficacy and was not associated with any significant neurological complications, stent-related complications, or other adverse events. Follow-up data from this patient indicated that TEVAR induced some degree of remodeling when used to treat cTBAD.</w:t>
      </w:r>
    </w:p>
    <w:p w14:paraId="11675AFA" w14:textId="77777777" w:rsidR="00A57EAC" w:rsidRDefault="00A57EAC">
      <w:pPr>
        <w:snapToGrid w:val="0"/>
        <w:spacing w:line="360" w:lineRule="auto"/>
        <w:jc w:val="both"/>
        <w:rPr>
          <w:rFonts w:ascii="Book Antiqua" w:hAnsi="Book Antiqua"/>
        </w:rPr>
      </w:pPr>
    </w:p>
    <w:p w14:paraId="4519D7A7" w14:textId="77777777" w:rsidR="00A57EAC" w:rsidRDefault="00E71D7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B72E94E" w14:textId="77777777" w:rsidR="00A57EAC" w:rsidRDefault="00E71D72">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Chung JW</w:t>
      </w:r>
      <w:r>
        <w:rPr>
          <w:rFonts w:ascii="Book Antiqua" w:hAnsi="Book Antiqua"/>
        </w:rPr>
        <w:t xml:space="preserve">, Elkins C, Sakai T, Kato N, </w:t>
      </w:r>
      <w:proofErr w:type="spellStart"/>
      <w:r>
        <w:rPr>
          <w:rFonts w:ascii="Book Antiqua" w:hAnsi="Book Antiqua"/>
        </w:rPr>
        <w:t>Vestring</w:t>
      </w:r>
      <w:proofErr w:type="spellEnd"/>
      <w:r>
        <w:rPr>
          <w:rFonts w:ascii="Book Antiqua" w:hAnsi="Book Antiqua"/>
        </w:rPr>
        <w:t xml:space="preserve"> T, Semba CP, Slonim SM, </w:t>
      </w:r>
      <w:proofErr w:type="spellStart"/>
      <w:r>
        <w:rPr>
          <w:rFonts w:ascii="Book Antiqua" w:hAnsi="Book Antiqua"/>
        </w:rPr>
        <w:t>Dake</w:t>
      </w:r>
      <w:proofErr w:type="spellEnd"/>
      <w:r>
        <w:rPr>
          <w:rFonts w:ascii="Book Antiqua" w:hAnsi="Book Antiqua"/>
        </w:rPr>
        <w:t xml:space="preserve"> MD. True-lumen collapse in aortic dissection: part I. Evaluation of causative factors in phantoms with pulsatile flow. </w:t>
      </w:r>
      <w:r>
        <w:rPr>
          <w:rFonts w:ascii="Book Antiqua" w:hAnsi="Book Antiqua"/>
          <w:i/>
          <w:iCs/>
        </w:rPr>
        <w:t>Radiology</w:t>
      </w:r>
      <w:r>
        <w:rPr>
          <w:rFonts w:ascii="Book Antiqua" w:hAnsi="Book Antiqua"/>
        </w:rPr>
        <w:t xml:space="preserve"> 2000; </w:t>
      </w:r>
      <w:r>
        <w:rPr>
          <w:rFonts w:ascii="Book Antiqua" w:hAnsi="Book Antiqua"/>
          <w:b/>
          <w:bCs/>
        </w:rPr>
        <w:t>214</w:t>
      </w:r>
      <w:r>
        <w:rPr>
          <w:rFonts w:ascii="Book Antiqua" w:hAnsi="Book Antiqua"/>
        </w:rPr>
        <w:t>: 87-98 [PMID: 10644106 DOI: 10.1148/radiology.214.1.r00ja3287]</w:t>
      </w:r>
    </w:p>
    <w:p w14:paraId="526CFB53" w14:textId="77777777" w:rsidR="00A57EAC" w:rsidRDefault="00E71D72">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Chung JW</w:t>
      </w:r>
      <w:r>
        <w:rPr>
          <w:rFonts w:ascii="Book Antiqua" w:hAnsi="Book Antiqua"/>
        </w:rPr>
        <w:t xml:space="preserve">, Elkins C, Sakai T, Kato N, </w:t>
      </w:r>
      <w:proofErr w:type="spellStart"/>
      <w:r>
        <w:rPr>
          <w:rFonts w:ascii="Book Antiqua" w:hAnsi="Book Antiqua"/>
        </w:rPr>
        <w:t>Vestring</w:t>
      </w:r>
      <w:proofErr w:type="spellEnd"/>
      <w:r>
        <w:rPr>
          <w:rFonts w:ascii="Book Antiqua" w:hAnsi="Book Antiqua"/>
        </w:rPr>
        <w:t xml:space="preserve"> T, Semba CP, Slonim SM, </w:t>
      </w:r>
      <w:proofErr w:type="spellStart"/>
      <w:r>
        <w:rPr>
          <w:rFonts w:ascii="Book Antiqua" w:hAnsi="Book Antiqua"/>
        </w:rPr>
        <w:t>Dake</w:t>
      </w:r>
      <w:proofErr w:type="spellEnd"/>
      <w:r>
        <w:rPr>
          <w:rFonts w:ascii="Book Antiqua" w:hAnsi="Book Antiqua"/>
        </w:rPr>
        <w:t xml:space="preserve"> MD. True-lumen collapse in aortic dissection: part II. Evaluation of treatment methods in phantoms with pulsatile flow. </w:t>
      </w:r>
      <w:r>
        <w:rPr>
          <w:rFonts w:ascii="Book Antiqua" w:hAnsi="Book Antiqua"/>
          <w:i/>
          <w:iCs/>
        </w:rPr>
        <w:t>Radiology</w:t>
      </w:r>
      <w:r>
        <w:rPr>
          <w:rFonts w:ascii="Book Antiqua" w:hAnsi="Book Antiqua"/>
        </w:rPr>
        <w:t xml:space="preserve"> 2000; </w:t>
      </w:r>
      <w:r>
        <w:rPr>
          <w:rFonts w:ascii="Book Antiqua" w:hAnsi="Book Antiqua"/>
          <w:b/>
          <w:bCs/>
        </w:rPr>
        <w:t>214</w:t>
      </w:r>
      <w:r>
        <w:rPr>
          <w:rFonts w:ascii="Book Antiqua" w:hAnsi="Book Antiqua"/>
        </w:rPr>
        <w:t>: 99-106 [PMID: 10644107 DOI: 10.1148/radiology.214.1.r00ja3499]</w:t>
      </w:r>
    </w:p>
    <w:p w14:paraId="39F27C84" w14:textId="77777777" w:rsidR="00A57EAC" w:rsidRDefault="00E71D72">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Stefanov F</w:t>
      </w:r>
      <w:r>
        <w:rPr>
          <w:rFonts w:ascii="Book Antiqua" w:hAnsi="Book Antiqua"/>
        </w:rPr>
        <w:t xml:space="preserve">, Sultan S, Morris L, </w:t>
      </w:r>
      <w:proofErr w:type="spellStart"/>
      <w:r>
        <w:rPr>
          <w:rFonts w:ascii="Book Antiqua" w:hAnsi="Book Antiqua"/>
        </w:rPr>
        <w:t>Elhelali</w:t>
      </w:r>
      <w:proofErr w:type="spellEnd"/>
      <w:r>
        <w:rPr>
          <w:rFonts w:ascii="Book Antiqua" w:hAnsi="Book Antiqua"/>
        </w:rPr>
        <w:t xml:space="preserve"> A, Kavanagh EP, </w:t>
      </w:r>
      <w:proofErr w:type="spellStart"/>
      <w:r>
        <w:rPr>
          <w:rFonts w:ascii="Book Antiqua" w:hAnsi="Book Antiqua"/>
        </w:rPr>
        <w:t>Lundon</w:t>
      </w:r>
      <w:proofErr w:type="spellEnd"/>
      <w:r>
        <w:rPr>
          <w:rFonts w:ascii="Book Antiqua" w:hAnsi="Book Antiqua"/>
        </w:rPr>
        <w:t xml:space="preserve"> V, Sultan M, Hynes N. Computational fluid analysis of symptomatic chronic type B aortic dissections managed with the Streamliner Multilayer Flow Modulator.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65</w:t>
      </w:r>
      <w:r>
        <w:rPr>
          <w:rFonts w:ascii="Book Antiqua" w:hAnsi="Book Antiqua"/>
        </w:rPr>
        <w:t>: 951-963 [PMID: 27889286 DOI: 10.1016/j.jvs.2016.07.135]</w:t>
      </w:r>
    </w:p>
    <w:p w14:paraId="269F93DE" w14:textId="77777777" w:rsidR="00A57EAC" w:rsidRDefault="00E71D72">
      <w:pPr>
        <w:snapToGrid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Erbel</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Aboyans</w:t>
      </w:r>
      <w:proofErr w:type="spellEnd"/>
      <w:r>
        <w:rPr>
          <w:rFonts w:ascii="Book Antiqua" w:hAnsi="Book Antiqua"/>
        </w:rPr>
        <w:t xml:space="preserve"> V, Boileau C, </w:t>
      </w:r>
      <w:proofErr w:type="spellStart"/>
      <w:r>
        <w:rPr>
          <w:rFonts w:ascii="Book Antiqua" w:hAnsi="Book Antiqua"/>
        </w:rPr>
        <w:t>Bossone</w:t>
      </w:r>
      <w:proofErr w:type="spellEnd"/>
      <w:r>
        <w:rPr>
          <w:rFonts w:ascii="Book Antiqua" w:hAnsi="Book Antiqua"/>
        </w:rPr>
        <w:t xml:space="preserve"> E, Di Bartolomeo R, Eggebrecht H, Evangelista A, Falk V, Frank H, </w:t>
      </w:r>
      <w:proofErr w:type="spellStart"/>
      <w:r>
        <w:rPr>
          <w:rFonts w:ascii="Book Antiqua" w:hAnsi="Book Antiqua"/>
        </w:rPr>
        <w:t>Gaemperli</w:t>
      </w:r>
      <w:proofErr w:type="spellEnd"/>
      <w:r>
        <w:rPr>
          <w:rFonts w:ascii="Book Antiqua" w:hAnsi="Book Antiqua"/>
        </w:rPr>
        <w:t xml:space="preserve"> O, </w:t>
      </w:r>
      <w:proofErr w:type="spellStart"/>
      <w:r>
        <w:rPr>
          <w:rFonts w:ascii="Book Antiqua" w:hAnsi="Book Antiqua"/>
        </w:rPr>
        <w:t>Grabenwoger</w:t>
      </w:r>
      <w:proofErr w:type="spellEnd"/>
      <w:r>
        <w:rPr>
          <w:rFonts w:ascii="Book Antiqua" w:hAnsi="Book Antiqua"/>
        </w:rPr>
        <w:t xml:space="preserve"> M, </w:t>
      </w:r>
      <w:proofErr w:type="spellStart"/>
      <w:r>
        <w:rPr>
          <w:rFonts w:ascii="Book Antiqua" w:hAnsi="Book Antiqua"/>
        </w:rPr>
        <w:t>Haverich</w:t>
      </w:r>
      <w:proofErr w:type="spellEnd"/>
      <w:r>
        <w:rPr>
          <w:rFonts w:ascii="Book Antiqua" w:hAnsi="Book Antiqua"/>
        </w:rPr>
        <w:t xml:space="preserve"> A, </w:t>
      </w:r>
      <w:proofErr w:type="spellStart"/>
      <w:r>
        <w:rPr>
          <w:rFonts w:ascii="Book Antiqua" w:hAnsi="Book Antiqua"/>
        </w:rPr>
        <w:t>Iung</w:t>
      </w:r>
      <w:proofErr w:type="spellEnd"/>
      <w:r>
        <w:rPr>
          <w:rFonts w:ascii="Book Antiqua" w:hAnsi="Book Antiqua"/>
        </w:rPr>
        <w:t xml:space="preserve"> B, John </w:t>
      </w:r>
      <w:proofErr w:type="spellStart"/>
      <w:r>
        <w:rPr>
          <w:rFonts w:ascii="Book Antiqua" w:hAnsi="Book Antiqua"/>
        </w:rPr>
        <w:t>Manolis</w:t>
      </w:r>
      <w:proofErr w:type="spellEnd"/>
      <w:r>
        <w:rPr>
          <w:rFonts w:ascii="Book Antiqua" w:hAnsi="Book Antiqua"/>
        </w:rPr>
        <w:t xml:space="preserve"> A, </w:t>
      </w:r>
      <w:proofErr w:type="spellStart"/>
      <w:r>
        <w:rPr>
          <w:rFonts w:ascii="Book Antiqua" w:hAnsi="Book Antiqua"/>
        </w:rPr>
        <w:t>Meijboom</w:t>
      </w:r>
      <w:proofErr w:type="spellEnd"/>
      <w:r>
        <w:rPr>
          <w:rFonts w:ascii="Book Antiqua" w:hAnsi="Book Antiqua"/>
        </w:rPr>
        <w:t xml:space="preserve"> F, Nienaber CA, </w:t>
      </w:r>
      <w:proofErr w:type="spellStart"/>
      <w:r>
        <w:rPr>
          <w:rFonts w:ascii="Book Antiqua" w:hAnsi="Book Antiqua"/>
        </w:rPr>
        <w:t>Roffi</w:t>
      </w:r>
      <w:proofErr w:type="spellEnd"/>
      <w:r>
        <w:rPr>
          <w:rFonts w:ascii="Book Antiqua" w:hAnsi="Book Antiqua"/>
        </w:rPr>
        <w:t xml:space="preserve"> M, Rousseau H, </w:t>
      </w:r>
      <w:proofErr w:type="spellStart"/>
      <w:r>
        <w:rPr>
          <w:rFonts w:ascii="Book Antiqua" w:hAnsi="Book Antiqua"/>
        </w:rPr>
        <w:t>Sechtem</w:t>
      </w:r>
      <w:proofErr w:type="spellEnd"/>
      <w:r>
        <w:rPr>
          <w:rFonts w:ascii="Book Antiqua" w:hAnsi="Book Antiqua"/>
        </w:rPr>
        <w:t xml:space="preserve"> U, </w:t>
      </w:r>
      <w:proofErr w:type="spellStart"/>
      <w:r>
        <w:rPr>
          <w:rFonts w:ascii="Book Antiqua" w:hAnsi="Book Antiqua"/>
        </w:rPr>
        <w:t>Sirnes</w:t>
      </w:r>
      <w:proofErr w:type="spellEnd"/>
      <w:r>
        <w:rPr>
          <w:rFonts w:ascii="Book Antiqua" w:hAnsi="Book Antiqua"/>
        </w:rPr>
        <w:t xml:space="preserve"> PA, von </w:t>
      </w:r>
      <w:proofErr w:type="spellStart"/>
      <w:r>
        <w:rPr>
          <w:rFonts w:ascii="Book Antiqua" w:hAnsi="Book Antiqua"/>
        </w:rPr>
        <w:t>Allmen</w:t>
      </w:r>
      <w:proofErr w:type="spellEnd"/>
      <w:r>
        <w:rPr>
          <w:rFonts w:ascii="Book Antiqua" w:hAnsi="Book Antiqua"/>
        </w:rPr>
        <w:t xml:space="preserve"> RS, </w:t>
      </w:r>
      <w:proofErr w:type="spellStart"/>
      <w:r>
        <w:rPr>
          <w:rFonts w:ascii="Book Antiqua" w:hAnsi="Book Antiqua"/>
        </w:rPr>
        <w:t>Vrints</w:t>
      </w:r>
      <w:proofErr w:type="spellEnd"/>
      <w:r>
        <w:rPr>
          <w:rFonts w:ascii="Book Antiqua" w:hAnsi="Book Antiqua"/>
        </w:rPr>
        <w:t xml:space="preserve"> CJ; Authors/Task Force members. Corrigendum to: 2014 ESC Guidelines on the diagnosis and treatment of aortic diseases. </w:t>
      </w:r>
      <w:r>
        <w:rPr>
          <w:rFonts w:ascii="Book Antiqua" w:hAnsi="Book Antiqua"/>
          <w:i/>
          <w:iCs/>
        </w:rPr>
        <w:t>Eur Heart J</w:t>
      </w:r>
      <w:r>
        <w:rPr>
          <w:rFonts w:ascii="Book Antiqua" w:hAnsi="Book Antiqua"/>
        </w:rPr>
        <w:t xml:space="preserve"> 2015; </w:t>
      </w:r>
      <w:r>
        <w:rPr>
          <w:rFonts w:ascii="Book Antiqua" w:hAnsi="Book Antiqua"/>
          <w:b/>
          <w:bCs/>
        </w:rPr>
        <w:t>36</w:t>
      </w:r>
      <w:r>
        <w:rPr>
          <w:rFonts w:ascii="Book Antiqua" w:hAnsi="Book Antiqua"/>
        </w:rPr>
        <w:t>: 2779 [PMID: 26129948 DOI: 10.1093/</w:t>
      </w:r>
      <w:proofErr w:type="spellStart"/>
      <w:r>
        <w:rPr>
          <w:rFonts w:ascii="Book Antiqua" w:hAnsi="Book Antiqua"/>
        </w:rPr>
        <w:t>eurheartj</w:t>
      </w:r>
      <w:proofErr w:type="spellEnd"/>
      <w:r>
        <w:rPr>
          <w:rFonts w:ascii="Book Antiqua" w:hAnsi="Book Antiqua"/>
        </w:rPr>
        <w:t>/ehv178]</w:t>
      </w:r>
    </w:p>
    <w:p w14:paraId="52F8832A" w14:textId="77777777" w:rsidR="00A57EAC" w:rsidRDefault="00E71D72">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Durham CA</w:t>
      </w:r>
      <w:r>
        <w:rPr>
          <w:rFonts w:ascii="Book Antiqua" w:hAnsi="Book Antiqua"/>
        </w:rPr>
        <w:t xml:space="preserve">, Cambria RP, Wang LJ, </w:t>
      </w:r>
      <w:proofErr w:type="spellStart"/>
      <w:r>
        <w:rPr>
          <w:rFonts w:ascii="Book Antiqua" w:hAnsi="Book Antiqua"/>
        </w:rPr>
        <w:t>Ergul</w:t>
      </w:r>
      <w:proofErr w:type="spellEnd"/>
      <w:r>
        <w:rPr>
          <w:rFonts w:ascii="Book Antiqua" w:hAnsi="Book Antiqua"/>
        </w:rPr>
        <w:t xml:space="preserve"> EA, </w:t>
      </w:r>
      <w:proofErr w:type="spellStart"/>
      <w:r>
        <w:rPr>
          <w:rFonts w:ascii="Book Antiqua" w:hAnsi="Book Antiqua"/>
        </w:rPr>
        <w:t>Aranson</w:t>
      </w:r>
      <w:proofErr w:type="spellEnd"/>
      <w:r>
        <w:rPr>
          <w:rFonts w:ascii="Book Antiqua" w:hAnsi="Book Antiqua"/>
        </w:rPr>
        <w:t xml:space="preserve"> NJ, Patel VI, Conrad MF. The natural history of medically managed acute type B aortic dissection.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2015; </w:t>
      </w:r>
      <w:r>
        <w:rPr>
          <w:rFonts w:ascii="Book Antiqua" w:hAnsi="Book Antiqua"/>
          <w:b/>
          <w:bCs/>
        </w:rPr>
        <w:t>61</w:t>
      </w:r>
      <w:r>
        <w:rPr>
          <w:rFonts w:ascii="Book Antiqua" w:hAnsi="Book Antiqua"/>
        </w:rPr>
        <w:t>: 1192-1198 [PMID: 25659458 DOI: 10.1016/j.jvs.2014.12.038]</w:t>
      </w:r>
    </w:p>
    <w:p w14:paraId="22CCC218" w14:textId="77777777" w:rsidR="00A57EAC" w:rsidRDefault="00E71D72">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Chou HW</w:t>
      </w:r>
      <w:r>
        <w:rPr>
          <w:rFonts w:ascii="Book Antiqua" w:hAnsi="Book Antiqua"/>
        </w:rPr>
        <w:t xml:space="preserve">, Chan CY, Chang CH, Lin CF, Chen YS, Wang SS, Wu IH. Comparisons of aortic </w:t>
      </w:r>
      <w:proofErr w:type="spellStart"/>
      <w:r>
        <w:rPr>
          <w:rFonts w:ascii="Book Antiqua" w:hAnsi="Book Antiqua"/>
        </w:rPr>
        <w:t>remodelling</w:t>
      </w:r>
      <w:proofErr w:type="spellEnd"/>
      <w:r>
        <w:rPr>
          <w:rFonts w:ascii="Book Antiqua" w:hAnsi="Book Antiqua"/>
        </w:rPr>
        <w:t xml:space="preserve"> and outcomes after endovascular repair of acute and chronic complicated Type B aortic dissections. </w:t>
      </w:r>
      <w:r>
        <w:rPr>
          <w:rFonts w:ascii="Book Antiqua" w:hAnsi="Book Antiqua"/>
          <w:i/>
          <w:iCs/>
        </w:rPr>
        <w:t xml:space="preserve">Interact Cardiovasc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27</w:t>
      </w:r>
      <w:r>
        <w:rPr>
          <w:rFonts w:ascii="Book Antiqua" w:hAnsi="Book Antiqua"/>
        </w:rPr>
        <w:t>: 733-741 [PMID: 29796637 DOI: 10.1093/</w:t>
      </w:r>
      <w:proofErr w:type="spellStart"/>
      <w:r>
        <w:rPr>
          <w:rFonts w:ascii="Book Antiqua" w:hAnsi="Book Antiqua"/>
        </w:rPr>
        <w:t>icvts</w:t>
      </w:r>
      <w:proofErr w:type="spellEnd"/>
      <w:r>
        <w:rPr>
          <w:rFonts w:ascii="Book Antiqua" w:hAnsi="Book Antiqua"/>
        </w:rPr>
        <w:t>/ivy167]</w:t>
      </w:r>
    </w:p>
    <w:p w14:paraId="243ED269" w14:textId="77777777" w:rsidR="00A57EAC" w:rsidRDefault="00E71D72">
      <w:pPr>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Kanaoka</w:t>
      </w:r>
      <w:proofErr w:type="spellEnd"/>
      <w:r>
        <w:rPr>
          <w:rFonts w:ascii="Book Antiqua" w:hAnsi="Book Antiqua"/>
          <w:b/>
          <w:bCs/>
        </w:rPr>
        <w:t xml:space="preserve"> Y</w:t>
      </w:r>
      <w:r>
        <w:rPr>
          <w:rFonts w:ascii="Book Antiqua" w:hAnsi="Book Antiqua"/>
        </w:rPr>
        <w:t xml:space="preserve">, Ohki T, Kurosawa K, Maeda K, </w:t>
      </w:r>
      <w:proofErr w:type="spellStart"/>
      <w:r>
        <w:rPr>
          <w:rFonts w:ascii="Book Antiqua" w:hAnsi="Book Antiqua"/>
        </w:rPr>
        <w:t>Shukuzawa</w:t>
      </w:r>
      <w:proofErr w:type="spellEnd"/>
      <w:r>
        <w:rPr>
          <w:rFonts w:ascii="Book Antiqua" w:hAnsi="Book Antiqua"/>
        </w:rPr>
        <w:t xml:space="preserve"> K, Hara M, Baba T, Takizawa R, </w:t>
      </w:r>
      <w:proofErr w:type="spellStart"/>
      <w:r>
        <w:rPr>
          <w:rFonts w:ascii="Book Antiqua" w:hAnsi="Book Antiqua"/>
        </w:rPr>
        <w:t>Tachihara</w:t>
      </w:r>
      <w:proofErr w:type="spellEnd"/>
      <w:r>
        <w:rPr>
          <w:rFonts w:ascii="Book Antiqua" w:hAnsi="Book Antiqua"/>
        </w:rPr>
        <w:t xml:space="preserve"> H. Early and midterm outcomes of endovascular treatment for chronic </w:t>
      </w:r>
      <w:r>
        <w:rPr>
          <w:rFonts w:ascii="Book Antiqua" w:hAnsi="Book Antiqua"/>
        </w:rPr>
        <w:lastRenderedPageBreak/>
        <w:t xml:space="preserve">aneurysmal aortic dissection: a retrospective study. </w:t>
      </w:r>
      <w:proofErr w:type="spellStart"/>
      <w:r>
        <w:rPr>
          <w:rFonts w:ascii="Book Antiqua" w:hAnsi="Book Antiqua"/>
          <w:i/>
          <w:iCs/>
        </w:rPr>
        <w:t>Ther</w:t>
      </w:r>
      <w:proofErr w:type="spellEnd"/>
      <w:r>
        <w:rPr>
          <w:rFonts w:ascii="Book Antiqua" w:hAnsi="Book Antiqua"/>
          <w:i/>
          <w:iCs/>
        </w:rPr>
        <w:t xml:space="preserve"> Adv Cardiovasc Dis</w:t>
      </w:r>
      <w:r>
        <w:rPr>
          <w:rFonts w:ascii="Book Antiqua" w:hAnsi="Book Antiqua"/>
        </w:rPr>
        <w:t xml:space="preserve"> 2018; </w:t>
      </w:r>
      <w:r>
        <w:rPr>
          <w:rFonts w:ascii="Book Antiqua" w:hAnsi="Book Antiqua"/>
          <w:b/>
          <w:bCs/>
        </w:rPr>
        <w:t>12</w:t>
      </w:r>
      <w:r>
        <w:rPr>
          <w:rFonts w:ascii="Book Antiqua" w:hAnsi="Book Antiqua"/>
        </w:rPr>
        <w:t>: 275-287 [PMID: 30071800 DOI: 10.1177/1753944718792453]</w:t>
      </w:r>
    </w:p>
    <w:p w14:paraId="191AC8C2" w14:textId="77777777" w:rsidR="00A57EAC" w:rsidRDefault="00E71D72">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Puech-</w:t>
      </w:r>
      <w:proofErr w:type="spellStart"/>
      <w:r>
        <w:rPr>
          <w:rFonts w:ascii="Book Antiqua" w:hAnsi="Book Antiqua"/>
          <w:b/>
          <w:bCs/>
        </w:rPr>
        <w:t>Leao</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Estenssoro</w:t>
      </w:r>
      <w:proofErr w:type="spellEnd"/>
      <w:r>
        <w:rPr>
          <w:rFonts w:ascii="Book Antiqua" w:hAnsi="Book Antiqua"/>
        </w:rPr>
        <w:t xml:space="preserve"> AEV, </w:t>
      </w:r>
      <w:proofErr w:type="spellStart"/>
      <w:r>
        <w:rPr>
          <w:rFonts w:ascii="Book Antiqua" w:hAnsi="Book Antiqua"/>
        </w:rPr>
        <w:t>Wakassa</w:t>
      </w:r>
      <w:proofErr w:type="spellEnd"/>
      <w:r>
        <w:rPr>
          <w:rFonts w:ascii="Book Antiqua" w:hAnsi="Book Antiqua"/>
        </w:rPr>
        <w:t xml:space="preserve"> TB, Casella IB, </w:t>
      </w:r>
      <w:proofErr w:type="spellStart"/>
      <w:r>
        <w:rPr>
          <w:rFonts w:ascii="Book Antiqua" w:hAnsi="Book Antiqua"/>
        </w:rPr>
        <w:t>DeLuccia</w:t>
      </w:r>
      <w:proofErr w:type="spellEnd"/>
      <w:r>
        <w:rPr>
          <w:rFonts w:ascii="Book Antiqua" w:hAnsi="Book Antiqua"/>
        </w:rPr>
        <w:t xml:space="preserve"> N. Long-term Results of Endovascular Treatment of Chronic Type B Aortic Dissection by Closure of the Primary Tear.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2020; </w:t>
      </w:r>
      <w:r>
        <w:rPr>
          <w:rFonts w:ascii="Book Antiqua" w:hAnsi="Book Antiqua"/>
          <w:b/>
          <w:bCs/>
        </w:rPr>
        <w:t>66</w:t>
      </w:r>
      <w:r>
        <w:rPr>
          <w:rFonts w:ascii="Book Antiqua" w:hAnsi="Book Antiqua"/>
        </w:rPr>
        <w:t>: 179-182 [PMID: 31629855 DOI: 10.1016/j.avsg.2019.09.008]</w:t>
      </w:r>
    </w:p>
    <w:p w14:paraId="33948050" w14:textId="77777777" w:rsidR="00A57EAC" w:rsidRDefault="00E71D72">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Giles KA</w:t>
      </w:r>
      <w:r>
        <w:rPr>
          <w:rFonts w:ascii="Book Antiqua" w:hAnsi="Book Antiqua"/>
        </w:rPr>
        <w:t xml:space="preserve">, Beck AW, Lala S, Patterson S, Back M, Fatima J, </w:t>
      </w:r>
      <w:proofErr w:type="spellStart"/>
      <w:r>
        <w:rPr>
          <w:rFonts w:ascii="Book Antiqua" w:hAnsi="Book Antiqua"/>
        </w:rPr>
        <w:t>Arnaoutakis</w:t>
      </w:r>
      <w:proofErr w:type="spellEnd"/>
      <w:r>
        <w:rPr>
          <w:rFonts w:ascii="Book Antiqua" w:hAnsi="Book Antiqua"/>
        </w:rPr>
        <w:t xml:space="preserve"> DJ, </w:t>
      </w:r>
      <w:proofErr w:type="spellStart"/>
      <w:r>
        <w:rPr>
          <w:rFonts w:ascii="Book Antiqua" w:hAnsi="Book Antiqua"/>
        </w:rPr>
        <w:t>Arnaoutakis</w:t>
      </w:r>
      <w:proofErr w:type="spellEnd"/>
      <w:r>
        <w:rPr>
          <w:rFonts w:ascii="Book Antiqua" w:hAnsi="Book Antiqua"/>
        </w:rPr>
        <w:t xml:space="preserve"> GJ, Beaver TM, </w:t>
      </w:r>
      <w:proofErr w:type="spellStart"/>
      <w:r>
        <w:rPr>
          <w:rFonts w:ascii="Book Antiqua" w:hAnsi="Book Antiqua"/>
        </w:rPr>
        <w:t>Berceli</w:t>
      </w:r>
      <w:proofErr w:type="spellEnd"/>
      <w:r>
        <w:rPr>
          <w:rFonts w:ascii="Book Antiqua" w:hAnsi="Book Antiqua"/>
        </w:rPr>
        <w:t xml:space="preserve"> SA, Upchurch GR, Huber TS, Scali ST. Implications of secondary aortic intervention after thoracic endovascular aortic repair for acute and chronic type B dissection.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69</w:t>
      </w:r>
      <w:r>
        <w:rPr>
          <w:rFonts w:ascii="Book Antiqua" w:hAnsi="Book Antiqua"/>
        </w:rPr>
        <w:t>: 1367-1378 [PMID: 30553732 DOI: 10.1016/j.jvs.2018.07.080]</w:t>
      </w:r>
    </w:p>
    <w:p w14:paraId="630B3BA0" w14:textId="77777777" w:rsidR="00A57EAC" w:rsidRDefault="00E71D72">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Raupach</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Chovanec</w:t>
      </w:r>
      <w:proofErr w:type="spellEnd"/>
      <w:r>
        <w:rPr>
          <w:rFonts w:ascii="Book Antiqua" w:hAnsi="Book Antiqua"/>
        </w:rPr>
        <w:t xml:space="preserve"> V, </w:t>
      </w:r>
      <w:proofErr w:type="spellStart"/>
      <w:r>
        <w:rPr>
          <w:rFonts w:ascii="Book Antiqua" w:hAnsi="Book Antiqua"/>
        </w:rPr>
        <w:t>Kozakova</w:t>
      </w:r>
      <w:proofErr w:type="spellEnd"/>
      <w:r>
        <w:rPr>
          <w:rFonts w:ascii="Book Antiqua" w:hAnsi="Book Antiqua"/>
        </w:rPr>
        <w:t xml:space="preserve"> V, </w:t>
      </w:r>
      <w:proofErr w:type="spellStart"/>
      <w:r>
        <w:rPr>
          <w:rFonts w:ascii="Book Antiqua" w:hAnsi="Book Antiqua"/>
        </w:rPr>
        <w:t>Vojacek</w:t>
      </w:r>
      <w:proofErr w:type="spellEnd"/>
      <w:r>
        <w:rPr>
          <w:rFonts w:ascii="Book Antiqua" w:hAnsi="Book Antiqua"/>
        </w:rPr>
        <w:t xml:space="preserve"> J. Endovascular fenestration of aortic dissection membrane after failed frozen elephant trunk procedure. </w:t>
      </w:r>
      <w:r>
        <w:rPr>
          <w:rFonts w:ascii="Book Antiqua" w:hAnsi="Book Antiqua"/>
          <w:i/>
          <w:iCs/>
        </w:rPr>
        <w:t xml:space="preserve">Eur J </w:t>
      </w:r>
      <w:proofErr w:type="spellStart"/>
      <w:r>
        <w:rPr>
          <w:rFonts w:ascii="Book Antiqua" w:hAnsi="Book Antiqua"/>
          <w:i/>
          <w:iCs/>
        </w:rPr>
        <w:t>Cardiothorac</w:t>
      </w:r>
      <w:proofErr w:type="spellEnd"/>
      <w:r>
        <w:rPr>
          <w:rFonts w:ascii="Book Antiqua" w:hAnsi="Book Antiqua"/>
          <w:i/>
          <w:iCs/>
        </w:rPr>
        <w:t xml:space="preserve"> Surg</w:t>
      </w:r>
      <w:r>
        <w:rPr>
          <w:rFonts w:ascii="Book Antiqua" w:hAnsi="Book Antiqua"/>
        </w:rPr>
        <w:t xml:space="preserve"> 2020; </w:t>
      </w:r>
      <w:r>
        <w:rPr>
          <w:rFonts w:ascii="Book Antiqua" w:hAnsi="Book Antiqua"/>
          <w:b/>
          <w:bCs/>
        </w:rPr>
        <w:t>57</w:t>
      </w:r>
      <w:r>
        <w:rPr>
          <w:rFonts w:ascii="Book Antiqua" w:hAnsi="Book Antiqua"/>
        </w:rPr>
        <w:t>: 598-600 [PMID: 31593219 DOI: 10.1093/</w:t>
      </w:r>
      <w:proofErr w:type="spellStart"/>
      <w:r>
        <w:rPr>
          <w:rFonts w:ascii="Book Antiqua" w:hAnsi="Book Antiqua"/>
        </w:rPr>
        <w:t>ejcts</w:t>
      </w:r>
      <w:proofErr w:type="spellEnd"/>
      <w:r>
        <w:rPr>
          <w:rFonts w:ascii="Book Antiqua" w:hAnsi="Book Antiqua"/>
        </w:rPr>
        <w:t>/ezz251]</w:t>
      </w:r>
    </w:p>
    <w:p w14:paraId="40FB5CAA" w14:textId="77777777" w:rsidR="00A57EAC" w:rsidRDefault="00E71D72">
      <w:pPr>
        <w:snapToGrid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Konstantinou</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Banafsche</w:t>
      </w:r>
      <w:proofErr w:type="spellEnd"/>
      <w:r>
        <w:rPr>
          <w:rFonts w:ascii="Book Antiqua" w:hAnsi="Book Antiqua"/>
        </w:rPr>
        <w:t xml:space="preserve"> R, </w:t>
      </w:r>
      <w:proofErr w:type="spellStart"/>
      <w:r>
        <w:rPr>
          <w:rFonts w:ascii="Book Antiqua" w:hAnsi="Book Antiqua"/>
        </w:rPr>
        <w:t>Mehmedovic</w:t>
      </w:r>
      <w:proofErr w:type="spellEnd"/>
      <w:r>
        <w:rPr>
          <w:rFonts w:ascii="Book Antiqua" w:hAnsi="Book Antiqua"/>
        </w:rPr>
        <w:t xml:space="preserve"> A, Spanos K, </w:t>
      </w:r>
      <w:proofErr w:type="spellStart"/>
      <w:r>
        <w:rPr>
          <w:rFonts w:ascii="Book Antiqua" w:hAnsi="Book Antiqua"/>
        </w:rPr>
        <w:t>Rantner</w:t>
      </w:r>
      <w:proofErr w:type="spellEnd"/>
      <w:r>
        <w:rPr>
          <w:rFonts w:ascii="Book Antiqua" w:hAnsi="Book Antiqua"/>
        </w:rPr>
        <w:t xml:space="preserve"> B, </w:t>
      </w:r>
      <w:proofErr w:type="spellStart"/>
      <w:r>
        <w:rPr>
          <w:rFonts w:ascii="Book Antiqua" w:hAnsi="Book Antiqua"/>
        </w:rPr>
        <w:t>Tsilimparis</w:t>
      </w:r>
      <w:proofErr w:type="spellEnd"/>
      <w:r>
        <w:rPr>
          <w:rFonts w:ascii="Book Antiqua" w:hAnsi="Book Antiqua"/>
        </w:rPr>
        <w:t xml:space="preserve"> N. Balloon-Assisted True Lumen Expansion and Fenestration of a Symptomatic, Triple-Barrel, </w:t>
      </w:r>
      <w:proofErr w:type="spellStart"/>
      <w:r>
        <w:rPr>
          <w:rFonts w:ascii="Book Antiqua" w:hAnsi="Book Antiqua"/>
        </w:rPr>
        <w:t>Postdissection</w:t>
      </w:r>
      <w:proofErr w:type="spellEnd"/>
      <w:r>
        <w:rPr>
          <w:rFonts w:ascii="Book Antiqua" w:hAnsi="Book Antiqua"/>
        </w:rPr>
        <w:t xml:space="preserve"> Thoracoabdominal Aneurysm with Collapsed True Lumen to Facilitate Endovascular Treatment with a t-Branch.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2021; </w:t>
      </w:r>
      <w:r>
        <w:rPr>
          <w:rFonts w:ascii="Book Antiqua" w:hAnsi="Book Antiqua"/>
          <w:b/>
          <w:bCs/>
        </w:rPr>
        <w:t>74</w:t>
      </w:r>
      <w:r>
        <w:rPr>
          <w:rFonts w:ascii="Book Antiqua" w:hAnsi="Book Antiqua"/>
        </w:rPr>
        <w:t>: 521.e15-521.e21 [PMID: 33556515 DOI: 10.1016/j.avsg.2021.01.085]</w:t>
      </w:r>
    </w:p>
    <w:p w14:paraId="061EC30C" w14:textId="77777777" w:rsidR="00A57EAC" w:rsidRDefault="00E71D72">
      <w:pPr>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D'Ancona</w:t>
      </w:r>
      <w:proofErr w:type="spellEnd"/>
      <w:r>
        <w:rPr>
          <w:rFonts w:ascii="Book Antiqua" w:hAnsi="Book Antiqua"/>
          <w:b/>
          <w:bCs/>
        </w:rPr>
        <w:t xml:space="preserve"> G</w:t>
      </w:r>
      <w:r>
        <w:rPr>
          <w:rFonts w:ascii="Book Antiqua" w:hAnsi="Book Antiqua"/>
        </w:rPr>
        <w:t xml:space="preserve">, Lee JJ, Pasta S, Pilato G, </w:t>
      </w:r>
      <w:proofErr w:type="spellStart"/>
      <w:r>
        <w:rPr>
          <w:rFonts w:ascii="Book Antiqua" w:hAnsi="Book Antiqua"/>
        </w:rPr>
        <w:t>Rinaudo</w:t>
      </w:r>
      <w:proofErr w:type="spellEnd"/>
      <w:r>
        <w:rPr>
          <w:rFonts w:ascii="Book Antiqua" w:hAnsi="Book Antiqua"/>
        </w:rPr>
        <w:t xml:space="preserve"> A, Follis F, Pilato M. Computational analysis to predict false-lumen perfusion and outcome of type B aortic dissection.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Cardiovasc Surg</w:t>
      </w:r>
      <w:r>
        <w:rPr>
          <w:rFonts w:ascii="Book Antiqua" w:hAnsi="Book Antiqua"/>
        </w:rPr>
        <w:t xml:space="preserve"> 2014; </w:t>
      </w:r>
      <w:r>
        <w:rPr>
          <w:rFonts w:ascii="Book Antiqua" w:hAnsi="Book Antiqua"/>
          <w:b/>
          <w:bCs/>
        </w:rPr>
        <w:t>148</w:t>
      </w:r>
      <w:r>
        <w:rPr>
          <w:rFonts w:ascii="Book Antiqua" w:hAnsi="Book Antiqua"/>
        </w:rPr>
        <w:t>: 1756-1758 [PMID: 25109756 DOI: 10.1016/j.jtcvs.2014.06.065]</w:t>
      </w:r>
    </w:p>
    <w:p w14:paraId="652D5C4E" w14:textId="77777777" w:rsidR="00A57EAC" w:rsidRDefault="00E71D72">
      <w:pPr>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Menichini</w:t>
      </w:r>
      <w:proofErr w:type="spellEnd"/>
      <w:r>
        <w:rPr>
          <w:rFonts w:ascii="Book Antiqua" w:hAnsi="Book Antiqua"/>
          <w:b/>
          <w:bCs/>
        </w:rPr>
        <w:t xml:space="preserve"> C</w:t>
      </w:r>
      <w:r>
        <w:rPr>
          <w:rFonts w:ascii="Book Antiqua" w:hAnsi="Book Antiqua"/>
        </w:rPr>
        <w:t xml:space="preserve">, Cheng Z, Gibbs RG, Xu XY. Predicting false lumen thrombosis in patient-specific models of aortic dissection. </w:t>
      </w:r>
      <w:r>
        <w:rPr>
          <w:rFonts w:ascii="Book Antiqua" w:hAnsi="Book Antiqua"/>
          <w:i/>
          <w:iCs/>
        </w:rPr>
        <w:t>J R Soc Interface</w:t>
      </w:r>
      <w:r>
        <w:rPr>
          <w:rFonts w:ascii="Book Antiqua" w:hAnsi="Book Antiqua"/>
        </w:rPr>
        <w:t xml:space="preserve"> 2016; </w:t>
      </w:r>
      <w:r>
        <w:rPr>
          <w:rFonts w:ascii="Book Antiqua" w:hAnsi="Book Antiqua"/>
          <w:b/>
          <w:bCs/>
        </w:rPr>
        <w:t>13</w:t>
      </w:r>
      <w:r>
        <w:rPr>
          <w:rFonts w:ascii="Book Antiqua" w:hAnsi="Book Antiqua"/>
        </w:rPr>
        <w:t xml:space="preserve"> [PMID: 27807275 DOI: 10.1098/rsif.2016.0759]</w:t>
      </w:r>
    </w:p>
    <w:p w14:paraId="183AF7FA" w14:textId="77777777" w:rsidR="00A57EAC" w:rsidRDefault="00A57EAC">
      <w:pPr>
        <w:snapToGrid w:val="0"/>
        <w:spacing w:line="360" w:lineRule="auto"/>
        <w:jc w:val="both"/>
        <w:rPr>
          <w:rFonts w:ascii="Book Antiqua" w:hAnsi="Book Antiqua"/>
        </w:rPr>
      </w:pPr>
    </w:p>
    <w:p w14:paraId="2947EAEB" w14:textId="77777777" w:rsidR="00A57EAC" w:rsidRDefault="00A57EAC">
      <w:pPr>
        <w:snapToGrid w:val="0"/>
        <w:spacing w:line="360" w:lineRule="auto"/>
        <w:jc w:val="both"/>
        <w:rPr>
          <w:rFonts w:ascii="Book Antiqua" w:hAnsi="Book Antiqua"/>
        </w:rPr>
      </w:pPr>
    </w:p>
    <w:p w14:paraId="18D324FF" w14:textId="77777777" w:rsidR="001D7F02" w:rsidRDefault="001D7F02">
      <w:pPr>
        <w:rPr>
          <w:rFonts w:ascii="Book Antiqua" w:eastAsia="Book Antiqua" w:hAnsi="Book Antiqua" w:cs="Book Antiqua"/>
          <w:b/>
          <w:color w:val="000000"/>
        </w:rPr>
      </w:pPr>
      <w:r>
        <w:rPr>
          <w:rFonts w:ascii="Book Antiqua" w:eastAsia="Book Antiqua" w:hAnsi="Book Antiqua" w:cs="Book Antiqua"/>
          <w:b/>
          <w:color w:val="000000"/>
        </w:rPr>
        <w:br w:type="page"/>
      </w:r>
    </w:p>
    <w:p w14:paraId="470BFC95" w14:textId="455995C3" w:rsidR="00A57EAC" w:rsidRDefault="00E71D72" w:rsidP="001D7F02">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1E5B759"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4B7954B" w14:textId="77777777" w:rsidR="00A57EAC" w:rsidRDefault="00A57EAC">
      <w:pPr>
        <w:snapToGrid w:val="0"/>
        <w:spacing w:line="360" w:lineRule="auto"/>
        <w:jc w:val="both"/>
        <w:rPr>
          <w:rFonts w:ascii="Book Antiqua" w:hAnsi="Book Antiqua"/>
        </w:rPr>
      </w:pPr>
    </w:p>
    <w:p w14:paraId="21E72E6C"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3CECA659" w14:textId="77777777" w:rsidR="00A57EAC" w:rsidRDefault="00A57EAC">
      <w:pPr>
        <w:snapToGrid w:val="0"/>
        <w:spacing w:line="360" w:lineRule="auto"/>
        <w:jc w:val="both"/>
        <w:rPr>
          <w:rFonts w:ascii="Book Antiqua" w:hAnsi="Book Antiqua"/>
        </w:rPr>
      </w:pPr>
    </w:p>
    <w:p w14:paraId="5DB67840"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C3019E0" w14:textId="77777777" w:rsidR="00A57EAC" w:rsidRDefault="00A57EAC">
      <w:pPr>
        <w:snapToGrid w:val="0"/>
        <w:spacing w:line="360" w:lineRule="auto"/>
        <w:jc w:val="both"/>
        <w:rPr>
          <w:rFonts w:ascii="Book Antiqua" w:hAnsi="Book Antiqua"/>
        </w:rPr>
      </w:pPr>
    </w:p>
    <w:p w14:paraId="1C5D6C10"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075271" w14:textId="77777777" w:rsidR="00A57EAC" w:rsidRDefault="00A57EAC">
      <w:pPr>
        <w:snapToGrid w:val="0"/>
        <w:spacing w:line="360" w:lineRule="auto"/>
        <w:jc w:val="both"/>
        <w:rPr>
          <w:rFonts w:ascii="Book Antiqua" w:hAnsi="Book Antiqua"/>
        </w:rPr>
      </w:pPr>
    </w:p>
    <w:p w14:paraId="7EF28E77"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A506E22" w14:textId="77777777" w:rsidR="00A57EAC" w:rsidRDefault="00A57EAC">
      <w:pPr>
        <w:snapToGrid w:val="0"/>
        <w:spacing w:line="360" w:lineRule="auto"/>
        <w:jc w:val="both"/>
        <w:rPr>
          <w:rFonts w:ascii="Book Antiqua" w:hAnsi="Book Antiqua"/>
        </w:rPr>
      </w:pPr>
    </w:p>
    <w:p w14:paraId="3A9DCE6A"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23, 2021</w:t>
      </w:r>
    </w:p>
    <w:p w14:paraId="53049DF6"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732CBDF5"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68046CF" w14:textId="77777777" w:rsidR="00A57EAC" w:rsidRDefault="00A57EAC">
      <w:pPr>
        <w:snapToGrid w:val="0"/>
        <w:spacing w:line="360" w:lineRule="auto"/>
        <w:jc w:val="both"/>
        <w:rPr>
          <w:rFonts w:ascii="Book Antiqua" w:hAnsi="Book Antiqua"/>
        </w:rPr>
      </w:pPr>
    </w:p>
    <w:p w14:paraId="52292EC4"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10F3FE8E"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794FE5"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7FAFAE0"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727758C9"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67960922"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Grade C (Good): C, C</w:t>
      </w:r>
    </w:p>
    <w:p w14:paraId="01E94FC5"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6EA5FA0D" w14:textId="77777777" w:rsidR="00A57EAC" w:rsidRDefault="00E71D72">
      <w:pPr>
        <w:snapToGrid w:val="0"/>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7076BB7C" w14:textId="77777777" w:rsidR="00A57EAC" w:rsidRDefault="00A57EAC">
      <w:pPr>
        <w:snapToGrid w:val="0"/>
        <w:spacing w:line="360" w:lineRule="auto"/>
        <w:jc w:val="both"/>
        <w:rPr>
          <w:rFonts w:ascii="Book Antiqua" w:hAnsi="Book Antiqua"/>
        </w:rPr>
      </w:pPr>
    </w:p>
    <w:p w14:paraId="16037112" w14:textId="6135B56C" w:rsidR="00A57EAC" w:rsidRDefault="00E71D72">
      <w:pPr>
        <w:snapToGrid w:val="0"/>
        <w:spacing w:line="360" w:lineRule="auto"/>
        <w:jc w:val="both"/>
        <w:rPr>
          <w:rFonts w:ascii="Book Antiqua" w:hAnsi="Book Antiqua"/>
        </w:rPr>
        <w:sectPr w:rsidR="00A57EAC">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Jesus-Silva SG, Schoenhagen P</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1A2FC6">
        <w:rPr>
          <w:rFonts w:ascii="Book Antiqua" w:eastAsia="Book Antiqua" w:hAnsi="Book Antiqua" w:cs="Book Antiqua"/>
          <w:b/>
          <w:color w:val="000000"/>
        </w:rPr>
        <w:t xml:space="preserve"> </w:t>
      </w:r>
      <w:r w:rsidR="001A2FC6">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1D157E1B"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C939EFC" w14:textId="77777777" w:rsidR="00A57EAC" w:rsidRDefault="00E71D72">
      <w:pPr>
        <w:snapToGrid w:val="0"/>
        <w:spacing w:line="360" w:lineRule="auto"/>
        <w:jc w:val="both"/>
        <w:rPr>
          <w:rFonts w:ascii="Book Antiqua" w:hAnsi="Book Antiqua"/>
        </w:rPr>
      </w:pPr>
      <w:r>
        <w:rPr>
          <w:rFonts w:ascii="Book Antiqua" w:hAnsi="Book Antiqua"/>
          <w:noProof/>
          <w:lang w:eastAsia="zh-CN"/>
        </w:rPr>
        <w:drawing>
          <wp:inline distT="0" distB="0" distL="0" distR="0" wp14:anchorId="10548F9C" wp14:editId="171604AE">
            <wp:extent cx="7813040" cy="23545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830494" cy="2360116"/>
                    </a:xfrm>
                    <a:prstGeom prst="rect">
                      <a:avLst/>
                    </a:prstGeom>
                    <a:noFill/>
                    <a:ln>
                      <a:noFill/>
                    </a:ln>
                  </pic:spPr>
                </pic:pic>
              </a:graphicData>
            </a:graphic>
          </wp:inline>
        </w:drawing>
      </w:r>
    </w:p>
    <w:p w14:paraId="264706D6" w14:textId="1C80A735" w:rsidR="00A57EAC" w:rsidRDefault="00E71D7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 Computed tomography angiography results prior to thoracic endovascular aortic repair.</w:t>
      </w:r>
      <w:r>
        <w:rPr>
          <w:rFonts w:ascii="Book Antiqua" w:eastAsia="Book Antiqua" w:hAnsi="Book Antiqua" w:cs="Book Antiqua"/>
          <w:color w:val="000000"/>
        </w:rPr>
        <w:t xml:space="preserve"> A: True lumen collapse (arrow)</w:t>
      </w:r>
      <w:r w:rsidR="001D7F02">
        <w:rPr>
          <w:rFonts w:ascii="Book Antiqua" w:eastAsia="Book Antiqua" w:hAnsi="Book Antiqua" w:cs="Book Antiqua"/>
          <w:color w:val="000000"/>
        </w:rPr>
        <w:t>;</w:t>
      </w:r>
      <w:r>
        <w:rPr>
          <w:rFonts w:ascii="Book Antiqua" w:eastAsia="Book Antiqua" w:hAnsi="Book Antiqua" w:cs="Book Antiqua"/>
          <w:color w:val="000000"/>
        </w:rPr>
        <w:t xml:space="preserve"> B: The maximal diameter of the distal tear was 10.71 mm</w:t>
      </w:r>
      <w:r w:rsidR="001D7F02">
        <w:rPr>
          <w:rFonts w:ascii="Book Antiqua" w:eastAsia="Book Antiqua" w:hAnsi="Book Antiqua" w:cs="Book Antiqua"/>
          <w:color w:val="000000"/>
        </w:rPr>
        <w:t>;</w:t>
      </w:r>
      <w:r>
        <w:rPr>
          <w:rFonts w:ascii="Book Antiqua" w:eastAsia="Book Antiqua" w:hAnsi="Book Antiqua" w:cs="Book Antiqua"/>
          <w:color w:val="000000"/>
        </w:rPr>
        <w:t xml:space="preserve"> C: The maximal diameter of the descending aorta was 51.8 mm</w:t>
      </w:r>
      <w:r w:rsidR="001D7F02">
        <w:rPr>
          <w:rFonts w:ascii="Book Antiqua" w:eastAsia="Book Antiqua" w:hAnsi="Book Antiqua" w:cs="Book Antiqua"/>
          <w:color w:val="000000"/>
        </w:rPr>
        <w:t>;</w:t>
      </w:r>
      <w:r>
        <w:rPr>
          <w:rFonts w:ascii="Book Antiqua" w:eastAsia="Book Antiqua" w:hAnsi="Book Antiqua" w:cs="Book Antiqua"/>
          <w:color w:val="000000"/>
        </w:rPr>
        <w:t xml:space="preserve"> D: Type III aortic arch, with the dissecting aneurysm being immediately adjacent to the left subclavian artery.</w:t>
      </w:r>
    </w:p>
    <w:p w14:paraId="0DDDF8B1" w14:textId="77777777" w:rsidR="00A57EAC" w:rsidRDefault="00E71D7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2BE32BF" wp14:editId="15AD9152">
            <wp:extent cx="6012180" cy="5451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l="20976" t="16261" r="38820" b="29091"/>
                    <a:stretch>
                      <a:fillRect/>
                    </a:stretch>
                  </pic:blipFill>
                  <pic:spPr>
                    <a:xfrm>
                      <a:off x="0" y="0"/>
                      <a:ext cx="6036254" cy="5473355"/>
                    </a:xfrm>
                    <a:prstGeom prst="rect">
                      <a:avLst/>
                    </a:prstGeom>
                    <a:noFill/>
                    <a:ln>
                      <a:noFill/>
                    </a:ln>
                  </pic:spPr>
                </pic:pic>
              </a:graphicData>
            </a:graphic>
          </wp:inline>
        </w:drawing>
      </w:r>
    </w:p>
    <w:p w14:paraId="179A5394" w14:textId="2C1E0025"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lastRenderedPageBreak/>
        <w:t xml:space="preserve">Figure 2 Aortic angiography. </w:t>
      </w:r>
      <w:r>
        <w:rPr>
          <w:rFonts w:ascii="Book Antiqua" w:eastAsia="Book Antiqua" w:hAnsi="Book Antiqua" w:cs="Book Antiqua"/>
          <w:color w:val="000000"/>
        </w:rPr>
        <w:t>A: The pigtail catheter adopted a helical shape in the true lumen, with the proximal true lumen being clearly compressed</w:t>
      </w:r>
      <w:r w:rsidR="001D7F02">
        <w:rPr>
          <w:rFonts w:ascii="Book Antiqua" w:eastAsia="Book Antiqua" w:hAnsi="Book Antiqua" w:cs="Book Antiqua"/>
          <w:color w:val="000000"/>
        </w:rPr>
        <w:t>;</w:t>
      </w:r>
      <w:r>
        <w:rPr>
          <w:rFonts w:ascii="Book Antiqua" w:eastAsia="Book Antiqua" w:hAnsi="Book Antiqua" w:cs="Book Antiqua"/>
          <w:color w:val="000000"/>
        </w:rPr>
        <w:t xml:space="preserve"> B: The helical shape of the pigtail catheter was corrected, with aortic angiography showing the large false lumen</w:t>
      </w:r>
      <w:r w:rsidR="001D7F02">
        <w:rPr>
          <w:rFonts w:ascii="Book Antiqua" w:eastAsia="Book Antiqua" w:hAnsi="Book Antiqua" w:cs="Book Antiqua"/>
          <w:color w:val="000000"/>
        </w:rPr>
        <w:t>;</w:t>
      </w:r>
      <w:r>
        <w:rPr>
          <w:rFonts w:ascii="Book Antiqua" w:eastAsia="Book Antiqua" w:hAnsi="Book Antiqua" w:cs="Book Antiqua"/>
          <w:color w:val="000000"/>
        </w:rPr>
        <w:t xml:space="preserve"> C: A balloon dilatation catheter was used to enlarge the small hole in the ANKURA stent graft</w:t>
      </w:r>
      <w:r w:rsidR="001D7F02">
        <w:rPr>
          <w:rFonts w:ascii="Book Antiqua" w:eastAsia="Book Antiqua" w:hAnsi="Book Antiqua" w:cs="Book Antiqua"/>
          <w:color w:val="000000"/>
        </w:rPr>
        <w:t>;</w:t>
      </w:r>
      <w:r>
        <w:rPr>
          <w:rFonts w:ascii="Book Antiqua" w:eastAsia="Book Antiqua" w:hAnsi="Book Antiqua" w:cs="Book Antiqua"/>
          <w:color w:val="000000"/>
        </w:rPr>
        <w:t> D: Aortic angiography revealed no evidence of endoleakage and good blood flow in the left subclavian artery</w:t>
      </w:r>
      <w:r w:rsidR="001D7F02">
        <w:rPr>
          <w:rFonts w:ascii="Book Antiqua" w:eastAsia="Book Antiqua" w:hAnsi="Book Antiqua" w:cs="Book Antiqua"/>
          <w:color w:val="000000"/>
        </w:rPr>
        <w:t>;</w:t>
      </w:r>
      <w:r>
        <w:rPr>
          <w:rFonts w:ascii="Book Antiqua" w:eastAsia="Book Antiqua" w:hAnsi="Book Antiqua" w:cs="Book Antiqua"/>
          <w:color w:val="000000"/>
        </w:rPr>
        <w:t xml:space="preserve"> E: The ANKURA stent graft was enlarged with a balloon dilatation catheter</w:t>
      </w:r>
      <w:r w:rsidR="001D7F02">
        <w:rPr>
          <w:rFonts w:ascii="Book Antiqua" w:eastAsia="Book Antiqua" w:hAnsi="Book Antiqua" w:cs="Book Antiqua"/>
          <w:color w:val="000000"/>
        </w:rPr>
        <w:t>;</w:t>
      </w:r>
      <w:r>
        <w:rPr>
          <w:rFonts w:ascii="Book Antiqua" w:eastAsia="Book Antiqua" w:hAnsi="Book Antiqua" w:cs="Book Antiqua"/>
          <w:color w:val="000000"/>
        </w:rPr>
        <w:t xml:space="preserve"> F: The stent shape appeared satisfactory upon angiographic reassessment.</w:t>
      </w:r>
    </w:p>
    <w:p w14:paraId="16850DDD" w14:textId="3076A5C1" w:rsidR="001D7F02" w:rsidRDefault="001D7F02" w:rsidP="00DD0C6B">
      <w:pPr>
        <w:jc w:val="both"/>
        <w:rPr>
          <w:rFonts w:ascii="Book Antiqua" w:hAnsi="Book Antiqua"/>
        </w:rPr>
      </w:pPr>
      <w:r>
        <w:rPr>
          <w:rFonts w:ascii="Book Antiqua" w:hAnsi="Book Antiqua"/>
        </w:rPr>
        <w:br w:type="page"/>
      </w:r>
    </w:p>
    <w:p w14:paraId="52C1B022" w14:textId="77777777" w:rsidR="00A57EAC" w:rsidRDefault="00A57EAC" w:rsidP="001D7F02">
      <w:pPr>
        <w:snapToGrid w:val="0"/>
        <w:spacing w:line="360" w:lineRule="auto"/>
        <w:jc w:val="both"/>
        <w:rPr>
          <w:rFonts w:ascii="Book Antiqua" w:hAnsi="Book Antiqua"/>
        </w:rPr>
      </w:pPr>
    </w:p>
    <w:p w14:paraId="09719A80" w14:textId="77777777" w:rsidR="00A57EAC" w:rsidRDefault="00E71D72">
      <w:pPr>
        <w:snapToGrid w:val="0"/>
        <w:spacing w:line="360" w:lineRule="auto"/>
        <w:jc w:val="both"/>
        <w:rPr>
          <w:rFonts w:ascii="Book Antiqua" w:hAnsi="Book Antiqua"/>
        </w:rPr>
      </w:pPr>
      <w:r>
        <w:rPr>
          <w:rFonts w:ascii="Book Antiqua" w:hAnsi="Book Antiqua"/>
          <w:noProof/>
          <w:lang w:eastAsia="zh-CN"/>
        </w:rPr>
        <w:drawing>
          <wp:inline distT="0" distB="0" distL="0" distR="0" wp14:anchorId="3EACB8A7" wp14:editId="0334AB8C">
            <wp:extent cx="7833360" cy="287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847245" cy="2877541"/>
                    </a:xfrm>
                    <a:prstGeom prst="rect">
                      <a:avLst/>
                    </a:prstGeom>
                    <a:noFill/>
                    <a:ln>
                      <a:noFill/>
                    </a:ln>
                  </pic:spPr>
                </pic:pic>
              </a:graphicData>
            </a:graphic>
          </wp:inline>
        </w:drawing>
      </w:r>
    </w:p>
    <w:p w14:paraId="6640D15A"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Figure 3 The false lumen gradually decreased in size and became completely thrombotic.</w:t>
      </w:r>
      <w:r>
        <w:rPr>
          <w:rFonts w:ascii="Book Antiqua" w:eastAsia="Book Antiqua" w:hAnsi="Book Antiqua" w:cs="Book Antiqua"/>
          <w:color w:val="000000"/>
        </w:rPr>
        <w:t> A: Prior to thoracic endovascular aortic repair; B: 3-mo follow-up; C: 28-mo follow-up.</w:t>
      </w:r>
    </w:p>
    <w:p w14:paraId="5FAC5404" w14:textId="77777777" w:rsidR="00A57EAC" w:rsidRDefault="00A57EAC">
      <w:pPr>
        <w:snapToGrid w:val="0"/>
        <w:spacing w:line="360" w:lineRule="auto"/>
        <w:jc w:val="both"/>
        <w:rPr>
          <w:rFonts w:ascii="Book Antiqua" w:hAnsi="Book Antiqua"/>
        </w:rPr>
      </w:pPr>
    </w:p>
    <w:p w14:paraId="712013FD" w14:textId="77777777" w:rsidR="00A57EAC" w:rsidRDefault="00E71D7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6A5DB46" wp14:editId="73D9D5DC">
            <wp:extent cx="5071745" cy="271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93540" cy="2723215"/>
                    </a:xfrm>
                    <a:prstGeom prst="rect">
                      <a:avLst/>
                    </a:prstGeom>
                    <a:noFill/>
                    <a:ln>
                      <a:noFill/>
                    </a:ln>
                  </pic:spPr>
                </pic:pic>
              </a:graphicData>
            </a:graphic>
          </wp:inline>
        </w:drawing>
      </w:r>
    </w:p>
    <w:p w14:paraId="76ABB862" w14:textId="77777777" w:rsidR="00A57EAC" w:rsidRDefault="00E71D72">
      <w:pPr>
        <w:snapToGrid w:val="0"/>
        <w:spacing w:line="360" w:lineRule="auto"/>
        <w:jc w:val="both"/>
        <w:rPr>
          <w:rFonts w:ascii="Book Antiqua" w:hAnsi="Book Antiqua"/>
        </w:rPr>
      </w:pPr>
      <w:r>
        <w:rPr>
          <w:rFonts w:ascii="Book Antiqua" w:hAnsi="Book Antiqua"/>
          <w:noProof/>
          <w:lang w:eastAsia="zh-CN"/>
        </w:rPr>
        <w:drawing>
          <wp:inline distT="0" distB="0" distL="0" distR="0" wp14:anchorId="06EE4A11" wp14:editId="7E9C2C70">
            <wp:extent cx="5029200" cy="2830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39174" cy="2836800"/>
                    </a:xfrm>
                    <a:prstGeom prst="rect">
                      <a:avLst/>
                    </a:prstGeom>
                    <a:noFill/>
                    <a:ln>
                      <a:noFill/>
                    </a:ln>
                  </pic:spPr>
                </pic:pic>
              </a:graphicData>
            </a:graphic>
          </wp:inline>
        </w:drawing>
      </w:r>
    </w:p>
    <w:p w14:paraId="34CD81F6" w14:textId="77777777" w:rsidR="00A57EAC" w:rsidRDefault="00E71D7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861C2B7" wp14:editId="6977D466">
            <wp:extent cx="5020310" cy="2735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25014" cy="2738012"/>
                    </a:xfrm>
                    <a:prstGeom prst="rect">
                      <a:avLst/>
                    </a:prstGeom>
                    <a:noFill/>
                    <a:ln>
                      <a:noFill/>
                    </a:ln>
                  </pic:spPr>
                </pic:pic>
              </a:graphicData>
            </a:graphic>
          </wp:inline>
        </w:drawing>
      </w:r>
    </w:p>
    <w:p w14:paraId="4AFF85AB" w14:textId="77777777" w:rsidR="00A57EAC" w:rsidRDefault="00E71D72">
      <w:pPr>
        <w:snapToGrid w:val="0"/>
        <w:spacing w:line="360" w:lineRule="auto"/>
        <w:jc w:val="both"/>
        <w:rPr>
          <w:rFonts w:ascii="Book Antiqua" w:hAnsi="Book Antiqua"/>
        </w:rPr>
      </w:pPr>
      <w:r>
        <w:rPr>
          <w:rFonts w:ascii="Book Antiqua" w:eastAsia="Book Antiqua" w:hAnsi="Book Antiqua" w:cs="Book Antiqua"/>
          <w:b/>
          <w:color w:val="000000"/>
        </w:rPr>
        <w:t>Figure 4 Computational hemodynamic analysis in the true and false lumen before and after thoracic endovascular aortic repair treatment.</w:t>
      </w:r>
      <w:r>
        <w:rPr>
          <w:rFonts w:ascii="Book Antiqua" w:eastAsia="Book Antiqua" w:hAnsi="Book Antiqua" w:cs="Book Antiqua"/>
          <w:color w:val="000000"/>
        </w:rPr>
        <w:t xml:space="preserve"> A: Blood flow feature; B: Pressure; C: Wall shear.</w:t>
      </w:r>
    </w:p>
    <w:p w14:paraId="47B7E004" w14:textId="77777777" w:rsidR="00A57EAC" w:rsidRDefault="00E71D72">
      <w:pPr>
        <w:snapToGrid w:val="0"/>
        <w:spacing w:line="360" w:lineRule="auto"/>
        <w:jc w:val="both"/>
        <w:rPr>
          <w:rFonts w:ascii="Book Antiqua" w:eastAsia="Book Antiqua" w:hAnsi="Book Antiqua" w:cs="Book Antiqua"/>
          <w:b/>
          <w:color w:val="000000"/>
        </w:rPr>
      </w:pPr>
      <w:r>
        <w:rPr>
          <w:rFonts w:ascii="Book Antiqua" w:hAnsi="Book Antiqua"/>
        </w:rPr>
        <w:br w:type="page"/>
      </w:r>
      <w:r>
        <w:rPr>
          <w:rFonts w:ascii="Book Antiqua" w:eastAsia="Book Antiqua" w:hAnsi="Book Antiqua" w:cs="Book Antiqua"/>
          <w:b/>
          <w:color w:val="000000"/>
        </w:rPr>
        <w:lastRenderedPageBreak/>
        <w:t>Table 1 Aortic remodeling following thoracic endovascular aortic repair</w:t>
      </w:r>
    </w:p>
    <w:tbl>
      <w:tblPr>
        <w:tblStyle w:val="TableGrid"/>
        <w:tblW w:w="12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343"/>
        <w:gridCol w:w="4220"/>
        <w:gridCol w:w="3593"/>
      </w:tblGrid>
      <w:tr w:rsidR="00A57EAC" w14:paraId="798FC73C" w14:textId="77777777">
        <w:trPr>
          <w:trHeight w:val="776"/>
        </w:trPr>
        <w:tc>
          <w:tcPr>
            <w:tcW w:w="2136" w:type="dxa"/>
            <w:tcBorders>
              <w:top w:val="single" w:sz="4" w:space="0" w:color="auto"/>
              <w:bottom w:val="single" w:sz="4" w:space="0" w:color="auto"/>
            </w:tcBorders>
          </w:tcPr>
          <w:p w14:paraId="7419CCB2" w14:textId="77777777" w:rsidR="00A57EAC" w:rsidRDefault="00A57EAC" w:rsidP="00DD0C6B">
            <w:pPr>
              <w:snapToGrid w:val="0"/>
              <w:spacing w:line="360" w:lineRule="auto"/>
              <w:jc w:val="both"/>
              <w:rPr>
                <w:rFonts w:ascii="Book Antiqua" w:eastAsia="DengXian" w:hAnsi="Book Antiqua"/>
                <w:lang w:eastAsia="zh-CN"/>
              </w:rPr>
            </w:pPr>
            <w:bookmarkStart w:id="1" w:name="OLE_LINK44"/>
          </w:p>
        </w:tc>
        <w:tc>
          <w:tcPr>
            <w:tcW w:w="2343" w:type="dxa"/>
            <w:tcBorders>
              <w:top w:val="single" w:sz="4" w:space="0" w:color="auto"/>
              <w:bottom w:val="single" w:sz="4" w:space="0" w:color="auto"/>
            </w:tcBorders>
          </w:tcPr>
          <w:p w14:paraId="1CCEC14D" w14:textId="77777777" w:rsidR="00A57EAC" w:rsidRDefault="00E71D72" w:rsidP="00DD0C6B">
            <w:pPr>
              <w:snapToGrid w:val="0"/>
              <w:spacing w:line="360" w:lineRule="auto"/>
              <w:jc w:val="both"/>
              <w:rPr>
                <w:rFonts w:ascii="Book Antiqua" w:eastAsia="DengXian" w:hAnsi="Book Antiqua" w:cs="Book Antiqua"/>
                <w:b/>
              </w:rPr>
            </w:pPr>
            <w:r>
              <w:rPr>
                <w:rFonts w:ascii="Book Antiqua" w:eastAsia="DengXian" w:hAnsi="Book Antiqua" w:cs="Book Antiqua"/>
                <w:b/>
              </w:rPr>
              <w:t>Maximal diameter of</w:t>
            </w:r>
            <w:r>
              <w:rPr>
                <w:rFonts w:ascii="Book Antiqua" w:eastAsia="DengXian" w:hAnsi="Book Antiqua" w:cs="Book Antiqua"/>
                <w:b/>
                <w:lang w:eastAsia="zh-CN"/>
              </w:rPr>
              <w:t xml:space="preserve"> </w:t>
            </w:r>
            <w:r>
              <w:rPr>
                <w:rFonts w:ascii="Book Antiqua" w:eastAsia="DengXian" w:hAnsi="Book Antiqua" w:cs="Book Antiqua"/>
                <w:b/>
              </w:rPr>
              <w:t>descending aorta</w:t>
            </w:r>
          </w:p>
        </w:tc>
        <w:tc>
          <w:tcPr>
            <w:tcW w:w="4220" w:type="dxa"/>
            <w:tcBorders>
              <w:top w:val="single" w:sz="4" w:space="0" w:color="auto"/>
              <w:bottom w:val="single" w:sz="4" w:space="0" w:color="auto"/>
            </w:tcBorders>
          </w:tcPr>
          <w:p w14:paraId="42DA6B88" w14:textId="77777777" w:rsidR="00A57EAC" w:rsidRDefault="00E71D72" w:rsidP="00DD0C6B">
            <w:pPr>
              <w:snapToGrid w:val="0"/>
              <w:spacing w:line="360" w:lineRule="auto"/>
              <w:jc w:val="both"/>
              <w:rPr>
                <w:rFonts w:ascii="Book Antiqua" w:eastAsia="DengXian" w:hAnsi="Book Antiqua" w:cs="Book Antiqua"/>
                <w:b/>
              </w:rPr>
            </w:pPr>
            <w:r>
              <w:rPr>
                <w:rFonts w:ascii="Book Antiqua" w:eastAsia="DengXian" w:hAnsi="Book Antiqua" w:cs="Book Antiqua"/>
                <w:b/>
              </w:rPr>
              <w:t>Diameter and area of the true lumen at the level of the 11</w:t>
            </w:r>
            <w:r>
              <w:rPr>
                <w:rFonts w:ascii="Book Antiqua" w:eastAsia="DengXian" w:hAnsi="Book Antiqua" w:cs="Book Antiqua"/>
                <w:b/>
                <w:vertAlign w:val="superscript"/>
              </w:rPr>
              <w:t>th</w:t>
            </w:r>
            <w:r>
              <w:rPr>
                <w:rFonts w:ascii="Book Antiqua" w:eastAsia="DengXian" w:hAnsi="Book Antiqua" w:cs="Book Antiqua"/>
                <w:b/>
              </w:rPr>
              <w:t xml:space="preserve"> thoracic vertebra</w:t>
            </w:r>
          </w:p>
        </w:tc>
        <w:tc>
          <w:tcPr>
            <w:tcW w:w="3593" w:type="dxa"/>
            <w:tcBorders>
              <w:top w:val="single" w:sz="4" w:space="0" w:color="auto"/>
              <w:bottom w:val="single" w:sz="4" w:space="0" w:color="auto"/>
            </w:tcBorders>
          </w:tcPr>
          <w:p w14:paraId="505C21F6" w14:textId="77777777" w:rsidR="00A57EAC" w:rsidRDefault="00E71D72" w:rsidP="00DD0C6B">
            <w:pPr>
              <w:snapToGrid w:val="0"/>
              <w:spacing w:line="360" w:lineRule="auto"/>
              <w:jc w:val="both"/>
              <w:rPr>
                <w:rFonts w:ascii="Book Antiqua" w:eastAsia="DengXian" w:hAnsi="Book Antiqua" w:cs="Book Antiqua"/>
                <w:b/>
              </w:rPr>
            </w:pPr>
            <w:r>
              <w:rPr>
                <w:rFonts w:ascii="Book Antiqua" w:eastAsia="DengXian" w:hAnsi="Book Antiqua" w:cs="Book Antiqua"/>
                <w:b/>
              </w:rPr>
              <w:t>Diameter and area of the true lumen at the end of the stent</w:t>
            </w:r>
          </w:p>
        </w:tc>
      </w:tr>
      <w:tr w:rsidR="00A57EAC" w14:paraId="476658A7" w14:textId="77777777">
        <w:trPr>
          <w:trHeight w:val="716"/>
        </w:trPr>
        <w:tc>
          <w:tcPr>
            <w:tcW w:w="2136" w:type="dxa"/>
            <w:tcBorders>
              <w:top w:val="single" w:sz="4" w:space="0" w:color="auto"/>
            </w:tcBorders>
          </w:tcPr>
          <w:p w14:paraId="1BDB4614"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Prior to TEVAR</w:t>
            </w:r>
          </w:p>
        </w:tc>
        <w:tc>
          <w:tcPr>
            <w:tcW w:w="2343" w:type="dxa"/>
            <w:tcBorders>
              <w:top w:val="single" w:sz="4" w:space="0" w:color="auto"/>
            </w:tcBorders>
          </w:tcPr>
          <w:p w14:paraId="461C3BB7"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51.8 mm</w:t>
            </w:r>
          </w:p>
        </w:tc>
        <w:tc>
          <w:tcPr>
            <w:tcW w:w="4220" w:type="dxa"/>
            <w:tcBorders>
              <w:top w:val="single" w:sz="4" w:space="0" w:color="auto"/>
            </w:tcBorders>
          </w:tcPr>
          <w:p w14:paraId="442BBC23"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7.2/19.9 mm</w:t>
            </w:r>
          </w:p>
          <w:p w14:paraId="5CDD70B1"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119.6 mm</w:t>
            </w:r>
            <w:r>
              <w:rPr>
                <w:rFonts w:ascii="Book Antiqua" w:eastAsia="DengXian" w:hAnsi="Book Antiqua" w:cs="Book Antiqua"/>
                <w:vertAlign w:val="superscript"/>
              </w:rPr>
              <w:t>2</w:t>
            </w:r>
          </w:p>
        </w:tc>
        <w:tc>
          <w:tcPr>
            <w:tcW w:w="3593" w:type="dxa"/>
            <w:tcBorders>
              <w:top w:val="single" w:sz="4" w:space="0" w:color="auto"/>
            </w:tcBorders>
          </w:tcPr>
          <w:p w14:paraId="3639184F" w14:textId="77777777" w:rsidR="00A57EAC" w:rsidRDefault="00A57EAC" w:rsidP="00DD0C6B">
            <w:pPr>
              <w:snapToGrid w:val="0"/>
              <w:spacing w:line="360" w:lineRule="auto"/>
              <w:jc w:val="both"/>
              <w:rPr>
                <w:rFonts w:ascii="Book Antiqua" w:eastAsia="DengXian" w:hAnsi="Book Antiqua" w:cs="Book Antiqua"/>
              </w:rPr>
            </w:pPr>
          </w:p>
        </w:tc>
      </w:tr>
      <w:tr w:rsidR="00A57EAC" w14:paraId="059E2308" w14:textId="77777777">
        <w:trPr>
          <w:trHeight w:val="750"/>
        </w:trPr>
        <w:tc>
          <w:tcPr>
            <w:tcW w:w="2136" w:type="dxa"/>
          </w:tcPr>
          <w:p w14:paraId="3C63E339"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3-mo</w:t>
            </w:r>
            <w:r>
              <w:rPr>
                <w:rFonts w:ascii="Book Antiqua" w:eastAsia="DengXian" w:hAnsi="Book Antiqua" w:cs="Book Antiqua"/>
                <w:lang w:eastAsia="zh-CN"/>
              </w:rPr>
              <w:t xml:space="preserve"> </w:t>
            </w:r>
            <w:r>
              <w:rPr>
                <w:rFonts w:ascii="Book Antiqua" w:eastAsia="DengXian" w:hAnsi="Book Antiqua" w:cs="Book Antiqua"/>
              </w:rPr>
              <w:t>post-treatment</w:t>
            </w:r>
          </w:p>
        </w:tc>
        <w:tc>
          <w:tcPr>
            <w:tcW w:w="2343" w:type="dxa"/>
          </w:tcPr>
          <w:p w14:paraId="5F10D267"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50.8 mm</w:t>
            </w:r>
          </w:p>
        </w:tc>
        <w:tc>
          <w:tcPr>
            <w:tcW w:w="4220" w:type="dxa"/>
          </w:tcPr>
          <w:p w14:paraId="2364AB50"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12.8/25.0 mm</w:t>
            </w:r>
          </w:p>
          <w:p w14:paraId="680CD322"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265.0 mm</w:t>
            </w:r>
            <w:r>
              <w:rPr>
                <w:rFonts w:ascii="Book Antiqua" w:eastAsia="DengXian" w:hAnsi="Book Antiqua" w:cs="Book Antiqua"/>
                <w:vertAlign w:val="superscript"/>
              </w:rPr>
              <w:t>2</w:t>
            </w:r>
          </w:p>
        </w:tc>
        <w:tc>
          <w:tcPr>
            <w:tcW w:w="3593" w:type="dxa"/>
          </w:tcPr>
          <w:p w14:paraId="4F0CAC99"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16.8/27.0 mm</w:t>
            </w:r>
          </w:p>
          <w:p w14:paraId="34463CFA"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349.8 mm</w:t>
            </w:r>
            <w:r>
              <w:rPr>
                <w:rFonts w:ascii="Book Antiqua" w:eastAsia="DengXian" w:hAnsi="Book Antiqua" w:cs="Book Antiqua"/>
                <w:vertAlign w:val="superscript"/>
              </w:rPr>
              <w:t>2</w:t>
            </w:r>
          </w:p>
        </w:tc>
      </w:tr>
      <w:tr w:rsidR="00A57EAC" w14:paraId="6C7518BB" w14:textId="77777777">
        <w:trPr>
          <w:trHeight w:val="679"/>
        </w:trPr>
        <w:tc>
          <w:tcPr>
            <w:tcW w:w="2136" w:type="dxa"/>
          </w:tcPr>
          <w:p w14:paraId="1EB2A613"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28-mo post-treatment</w:t>
            </w:r>
          </w:p>
        </w:tc>
        <w:tc>
          <w:tcPr>
            <w:tcW w:w="2343" w:type="dxa"/>
          </w:tcPr>
          <w:p w14:paraId="4699FB46"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50.5 mm</w:t>
            </w:r>
          </w:p>
        </w:tc>
        <w:tc>
          <w:tcPr>
            <w:tcW w:w="4220" w:type="dxa"/>
          </w:tcPr>
          <w:p w14:paraId="1C497423"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14.8/25.5 mm</w:t>
            </w:r>
          </w:p>
          <w:p w14:paraId="48F93609"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302.9 mm</w:t>
            </w:r>
            <w:r>
              <w:rPr>
                <w:rFonts w:ascii="Book Antiqua" w:eastAsia="DengXian" w:hAnsi="Book Antiqua" w:cs="Book Antiqua"/>
                <w:vertAlign w:val="superscript"/>
              </w:rPr>
              <w:t>2</w:t>
            </w:r>
          </w:p>
        </w:tc>
        <w:tc>
          <w:tcPr>
            <w:tcW w:w="3593" w:type="dxa"/>
          </w:tcPr>
          <w:p w14:paraId="1B9AD083"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18.0/27.3 mm</w:t>
            </w:r>
          </w:p>
          <w:p w14:paraId="1D3DF1E1" w14:textId="77777777" w:rsidR="00A57EAC" w:rsidRDefault="00E71D72" w:rsidP="00DD0C6B">
            <w:pPr>
              <w:snapToGrid w:val="0"/>
              <w:spacing w:line="360" w:lineRule="auto"/>
              <w:jc w:val="both"/>
              <w:rPr>
                <w:rFonts w:ascii="Book Antiqua" w:eastAsia="DengXian" w:hAnsi="Book Antiqua" w:cs="Book Antiqua"/>
              </w:rPr>
            </w:pPr>
            <w:r>
              <w:rPr>
                <w:rFonts w:ascii="Book Antiqua" w:eastAsia="DengXian" w:hAnsi="Book Antiqua" w:cs="Book Antiqua"/>
              </w:rPr>
              <w:t>376.9mm</w:t>
            </w:r>
            <w:r>
              <w:rPr>
                <w:rFonts w:ascii="Book Antiqua" w:eastAsia="DengXian" w:hAnsi="Book Antiqua" w:cs="Book Antiqua"/>
                <w:vertAlign w:val="superscript"/>
              </w:rPr>
              <w:t>2</w:t>
            </w:r>
          </w:p>
        </w:tc>
      </w:tr>
    </w:tbl>
    <w:bookmarkEnd w:id="1"/>
    <w:p w14:paraId="6342AF86" w14:textId="77777777" w:rsidR="00A57EAC" w:rsidRDefault="00E71D72" w:rsidP="001D7F02">
      <w:pPr>
        <w:snapToGrid w:val="0"/>
        <w:spacing w:line="360" w:lineRule="auto"/>
        <w:jc w:val="both"/>
        <w:rPr>
          <w:rFonts w:ascii="Book Antiqua" w:hAnsi="Book Antiqua"/>
        </w:rPr>
      </w:pPr>
      <w:r>
        <w:rPr>
          <w:rFonts w:ascii="Book Antiqua" w:eastAsia="Book Antiqua" w:hAnsi="Book Antiqua" w:cs="Book Antiqua"/>
          <w:color w:val="000000"/>
        </w:rPr>
        <w:t xml:space="preserve">TEVAR: </w:t>
      </w:r>
      <w:r>
        <w:rPr>
          <w:rFonts w:ascii="Book Antiqua" w:eastAsia="Book Antiqua" w:hAnsi="Book Antiqua" w:cs="Book Antiqua"/>
          <w:caps/>
          <w:color w:val="000000"/>
        </w:rPr>
        <w:t>t</w:t>
      </w:r>
      <w:r>
        <w:rPr>
          <w:rFonts w:ascii="Book Antiqua" w:eastAsia="Book Antiqua" w:hAnsi="Book Antiqua" w:cs="Book Antiqua"/>
          <w:color w:val="000000"/>
        </w:rPr>
        <w:t>horacic endovascular aortic repair.</w:t>
      </w:r>
    </w:p>
    <w:sectPr w:rsidR="00A57EAC">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BA95A" w14:textId="77777777" w:rsidR="00196316" w:rsidRDefault="00196316">
      <w:r>
        <w:separator/>
      </w:r>
    </w:p>
  </w:endnote>
  <w:endnote w:type="continuationSeparator" w:id="0">
    <w:p w14:paraId="2C53A9DE" w14:textId="77777777" w:rsidR="00196316" w:rsidRDefault="0019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47193310"/>
      <w:docPartObj>
        <w:docPartGallery w:val="Page Numbers (Bottom of Page)"/>
        <w:docPartUnique/>
      </w:docPartObj>
    </w:sdtPr>
    <w:sdtEndPr>
      <w:rPr>
        <w:noProof/>
      </w:rPr>
    </w:sdtEndPr>
    <w:sdtContent>
      <w:p w14:paraId="73DA48A2" w14:textId="59103FF4" w:rsidR="00607AC6" w:rsidRPr="00607AC6" w:rsidRDefault="00607AC6">
        <w:pPr>
          <w:pStyle w:val="Footer"/>
          <w:jc w:val="right"/>
          <w:rPr>
            <w:rFonts w:ascii="Book Antiqua" w:hAnsi="Book Antiqua"/>
            <w:sz w:val="24"/>
            <w:szCs w:val="24"/>
          </w:rPr>
        </w:pPr>
        <w:r w:rsidRPr="00607AC6">
          <w:rPr>
            <w:rFonts w:ascii="Book Antiqua" w:hAnsi="Book Antiqua"/>
            <w:sz w:val="24"/>
            <w:szCs w:val="24"/>
          </w:rPr>
          <w:fldChar w:fldCharType="begin"/>
        </w:r>
        <w:r w:rsidRPr="00607AC6">
          <w:rPr>
            <w:rFonts w:ascii="Book Antiqua" w:hAnsi="Book Antiqua"/>
            <w:sz w:val="24"/>
            <w:szCs w:val="24"/>
          </w:rPr>
          <w:instrText xml:space="preserve"> PAGE   \* MERGEFORMAT </w:instrText>
        </w:r>
        <w:r w:rsidRPr="00607AC6">
          <w:rPr>
            <w:rFonts w:ascii="Book Antiqua" w:hAnsi="Book Antiqua"/>
            <w:sz w:val="24"/>
            <w:szCs w:val="24"/>
          </w:rPr>
          <w:fldChar w:fldCharType="separate"/>
        </w:r>
        <w:r w:rsidRPr="00607AC6">
          <w:rPr>
            <w:rFonts w:ascii="Book Antiqua" w:hAnsi="Book Antiqua"/>
            <w:noProof/>
            <w:sz w:val="24"/>
            <w:szCs w:val="24"/>
          </w:rPr>
          <w:t>2</w:t>
        </w:r>
        <w:r w:rsidRPr="00607AC6">
          <w:rPr>
            <w:rFonts w:ascii="Book Antiqua" w:hAnsi="Book Antiqua"/>
            <w:noProof/>
            <w:sz w:val="24"/>
            <w:szCs w:val="24"/>
          </w:rPr>
          <w:fldChar w:fldCharType="end"/>
        </w:r>
        <w:r w:rsidRPr="00607AC6">
          <w:rPr>
            <w:rFonts w:ascii="Book Antiqua" w:hAnsi="Book Antiqua"/>
            <w:noProof/>
            <w:sz w:val="24"/>
            <w:szCs w:val="24"/>
          </w:rPr>
          <w:t xml:space="preserve"> / 17</w:t>
        </w:r>
      </w:p>
    </w:sdtContent>
  </w:sdt>
  <w:p w14:paraId="22C0301E" w14:textId="77777777" w:rsidR="00A57EAC" w:rsidRDefault="00A57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6FB0" w14:textId="77777777" w:rsidR="00196316" w:rsidRDefault="00196316">
      <w:r>
        <w:separator/>
      </w:r>
    </w:p>
  </w:footnote>
  <w:footnote w:type="continuationSeparator" w:id="0">
    <w:p w14:paraId="1BC0802C" w14:textId="77777777" w:rsidR="00196316" w:rsidRDefault="001963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342"/>
    <w:rsid w:val="00083A6A"/>
    <w:rsid w:val="000F2EBE"/>
    <w:rsid w:val="00105920"/>
    <w:rsid w:val="0012745A"/>
    <w:rsid w:val="0013437A"/>
    <w:rsid w:val="00157B3E"/>
    <w:rsid w:val="0016600D"/>
    <w:rsid w:val="00176D36"/>
    <w:rsid w:val="00196316"/>
    <w:rsid w:val="001A2FC6"/>
    <w:rsid w:val="001C3391"/>
    <w:rsid w:val="001D7F02"/>
    <w:rsid w:val="001F4BC0"/>
    <w:rsid w:val="00243821"/>
    <w:rsid w:val="002451D7"/>
    <w:rsid w:val="002A763C"/>
    <w:rsid w:val="002F3D96"/>
    <w:rsid w:val="00337B64"/>
    <w:rsid w:val="0039413A"/>
    <w:rsid w:val="003E4D12"/>
    <w:rsid w:val="0042217C"/>
    <w:rsid w:val="004307A3"/>
    <w:rsid w:val="004716B3"/>
    <w:rsid w:val="004718F4"/>
    <w:rsid w:val="004D586E"/>
    <w:rsid w:val="0051035A"/>
    <w:rsid w:val="00533B80"/>
    <w:rsid w:val="005362D6"/>
    <w:rsid w:val="005609FC"/>
    <w:rsid w:val="00561F86"/>
    <w:rsid w:val="005A4878"/>
    <w:rsid w:val="005A4A5B"/>
    <w:rsid w:val="00607AC6"/>
    <w:rsid w:val="00615553"/>
    <w:rsid w:val="00626F34"/>
    <w:rsid w:val="0064700D"/>
    <w:rsid w:val="006D653C"/>
    <w:rsid w:val="006D69FE"/>
    <w:rsid w:val="00741770"/>
    <w:rsid w:val="007A5DDD"/>
    <w:rsid w:val="007B7506"/>
    <w:rsid w:val="007D615C"/>
    <w:rsid w:val="007E2855"/>
    <w:rsid w:val="008E17D3"/>
    <w:rsid w:val="008F454F"/>
    <w:rsid w:val="0095794F"/>
    <w:rsid w:val="009F2A5A"/>
    <w:rsid w:val="00A57BFD"/>
    <w:rsid w:val="00A57EAC"/>
    <w:rsid w:val="00A77B3E"/>
    <w:rsid w:val="00A92D7F"/>
    <w:rsid w:val="00B45ADE"/>
    <w:rsid w:val="00B77B01"/>
    <w:rsid w:val="00B97A20"/>
    <w:rsid w:val="00C14D0D"/>
    <w:rsid w:val="00C17A4C"/>
    <w:rsid w:val="00C76ACA"/>
    <w:rsid w:val="00CA2A55"/>
    <w:rsid w:val="00D03B1B"/>
    <w:rsid w:val="00D201F6"/>
    <w:rsid w:val="00D6691B"/>
    <w:rsid w:val="00D7748B"/>
    <w:rsid w:val="00D96CB5"/>
    <w:rsid w:val="00DB7AF1"/>
    <w:rsid w:val="00DD0C6B"/>
    <w:rsid w:val="00DE1FC2"/>
    <w:rsid w:val="00DF35C5"/>
    <w:rsid w:val="00E2409C"/>
    <w:rsid w:val="00E717EC"/>
    <w:rsid w:val="00E71D72"/>
    <w:rsid w:val="00E81D34"/>
    <w:rsid w:val="00E90851"/>
    <w:rsid w:val="00F3293B"/>
    <w:rsid w:val="00F62925"/>
    <w:rsid w:val="00FA053D"/>
    <w:rsid w:val="00FC0069"/>
    <w:rsid w:val="00FD44B5"/>
    <w:rsid w:val="00FE6171"/>
    <w:rsid w:val="020D3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346D5B"/>
  <w15:docId w15:val="{FC443CC5-CF58-49BD-B466-BF32FFFE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rPr>
      <w:rFonts w:eastAsia="SimSu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styleId="BalloonText">
    <w:name w:val="Balloon Text"/>
    <w:basedOn w:val="Normal"/>
    <w:link w:val="BalloonTextChar"/>
    <w:semiHidden/>
    <w:unhideWhenUsed/>
    <w:rsid w:val="0095794F"/>
    <w:rPr>
      <w:sz w:val="18"/>
      <w:szCs w:val="18"/>
    </w:rPr>
  </w:style>
  <w:style w:type="character" w:customStyle="1" w:styleId="BalloonTextChar">
    <w:name w:val="Balloon Text Char"/>
    <w:basedOn w:val="DefaultParagraphFont"/>
    <w:link w:val="BalloonText"/>
    <w:semiHidden/>
    <w:rsid w:val="0095794F"/>
    <w:rPr>
      <w:sz w:val="18"/>
      <w:szCs w:val="18"/>
      <w:lang w:eastAsia="en-US"/>
    </w:rPr>
  </w:style>
  <w:style w:type="character" w:styleId="CommentReference">
    <w:name w:val="annotation reference"/>
    <w:basedOn w:val="DefaultParagraphFont"/>
    <w:semiHidden/>
    <w:unhideWhenUsed/>
    <w:rsid w:val="004307A3"/>
    <w:rPr>
      <w:sz w:val="16"/>
      <w:szCs w:val="16"/>
    </w:rPr>
  </w:style>
  <w:style w:type="paragraph" w:styleId="CommentText">
    <w:name w:val="annotation text"/>
    <w:basedOn w:val="Normal"/>
    <w:link w:val="CommentTextChar"/>
    <w:semiHidden/>
    <w:unhideWhenUsed/>
    <w:rsid w:val="004307A3"/>
    <w:rPr>
      <w:sz w:val="20"/>
      <w:szCs w:val="20"/>
    </w:rPr>
  </w:style>
  <w:style w:type="character" w:customStyle="1" w:styleId="CommentTextChar">
    <w:name w:val="Comment Text Char"/>
    <w:basedOn w:val="DefaultParagraphFont"/>
    <w:link w:val="CommentText"/>
    <w:semiHidden/>
    <w:rsid w:val="004307A3"/>
    <w:rPr>
      <w:lang w:eastAsia="en-US"/>
    </w:rPr>
  </w:style>
  <w:style w:type="paragraph" w:styleId="CommentSubject">
    <w:name w:val="annotation subject"/>
    <w:basedOn w:val="CommentText"/>
    <w:next w:val="CommentText"/>
    <w:link w:val="CommentSubjectChar"/>
    <w:semiHidden/>
    <w:unhideWhenUsed/>
    <w:rsid w:val="004307A3"/>
    <w:rPr>
      <w:b/>
      <w:bCs/>
    </w:rPr>
  </w:style>
  <w:style w:type="character" w:customStyle="1" w:styleId="CommentSubjectChar">
    <w:name w:val="Comment Subject Char"/>
    <w:basedOn w:val="CommentTextChar"/>
    <w:link w:val="CommentSubject"/>
    <w:semiHidden/>
    <w:rsid w:val="004307A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3012</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Filipodia</cp:lastModifiedBy>
  <cp:revision>6</cp:revision>
  <dcterms:created xsi:type="dcterms:W3CDTF">2021-10-19T22:45:00Z</dcterms:created>
  <dcterms:modified xsi:type="dcterms:W3CDTF">2021-10-21T04:40:00Z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