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C78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Name of Journal: </w:t>
      </w:r>
      <w:r w:rsidRPr="002850AE">
        <w:rPr>
          <w:rFonts w:ascii="Book Antiqua" w:eastAsia="Book Antiqua" w:hAnsi="Book Antiqua" w:cs="Book Antiqua"/>
          <w:i/>
          <w:color w:val="000000"/>
        </w:rPr>
        <w:t>World Journal of Hepatology</w:t>
      </w:r>
    </w:p>
    <w:p w14:paraId="09C5DBA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Manuscript NO: </w:t>
      </w:r>
      <w:r w:rsidRPr="002850AE">
        <w:rPr>
          <w:rFonts w:ascii="Book Antiqua" w:eastAsia="Book Antiqua" w:hAnsi="Book Antiqua" w:cs="Book Antiqua"/>
          <w:color w:val="000000"/>
        </w:rPr>
        <w:t>67415</w:t>
      </w:r>
    </w:p>
    <w:p w14:paraId="0687B70A"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Manuscript Type: </w:t>
      </w:r>
      <w:r w:rsidRPr="002850AE">
        <w:rPr>
          <w:rFonts w:ascii="Book Antiqua" w:eastAsia="Book Antiqua" w:hAnsi="Book Antiqua" w:cs="Book Antiqua"/>
          <w:color w:val="000000"/>
        </w:rPr>
        <w:t>ORIGINAL ARTICLE</w:t>
      </w:r>
    </w:p>
    <w:p w14:paraId="1F85A9CD" w14:textId="77777777" w:rsidR="00A77B3E" w:rsidRPr="002850AE" w:rsidRDefault="00A77B3E" w:rsidP="00AE50D3">
      <w:pPr>
        <w:snapToGrid w:val="0"/>
        <w:spacing w:line="360" w:lineRule="auto"/>
        <w:jc w:val="both"/>
        <w:rPr>
          <w:rFonts w:ascii="Book Antiqua" w:hAnsi="Book Antiqua"/>
        </w:rPr>
      </w:pPr>
    </w:p>
    <w:p w14:paraId="65CFF147"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Clinical and Translational Research</w:t>
      </w:r>
    </w:p>
    <w:p w14:paraId="7568242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Development of a risk score to guide targeted hepatitis C testing among </w:t>
      </w:r>
      <w:r w:rsidR="00086180" w:rsidRPr="002850AE">
        <w:rPr>
          <w:rFonts w:ascii="Book Antiqua" w:eastAsia="Book Antiqua" w:hAnsi="Book Antiqua" w:cs="Book Antiqua"/>
          <w:b/>
          <w:color w:val="000000"/>
        </w:rPr>
        <w:t xml:space="preserve">human immunodeficiency virus </w:t>
      </w:r>
      <w:r w:rsidRPr="002850AE">
        <w:rPr>
          <w:rFonts w:ascii="Book Antiqua" w:eastAsia="Book Antiqua" w:hAnsi="Book Antiqua" w:cs="Book Antiqua"/>
          <w:b/>
          <w:color w:val="000000"/>
        </w:rPr>
        <w:t>patients in Cambodia</w:t>
      </w:r>
    </w:p>
    <w:p w14:paraId="373F7E74" w14:textId="77777777" w:rsidR="00A77B3E" w:rsidRPr="002850AE" w:rsidRDefault="00A77B3E" w:rsidP="00AE50D3">
      <w:pPr>
        <w:snapToGrid w:val="0"/>
        <w:spacing w:line="360" w:lineRule="auto"/>
        <w:jc w:val="both"/>
        <w:rPr>
          <w:rFonts w:ascii="Book Antiqua" w:hAnsi="Book Antiqua"/>
        </w:rPr>
      </w:pPr>
    </w:p>
    <w:p w14:paraId="19E2E7E8" w14:textId="77777777" w:rsidR="00A77B3E" w:rsidRPr="002850AE" w:rsidRDefault="00086180" w:rsidP="00AE50D3">
      <w:pPr>
        <w:snapToGrid w:val="0"/>
        <w:spacing w:line="360" w:lineRule="auto"/>
        <w:jc w:val="both"/>
        <w:rPr>
          <w:rFonts w:ascii="Book Antiqua" w:hAnsi="Book Antiqua"/>
        </w:rPr>
      </w:pPr>
      <w:r w:rsidRPr="002850AE">
        <w:rPr>
          <w:rFonts w:ascii="Book Antiqua" w:eastAsia="Book Antiqua" w:hAnsi="Book Antiqua" w:cs="Book Antiqua"/>
          <w:color w:val="000000"/>
          <w:lang w:val="nl-BE"/>
        </w:rPr>
        <w:t xml:space="preserve">De Weggheleire A </w:t>
      </w:r>
      <w:r w:rsidRPr="002850AE">
        <w:rPr>
          <w:rFonts w:ascii="Book Antiqua" w:eastAsia="Book Antiqua" w:hAnsi="Book Antiqua" w:cs="Book Antiqua"/>
          <w:i/>
          <w:color w:val="000000"/>
          <w:lang w:val="nl-BE"/>
        </w:rPr>
        <w:t>et al</w:t>
      </w:r>
      <w:r w:rsidRPr="002850AE">
        <w:rPr>
          <w:rFonts w:ascii="Book Antiqua" w:eastAsia="Book Antiqua" w:hAnsi="Book Antiqua" w:cs="Book Antiqua"/>
          <w:color w:val="000000"/>
          <w:lang w:val="nl-BE"/>
        </w:rPr>
        <w:t xml:space="preserve">. </w:t>
      </w:r>
      <w:r w:rsidR="00EC02D8" w:rsidRPr="002850AE">
        <w:rPr>
          <w:rFonts w:ascii="Book Antiqua" w:eastAsia="Book Antiqua" w:hAnsi="Book Antiqua" w:cs="Book Antiqua"/>
          <w:color w:val="000000"/>
        </w:rPr>
        <w:t>Risk score for targeted HCV testing </w:t>
      </w:r>
    </w:p>
    <w:p w14:paraId="30E778DD" w14:textId="77777777" w:rsidR="00A77B3E" w:rsidRPr="002850AE" w:rsidRDefault="00A77B3E" w:rsidP="00AE50D3">
      <w:pPr>
        <w:snapToGrid w:val="0"/>
        <w:spacing w:line="360" w:lineRule="auto"/>
        <w:jc w:val="both"/>
        <w:rPr>
          <w:rFonts w:ascii="Book Antiqua" w:hAnsi="Book Antiqua"/>
        </w:rPr>
      </w:pPr>
    </w:p>
    <w:p w14:paraId="3B1477FF"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Anja De </w:t>
      </w:r>
      <w:proofErr w:type="spellStart"/>
      <w:r w:rsidRPr="002850AE">
        <w:rPr>
          <w:rFonts w:ascii="Book Antiqua" w:eastAsia="Book Antiqua" w:hAnsi="Book Antiqua" w:cs="Book Antiqua"/>
          <w:color w:val="000000"/>
        </w:rPr>
        <w:t>Weggheleire</w:t>
      </w:r>
      <w:proofErr w:type="spellEnd"/>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Jozefien</w:t>
      </w:r>
      <w:proofErr w:type="spellEnd"/>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Buyze</w:t>
      </w:r>
      <w:proofErr w:type="spellEnd"/>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Sokkab</w:t>
      </w:r>
      <w:proofErr w:type="spellEnd"/>
      <w:r w:rsidRPr="002850AE">
        <w:rPr>
          <w:rFonts w:ascii="Book Antiqua" w:eastAsia="Book Antiqua" w:hAnsi="Book Antiqua" w:cs="Book Antiqua"/>
          <w:color w:val="000000"/>
        </w:rPr>
        <w:t xml:space="preserve"> An, </w:t>
      </w:r>
      <w:proofErr w:type="spellStart"/>
      <w:r w:rsidRPr="002850AE">
        <w:rPr>
          <w:rFonts w:ascii="Book Antiqua" w:eastAsia="Book Antiqua" w:hAnsi="Book Antiqua" w:cs="Book Antiqua"/>
          <w:color w:val="000000"/>
        </w:rPr>
        <w:t>Sopheak</w:t>
      </w:r>
      <w:proofErr w:type="spellEnd"/>
      <w:r w:rsidRPr="002850AE">
        <w:rPr>
          <w:rFonts w:ascii="Book Antiqua" w:eastAsia="Book Antiqua" w:hAnsi="Book Antiqua" w:cs="Book Antiqua"/>
          <w:color w:val="000000"/>
        </w:rPr>
        <w:t xml:space="preserve"> Thai, Johan van </w:t>
      </w:r>
      <w:proofErr w:type="spellStart"/>
      <w:r w:rsidRPr="002850AE">
        <w:rPr>
          <w:rFonts w:ascii="Book Antiqua" w:eastAsia="Book Antiqua" w:hAnsi="Book Antiqua" w:cs="Book Antiqua"/>
          <w:color w:val="000000"/>
        </w:rPr>
        <w:t>Griensven</w:t>
      </w:r>
      <w:proofErr w:type="spellEnd"/>
      <w:r w:rsidRPr="002850AE">
        <w:rPr>
          <w:rFonts w:ascii="Book Antiqua" w:eastAsia="Book Antiqua" w:hAnsi="Book Antiqua" w:cs="Book Antiqua"/>
          <w:color w:val="000000"/>
        </w:rPr>
        <w:t xml:space="preserve">, Sven </w:t>
      </w:r>
      <w:proofErr w:type="spellStart"/>
      <w:r w:rsidRPr="002850AE">
        <w:rPr>
          <w:rFonts w:ascii="Book Antiqua" w:eastAsia="Book Antiqua" w:hAnsi="Book Antiqua" w:cs="Book Antiqua"/>
          <w:color w:val="000000"/>
        </w:rPr>
        <w:t>Francque</w:t>
      </w:r>
      <w:proofErr w:type="spellEnd"/>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Lutgarde</w:t>
      </w:r>
      <w:proofErr w:type="spellEnd"/>
      <w:r w:rsidRPr="002850AE">
        <w:rPr>
          <w:rFonts w:ascii="Book Antiqua" w:eastAsia="Book Antiqua" w:hAnsi="Book Antiqua" w:cs="Book Antiqua"/>
          <w:color w:val="000000"/>
        </w:rPr>
        <w:t xml:space="preserve"> Lynen</w:t>
      </w:r>
    </w:p>
    <w:p w14:paraId="1B4C56F1" w14:textId="77777777" w:rsidR="00A77B3E" w:rsidRPr="002850AE" w:rsidRDefault="00A77B3E" w:rsidP="00AE50D3">
      <w:pPr>
        <w:snapToGrid w:val="0"/>
        <w:spacing w:line="360" w:lineRule="auto"/>
        <w:jc w:val="both"/>
        <w:rPr>
          <w:rFonts w:ascii="Book Antiqua" w:hAnsi="Book Antiqua"/>
        </w:rPr>
      </w:pPr>
    </w:p>
    <w:p w14:paraId="5AB0253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Anja De </w:t>
      </w:r>
      <w:proofErr w:type="spellStart"/>
      <w:r w:rsidRPr="002850AE">
        <w:rPr>
          <w:rFonts w:ascii="Book Antiqua" w:eastAsia="Book Antiqua" w:hAnsi="Book Antiqua" w:cs="Book Antiqua"/>
          <w:b/>
          <w:bCs/>
          <w:color w:val="000000"/>
        </w:rPr>
        <w:t>Weggheleire</w:t>
      </w:r>
      <w:proofErr w:type="spellEnd"/>
      <w:r w:rsidRPr="002850AE">
        <w:rPr>
          <w:rFonts w:ascii="Book Antiqua" w:eastAsia="Book Antiqua" w:hAnsi="Book Antiqua" w:cs="Book Antiqua"/>
          <w:b/>
          <w:bCs/>
          <w:color w:val="000000"/>
        </w:rPr>
        <w:t xml:space="preserve">, </w:t>
      </w:r>
      <w:proofErr w:type="spellStart"/>
      <w:r w:rsidRPr="002850AE">
        <w:rPr>
          <w:rFonts w:ascii="Book Antiqua" w:eastAsia="Book Antiqua" w:hAnsi="Book Antiqua" w:cs="Book Antiqua"/>
          <w:b/>
          <w:bCs/>
          <w:color w:val="000000"/>
        </w:rPr>
        <w:t>Jozefien</w:t>
      </w:r>
      <w:proofErr w:type="spellEnd"/>
      <w:r w:rsidRPr="002850AE">
        <w:rPr>
          <w:rFonts w:ascii="Book Antiqua" w:eastAsia="Book Antiqua" w:hAnsi="Book Antiqua" w:cs="Book Antiqua"/>
          <w:b/>
          <w:bCs/>
          <w:color w:val="000000"/>
        </w:rPr>
        <w:t xml:space="preserve"> </w:t>
      </w:r>
      <w:proofErr w:type="spellStart"/>
      <w:r w:rsidRPr="002850AE">
        <w:rPr>
          <w:rFonts w:ascii="Book Antiqua" w:eastAsia="Book Antiqua" w:hAnsi="Book Antiqua" w:cs="Book Antiqua"/>
          <w:b/>
          <w:bCs/>
          <w:color w:val="000000"/>
        </w:rPr>
        <w:t>Buyze</w:t>
      </w:r>
      <w:proofErr w:type="spellEnd"/>
      <w:r w:rsidRPr="002850AE">
        <w:rPr>
          <w:rFonts w:ascii="Book Antiqua" w:eastAsia="Book Antiqua" w:hAnsi="Book Antiqua" w:cs="Book Antiqua"/>
          <w:b/>
          <w:bCs/>
          <w:color w:val="000000"/>
        </w:rPr>
        <w:t xml:space="preserve">, Johan van </w:t>
      </w:r>
      <w:proofErr w:type="spellStart"/>
      <w:r w:rsidRPr="002850AE">
        <w:rPr>
          <w:rFonts w:ascii="Book Antiqua" w:eastAsia="Book Antiqua" w:hAnsi="Book Antiqua" w:cs="Book Antiqua"/>
          <w:b/>
          <w:bCs/>
          <w:color w:val="000000"/>
        </w:rPr>
        <w:t>Griensven</w:t>
      </w:r>
      <w:proofErr w:type="spellEnd"/>
      <w:r w:rsidRPr="002850AE">
        <w:rPr>
          <w:rFonts w:ascii="Book Antiqua" w:eastAsia="Book Antiqua" w:hAnsi="Book Antiqua" w:cs="Book Antiqua"/>
          <w:b/>
          <w:bCs/>
          <w:color w:val="000000"/>
        </w:rPr>
        <w:t xml:space="preserve">, </w:t>
      </w:r>
      <w:proofErr w:type="spellStart"/>
      <w:r w:rsidRPr="002850AE">
        <w:rPr>
          <w:rFonts w:ascii="Book Antiqua" w:eastAsia="Book Antiqua" w:hAnsi="Book Antiqua" w:cs="Book Antiqua"/>
          <w:b/>
          <w:bCs/>
          <w:color w:val="000000"/>
        </w:rPr>
        <w:t>Lutgarde</w:t>
      </w:r>
      <w:proofErr w:type="spellEnd"/>
      <w:r w:rsidRPr="002850AE">
        <w:rPr>
          <w:rFonts w:ascii="Book Antiqua" w:eastAsia="Book Antiqua" w:hAnsi="Book Antiqua" w:cs="Book Antiqua"/>
          <w:b/>
          <w:bCs/>
          <w:color w:val="000000"/>
        </w:rPr>
        <w:t xml:space="preserve"> Lynen, </w:t>
      </w:r>
      <w:r w:rsidRPr="002850AE">
        <w:rPr>
          <w:rFonts w:ascii="Book Antiqua" w:eastAsia="Book Antiqua" w:hAnsi="Book Antiqua" w:cs="Book Antiqua"/>
          <w:color w:val="000000"/>
        </w:rPr>
        <w:t>Department of Clinical Sciences, Institute of Tropical Medicine Antwerp, Antwerp 2000, Belgium</w:t>
      </w:r>
    </w:p>
    <w:p w14:paraId="32902AEF" w14:textId="77777777" w:rsidR="00A77B3E" w:rsidRPr="002850AE" w:rsidRDefault="00A77B3E" w:rsidP="00AE50D3">
      <w:pPr>
        <w:snapToGrid w:val="0"/>
        <w:spacing w:line="360" w:lineRule="auto"/>
        <w:jc w:val="both"/>
        <w:rPr>
          <w:rFonts w:ascii="Book Antiqua" w:hAnsi="Book Antiqua"/>
        </w:rPr>
      </w:pPr>
    </w:p>
    <w:p w14:paraId="5FCBF401" w14:textId="77777777" w:rsidR="00A77B3E" w:rsidRPr="002850AE" w:rsidRDefault="00EC02D8" w:rsidP="00AE50D3">
      <w:pPr>
        <w:snapToGrid w:val="0"/>
        <w:spacing w:line="360" w:lineRule="auto"/>
        <w:jc w:val="both"/>
        <w:rPr>
          <w:rFonts w:ascii="Book Antiqua" w:hAnsi="Book Antiqua"/>
        </w:rPr>
      </w:pPr>
      <w:proofErr w:type="spellStart"/>
      <w:r w:rsidRPr="002850AE">
        <w:rPr>
          <w:rFonts w:ascii="Book Antiqua" w:eastAsia="Book Antiqua" w:hAnsi="Book Antiqua" w:cs="Book Antiqua"/>
          <w:b/>
          <w:bCs/>
          <w:color w:val="000000"/>
        </w:rPr>
        <w:t>Sokkab</w:t>
      </w:r>
      <w:proofErr w:type="spellEnd"/>
      <w:r w:rsidRPr="002850AE">
        <w:rPr>
          <w:rFonts w:ascii="Book Antiqua" w:eastAsia="Book Antiqua" w:hAnsi="Book Antiqua" w:cs="Book Antiqua"/>
          <w:b/>
          <w:bCs/>
          <w:color w:val="000000"/>
        </w:rPr>
        <w:t xml:space="preserve"> An, </w:t>
      </w:r>
      <w:proofErr w:type="spellStart"/>
      <w:r w:rsidRPr="002850AE">
        <w:rPr>
          <w:rFonts w:ascii="Book Antiqua" w:eastAsia="Book Antiqua" w:hAnsi="Book Antiqua" w:cs="Book Antiqua"/>
          <w:b/>
          <w:bCs/>
          <w:color w:val="000000"/>
        </w:rPr>
        <w:t>Sopheak</w:t>
      </w:r>
      <w:proofErr w:type="spellEnd"/>
      <w:r w:rsidRPr="002850AE">
        <w:rPr>
          <w:rFonts w:ascii="Book Antiqua" w:eastAsia="Book Antiqua" w:hAnsi="Book Antiqua" w:cs="Book Antiqua"/>
          <w:b/>
          <w:bCs/>
          <w:color w:val="000000"/>
        </w:rPr>
        <w:t xml:space="preserve"> Thai, </w:t>
      </w:r>
      <w:r w:rsidRPr="002850AE">
        <w:rPr>
          <w:rFonts w:ascii="Book Antiqua" w:eastAsia="Book Antiqua" w:hAnsi="Book Antiqua" w:cs="Book Antiqua"/>
          <w:color w:val="000000"/>
        </w:rPr>
        <w:t>Infectious Diseases Department, Sihanouk Hospital Center of Hope, Phnom Penh 12101, Cambodia</w:t>
      </w:r>
    </w:p>
    <w:p w14:paraId="2E5CBAC2" w14:textId="77777777" w:rsidR="00A77B3E" w:rsidRPr="002850AE" w:rsidRDefault="00A77B3E" w:rsidP="00AE50D3">
      <w:pPr>
        <w:snapToGrid w:val="0"/>
        <w:spacing w:line="360" w:lineRule="auto"/>
        <w:jc w:val="both"/>
        <w:rPr>
          <w:rFonts w:ascii="Book Antiqua" w:hAnsi="Book Antiqua"/>
        </w:rPr>
      </w:pPr>
    </w:p>
    <w:p w14:paraId="367569A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Sven </w:t>
      </w:r>
      <w:proofErr w:type="spellStart"/>
      <w:r w:rsidRPr="002850AE">
        <w:rPr>
          <w:rFonts w:ascii="Book Antiqua" w:eastAsia="Book Antiqua" w:hAnsi="Book Antiqua" w:cs="Book Antiqua"/>
          <w:b/>
          <w:bCs/>
          <w:color w:val="000000"/>
        </w:rPr>
        <w:t>Francque</w:t>
      </w:r>
      <w:proofErr w:type="spellEnd"/>
      <w:r w:rsidRPr="002850AE">
        <w:rPr>
          <w:rFonts w:ascii="Book Antiqua" w:eastAsia="Book Antiqua" w:hAnsi="Book Antiqua" w:cs="Book Antiqua"/>
          <w:b/>
          <w:bCs/>
          <w:color w:val="000000"/>
        </w:rPr>
        <w:t xml:space="preserve">, </w:t>
      </w:r>
      <w:r w:rsidRPr="002850AE">
        <w:rPr>
          <w:rFonts w:ascii="Book Antiqua" w:eastAsia="Book Antiqua" w:hAnsi="Book Antiqua" w:cs="Book Antiqua"/>
          <w:color w:val="000000"/>
        </w:rPr>
        <w:t>Department of Gastroenterology Hepatology, Antwerp University Hospital, Antwerp 2000, Belgium</w:t>
      </w:r>
    </w:p>
    <w:p w14:paraId="51625ECA" w14:textId="77777777" w:rsidR="00A77B3E" w:rsidRPr="002850AE" w:rsidRDefault="00A77B3E" w:rsidP="00AE50D3">
      <w:pPr>
        <w:snapToGrid w:val="0"/>
        <w:spacing w:line="360" w:lineRule="auto"/>
        <w:jc w:val="both"/>
        <w:rPr>
          <w:rFonts w:ascii="Book Antiqua" w:hAnsi="Book Antiqua"/>
        </w:rPr>
      </w:pPr>
    </w:p>
    <w:p w14:paraId="45DB5DA6"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Sven </w:t>
      </w:r>
      <w:proofErr w:type="spellStart"/>
      <w:r w:rsidRPr="002850AE">
        <w:rPr>
          <w:rFonts w:ascii="Book Antiqua" w:eastAsia="Book Antiqua" w:hAnsi="Book Antiqua" w:cs="Book Antiqua"/>
          <w:b/>
          <w:bCs/>
          <w:color w:val="000000"/>
        </w:rPr>
        <w:t>Francque</w:t>
      </w:r>
      <w:proofErr w:type="spellEnd"/>
      <w:r w:rsidRPr="002850AE">
        <w:rPr>
          <w:rFonts w:ascii="Book Antiqua" w:eastAsia="Book Antiqua" w:hAnsi="Book Antiqua" w:cs="Book Antiqua"/>
          <w:b/>
          <w:bCs/>
          <w:color w:val="000000"/>
        </w:rPr>
        <w:t xml:space="preserve">, </w:t>
      </w:r>
      <w:r w:rsidRPr="002850AE">
        <w:rPr>
          <w:rFonts w:ascii="Book Antiqua" w:eastAsia="Book Antiqua" w:hAnsi="Book Antiqua" w:cs="Book Antiqua"/>
          <w:color w:val="000000"/>
        </w:rPr>
        <w:t xml:space="preserve">Laboratory of Experimental Medicine and </w:t>
      </w:r>
      <w:proofErr w:type="spellStart"/>
      <w:r w:rsidRPr="002850AE">
        <w:rPr>
          <w:rFonts w:ascii="Book Antiqua" w:eastAsia="Book Antiqua" w:hAnsi="Book Antiqua" w:cs="Book Antiqua"/>
          <w:color w:val="000000"/>
        </w:rPr>
        <w:t>Paediatrics</w:t>
      </w:r>
      <w:proofErr w:type="spellEnd"/>
      <w:r w:rsidRPr="002850AE">
        <w:rPr>
          <w:rFonts w:ascii="Book Antiqua" w:eastAsia="Book Antiqua" w:hAnsi="Book Antiqua" w:cs="Book Antiqua"/>
          <w:color w:val="000000"/>
        </w:rPr>
        <w:t>, University of Antwerp, Antwerp 2000, Belgium</w:t>
      </w:r>
    </w:p>
    <w:p w14:paraId="0BA48339" w14:textId="77777777" w:rsidR="00A77B3E" w:rsidRPr="002850AE" w:rsidRDefault="00A77B3E" w:rsidP="00AE50D3">
      <w:pPr>
        <w:snapToGrid w:val="0"/>
        <w:spacing w:line="360" w:lineRule="auto"/>
        <w:jc w:val="both"/>
        <w:rPr>
          <w:rFonts w:ascii="Book Antiqua" w:hAnsi="Book Antiqua"/>
        </w:rPr>
      </w:pPr>
    </w:p>
    <w:p w14:paraId="414AD3F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Author contributions: </w:t>
      </w:r>
      <w:r w:rsidRPr="002850AE">
        <w:rPr>
          <w:rFonts w:ascii="Book Antiqua" w:eastAsia="Book Antiqua" w:hAnsi="Book Antiqua" w:cs="Book Antiqua"/>
          <w:color w:val="000000"/>
        </w:rPr>
        <w:t xml:space="preserve">De </w:t>
      </w:r>
      <w:proofErr w:type="spellStart"/>
      <w:r w:rsidRPr="002850AE">
        <w:rPr>
          <w:rFonts w:ascii="Book Antiqua" w:eastAsia="Book Antiqua" w:hAnsi="Book Antiqua" w:cs="Book Antiqua"/>
          <w:color w:val="000000"/>
        </w:rPr>
        <w:t>Weggheleire</w:t>
      </w:r>
      <w:proofErr w:type="spellEnd"/>
      <w:r w:rsidRPr="002850AE">
        <w:rPr>
          <w:rFonts w:ascii="Book Antiqua" w:eastAsia="Book Antiqua" w:hAnsi="Book Antiqua" w:cs="Book Antiqua"/>
          <w:color w:val="000000"/>
        </w:rPr>
        <w:t xml:space="preserve"> A designed and coordinated the study, and drafted the initial manuscript; An S and Thai S participated in the acquisition and review of the data; </w:t>
      </w:r>
      <w:proofErr w:type="spellStart"/>
      <w:r w:rsidRPr="002850AE">
        <w:rPr>
          <w:rFonts w:ascii="Book Antiqua" w:eastAsia="Book Antiqua" w:hAnsi="Book Antiqua" w:cs="Book Antiqua"/>
          <w:color w:val="000000"/>
        </w:rPr>
        <w:t>Buyze</w:t>
      </w:r>
      <w:proofErr w:type="spellEnd"/>
      <w:r w:rsidRPr="002850AE">
        <w:rPr>
          <w:rFonts w:ascii="Book Antiqua" w:eastAsia="Book Antiqua" w:hAnsi="Book Antiqua" w:cs="Book Antiqua"/>
          <w:color w:val="000000"/>
        </w:rPr>
        <w:t xml:space="preserve"> J reviewed the statistical analysis plan and data analysis; van </w:t>
      </w:r>
      <w:proofErr w:type="spellStart"/>
      <w:r w:rsidRPr="002850AE">
        <w:rPr>
          <w:rFonts w:ascii="Book Antiqua" w:eastAsia="Book Antiqua" w:hAnsi="Book Antiqua" w:cs="Book Antiqua"/>
          <w:color w:val="000000"/>
        </w:rPr>
        <w:lastRenderedPageBreak/>
        <w:t>Griensven</w:t>
      </w:r>
      <w:proofErr w:type="spellEnd"/>
      <w:r w:rsidRPr="002850AE">
        <w:rPr>
          <w:rFonts w:ascii="Book Antiqua" w:eastAsia="Book Antiqua" w:hAnsi="Book Antiqua" w:cs="Book Antiqua"/>
          <w:color w:val="000000"/>
        </w:rPr>
        <w:t xml:space="preserve"> J, </w:t>
      </w:r>
      <w:proofErr w:type="spellStart"/>
      <w:r w:rsidRPr="002850AE">
        <w:rPr>
          <w:rFonts w:ascii="Book Antiqua" w:eastAsia="Book Antiqua" w:hAnsi="Book Antiqua" w:cs="Book Antiqua"/>
          <w:color w:val="000000"/>
        </w:rPr>
        <w:t>Francque</w:t>
      </w:r>
      <w:proofErr w:type="spellEnd"/>
      <w:r w:rsidRPr="002850AE">
        <w:rPr>
          <w:rFonts w:ascii="Book Antiqua" w:eastAsia="Book Antiqua" w:hAnsi="Book Antiqua" w:cs="Book Antiqua"/>
          <w:color w:val="000000"/>
        </w:rPr>
        <w:t xml:space="preserve"> S and Lynen L reviewed the study design and analysis plan; Lynen L was the guarantor of the study; all authors have read and approved the final manuscript.</w:t>
      </w:r>
    </w:p>
    <w:p w14:paraId="6EB33FD0" w14:textId="77777777" w:rsidR="00A77B3E" w:rsidRPr="002850AE" w:rsidRDefault="00A77B3E" w:rsidP="00AE50D3">
      <w:pPr>
        <w:snapToGrid w:val="0"/>
        <w:spacing w:line="360" w:lineRule="auto"/>
        <w:jc w:val="both"/>
        <w:rPr>
          <w:rFonts w:ascii="Book Antiqua" w:hAnsi="Book Antiqua"/>
        </w:rPr>
      </w:pPr>
    </w:p>
    <w:p w14:paraId="6DA40386"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Corresponding author: Anja De </w:t>
      </w:r>
      <w:proofErr w:type="spellStart"/>
      <w:r w:rsidRPr="002850AE">
        <w:rPr>
          <w:rFonts w:ascii="Book Antiqua" w:eastAsia="Book Antiqua" w:hAnsi="Book Antiqua" w:cs="Book Antiqua"/>
          <w:b/>
          <w:bCs/>
          <w:color w:val="000000"/>
        </w:rPr>
        <w:t>Weggheleire</w:t>
      </w:r>
      <w:proofErr w:type="spellEnd"/>
      <w:r w:rsidRPr="002850AE">
        <w:rPr>
          <w:rFonts w:ascii="Book Antiqua" w:eastAsia="Book Antiqua" w:hAnsi="Book Antiqua" w:cs="Book Antiqua"/>
          <w:b/>
          <w:bCs/>
          <w:color w:val="000000"/>
        </w:rPr>
        <w:t xml:space="preserve">, MD, MSc, Doctor, Senior Researcher, </w:t>
      </w:r>
      <w:r w:rsidRPr="002850AE">
        <w:rPr>
          <w:rFonts w:ascii="Book Antiqua" w:eastAsia="Book Antiqua" w:hAnsi="Book Antiqua" w:cs="Book Antiqua"/>
          <w:color w:val="000000"/>
        </w:rPr>
        <w:t xml:space="preserve">Department of Clinical Sciences, Institute of Tropical Medicine Antwerp, </w:t>
      </w:r>
      <w:proofErr w:type="spellStart"/>
      <w:r w:rsidRPr="002850AE">
        <w:rPr>
          <w:rFonts w:ascii="Book Antiqua" w:eastAsia="Book Antiqua" w:hAnsi="Book Antiqua" w:cs="Book Antiqua"/>
          <w:color w:val="000000"/>
        </w:rPr>
        <w:t>Nationalestraat</w:t>
      </w:r>
      <w:proofErr w:type="spellEnd"/>
      <w:r w:rsidRPr="002850AE">
        <w:rPr>
          <w:rFonts w:ascii="Book Antiqua" w:eastAsia="Book Antiqua" w:hAnsi="Book Antiqua" w:cs="Book Antiqua"/>
          <w:color w:val="000000"/>
        </w:rPr>
        <w:t xml:space="preserve"> 155, Antwerp 2000, Belgium. adeweggheleire@itg.be</w:t>
      </w:r>
    </w:p>
    <w:p w14:paraId="48281A59" w14:textId="77777777" w:rsidR="00A77B3E" w:rsidRPr="002850AE" w:rsidRDefault="00A77B3E" w:rsidP="00AE50D3">
      <w:pPr>
        <w:snapToGrid w:val="0"/>
        <w:spacing w:line="360" w:lineRule="auto"/>
        <w:jc w:val="both"/>
        <w:rPr>
          <w:rFonts w:ascii="Book Antiqua" w:hAnsi="Book Antiqua"/>
        </w:rPr>
      </w:pPr>
    </w:p>
    <w:p w14:paraId="4587AD1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Received: </w:t>
      </w:r>
      <w:r w:rsidRPr="002850AE">
        <w:rPr>
          <w:rFonts w:ascii="Book Antiqua" w:eastAsia="Book Antiqua" w:hAnsi="Book Antiqua" w:cs="Book Antiqua"/>
          <w:color w:val="000000"/>
        </w:rPr>
        <w:t>April 25, 2021</w:t>
      </w:r>
    </w:p>
    <w:p w14:paraId="0108F0C7"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Revised: </w:t>
      </w:r>
      <w:r w:rsidRPr="002850AE">
        <w:rPr>
          <w:rFonts w:ascii="Book Antiqua" w:eastAsia="Book Antiqua" w:hAnsi="Book Antiqua" w:cs="Book Antiqua"/>
          <w:color w:val="000000"/>
        </w:rPr>
        <w:t>June 27, 2021</w:t>
      </w:r>
    </w:p>
    <w:p w14:paraId="4F09C175" w14:textId="79E1A8BD"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Accepted: </w:t>
      </w:r>
      <w:r w:rsidR="0043069F" w:rsidRPr="0043069F">
        <w:rPr>
          <w:rFonts w:ascii="Book Antiqua" w:eastAsia="Book Antiqua" w:hAnsi="Book Antiqua" w:cs="Book Antiqua"/>
          <w:color w:val="000000"/>
        </w:rPr>
        <w:t>August 24, 2021</w:t>
      </w:r>
    </w:p>
    <w:p w14:paraId="444F8411"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Published online: </w:t>
      </w:r>
    </w:p>
    <w:p w14:paraId="398A47F5" w14:textId="77777777" w:rsidR="00A77B3E" w:rsidRPr="002850AE" w:rsidRDefault="00A77B3E" w:rsidP="00AE50D3">
      <w:pPr>
        <w:snapToGrid w:val="0"/>
        <w:spacing w:line="360" w:lineRule="auto"/>
        <w:jc w:val="both"/>
        <w:rPr>
          <w:rFonts w:ascii="Book Antiqua" w:hAnsi="Book Antiqua"/>
        </w:rPr>
      </w:pPr>
    </w:p>
    <w:p w14:paraId="391C87D3" w14:textId="77777777" w:rsidR="002850AE" w:rsidRPr="002850AE" w:rsidRDefault="002850AE" w:rsidP="00AE50D3">
      <w:pPr>
        <w:snapToGrid w:val="0"/>
        <w:spacing w:line="360" w:lineRule="auto"/>
        <w:jc w:val="both"/>
        <w:rPr>
          <w:rFonts w:ascii="Book Antiqua" w:hAnsi="Book Antiqua"/>
        </w:rPr>
      </w:pPr>
    </w:p>
    <w:p w14:paraId="08F75C4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Abstract</w:t>
      </w:r>
    </w:p>
    <w:p w14:paraId="149C7E5E"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BACKGROUND</w:t>
      </w:r>
    </w:p>
    <w:p w14:paraId="52A89CD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The World Health Organization recommends testing all </w:t>
      </w:r>
      <w:r w:rsidR="00E267A4" w:rsidRPr="002850AE">
        <w:rPr>
          <w:rFonts w:ascii="Book Antiqua" w:eastAsia="Book Antiqua" w:hAnsi="Book Antiqua" w:cs="Book Antiqua"/>
          <w:color w:val="000000"/>
        </w:rPr>
        <w:t>human immunodeficiency virus (</w:t>
      </w:r>
      <w:r w:rsidRPr="002850AE">
        <w:rPr>
          <w:rFonts w:ascii="Book Antiqua" w:eastAsia="Book Antiqua" w:hAnsi="Book Antiqua" w:cs="Book Antiqua"/>
          <w:color w:val="000000"/>
        </w:rPr>
        <w:t>HIV</w:t>
      </w:r>
      <w:r w:rsidR="00E267A4" w:rsidRPr="002850AE">
        <w:rPr>
          <w:rFonts w:ascii="Book Antiqua" w:eastAsia="Book Antiqua" w:hAnsi="Book Antiqua" w:cs="Book Antiqua"/>
          <w:color w:val="000000"/>
        </w:rPr>
        <w:t>)</w:t>
      </w:r>
      <w:r w:rsidRPr="002850AE">
        <w:rPr>
          <w:rFonts w:ascii="Book Antiqua" w:eastAsia="Book Antiqua" w:hAnsi="Book Antiqua" w:cs="Book Antiqua"/>
          <w:color w:val="000000"/>
        </w:rPr>
        <w:t xml:space="preserve"> patients for hepatitis C virus (HCV). In resource-constrained contexts with low-to-intermediate HCV prevalence among HIV patients, as in Cambodia, targeted testing is, in the short-term, potentially more feasible and cost-effective.</w:t>
      </w:r>
      <w:r w:rsidRPr="002850AE">
        <w:rPr>
          <w:rFonts w:ascii="Book Antiqua" w:eastAsia="Book Antiqua" w:hAnsi="Book Antiqua" w:cs="Book Antiqua"/>
          <w:b/>
          <w:bCs/>
          <w:color w:val="000000"/>
        </w:rPr>
        <w:t xml:space="preserve"> </w:t>
      </w:r>
    </w:p>
    <w:p w14:paraId="2994A80A" w14:textId="77777777" w:rsidR="00A77B3E" w:rsidRPr="002850AE" w:rsidRDefault="00A77B3E" w:rsidP="00AE50D3">
      <w:pPr>
        <w:snapToGrid w:val="0"/>
        <w:spacing w:line="360" w:lineRule="auto"/>
        <w:jc w:val="both"/>
        <w:rPr>
          <w:rFonts w:ascii="Book Antiqua" w:hAnsi="Book Antiqua"/>
        </w:rPr>
      </w:pPr>
    </w:p>
    <w:p w14:paraId="46FF3E41"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AIM</w:t>
      </w:r>
    </w:p>
    <w:p w14:paraId="49042D69" w14:textId="77777777" w:rsidR="00A77B3E" w:rsidRPr="002850AE" w:rsidRDefault="00B76EBF" w:rsidP="00AE50D3">
      <w:pPr>
        <w:snapToGrid w:val="0"/>
        <w:spacing w:line="360" w:lineRule="auto"/>
        <w:jc w:val="both"/>
        <w:rPr>
          <w:rFonts w:ascii="Book Antiqua" w:hAnsi="Book Antiqua"/>
        </w:rPr>
      </w:pPr>
      <w:r w:rsidRPr="002850AE">
        <w:rPr>
          <w:rFonts w:ascii="Book Antiqua" w:eastAsia="Book Antiqua" w:hAnsi="Book Antiqua" w:cs="Book Antiqua"/>
          <w:color w:val="000000"/>
        </w:rPr>
        <w:t>To</w:t>
      </w:r>
      <w:r w:rsidR="00EC02D8" w:rsidRPr="002850AE">
        <w:rPr>
          <w:rFonts w:ascii="Book Antiqua" w:eastAsia="Book Antiqua" w:hAnsi="Book Antiqua" w:cs="Book Antiqua"/>
          <w:color w:val="000000"/>
        </w:rPr>
        <w:t xml:space="preserve"> develop</w:t>
      </w:r>
      <w:r w:rsidRPr="002850AE">
        <w:rPr>
          <w:rFonts w:ascii="Book Antiqua" w:eastAsia="Book Antiqua" w:hAnsi="Book Antiqua" w:cs="Book Antiqua"/>
          <w:color w:val="000000"/>
        </w:rPr>
        <w:t xml:space="preserve"> </w:t>
      </w:r>
      <w:r w:rsidR="00EC02D8" w:rsidRPr="002850AE">
        <w:rPr>
          <w:rFonts w:ascii="Book Antiqua" w:eastAsia="Book Antiqua" w:hAnsi="Book Antiqua" w:cs="Book Antiqua"/>
          <w:color w:val="000000"/>
        </w:rPr>
        <w:t xml:space="preserve">a clinical prediction score (CPS) to risk-stratify HIV patients for HCV coinfection (HCV RNA detected), </w:t>
      </w:r>
      <w:r w:rsidR="00EC02D8" w:rsidRPr="002850AE">
        <w:rPr>
          <w:rFonts w:ascii="Book Antiqua" w:eastAsia="Book Antiqua" w:hAnsi="Book Antiqua" w:cs="Book Antiqua"/>
          <w:color w:val="000000"/>
          <w:shd w:val="clear" w:color="auto" w:fill="FFFFFF"/>
        </w:rPr>
        <w:t>and derive</w:t>
      </w:r>
      <w:r w:rsidR="00726A3C" w:rsidRPr="002850AE">
        <w:rPr>
          <w:rFonts w:ascii="Book Antiqua" w:eastAsia="Book Antiqua" w:hAnsi="Book Antiqua" w:cs="Book Antiqua"/>
          <w:color w:val="000000"/>
          <w:shd w:val="clear" w:color="auto" w:fill="FFFFFF"/>
        </w:rPr>
        <w:t xml:space="preserve"> </w:t>
      </w:r>
      <w:r w:rsidR="00EC02D8" w:rsidRPr="002850AE">
        <w:rPr>
          <w:rFonts w:ascii="Book Antiqua" w:eastAsia="Book Antiqua" w:hAnsi="Book Antiqua" w:cs="Book Antiqua"/>
          <w:color w:val="000000"/>
          <w:shd w:val="clear" w:color="auto" w:fill="FFFFFF"/>
        </w:rPr>
        <w:t>a decision rule to guide prioritization of HCV testing in settings where ‘testing all’ is not feasible or unaffordable in the short term</w:t>
      </w:r>
      <w:r w:rsidR="00EC02D8" w:rsidRPr="002850AE">
        <w:rPr>
          <w:rFonts w:ascii="Book Antiqua" w:eastAsia="Book Antiqua" w:hAnsi="Book Antiqua" w:cs="Book Antiqua"/>
          <w:color w:val="000000"/>
        </w:rPr>
        <w:t xml:space="preserve">. </w:t>
      </w:r>
    </w:p>
    <w:p w14:paraId="404F0144" w14:textId="77777777" w:rsidR="00A77B3E" w:rsidRPr="002850AE" w:rsidRDefault="00A77B3E" w:rsidP="00AE50D3">
      <w:pPr>
        <w:snapToGrid w:val="0"/>
        <w:spacing w:line="360" w:lineRule="auto"/>
        <w:jc w:val="both"/>
        <w:rPr>
          <w:rFonts w:ascii="Book Antiqua" w:hAnsi="Book Antiqua"/>
        </w:rPr>
      </w:pPr>
    </w:p>
    <w:p w14:paraId="31F06BAA"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METHODS</w:t>
      </w:r>
    </w:p>
    <w:p w14:paraId="6F5F2A0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We used data of a cross-sectional HCV diagnostic study in the HIV cohort of Sihanouk Hospital Center of Hope in Phnom Penh.</w:t>
      </w:r>
      <w:r w:rsidRPr="002850AE">
        <w:rPr>
          <w:rFonts w:ascii="Book Antiqua" w:eastAsia="Book Antiqua" w:hAnsi="Book Antiqua" w:cs="Book Antiqua"/>
          <w:color w:val="000000"/>
          <w:shd w:val="clear" w:color="auto" w:fill="FFFFFF"/>
        </w:rPr>
        <w:t xml:space="preserve"> Key populations were very rare in this cohort. Score development relied on the </w:t>
      </w:r>
      <w:proofErr w:type="spellStart"/>
      <w:r w:rsidRPr="002850AE">
        <w:rPr>
          <w:rFonts w:ascii="Book Antiqua" w:eastAsia="Book Antiqua" w:hAnsi="Book Antiqua" w:cs="Book Antiqua"/>
          <w:color w:val="000000"/>
          <w:shd w:val="clear" w:color="auto" w:fill="FFFFFF"/>
        </w:rPr>
        <w:t>Spiegelhalter</w:t>
      </w:r>
      <w:proofErr w:type="spellEnd"/>
      <w:r w:rsidRPr="002850AE">
        <w:rPr>
          <w:rFonts w:ascii="Book Antiqua" w:eastAsia="Book Antiqua" w:hAnsi="Book Antiqua" w:cs="Book Antiqua"/>
          <w:color w:val="000000"/>
          <w:shd w:val="clear" w:color="auto" w:fill="FFFFFF"/>
        </w:rPr>
        <w:t xml:space="preserve"> and </w:t>
      </w:r>
      <w:proofErr w:type="spellStart"/>
      <w:r w:rsidRPr="002850AE">
        <w:rPr>
          <w:rFonts w:ascii="Book Antiqua" w:eastAsia="Book Antiqua" w:hAnsi="Book Antiqua" w:cs="Book Antiqua"/>
          <w:color w:val="000000"/>
          <w:shd w:val="clear" w:color="auto" w:fill="FFFFFF"/>
        </w:rPr>
        <w:t>Knill</w:t>
      </w:r>
      <w:proofErr w:type="spellEnd"/>
      <w:r w:rsidRPr="002850AE">
        <w:rPr>
          <w:rFonts w:ascii="Book Antiqua" w:eastAsia="Book Antiqua" w:hAnsi="Book Antiqua" w:cs="Book Antiqua"/>
          <w:color w:val="000000"/>
          <w:shd w:val="clear" w:color="auto" w:fill="FFFFFF"/>
        </w:rPr>
        <w:t>-Jones method. Predictors with an adjusted likelihood ratio ≥</w:t>
      </w:r>
      <w:r w:rsidR="008773E2"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1.5 or ≤</w:t>
      </w:r>
      <w:r w:rsidR="008773E2"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0.67 were retained, transformed to natural logarithms, and rounded to integers as score items</w:t>
      </w:r>
      <w:r w:rsidRPr="002850AE">
        <w:rPr>
          <w:rFonts w:ascii="Book Antiqua" w:eastAsia="Book Antiqua" w:hAnsi="Book Antiqua" w:cs="Book Antiqua"/>
          <w:color w:val="000000"/>
        </w:rPr>
        <w:t>.</w:t>
      </w:r>
      <w:r w:rsidRPr="002850AE">
        <w:rPr>
          <w:rFonts w:ascii="Book Antiqua" w:eastAsia="Book Antiqua" w:hAnsi="Book Antiqua" w:cs="Book Antiqua"/>
          <w:color w:val="000000"/>
          <w:shd w:val="clear" w:color="auto" w:fill="FFFFFF"/>
        </w:rPr>
        <w:t xml:space="preserve"> CPS performance was evaluated by the area-under-the-ROC curve (AUROC) with 95% confidence intervals (CI), and diagnostic accuracy at the different cut-offs. For the decision rule, </w:t>
      </w:r>
      <w:r w:rsidRPr="002850AE">
        <w:rPr>
          <w:rFonts w:ascii="Book Antiqua" w:eastAsia="Book Antiqua" w:hAnsi="Book Antiqua" w:cs="Book Antiqua"/>
          <w:color w:val="000000"/>
        </w:rPr>
        <w:t xml:space="preserve">HCV coinfection probability ≥1% was agreed as test-threshold. </w:t>
      </w:r>
    </w:p>
    <w:p w14:paraId="30DD3800" w14:textId="77777777" w:rsidR="00A77B3E" w:rsidRPr="002850AE" w:rsidRDefault="00A77B3E" w:rsidP="00AE50D3">
      <w:pPr>
        <w:snapToGrid w:val="0"/>
        <w:spacing w:line="360" w:lineRule="auto"/>
        <w:jc w:val="both"/>
        <w:rPr>
          <w:rFonts w:ascii="Book Antiqua" w:hAnsi="Book Antiqua"/>
        </w:rPr>
      </w:pPr>
    </w:p>
    <w:p w14:paraId="31BA1478"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RESULTS</w:t>
      </w:r>
    </w:p>
    <w:p w14:paraId="4AB00979"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Among the 3045 enrolled HIV patients, 106 had an HCV coinfection. Of the 11 candidate predictors (from history-taking, laboratory testing), seven had an adjusted likelihood ratio ≥</w:t>
      </w:r>
      <w:r w:rsidR="00CF0DD5"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1.5 or ≤</w:t>
      </w:r>
      <w:r w:rsidR="00CF0DD5"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0.67: ≥</w:t>
      </w:r>
      <w:r w:rsidR="00CF0DD5"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50 years (+1 point), diabetes mellitus (+1), partner/household member with liver disease (+1), generalized pruritus (+1), platelets &lt;</w:t>
      </w:r>
      <w:r w:rsidR="00CF0DD5"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 xml:space="preserve">200 </w:t>
      </w:r>
      <w:r w:rsidR="00CF0DD5" w:rsidRPr="002850AE">
        <w:rPr>
          <w:rFonts w:ascii="Book Antiqua" w:hAnsi="Book Antiqua"/>
          <w:lang w:val="pl-PL"/>
        </w:rPr>
        <w:t>×</w:t>
      </w:r>
      <w:r w:rsidR="00CF0DD5"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10</w:t>
      </w:r>
      <w:r w:rsidRPr="002850AE">
        <w:rPr>
          <w:rFonts w:ascii="Book Antiqua" w:eastAsia="Book Antiqua" w:hAnsi="Book Antiqua" w:cs="Book Antiqua"/>
          <w:color w:val="000000"/>
          <w:shd w:val="clear" w:color="auto" w:fill="FFFFFF"/>
          <w:vertAlign w:val="superscript"/>
        </w:rPr>
        <w:t>9</w:t>
      </w:r>
      <w:r w:rsidRPr="002850AE">
        <w:rPr>
          <w:rFonts w:ascii="Book Antiqua" w:eastAsia="Book Antiqua" w:hAnsi="Book Antiqua" w:cs="Book Antiqua"/>
          <w:color w:val="000000"/>
          <w:shd w:val="clear" w:color="auto" w:fill="FFFFFF"/>
        </w:rPr>
        <w:t>/L (+1), aspartate transaminase (AST) &lt;</w:t>
      </w:r>
      <w:r w:rsidR="00CF0DD5"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30 IU/L (-1), AST-to-platelet ratio index (APRI) ≥</w:t>
      </w:r>
      <w:r w:rsidR="00096D6A"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0.45 (+1), and APRI &lt;</w:t>
      </w:r>
      <w:r w:rsidR="00096D6A"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0.45 (-1). The AUROC was 0.84 (95%CI: 0.80-0.89), indicating good discrimination of HCV/HIV coinfection and HIV mono-infection. The CPS result ≥0 best fits the test-threshold (negative predictive value: 99.2%, 95%CI: 98.8-99.6). Applying this threshold, 30% (</w:t>
      </w:r>
      <w:r w:rsidRPr="002850AE">
        <w:rPr>
          <w:rFonts w:ascii="Book Antiqua" w:eastAsia="Book Antiqua" w:hAnsi="Book Antiqua" w:cs="Book Antiqua"/>
          <w:i/>
          <w:iCs/>
          <w:color w:val="000000"/>
          <w:shd w:val="clear" w:color="auto" w:fill="FFFFFF"/>
        </w:rPr>
        <w:t>n</w:t>
      </w:r>
      <w:r w:rsidRPr="002850AE">
        <w:rPr>
          <w:rFonts w:ascii="Book Antiqua" w:eastAsia="Book Antiqua" w:hAnsi="Book Antiqua" w:cs="Book Antiqua"/>
          <w:color w:val="000000"/>
          <w:shd w:val="clear" w:color="auto" w:fill="FFFFFF"/>
        </w:rPr>
        <w:t xml:space="preserve"> = 926) would be tested. Sixteen coinfections (15%) would have been missed, none with advanced fibrosis. </w:t>
      </w:r>
    </w:p>
    <w:p w14:paraId="5E68448A" w14:textId="77777777" w:rsidR="00A77B3E" w:rsidRPr="002850AE" w:rsidRDefault="00A77B3E" w:rsidP="00AE50D3">
      <w:pPr>
        <w:snapToGrid w:val="0"/>
        <w:spacing w:line="360" w:lineRule="auto"/>
        <w:jc w:val="both"/>
        <w:rPr>
          <w:rFonts w:ascii="Book Antiqua" w:hAnsi="Book Antiqua"/>
        </w:rPr>
      </w:pPr>
    </w:p>
    <w:p w14:paraId="611A5D5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CONCLUSION</w:t>
      </w:r>
    </w:p>
    <w:p w14:paraId="4B7AB79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T</w:t>
      </w:r>
      <w:r w:rsidRPr="002850AE">
        <w:rPr>
          <w:rFonts w:ascii="Book Antiqua" w:eastAsia="Book Antiqua" w:hAnsi="Book Antiqua" w:cs="Book Antiqua"/>
          <w:color w:val="000000"/>
        </w:rPr>
        <w:t xml:space="preserve">he CPS performed well in the derivation cohort, and bears potential </w:t>
      </w:r>
      <w:r w:rsidRPr="002850AE">
        <w:rPr>
          <w:rFonts w:ascii="Book Antiqua" w:eastAsia="Book Antiqua" w:hAnsi="Book Antiqua" w:cs="Book Antiqua"/>
          <w:color w:val="000000"/>
          <w:shd w:val="clear" w:color="auto" w:fill="FFFFFF"/>
        </w:rPr>
        <w:t>for other contexts of low-to-intermediate prevalence and</w:t>
      </w:r>
      <w:r w:rsidRPr="002850AE">
        <w:rPr>
          <w:rFonts w:ascii="Book Antiqua" w:eastAsia="Book Antiqua" w:hAnsi="Book Antiqua" w:cs="Book Antiqua"/>
          <w:color w:val="000000"/>
        </w:rPr>
        <w:t xml:space="preserve"> little onward risk of transmission (</w:t>
      </w:r>
      <w:r w:rsidRPr="002850AE">
        <w:rPr>
          <w:rFonts w:ascii="Book Antiqua" w:eastAsia="Book Antiqua" w:hAnsi="Book Antiqua" w:cs="Book Antiqua"/>
          <w:i/>
          <w:iCs/>
          <w:color w:val="000000"/>
        </w:rPr>
        <w:t>i.e.</w:t>
      </w:r>
      <w:r w:rsidRPr="002850AE">
        <w:rPr>
          <w:rFonts w:ascii="Book Antiqua" w:eastAsia="Book Antiqua" w:hAnsi="Book Antiqua" w:cs="Book Antiqua"/>
          <w:color w:val="000000"/>
        </w:rPr>
        <w:t xml:space="preserve"> cohorts without major risk factors as injecting drug use, men having sex with men), and where available resources do not allow to test all HIV patients as recommended by WHO.</w:t>
      </w:r>
      <w:r w:rsidRPr="002850AE">
        <w:rPr>
          <w:rFonts w:ascii="Book Antiqua" w:eastAsia="Book Antiqua" w:hAnsi="Book Antiqua" w:cs="Book Antiqua"/>
          <w:color w:val="000000"/>
          <w:shd w:val="clear" w:color="auto" w:fill="FFFFFF"/>
        </w:rPr>
        <w:t xml:space="preserve"> However, </w:t>
      </w:r>
      <w:r w:rsidRPr="002850AE">
        <w:rPr>
          <w:rFonts w:ascii="Book Antiqua" w:eastAsia="Book Antiqua" w:hAnsi="Book Antiqua" w:cs="Book Antiqua"/>
          <w:color w:val="000000"/>
        </w:rPr>
        <w:t>the score requires external validation in other patient cohorts before any wider use can be considered.</w:t>
      </w:r>
    </w:p>
    <w:p w14:paraId="3DE189B9" w14:textId="77777777" w:rsidR="00A77B3E" w:rsidRPr="002850AE" w:rsidRDefault="00A77B3E" w:rsidP="00AE50D3">
      <w:pPr>
        <w:snapToGrid w:val="0"/>
        <w:spacing w:line="360" w:lineRule="auto"/>
        <w:jc w:val="both"/>
        <w:rPr>
          <w:rFonts w:ascii="Book Antiqua" w:hAnsi="Book Antiqua"/>
        </w:rPr>
      </w:pPr>
    </w:p>
    <w:p w14:paraId="106D59B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Key Words: </w:t>
      </w:r>
      <w:r w:rsidRPr="002850AE">
        <w:rPr>
          <w:rFonts w:ascii="Book Antiqua" w:eastAsia="Book Antiqua" w:hAnsi="Book Antiqua" w:cs="Book Antiqua"/>
          <w:color w:val="000000"/>
        </w:rPr>
        <w:t>Hepatitis C</w:t>
      </w:r>
      <w:r w:rsidR="00096D6A" w:rsidRPr="002850AE">
        <w:rPr>
          <w:rFonts w:ascii="Book Antiqua" w:eastAsia="Book Antiqua" w:hAnsi="Book Antiqua" w:cs="Book Antiqua"/>
          <w:color w:val="000000"/>
        </w:rPr>
        <w:t xml:space="preserve"> virus</w:t>
      </w:r>
      <w:r w:rsidRPr="002850AE">
        <w:rPr>
          <w:rFonts w:ascii="Book Antiqua" w:eastAsia="Book Antiqua" w:hAnsi="Book Antiqua" w:cs="Book Antiqua"/>
          <w:color w:val="000000"/>
        </w:rPr>
        <w:t xml:space="preserve">; </w:t>
      </w:r>
      <w:r w:rsidR="004262A8" w:rsidRPr="002850AE">
        <w:rPr>
          <w:rFonts w:ascii="Book Antiqua" w:eastAsia="Book Antiqua" w:hAnsi="Book Antiqua" w:cs="Book Antiqua"/>
          <w:color w:val="000000"/>
        </w:rPr>
        <w:t>Hepatitis C</w:t>
      </w:r>
      <w:r w:rsidRPr="002850AE">
        <w:rPr>
          <w:rFonts w:ascii="Book Antiqua" w:eastAsia="Book Antiqua" w:hAnsi="Book Antiqua" w:cs="Book Antiqua"/>
          <w:color w:val="000000"/>
        </w:rPr>
        <w:t>/</w:t>
      </w:r>
      <w:r w:rsidR="004262A8" w:rsidRPr="002850AE">
        <w:rPr>
          <w:rFonts w:ascii="Book Antiqua" w:eastAsia="Book Antiqua" w:hAnsi="Book Antiqua" w:cs="Book Antiqua"/>
          <w:color w:val="000000"/>
        </w:rPr>
        <w:t>human immunodeficiency virus</w:t>
      </w:r>
      <w:r w:rsidRPr="002850AE">
        <w:rPr>
          <w:rFonts w:ascii="Book Antiqua" w:eastAsia="Book Antiqua" w:hAnsi="Book Antiqua" w:cs="Book Antiqua"/>
          <w:color w:val="000000"/>
        </w:rPr>
        <w:t xml:space="preserve"> coinfection; Clinical prediction rule; Targeted screening; Cambodia; Development prediction model</w:t>
      </w:r>
    </w:p>
    <w:p w14:paraId="4E16D32F" w14:textId="77777777" w:rsidR="00A77B3E" w:rsidRPr="002850AE" w:rsidRDefault="00A77B3E" w:rsidP="00AE50D3">
      <w:pPr>
        <w:snapToGrid w:val="0"/>
        <w:spacing w:line="360" w:lineRule="auto"/>
        <w:jc w:val="both"/>
        <w:rPr>
          <w:rFonts w:ascii="Book Antiqua" w:hAnsi="Book Antiqua"/>
        </w:rPr>
      </w:pPr>
    </w:p>
    <w:p w14:paraId="5CB0A3E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De </w:t>
      </w:r>
      <w:proofErr w:type="spellStart"/>
      <w:r w:rsidRPr="002850AE">
        <w:rPr>
          <w:rFonts w:ascii="Book Antiqua" w:eastAsia="Book Antiqua" w:hAnsi="Book Antiqua" w:cs="Book Antiqua"/>
          <w:color w:val="000000"/>
        </w:rPr>
        <w:t>Weggheleire</w:t>
      </w:r>
      <w:proofErr w:type="spellEnd"/>
      <w:r w:rsidRPr="002850AE">
        <w:rPr>
          <w:rFonts w:ascii="Book Antiqua" w:eastAsia="Book Antiqua" w:hAnsi="Book Antiqua" w:cs="Book Antiqua"/>
          <w:color w:val="000000"/>
        </w:rPr>
        <w:t xml:space="preserve"> A, </w:t>
      </w:r>
      <w:proofErr w:type="spellStart"/>
      <w:r w:rsidRPr="002850AE">
        <w:rPr>
          <w:rFonts w:ascii="Book Antiqua" w:eastAsia="Book Antiqua" w:hAnsi="Book Antiqua" w:cs="Book Antiqua"/>
          <w:color w:val="000000"/>
        </w:rPr>
        <w:t>Buyze</w:t>
      </w:r>
      <w:proofErr w:type="spellEnd"/>
      <w:r w:rsidRPr="002850AE">
        <w:rPr>
          <w:rFonts w:ascii="Book Antiqua" w:eastAsia="Book Antiqua" w:hAnsi="Book Antiqua" w:cs="Book Antiqua"/>
          <w:color w:val="000000"/>
        </w:rPr>
        <w:t xml:space="preserve"> J, An S, Thai S, van </w:t>
      </w:r>
      <w:proofErr w:type="spellStart"/>
      <w:r w:rsidRPr="002850AE">
        <w:rPr>
          <w:rFonts w:ascii="Book Antiqua" w:eastAsia="Book Antiqua" w:hAnsi="Book Antiqua" w:cs="Book Antiqua"/>
          <w:color w:val="000000"/>
        </w:rPr>
        <w:t>Griensven</w:t>
      </w:r>
      <w:proofErr w:type="spellEnd"/>
      <w:r w:rsidRPr="002850AE">
        <w:rPr>
          <w:rFonts w:ascii="Book Antiqua" w:eastAsia="Book Antiqua" w:hAnsi="Book Antiqua" w:cs="Book Antiqua"/>
          <w:color w:val="000000"/>
        </w:rPr>
        <w:t xml:space="preserve"> J, </w:t>
      </w:r>
      <w:proofErr w:type="spellStart"/>
      <w:r w:rsidRPr="002850AE">
        <w:rPr>
          <w:rFonts w:ascii="Book Antiqua" w:eastAsia="Book Antiqua" w:hAnsi="Book Antiqua" w:cs="Book Antiqua"/>
          <w:color w:val="000000"/>
        </w:rPr>
        <w:t>Francque</w:t>
      </w:r>
      <w:proofErr w:type="spellEnd"/>
      <w:r w:rsidRPr="002850AE">
        <w:rPr>
          <w:rFonts w:ascii="Book Antiqua" w:eastAsia="Book Antiqua" w:hAnsi="Book Antiqua" w:cs="Book Antiqua"/>
          <w:color w:val="000000"/>
        </w:rPr>
        <w:t xml:space="preserve"> S, Lynen L. Development of a risk score to guide targeted hepatitis C testing among</w:t>
      </w:r>
      <w:r w:rsidR="008A2FC5" w:rsidRPr="002850AE">
        <w:rPr>
          <w:rFonts w:ascii="Book Antiqua" w:eastAsia="Book Antiqua" w:hAnsi="Book Antiqua" w:cs="Book Antiqua"/>
          <w:color w:val="000000"/>
        </w:rPr>
        <w:t xml:space="preserve"> human immunodeficiency virus</w:t>
      </w:r>
      <w:r w:rsidRPr="002850AE">
        <w:rPr>
          <w:rFonts w:ascii="Book Antiqua" w:eastAsia="Book Antiqua" w:hAnsi="Book Antiqua" w:cs="Book Antiqua"/>
          <w:color w:val="000000"/>
        </w:rPr>
        <w:t xml:space="preserve"> patients in Cambodia. </w:t>
      </w:r>
      <w:r w:rsidRPr="002850AE">
        <w:rPr>
          <w:rFonts w:ascii="Book Antiqua" w:eastAsia="Book Antiqua" w:hAnsi="Book Antiqua" w:cs="Book Antiqua"/>
          <w:i/>
          <w:iCs/>
          <w:color w:val="000000"/>
        </w:rPr>
        <w:t>World J Hepatol</w:t>
      </w:r>
      <w:r w:rsidRPr="002850AE">
        <w:rPr>
          <w:rFonts w:ascii="Book Antiqua" w:eastAsia="Book Antiqua" w:hAnsi="Book Antiqua" w:cs="Book Antiqua"/>
          <w:color w:val="000000"/>
        </w:rPr>
        <w:t xml:space="preserve"> 2021; In press</w:t>
      </w:r>
    </w:p>
    <w:p w14:paraId="7F8C384B" w14:textId="77777777" w:rsidR="00A77B3E" w:rsidRPr="002850AE" w:rsidRDefault="00A77B3E" w:rsidP="00AE50D3">
      <w:pPr>
        <w:snapToGrid w:val="0"/>
        <w:spacing w:line="360" w:lineRule="auto"/>
        <w:jc w:val="both"/>
        <w:rPr>
          <w:rFonts w:ascii="Book Antiqua" w:hAnsi="Book Antiqua"/>
        </w:rPr>
      </w:pPr>
    </w:p>
    <w:p w14:paraId="4158869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Core Tip: </w:t>
      </w:r>
      <w:r w:rsidRPr="002850AE">
        <w:rPr>
          <w:rFonts w:ascii="Book Antiqua" w:eastAsia="Book Antiqua" w:hAnsi="Book Antiqua" w:cs="Book Antiqua"/>
          <w:color w:val="000000"/>
        </w:rPr>
        <w:t xml:space="preserve">We developed and internally validated a clinical prediction score to stratify </w:t>
      </w:r>
      <w:r w:rsidR="00B63428" w:rsidRPr="002850AE">
        <w:rPr>
          <w:rFonts w:ascii="Book Antiqua" w:eastAsia="Book Antiqua" w:hAnsi="Book Antiqua" w:cs="Book Antiqua"/>
          <w:color w:val="000000"/>
        </w:rPr>
        <w:t>human immunodeficiency virus (HIV)</w:t>
      </w:r>
      <w:r w:rsidR="00927D37" w:rsidRPr="002850AE">
        <w:rPr>
          <w:rFonts w:ascii="Book Antiqua" w:eastAsia="Book Antiqua" w:hAnsi="Book Antiqua" w:cs="Book Antiqua"/>
          <w:color w:val="000000"/>
        </w:rPr>
        <w:t xml:space="preserve"> </w:t>
      </w:r>
      <w:r w:rsidRPr="002850AE">
        <w:rPr>
          <w:rFonts w:ascii="Book Antiqua" w:eastAsia="Book Antiqua" w:hAnsi="Book Antiqua" w:cs="Book Antiqua"/>
          <w:color w:val="000000"/>
        </w:rPr>
        <w:t>patients for risk of hepatitis C (HCV) coinfection, and derived a decision rule to guide prioritization of HCV testing. The score incorporates readily available clinical and laboratory predictors, and had, in the Cambodian derivation cohort, a good ability to discriminate between HCV/HIV coinfection and HIV mono-infection. Key populations were rare in the Cambodian HIV cohort.</w:t>
      </w:r>
    </w:p>
    <w:p w14:paraId="7C310821" w14:textId="77777777" w:rsidR="00A77B3E" w:rsidRPr="002850AE" w:rsidRDefault="00A77B3E" w:rsidP="00AE50D3">
      <w:pPr>
        <w:snapToGrid w:val="0"/>
        <w:spacing w:line="360" w:lineRule="auto"/>
        <w:jc w:val="both"/>
        <w:rPr>
          <w:rFonts w:ascii="Book Antiqua" w:hAnsi="Book Antiqua"/>
        </w:rPr>
      </w:pPr>
    </w:p>
    <w:p w14:paraId="0011C4B1"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INTRODUCTION</w:t>
      </w:r>
    </w:p>
    <w:p w14:paraId="44B36097" w14:textId="17F6354D"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Interferon-free antiviral treatment has replaced the combination of pegylated interferon and ribavirin as standard-of-care for chronic hepatitis </w:t>
      </w:r>
      <w:proofErr w:type="gramStart"/>
      <w:r w:rsidRPr="002850AE">
        <w:rPr>
          <w:rFonts w:ascii="Book Antiqua" w:eastAsia="Book Antiqua" w:hAnsi="Book Antiqua" w:cs="Book Antiqua"/>
          <w:color w:val="000000"/>
        </w:rPr>
        <w:t>C</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1]</w:t>
      </w:r>
      <w:r w:rsidRPr="002850AE">
        <w:rPr>
          <w:rFonts w:ascii="Book Antiqua" w:eastAsia="Book Antiqua" w:hAnsi="Book Antiqua" w:cs="Book Antiqua"/>
          <w:color w:val="000000"/>
        </w:rPr>
        <w:t xml:space="preserve">. These new treatments are highly efficacious, short in duration, well-tolerated and hold, as becoming increasingly affordable, real promise of worldwide </w:t>
      </w:r>
      <w:proofErr w:type="gramStart"/>
      <w:r w:rsidRPr="002850AE">
        <w:rPr>
          <w:rFonts w:ascii="Book Antiqua" w:eastAsia="Book Antiqua" w:hAnsi="Book Antiqua" w:cs="Book Antiqua"/>
          <w:color w:val="000000"/>
        </w:rPr>
        <w:t>scalability</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2]</w:t>
      </w:r>
      <w:r w:rsidRPr="002850AE">
        <w:rPr>
          <w:rFonts w:ascii="Book Antiqua" w:eastAsia="Book Antiqua" w:hAnsi="Book Antiqua" w:cs="Book Antiqua"/>
          <w:color w:val="000000"/>
        </w:rPr>
        <w:t xml:space="preserve">. On the other hand, less than 5% of people living with </w:t>
      </w:r>
      <w:r w:rsidR="00F65357" w:rsidRPr="002850AE">
        <w:rPr>
          <w:rFonts w:ascii="Book Antiqua" w:eastAsia="Book Antiqua" w:hAnsi="Book Antiqua" w:cs="Book Antiqua"/>
          <w:color w:val="000000"/>
        </w:rPr>
        <w:t>hepatitis C virus (HCV)</w:t>
      </w:r>
      <w:r w:rsidRPr="002850AE">
        <w:rPr>
          <w:rFonts w:ascii="Book Antiqua" w:eastAsia="Book Antiqua" w:hAnsi="Book Antiqua" w:cs="Book Antiqua"/>
          <w:color w:val="000000"/>
        </w:rPr>
        <w:t xml:space="preserve"> in low and middle income countries (LMIC) were aware of their status end of 2016</w:t>
      </w:r>
      <w:r w:rsidRPr="002850AE">
        <w:rPr>
          <w:rFonts w:ascii="Book Antiqua" w:eastAsia="Book Antiqua" w:hAnsi="Book Antiqua" w:cs="Book Antiqua"/>
          <w:color w:val="000000"/>
          <w:vertAlign w:val="superscript"/>
        </w:rPr>
        <w:t>[3]</w:t>
      </w:r>
      <w:r w:rsidRPr="002850AE">
        <w:rPr>
          <w:rFonts w:ascii="Book Antiqua" w:eastAsia="Book Antiqua" w:hAnsi="Book Antiqua" w:cs="Book Antiqua"/>
          <w:color w:val="000000"/>
        </w:rPr>
        <w:t>. To boost identification of HCV infected individuals, particularly in LMIC, the World Health Organization (WHO) launched a first set of HCV testing guidelines in 2017</w:t>
      </w:r>
      <w:r w:rsidRPr="002850AE">
        <w:rPr>
          <w:rFonts w:ascii="Book Antiqua" w:eastAsia="Book Antiqua" w:hAnsi="Book Antiqua" w:cs="Book Antiqua"/>
          <w:color w:val="000000"/>
          <w:vertAlign w:val="superscript"/>
        </w:rPr>
        <w:t>[4]</w:t>
      </w:r>
      <w:r w:rsidRPr="002850AE">
        <w:rPr>
          <w:rFonts w:ascii="Book Antiqua" w:eastAsia="Book Antiqua" w:hAnsi="Book Antiqua" w:cs="Book Antiqua"/>
          <w:color w:val="000000"/>
        </w:rPr>
        <w:t xml:space="preserve">. Routine testing throughout the whole population is recommended where </w:t>
      </w:r>
      <w:r w:rsidRPr="002850AE">
        <w:rPr>
          <w:rFonts w:ascii="Book Antiqua" w:eastAsia="Book Antiqua" w:hAnsi="Book Antiqua" w:cs="Book Antiqua"/>
          <w:color w:val="000000"/>
          <w:shd w:val="clear" w:color="auto" w:fill="FFFFFF"/>
        </w:rPr>
        <w:t>HCV seroprevalence is of intermediate (≥</w:t>
      </w:r>
      <w:r w:rsidR="00A3014A">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2%) or high (≥</w:t>
      </w:r>
      <w:r w:rsidR="00B34DC2"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 xml:space="preserve">5%) level, and </w:t>
      </w:r>
      <w:r w:rsidRPr="002850AE">
        <w:rPr>
          <w:rFonts w:ascii="Book Antiqua" w:eastAsia="Book Antiqua" w:hAnsi="Book Antiqua" w:cs="Book Antiqua"/>
          <w:color w:val="000000"/>
        </w:rPr>
        <w:t>targeted testing in all other settings. Clinical suspects, p</w:t>
      </w:r>
      <w:r w:rsidRPr="002850AE">
        <w:rPr>
          <w:rFonts w:ascii="Book Antiqua" w:eastAsia="Book Antiqua" w:hAnsi="Book Antiqua" w:cs="Book Antiqua"/>
          <w:color w:val="000000"/>
          <w:shd w:val="clear" w:color="auto" w:fill="FFFFFF"/>
        </w:rPr>
        <w:t xml:space="preserve">eople who inject drugs (PWID), men having sex with men (MSM), people in prisons, birth cohorts, and people living with </w:t>
      </w:r>
      <w:r w:rsidR="00B34DC2" w:rsidRPr="002850AE">
        <w:rPr>
          <w:rFonts w:ascii="Book Antiqua" w:eastAsia="Book Antiqua" w:hAnsi="Book Antiqua" w:cs="Book Antiqua"/>
          <w:color w:val="000000"/>
        </w:rPr>
        <w:t>human immunodeficiency virus (HIV)</w:t>
      </w:r>
      <w:r w:rsidR="00B34DC2"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(PLWH) are the main targets for this latter.</w:t>
      </w:r>
    </w:p>
    <w:p w14:paraId="308D53BB"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Though feasibility in resource-limited settings was considered when formulating the WHO recommendations, it is unlikely</w:t>
      </w:r>
      <w:r w:rsidRPr="002850AE">
        <w:rPr>
          <w:rFonts w:ascii="Book Antiqua" w:eastAsia="Book Antiqua" w:hAnsi="Book Antiqua" w:cs="Book Antiqua"/>
          <w:color w:val="000000"/>
          <w:shd w:val="clear" w:color="auto" w:fill="FFFFFF"/>
        </w:rPr>
        <w:t xml:space="preserve"> that many LMIC will be able to implement </w:t>
      </w:r>
      <w:r w:rsidRPr="002850AE">
        <w:rPr>
          <w:rFonts w:ascii="Book Antiqua" w:eastAsia="Book Antiqua" w:hAnsi="Book Antiqua" w:cs="Book Antiqua"/>
          <w:color w:val="000000"/>
        </w:rPr>
        <w:t>t</w:t>
      </w:r>
      <w:r w:rsidRPr="002850AE">
        <w:rPr>
          <w:rFonts w:ascii="Book Antiqua" w:eastAsia="Book Antiqua" w:hAnsi="Book Antiqua" w:cs="Book Antiqua"/>
          <w:color w:val="000000"/>
          <w:shd w:val="clear" w:color="auto" w:fill="FFFFFF"/>
        </w:rPr>
        <w:t xml:space="preserve">hem </w:t>
      </w:r>
      <w:r w:rsidRPr="002850AE">
        <w:rPr>
          <w:rFonts w:ascii="Book Antiqua" w:eastAsia="Book Antiqua" w:hAnsi="Book Antiqua" w:cs="Book Antiqua"/>
          <w:color w:val="000000"/>
        </w:rPr>
        <w:t xml:space="preserve">at full-scale in the short-term, due to operational (human resources, diagnostic capacity, stigma), but also financial </w:t>
      </w:r>
      <w:proofErr w:type="gramStart"/>
      <w:r w:rsidRPr="002850AE">
        <w:rPr>
          <w:rFonts w:ascii="Book Antiqua" w:eastAsia="Book Antiqua" w:hAnsi="Book Antiqua" w:cs="Book Antiqua"/>
          <w:color w:val="000000"/>
        </w:rPr>
        <w:t>constraints</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5]</w:t>
      </w:r>
      <w:r w:rsidRPr="002850AE">
        <w:rPr>
          <w:rFonts w:ascii="Book Antiqua" w:eastAsia="Book Antiqua" w:hAnsi="Book Antiqua" w:cs="Book Antiqua"/>
          <w:color w:val="000000"/>
        </w:rPr>
        <w:t xml:space="preserve">. There are no large global financing initiatives in the pipeline for viral hepatitis at the short-to-medium term, and countries are in the meantime left to find their own financial </w:t>
      </w:r>
      <w:proofErr w:type="gramStart"/>
      <w:r w:rsidRPr="002850AE">
        <w:rPr>
          <w:rFonts w:ascii="Book Antiqua" w:eastAsia="Book Antiqua" w:hAnsi="Book Antiqua" w:cs="Book Antiqua"/>
          <w:color w:val="000000"/>
        </w:rPr>
        <w:t>solutions</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6]</w:t>
      </w:r>
      <w:r w:rsidRPr="002850AE">
        <w:rPr>
          <w:rFonts w:ascii="Book Antiqua" w:eastAsia="Book Antiqua" w:hAnsi="Book Antiqua" w:cs="Book Antiqua"/>
          <w:color w:val="000000"/>
        </w:rPr>
        <w:t xml:space="preserve">. This seriously impacts the scale of what can be implemented. </w:t>
      </w:r>
    </w:p>
    <w:p w14:paraId="38D1EA00"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 xml:space="preserve">In this regard, and based on the prevalence we registered in Cambodia, and even lower rates of HCV/HIV coinfection found in several HIV cohorts in Sub-Saharan </w:t>
      </w:r>
      <w:proofErr w:type="gramStart"/>
      <w:r w:rsidRPr="002850AE">
        <w:rPr>
          <w:rFonts w:ascii="Book Antiqua" w:eastAsia="Book Antiqua" w:hAnsi="Book Antiqua" w:cs="Book Antiqua"/>
          <w:color w:val="000000"/>
        </w:rPr>
        <w:t>Africa</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7-10]</w:t>
      </w:r>
      <w:r w:rsidRPr="002850AE">
        <w:rPr>
          <w:rFonts w:ascii="Book Antiqua" w:eastAsia="Book Antiqua" w:hAnsi="Book Antiqua" w:cs="Book Antiqua"/>
          <w:color w:val="000000"/>
        </w:rPr>
        <w:t xml:space="preserve">, we anticipate that some LMIC with large, primarily heterosexually-infected, HIV cohorts (and little forward transmission risk) may opt not to offer HCV testing to all HIV patients, at least in the short-to-medium term. Applying ‘screen all’ strategies in such cohorts is resource demanding and yields low positivity. To preserve resources, countries may rather choose to prioritize testing, in first instance, only for those at higher risk. </w:t>
      </w:r>
    </w:p>
    <w:p w14:paraId="680ADD43"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With the possibility of very successful treatment and growing availability of cheap WHO prequalified screening tests</w:t>
      </w:r>
      <w:r w:rsidRPr="002850AE">
        <w:rPr>
          <w:rFonts w:ascii="Book Antiqua" w:eastAsia="Book Antiqua" w:hAnsi="Book Antiqua" w:cs="Book Antiqua"/>
          <w:color w:val="000000"/>
          <w:vertAlign w:val="superscript"/>
        </w:rPr>
        <w:t>[11]</w:t>
      </w:r>
      <w:r w:rsidRPr="002850AE">
        <w:rPr>
          <w:rFonts w:ascii="Book Antiqua" w:eastAsia="Book Antiqua" w:hAnsi="Book Antiqua" w:cs="Book Antiqua"/>
          <w:color w:val="000000"/>
        </w:rPr>
        <w:t>, the threshold to offer testing should, however, be low enough, to avoid maximally that HCV/HIV coinfected are denied treatment because of restrictive testing strategies. The critical question is thus whether it is possible to identify accurately, and in a simple manner, a subgroup of HIV patients in which the ‘probability of being HCV infected and having to be treated in the short-term’ is so low that it would be reasonable not to offer them HCV testing or postpone it until more resources become available. Or phrased differently, to preserve the limited budget for testing and treating those with a higher risk of being HCV co-infected.</w:t>
      </w:r>
      <w:r w:rsidRPr="002850AE">
        <w:rPr>
          <w:rFonts w:ascii="Book Antiqua" w:eastAsia="Book Antiqua" w:hAnsi="Book Antiqua" w:cs="Book Antiqua"/>
          <w:color w:val="000000"/>
          <w:shd w:val="clear" w:color="auto" w:fill="FFFFFF"/>
        </w:rPr>
        <w:t xml:space="preserve"> </w:t>
      </w:r>
    </w:p>
    <w:p w14:paraId="03D73653"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Easy-to-use tools to guide such targeted HCV testing in HIV populations, other than prioritization of</w:t>
      </w:r>
      <w:r w:rsidR="006B0BE7" w:rsidRPr="002850AE">
        <w:rPr>
          <w:rFonts w:ascii="Book Antiqua" w:eastAsia="Book Antiqua" w:hAnsi="Book Antiqua" w:cs="Book Antiqua"/>
          <w:color w:val="000000"/>
        </w:rPr>
        <w:t xml:space="preserve"> </w:t>
      </w:r>
      <w:r w:rsidRPr="002850AE">
        <w:rPr>
          <w:rFonts w:ascii="Book Antiqua" w:eastAsia="Book Antiqua" w:hAnsi="Book Antiqua" w:cs="Book Antiqua"/>
          <w:color w:val="000000"/>
        </w:rPr>
        <w:t xml:space="preserve">key populations or older birth cohorts, do not exist. Though many LMIC have some birth cohort effect in their epidemics, it is generally less neat than in North-America and Europe, as drivers of generalized HCV exposure were removed at much later date or only </w:t>
      </w:r>
      <w:proofErr w:type="gramStart"/>
      <w:r w:rsidRPr="002850AE">
        <w:rPr>
          <w:rFonts w:ascii="Book Antiqua" w:eastAsia="Book Antiqua" w:hAnsi="Book Antiqua" w:cs="Book Antiqua"/>
          <w:color w:val="000000"/>
        </w:rPr>
        <w:t>partially</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12-14]</w:t>
      </w:r>
      <w:r w:rsidRPr="002850AE">
        <w:rPr>
          <w:rFonts w:ascii="Book Antiqua" w:eastAsia="Book Antiqua" w:hAnsi="Book Antiqua" w:cs="Book Antiqua"/>
          <w:color w:val="000000"/>
        </w:rPr>
        <w:t xml:space="preserve">. Birth-cohort testing might thus be too restrictive. In our previous study in Cambodia, 55% of HCV/HIV coinfections would have been missed if only PLWH older than 50 years would have been </w:t>
      </w:r>
      <w:proofErr w:type="gramStart"/>
      <w:r w:rsidRPr="002850AE">
        <w:rPr>
          <w:rFonts w:ascii="Book Antiqua" w:eastAsia="Book Antiqua" w:hAnsi="Book Antiqua" w:cs="Book Antiqua"/>
          <w:color w:val="000000"/>
        </w:rPr>
        <w:t>tested</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7]</w:t>
      </w:r>
      <w:r w:rsidRPr="002850AE">
        <w:rPr>
          <w:rFonts w:ascii="Book Antiqua" w:eastAsia="Book Antiqua" w:hAnsi="Book Antiqua" w:cs="Book Antiqua"/>
          <w:color w:val="000000"/>
        </w:rPr>
        <w:t xml:space="preserve">. </w:t>
      </w:r>
    </w:p>
    <w:p w14:paraId="724BBF9A"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As for other pathologies and conditions</w:t>
      </w:r>
      <w:r w:rsidRPr="002850AE">
        <w:rPr>
          <w:rFonts w:ascii="Book Antiqua" w:eastAsia="Book Antiqua" w:hAnsi="Book Antiqua" w:cs="Book Antiqua"/>
          <w:color w:val="000000"/>
          <w:vertAlign w:val="superscript"/>
        </w:rPr>
        <w:t>[15-18]</w:t>
      </w:r>
      <w:r w:rsidRPr="002850AE">
        <w:rPr>
          <w:rFonts w:ascii="Book Antiqua" w:eastAsia="Book Antiqua" w:hAnsi="Book Antiqua" w:cs="Book Antiqua"/>
          <w:color w:val="000000"/>
        </w:rPr>
        <w:t>, diagnostic prediction models combining several readily available elements from patient history, physical examination, and lab tests may more accurately risk- stratify HIV patients and support clinical decisions regarding the need to prioritize HCV testing.</w:t>
      </w:r>
    </w:p>
    <w:p w14:paraId="5F0272A6"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shd w:val="clear" w:color="auto" w:fill="FFFFFF"/>
        </w:rPr>
        <w:t>Using data from our HCV diagnostic study in Cambodia, we developed and internally validated</w:t>
      </w:r>
      <w:r w:rsidRPr="002850AE">
        <w:rPr>
          <w:rFonts w:ascii="Book Antiqua" w:eastAsia="Book Antiqua" w:hAnsi="Book Antiqua" w:cs="Book Antiqua"/>
          <w:color w:val="000000"/>
        </w:rPr>
        <w:t xml:space="preserve"> a clinical prediction score </w:t>
      </w:r>
      <w:r w:rsidRPr="002850AE">
        <w:rPr>
          <w:rFonts w:ascii="Book Antiqua" w:eastAsia="Book Antiqua" w:hAnsi="Book Antiqua" w:cs="Book Antiqua"/>
          <w:color w:val="000000"/>
          <w:shd w:val="clear" w:color="auto" w:fill="FFFFFF"/>
        </w:rPr>
        <w:t xml:space="preserve">(CPS) to risk-stratify HIV patients for HCV coinfection, and derived a decision rule to guide prioritization of HCV testing. In addition to the full CPS, we also explored alternative risk scores, one with only socio-demographic/clinical predictors and another primarily lab-based. </w:t>
      </w:r>
    </w:p>
    <w:p w14:paraId="7BF5464F" w14:textId="77777777" w:rsidR="00A77B3E" w:rsidRPr="002850AE" w:rsidRDefault="00A77B3E" w:rsidP="00AE50D3">
      <w:pPr>
        <w:snapToGrid w:val="0"/>
        <w:spacing w:line="360" w:lineRule="auto"/>
        <w:jc w:val="both"/>
        <w:rPr>
          <w:rFonts w:ascii="Book Antiqua" w:hAnsi="Book Antiqua"/>
        </w:rPr>
      </w:pPr>
    </w:p>
    <w:p w14:paraId="0B97362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MATERIALS AND METHODS</w:t>
      </w:r>
    </w:p>
    <w:p w14:paraId="4304DD38"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Source of data, study site and participants</w:t>
      </w:r>
    </w:p>
    <w:p w14:paraId="2CA77487"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 xml:space="preserve">For developing the score, </w:t>
      </w:r>
      <w:r w:rsidRPr="002850AE">
        <w:rPr>
          <w:rFonts w:ascii="Book Antiqua" w:eastAsia="Book Antiqua" w:hAnsi="Book Antiqua" w:cs="Book Antiqua"/>
          <w:color w:val="000000"/>
        </w:rPr>
        <w:t>we used data of a cross-sectional HCV diagnostic study conducted in the HIV cohort of Sihanouk Hospital Center of Hope (SHCH) in Phnom Penh, Cambodia (</w:t>
      </w:r>
      <w:r w:rsidRPr="002850AE">
        <w:rPr>
          <w:rFonts w:ascii="Book Antiqua" w:eastAsia="Book Antiqua" w:hAnsi="Book Antiqua" w:cs="Book Antiqua"/>
          <w:color w:val="000000"/>
          <w:shd w:val="clear" w:color="auto" w:fill="FFFFFF"/>
        </w:rPr>
        <w:t>clinical trials.gov NCT02361541</w:t>
      </w:r>
      <w:r w:rsidRPr="002850AE">
        <w:rPr>
          <w:rFonts w:ascii="Book Antiqua" w:eastAsia="Book Antiqua" w:hAnsi="Book Antiqua" w:cs="Book Antiqua"/>
          <w:color w:val="000000"/>
        </w:rPr>
        <w:t xml:space="preserve">). It is one of the largest primary care HIV cohorts in Cambodia with, as most other Cambodian HIV cohorts, primarily heterosexually-infected HIV patients. Key populations (history/current injecting drug use: 0.2%, history/currently engaged in sex work: 0.2%, self-identified MSM: 0.6%) were rare. Data were prospectively collected following a pre-specified protocol for HCV diagnostic work-up and predictors. The information on predictors (by history-taking, physical examination and laboratory tests) was collected without knowledge of the results of HCV diagnostic testing. Details of the study and diagnostic results have been published </w:t>
      </w:r>
      <w:proofErr w:type="gramStart"/>
      <w:r w:rsidRPr="002850AE">
        <w:rPr>
          <w:rFonts w:ascii="Book Antiqua" w:eastAsia="Book Antiqua" w:hAnsi="Book Antiqua" w:cs="Book Antiqua"/>
          <w:color w:val="000000"/>
        </w:rPr>
        <w:t>previously</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7]</w:t>
      </w:r>
      <w:r w:rsidRPr="002850AE">
        <w:rPr>
          <w:rFonts w:ascii="Book Antiqua" w:eastAsia="Book Antiqua" w:hAnsi="Book Antiqua" w:cs="Book Antiqua"/>
          <w:color w:val="000000"/>
        </w:rPr>
        <w:t xml:space="preserve">. </w:t>
      </w:r>
    </w:p>
    <w:p w14:paraId="2F2E27F3"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In brief, all consecutive adult HIV patients without history of HCV treatment and visiting the HIV clinic of SHCH between November 2014 and May 2016 underwent, if consenting, a structured health and HCV risk factor screening immediately followed by lab testing (hepatitis C, hepatitis B, CD4, platelets and liver tests (transaminases).</w:t>
      </w:r>
      <w:r w:rsidRPr="002850AE">
        <w:rPr>
          <w:rFonts w:ascii="Book Antiqua" w:eastAsia="Book Antiqua" w:hAnsi="Book Antiqua" w:cs="Book Antiqua"/>
          <w:color w:val="000000"/>
          <w:shd w:val="clear" w:color="auto" w:fill="FFFFFF"/>
        </w:rPr>
        <w:t xml:space="preserve"> HCV testing was done according to the classic two-test algorithm; initial testing for HCV antibodies followed by confirmatory HCV-RNA testing in case of HCV antibody positive or borderline results. In total, 3045 (out of 3562 in the cohort) adult HIV patients were enrolled, of whom 106 had a current HCV infection (</w:t>
      </w:r>
      <w:r w:rsidRPr="002850AE">
        <w:rPr>
          <w:rFonts w:ascii="Book Antiqua" w:eastAsia="Book Antiqua" w:hAnsi="Book Antiqua" w:cs="Book Antiqua"/>
          <w:i/>
          <w:iCs/>
          <w:color w:val="000000"/>
          <w:shd w:val="clear" w:color="auto" w:fill="FFFFFF"/>
        </w:rPr>
        <w:t>i.e.</w:t>
      </w:r>
      <w:r w:rsidRPr="002850AE">
        <w:rPr>
          <w:rFonts w:ascii="Book Antiqua" w:eastAsia="Book Antiqua" w:hAnsi="Book Antiqua" w:cs="Book Antiqua"/>
          <w:color w:val="000000"/>
          <w:shd w:val="clear" w:color="auto" w:fill="FFFFFF"/>
        </w:rPr>
        <w:t xml:space="preserve"> HCV-RNA detected). </w:t>
      </w:r>
    </w:p>
    <w:p w14:paraId="18BF6501"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shd w:val="clear" w:color="auto" w:fill="FFFFFF"/>
        </w:rPr>
        <w:t xml:space="preserve">Approval for this study was provided by the Institutional Review Board of the Institute of Tropical Medicine Antwerp, the Ethics Committee of the Antwerp University Hospital (Belgium), and the Cambodian National Ethics Committee for Health Research. All enrolled participants provided written informed consent. The statistical methods and analysis of this study were reviewed by </w:t>
      </w:r>
      <w:proofErr w:type="spellStart"/>
      <w:r w:rsidRPr="002850AE">
        <w:rPr>
          <w:rFonts w:ascii="Book Antiqua" w:eastAsia="Book Antiqua" w:hAnsi="Book Antiqua" w:cs="Book Antiqua"/>
          <w:color w:val="000000"/>
          <w:shd w:val="clear" w:color="auto" w:fill="FFFFFF"/>
        </w:rPr>
        <w:t>Jozefien</w:t>
      </w:r>
      <w:proofErr w:type="spellEnd"/>
      <w:r w:rsidRPr="002850AE">
        <w:rPr>
          <w:rFonts w:ascii="Book Antiqua" w:eastAsia="Book Antiqua" w:hAnsi="Book Antiqua" w:cs="Book Antiqua"/>
          <w:color w:val="000000"/>
          <w:shd w:val="clear" w:color="auto" w:fill="FFFFFF"/>
        </w:rPr>
        <w:t xml:space="preserve"> </w:t>
      </w:r>
      <w:proofErr w:type="spellStart"/>
      <w:r w:rsidRPr="002850AE">
        <w:rPr>
          <w:rFonts w:ascii="Book Antiqua" w:eastAsia="Book Antiqua" w:hAnsi="Book Antiqua" w:cs="Book Antiqua"/>
          <w:color w:val="000000"/>
          <w:shd w:val="clear" w:color="auto" w:fill="FFFFFF"/>
        </w:rPr>
        <w:t>Buyze</w:t>
      </w:r>
      <w:proofErr w:type="spellEnd"/>
      <w:r w:rsidRPr="002850AE">
        <w:rPr>
          <w:rFonts w:ascii="Book Antiqua" w:eastAsia="Book Antiqua" w:hAnsi="Book Antiqua" w:cs="Book Antiqua"/>
          <w:color w:val="000000"/>
          <w:shd w:val="clear" w:color="auto" w:fill="FFFFFF"/>
        </w:rPr>
        <w:t xml:space="preserve"> from the Institute of Tropical Medicine, Antwerp, Belgium.</w:t>
      </w:r>
    </w:p>
    <w:p w14:paraId="01929509" w14:textId="77777777" w:rsidR="00A77B3E" w:rsidRPr="002850AE" w:rsidRDefault="00A77B3E" w:rsidP="00AE50D3">
      <w:pPr>
        <w:snapToGrid w:val="0"/>
        <w:spacing w:line="360" w:lineRule="auto"/>
        <w:jc w:val="both"/>
        <w:rPr>
          <w:rFonts w:ascii="Book Antiqua" w:hAnsi="Book Antiqua"/>
        </w:rPr>
      </w:pPr>
    </w:p>
    <w:p w14:paraId="6F6C1A30"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 xml:space="preserve">Development of the clinical prediction score </w:t>
      </w:r>
    </w:p>
    <w:p w14:paraId="21358BD1"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Cs/>
          <w:color w:val="000000"/>
          <w:shd w:val="clear" w:color="auto" w:fill="FFFFFF"/>
        </w:rPr>
        <w:t>Outcome of interest</w:t>
      </w:r>
      <w:r w:rsidR="00925624" w:rsidRPr="002850AE">
        <w:rPr>
          <w:rFonts w:ascii="Book Antiqua" w:eastAsia="Book Antiqua" w:hAnsi="Book Antiqua" w:cs="Book Antiqua"/>
          <w:b/>
          <w:iCs/>
          <w:color w:val="000000"/>
          <w:shd w:val="clear" w:color="auto" w:fill="FFFFFF"/>
        </w:rPr>
        <w:t xml:space="preserve">: </w:t>
      </w:r>
      <w:r w:rsidRPr="002850AE">
        <w:rPr>
          <w:rFonts w:ascii="Book Antiqua" w:eastAsia="Book Antiqua" w:hAnsi="Book Antiqua" w:cs="Book Antiqua"/>
          <w:color w:val="000000"/>
          <w:shd w:val="clear" w:color="auto" w:fill="FFFFFF"/>
        </w:rPr>
        <w:t xml:space="preserve">The outcome event was having a current HCV infection, which was defined as having a detectable HCV-RNA viral load as measured by the quantitative COBAS® </w:t>
      </w:r>
      <w:proofErr w:type="spellStart"/>
      <w:r w:rsidRPr="002850AE">
        <w:rPr>
          <w:rFonts w:ascii="Book Antiqua" w:eastAsia="Book Antiqua" w:hAnsi="Book Antiqua" w:cs="Book Antiqua"/>
          <w:color w:val="000000"/>
          <w:shd w:val="clear" w:color="auto" w:fill="FFFFFF"/>
        </w:rPr>
        <w:t>AmpliPrep</w:t>
      </w:r>
      <w:proofErr w:type="spellEnd"/>
      <w:r w:rsidRPr="002850AE">
        <w:rPr>
          <w:rFonts w:ascii="Book Antiqua" w:eastAsia="Book Antiqua" w:hAnsi="Book Antiqua" w:cs="Book Antiqua"/>
          <w:color w:val="000000"/>
          <w:shd w:val="clear" w:color="auto" w:fill="FFFFFF"/>
        </w:rPr>
        <w:t>/COBAS® TaqMan® HCV PCR Test, v2.0, on the COBAS® TaqMan® 48 Analyzer (Roche Diagnostics Ltd, Mannheim, Germany). The lower limit of detection was 15 IU/</w:t>
      </w:r>
      <w:proofErr w:type="spellStart"/>
      <w:r w:rsidRPr="002850AE">
        <w:rPr>
          <w:rFonts w:ascii="Book Antiqua" w:eastAsia="Book Antiqua" w:hAnsi="Book Antiqua" w:cs="Book Antiqua"/>
          <w:color w:val="000000"/>
          <w:shd w:val="clear" w:color="auto" w:fill="FFFFFF"/>
        </w:rPr>
        <w:t>mL.</w:t>
      </w:r>
      <w:proofErr w:type="spellEnd"/>
      <w:r w:rsidRPr="002850AE">
        <w:rPr>
          <w:rFonts w:ascii="Book Antiqua" w:eastAsia="Book Antiqua" w:hAnsi="Book Antiqua" w:cs="Book Antiqua"/>
          <w:color w:val="000000"/>
          <w:shd w:val="clear" w:color="auto" w:fill="FFFFFF"/>
        </w:rPr>
        <w:t xml:space="preserve"> Further in this paper, we refer to ‘current HCV infection’ as ‘HCV infection or coinfection’.</w:t>
      </w:r>
    </w:p>
    <w:p w14:paraId="1E4190FE" w14:textId="77777777" w:rsidR="00A77B3E" w:rsidRPr="002850AE" w:rsidRDefault="00A77B3E" w:rsidP="00AE50D3">
      <w:pPr>
        <w:snapToGrid w:val="0"/>
        <w:spacing w:line="360" w:lineRule="auto"/>
        <w:jc w:val="both"/>
        <w:rPr>
          <w:rFonts w:ascii="Book Antiqua" w:hAnsi="Book Antiqua"/>
        </w:rPr>
      </w:pPr>
    </w:p>
    <w:p w14:paraId="54641F5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Cs/>
          <w:color w:val="000000"/>
          <w:shd w:val="clear" w:color="auto" w:fill="FFFFFF"/>
        </w:rPr>
        <w:t>Candidate predictor variables</w:t>
      </w:r>
      <w:r w:rsidR="00925624" w:rsidRPr="002850AE">
        <w:rPr>
          <w:rFonts w:ascii="Book Antiqua" w:eastAsia="Book Antiqua" w:hAnsi="Book Antiqua" w:cs="Book Antiqua"/>
          <w:b/>
          <w:iCs/>
          <w:color w:val="000000"/>
          <w:shd w:val="clear" w:color="auto" w:fill="FFFFFF"/>
        </w:rPr>
        <w:t>:</w:t>
      </w:r>
      <w:r w:rsidR="00925624" w:rsidRPr="002850AE">
        <w:rPr>
          <w:rFonts w:ascii="Book Antiqua" w:eastAsia="Book Antiqua" w:hAnsi="Book Antiqua" w:cs="Book Antiqua"/>
          <w:iCs/>
          <w:color w:val="000000"/>
          <w:shd w:val="clear" w:color="auto" w:fill="FFFFFF"/>
        </w:rPr>
        <w:t xml:space="preserve"> </w:t>
      </w:r>
      <w:r w:rsidRPr="002850AE">
        <w:rPr>
          <w:rFonts w:ascii="Book Antiqua" w:eastAsia="Book Antiqua" w:hAnsi="Book Antiqua" w:cs="Book Antiqua"/>
          <w:color w:val="000000"/>
        </w:rPr>
        <w:t xml:space="preserve">The clinical variables we explored as predictors were selected based on the distribution of the variables in our study </w:t>
      </w:r>
      <w:proofErr w:type="gramStart"/>
      <w:r w:rsidRPr="002850AE">
        <w:rPr>
          <w:rFonts w:ascii="Book Antiqua" w:eastAsia="Book Antiqua" w:hAnsi="Book Antiqua" w:cs="Book Antiqua"/>
          <w:color w:val="000000"/>
        </w:rPr>
        <w:t>data</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7]</w:t>
      </w:r>
      <w:r w:rsidRPr="002850AE">
        <w:rPr>
          <w:rFonts w:ascii="Book Antiqua" w:eastAsia="Book Antiqua" w:hAnsi="Book Antiqua" w:cs="Book Antiqua"/>
          <w:color w:val="000000"/>
        </w:rPr>
        <w:t>, reported associations in the literature and clinical plausibility, with preference for readily available and objective parameters.</w:t>
      </w:r>
      <w:r w:rsidRPr="002850AE">
        <w:rPr>
          <w:rFonts w:ascii="Book Antiqua" w:eastAsia="Book Antiqua" w:hAnsi="Book Antiqua" w:cs="Book Antiqua"/>
          <w:color w:val="000000"/>
          <w:shd w:val="clear" w:color="auto" w:fill="FFFFFF"/>
        </w:rPr>
        <w:t xml:space="preserve"> Potential predictors considered were: age (years), gender (female/male), platelet count (</w:t>
      </w:r>
      <w:r w:rsidR="00925624" w:rsidRPr="002850AE">
        <w:rPr>
          <w:rFonts w:ascii="Book Antiqua" w:hAnsi="Book Antiqua"/>
          <w:lang w:val="pl-PL"/>
        </w:rPr>
        <w:t>×</w:t>
      </w:r>
      <w:r w:rsidR="004601BF"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10</w:t>
      </w:r>
      <w:r w:rsidRPr="002850AE">
        <w:rPr>
          <w:rFonts w:ascii="Book Antiqua" w:eastAsia="Book Antiqua" w:hAnsi="Book Antiqua" w:cs="Book Antiqua"/>
          <w:color w:val="000000"/>
          <w:shd w:val="clear" w:color="auto" w:fill="FFFFFF"/>
          <w:vertAlign w:val="superscript"/>
        </w:rPr>
        <w:t>9</w:t>
      </w:r>
      <w:r w:rsidRPr="002850AE">
        <w:rPr>
          <w:rFonts w:ascii="Book Antiqua" w:eastAsia="Book Antiqua" w:hAnsi="Book Antiqua" w:cs="Book Antiqua"/>
          <w:color w:val="000000"/>
          <w:shd w:val="clear" w:color="auto" w:fill="FFFFFF"/>
        </w:rPr>
        <w:t xml:space="preserve"> cells/L), aspartate aminotransferase (AST, IU/L), alanine aminotransferase (ALT, IU/L), AST-to-platelet ratio index (APRI), having diabetes mellitus (yes/no), any of the following symptoms: fatigue, myalgia/arthralgia, anorexia/weight loss (yes/no), presenting generalized pruritus without obvious skin lesions (yes/no), having a household member and/or partner with liver disease (yes/no), and poor CD4 recovery on antiretroviral treatment (ART), </w:t>
      </w:r>
      <w:r w:rsidRPr="002850AE">
        <w:rPr>
          <w:rFonts w:ascii="Book Antiqua" w:eastAsia="Book Antiqua" w:hAnsi="Book Antiqua" w:cs="Book Antiqua"/>
          <w:i/>
          <w:iCs/>
          <w:color w:val="000000"/>
          <w:shd w:val="clear" w:color="auto" w:fill="FFFFFF"/>
        </w:rPr>
        <w:t xml:space="preserve">i.e. </w:t>
      </w:r>
      <w:r w:rsidRPr="002850AE">
        <w:rPr>
          <w:rFonts w:ascii="Book Antiqua" w:eastAsia="Book Antiqua" w:hAnsi="Book Antiqua" w:cs="Book Antiqua"/>
          <w:color w:val="000000"/>
          <w:shd w:val="clear" w:color="auto" w:fill="FFFFFF"/>
        </w:rPr>
        <w:t>CD4 below 200 after 3 years or more on ART (yes/no). Known major risk factors for HCV infection (</w:t>
      </w:r>
      <w:r w:rsidRPr="002850AE">
        <w:rPr>
          <w:rFonts w:ascii="Book Antiqua" w:eastAsia="Book Antiqua" w:hAnsi="Book Antiqua" w:cs="Book Antiqua"/>
          <w:color w:val="000000"/>
        </w:rPr>
        <w:t>history/current injecting drug use</w:t>
      </w:r>
      <w:r w:rsidRPr="002850AE">
        <w:rPr>
          <w:rFonts w:ascii="Book Antiqua" w:eastAsia="Book Antiqua" w:hAnsi="Book Antiqua" w:cs="Book Antiqua"/>
          <w:color w:val="000000"/>
          <w:shd w:val="clear" w:color="auto" w:fill="FFFFFF"/>
        </w:rPr>
        <w:t xml:space="preserve">, sex work, being homosexual) were not considered as they were very uncommon in this </w:t>
      </w:r>
      <w:proofErr w:type="gramStart"/>
      <w:r w:rsidRPr="002850AE">
        <w:rPr>
          <w:rFonts w:ascii="Book Antiqua" w:eastAsia="Book Antiqua" w:hAnsi="Book Antiqua" w:cs="Book Antiqua"/>
          <w:color w:val="000000"/>
          <w:shd w:val="clear" w:color="auto" w:fill="FFFFFF"/>
        </w:rPr>
        <w:t>cohort</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7]</w:t>
      </w:r>
      <w:r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rPr>
        <w:t xml:space="preserve">As we were mainly interested in the joint effects of the different variables to predict the probability of HCV infection and less to get an idea of the individual contribution of each variable, we did not exclude potentially correlated variables as long as they validly contributed to improving the predictive ability of the </w:t>
      </w:r>
      <w:proofErr w:type="gramStart"/>
      <w:r w:rsidRPr="002850AE">
        <w:rPr>
          <w:rFonts w:ascii="Book Antiqua" w:eastAsia="Book Antiqua" w:hAnsi="Book Antiqua" w:cs="Book Antiqua"/>
          <w:color w:val="000000"/>
        </w:rPr>
        <w:t>model</w:t>
      </w:r>
      <w:r w:rsidR="004601BF" w:rsidRPr="002850AE">
        <w:rPr>
          <w:rFonts w:ascii="Book Antiqua" w:eastAsia="Book Antiqua" w:hAnsi="Book Antiqua" w:cs="Book Antiqua"/>
          <w:color w:val="000000"/>
          <w:vertAlign w:val="superscript"/>
        </w:rPr>
        <w:t>[</w:t>
      </w:r>
      <w:proofErr w:type="gramEnd"/>
      <w:r w:rsidR="004601BF" w:rsidRPr="002850AE">
        <w:rPr>
          <w:rFonts w:ascii="Book Antiqua" w:eastAsia="Book Antiqua" w:hAnsi="Book Antiqua" w:cs="Book Antiqua"/>
          <w:color w:val="000000"/>
          <w:vertAlign w:val="superscript"/>
        </w:rPr>
        <w:t>19,</w:t>
      </w:r>
      <w:r w:rsidRPr="002850AE">
        <w:rPr>
          <w:rFonts w:ascii="Book Antiqua" w:eastAsia="Book Antiqua" w:hAnsi="Book Antiqua" w:cs="Book Antiqua"/>
          <w:color w:val="000000"/>
          <w:vertAlign w:val="superscript"/>
        </w:rPr>
        <w:t>20]</w:t>
      </w:r>
      <w:r w:rsidRPr="002850AE">
        <w:rPr>
          <w:rFonts w:ascii="Book Antiqua" w:eastAsia="Book Antiqua" w:hAnsi="Book Antiqua" w:cs="Book Antiqua"/>
          <w:color w:val="000000"/>
        </w:rPr>
        <w:t xml:space="preserve">. </w:t>
      </w:r>
    </w:p>
    <w:p w14:paraId="20140A61" w14:textId="77777777" w:rsidR="00A77B3E" w:rsidRPr="002850AE" w:rsidRDefault="00A77B3E" w:rsidP="00AE50D3">
      <w:pPr>
        <w:snapToGrid w:val="0"/>
        <w:spacing w:line="360" w:lineRule="auto"/>
        <w:jc w:val="both"/>
        <w:rPr>
          <w:rFonts w:ascii="Book Antiqua" w:hAnsi="Book Antiqua"/>
        </w:rPr>
      </w:pPr>
    </w:p>
    <w:p w14:paraId="3BDEEBAD" w14:textId="77777777" w:rsidR="00A77B3E" w:rsidRPr="002850AE" w:rsidRDefault="00EC02D8" w:rsidP="00AE50D3">
      <w:pPr>
        <w:snapToGrid w:val="0"/>
        <w:spacing w:line="360" w:lineRule="auto"/>
        <w:jc w:val="both"/>
        <w:rPr>
          <w:rFonts w:ascii="Book Antiqua" w:hAnsi="Book Antiqua"/>
          <w:b/>
        </w:rPr>
      </w:pPr>
      <w:r w:rsidRPr="002850AE">
        <w:rPr>
          <w:rFonts w:ascii="Book Antiqua" w:eastAsia="Book Antiqua" w:hAnsi="Book Antiqua" w:cs="Book Antiqua"/>
          <w:b/>
          <w:iCs/>
          <w:color w:val="000000"/>
        </w:rPr>
        <w:t>Derivation cohort and sample size</w:t>
      </w:r>
      <w:r w:rsidR="004601BF" w:rsidRPr="002850AE">
        <w:rPr>
          <w:rFonts w:ascii="Book Antiqua" w:eastAsia="Book Antiqua" w:hAnsi="Book Antiqua" w:cs="Book Antiqua"/>
          <w:b/>
          <w:iCs/>
          <w:color w:val="000000"/>
        </w:rPr>
        <w:t xml:space="preserve">: </w:t>
      </w:r>
      <w:r w:rsidRPr="002850AE">
        <w:rPr>
          <w:rFonts w:ascii="Book Antiqua" w:eastAsia="Book Antiqua" w:hAnsi="Book Antiqua" w:cs="Book Antiqua"/>
          <w:color w:val="000000"/>
        </w:rPr>
        <w:t xml:space="preserve">We did not calculate a formal sample size for this CPS development study. We included the data of all 3,045 adult HIV patients enrolled in the cross-sectional study in the data set for derivation of the score to allow an adequate assessment of the potential predictors following the rule of thumb to have 10 outcome events per explored predictor </w:t>
      </w:r>
      <w:proofErr w:type="gramStart"/>
      <w:r w:rsidRPr="002850AE">
        <w:rPr>
          <w:rFonts w:ascii="Book Antiqua" w:eastAsia="Book Antiqua" w:hAnsi="Book Antiqua" w:cs="Book Antiqua"/>
          <w:color w:val="000000"/>
        </w:rPr>
        <w:t>variable</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21]</w:t>
      </w:r>
      <w:r w:rsidRPr="002850AE">
        <w:rPr>
          <w:rFonts w:ascii="Book Antiqua" w:eastAsia="Book Antiqua" w:hAnsi="Book Antiqua" w:cs="Book Antiqua"/>
          <w:color w:val="000000"/>
        </w:rPr>
        <w:t xml:space="preserve">. </w:t>
      </w:r>
    </w:p>
    <w:p w14:paraId="72042DC7" w14:textId="77777777" w:rsidR="00A77B3E" w:rsidRPr="002850AE" w:rsidRDefault="00A77B3E" w:rsidP="00AE50D3">
      <w:pPr>
        <w:snapToGrid w:val="0"/>
        <w:spacing w:line="360" w:lineRule="auto"/>
        <w:jc w:val="both"/>
        <w:rPr>
          <w:rFonts w:ascii="Book Antiqua" w:hAnsi="Book Antiqua"/>
        </w:rPr>
      </w:pPr>
    </w:p>
    <w:p w14:paraId="255D14A5" w14:textId="2A8AF234" w:rsidR="00A77B3E" w:rsidRPr="002850AE" w:rsidRDefault="00EC02D8" w:rsidP="00AE50D3">
      <w:pPr>
        <w:snapToGrid w:val="0"/>
        <w:spacing w:line="360" w:lineRule="auto"/>
        <w:jc w:val="both"/>
        <w:rPr>
          <w:rFonts w:ascii="Book Antiqua" w:hAnsi="Book Antiqua"/>
          <w:b/>
        </w:rPr>
      </w:pPr>
      <w:r w:rsidRPr="002850AE">
        <w:rPr>
          <w:rFonts w:ascii="Book Antiqua" w:eastAsia="Book Antiqua" w:hAnsi="Book Antiqua" w:cs="Book Antiqua"/>
          <w:b/>
          <w:iCs/>
          <w:color w:val="000000"/>
          <w:shd w:val="clear" w:color="auto" w:fill="FFFFFF"/>
        </w:rPr>
        <w:t>Score development</w:t>
      </w:r>
      <w:r w:rsidR="004601BF" w:rsidRPr="002850AE">
        <w:rPr>
          <w:rFonts w:ascii="Book Antiqua" w:eastAsia="Book Antiqua" w:hAnsi="Book Antiqua" w:cs="Book Antiqua"/>
          <w:b/>
          <w:iCs/>
          <w:color w:val="000000"/>
          <w:shd w:val="clear" w:color="auto" w:fill="FFFFFF"/>
        </w:rPr>
        <w:t xml:space="preserve">: </w:t>
      </w:r>
      <w:r w:rsidRPr="002850AE">
        <w:rPr>
          <w:rFonts w:ascii="Book Antiqua" w:eastAsia="Book Antiqua" w:hAnsi="Book Antiqua" w:cs="Book Antiqua"/>
          <w:color w:val="000000"/>
          <w:shd w:val="clear" w:color="auto" w:fill="FFFFFF"/>
        </w:rPr>
        <w:t>We used t</w:t>
      </w:r>
      <w:r w:rsidRPr="002850AE">
        <w:rPr>
          <w:rFonts w:ascii="Book Antiqua" w:eastAsia="Book Antiqua" w:hAnsi="Book Antiqua" w:cs="Book Antiqua"/>
          <w:color w:val="000000"/>
        </w:rPr>
        <w:t xml:space="preserve">he </w:t>
      </w:r>
      <w:proofErr w:type="spellStart"/>
      <w:r w:rsidRPr="002850AE">
        <w:rPr>
          <w:rFonts w:ascii="Book Antiqua" w:eastAsia="Book Antiqua" w:hAnsi="Book Antiqua" w:cs="Book Antiqua"/>
          <w:color w:val="000000"/>
        </w:rPr>
        <w:t>Spiegelhalter</w:t>
      </w:r>
      <w:proofErr w:type="spellEnd"/>
      <w:r w:rsidRPr="002850AE">
        <w:rPr>
          <w:rFonts w:ascii="Book Antiqua" w:eastAsia="Book Antiqua" w:hAnsi="Book Antiqua" w:cs="Book Antiqua"/>
          <w:color w:val="000000"/>
        </w:rPr>
        <w:t xml:space="preserve"> and </w:t>
      </w:r>
      <w:proofErr w:type="spellStart"/>
      <w:r w:rsidRPr="002850AE">
        <w:rPr>
          <w:rFonts w:ascii="Book Antiqua" w:eastAsia="Book Antiqua" w:hAnsi="Book Antiqua" w:cs="Book Antiqua"/>
          <w:color w:val="000000"/>
        </w:rPr>
        <w:t>Knill</w:t>
      </w:r>
      <w:proofErr w:type="spellEnd"/>
      <w:r w:rsidRPr="002850AE">
        <w:rPr>
          <w:rFonts w:ascii="Book Antiqua" w:eastAsia="Book Antiqua" w:hAnsi="Book Antiqua" w:cs="Book Antiqua"/>
          <w:color w:val="000000"/>
        </w:rPr>
        <w:t xml:space="preserve">-Jones method adapted by Berkley </w:t>
      </w:r>
      <w:r w:rsidRPr="002850AE">
        <w:rPr>
          <w:rFonts w:ascii="Book Antiqua" w:eastAsia="Book Antiqua" w:hAnsi="Book Antiqua" w:cs="Book Antiqua"/>
          <w:i/>
          <w:iCs/>
          <w:color w:val="000000"/>
        </w:rPr>
        <w:t xml:space="preserve">et </w:t>
      </w:r>
      <w:proofErr w:type="gramStart"/>
      <w:r w:rsidRPr="002850AE">
        <w:rPr>
          <w:rFonts w:ascii="Book Antiqua" w:eastAsia="Book Antiqua" w:hAnsi="Book Antiqua" w:cs="Book Antiqua"/>
          <w:i/>
          <w:iCs/>
          <w:color w:val="000000"/>
        </w:rPr>
        <w:t>al</w:t>
      </w:r>
      <w:r w:rsidR="004601BF" w:rsidRPr="002850AE">
        <w:rPr>
          <w:rFonts w:ascii="Book Antiqua" w:eastAsia="Book Antiqua" w:hAnsi="Book Antiqua" w:cs="Book Antiqua"/>
          <w:color w:val="000000"/>
          <w:vertAlign w:val="superscript"/>
        </w:rPr>
        <w:t>[</w:t>
      </w:r>
      <w:proofErr w:type="gramEnd"/>
      <w:r w:rsidR="004601BF" w:rsidRPr="002850AE">
        <w:rPr>
          <w:rFonts w:ascii="Book Antiqua" w:eastAsia="Book Antiqua" w:hAnsi="Book Antiqua" w:cs="Book Antiqua"/>
          <w:color w:val="000000"/>
          <w:vertAlign w:val="superscript"/>
        </w:rPr>
        <w:t>22]</w:t>
      </w:r>
      <w:r w:rsidR="004601BF" w:rsidRPr="002850AE">
        <w:rPr>
          <w:rFonts w:ascii="Book Antiqua" w:eastAsia="Book Antiqua" w:hAnsi="Book Antiqua" w:cs="Book Antiqua"/>
          <w:color w:val="000000"/>
        </w:rPr>
        <w:t xml:space="preserve"> and</w:t>
      </w:r>
      <w:r w:rsidR="00085D76">
        <w:rPr>
          <w:rFonts w:ascii="Book Antiqua" w:eastAsia="Book Antiqua" w:hAnsi="Book Antiqua" w:cs="Book Antiqua"/>
          <w:color w:val="000000"/>
        </w:rPr>
        <w:t xml:space="preserve"> </w:t>
      </w:r>
      <w:proofErr w:type="spellStart"/>
      <w:r w:rsidR="004601BF" w:rsidRPr="002850AE">
        <w:rPr>
          <w:rFonts w:ascii="Book Antiqua" w:eastAsia="Book Antiqua" w:hAnsi="Book Antiqua" w:cs="Book Antiqua"/>
          <w:color w:val="000000"/>
        </w:rPr>
        <w:t>Stéphan</w:t>
      </w:r>
      <w:proofErr w:type="spellEnd"/>
      <w:r w:rsidR="004601BF" w:rsidRPr="002850AE">
        <w:rPr>
          <w:rFonts w:ascii="Book Antiqua" w:eastAsia="Book Antiqua" w:hAnsi="Book Antiqua" w:cs="Book Antiqua"/>
          <w:color w:val="000000"/>
        </w:rPr>
        <w:t xml:space="preserve"> </w:t>
      </w:r>
      <w:r w:rsidR="004601BF" w:rsidRPr="002850AE">
        <w:rPr>
          <w:rFonts w:ascii="Book Antiqua" w:eastAsia="Book Antiqua" w:hAnsi="Book Antiqua" w:cs="Book Antiqua"/>
          <w:i/>
          <w:iCs/>
          <w:color w:val="000000"/>
        </w:rPr>
        <w:t>et al</w:t>
      </w:r>
      <w:r w:rsidR="004601BF" w:rsidRPr="002850AE">
        <w:rPr>
          <w:rFonts w:ascii="Book Antiqua" w:eastAsia="Book Antiqua" w:hAnsi="Book Antiqua" w:cs="Book Antiqua"/>
          <w:color w:val="000000"/>
          <w:vertAlign w:val="superscript"/>
        </w:rPr>
        <w:t xml:space="preserve">[23] </w:t>
      </w:r>
      <w:r w:rsidRPr="002850AE">
        <w:rPr>
          <w:rFonts w:ascii="Book Antiqua" w:eastAsia="Book Antiqua" w:hAnsi="Book Antiqua" w:cs="Book Antiqua"/>
          <w:color w:val="000000"/>
        </w:rPr>
        <w:t>to develop the score. The continuous candidate predictors (age, platelets, AST, ALT, APRI) were dichotomized guided by Receiver Operating Characteristic (ROC) curves at the point with the highest sum of sensitivity and specificity, and rounded to values that are easy to use in clinical practice. Crude likelihood ratios (LHR) were calculated for all candidate predictors. Candidate predictors with a crude LHR ≥ 2 or ≤ 0.5 were, in a next step, used in a multivariable logistic regression model to calculate adjusted LHRs. The predictors</w:t>
      </w:r>
      <w:r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rPr>
        <w:t xml:space="preserve">with an adjusted LHR ≥ 1.5 or ≤ 0.67 were selected for the CPS. The adjusted LHRs were </w:t>
      </w:r>
      <w:r w:rsidRPr="002850AE">
        <w:rPr>
          <w:rFonts w:ascii="Book Antiqua" w:eastAsia="Book Antiqua" w:hAnsi="Book Antiqua" w:cs="Book Antiqua"/>
          <w:color w:val="000000"/>
          <w:shd w:val="clear" w:color="auto" w:fill="FFFFFF"/>
        </w:rPr>
        <w:t>transformed to their natural logarithm, and rounded to the nearest integer to calculate the score (relative weight)</w:t>
      </w:r>
      <w:r w:rsidRPr="002850AE">
        <w:rPr>
          <w:rFonts w:ascii="Book Antiqua" w:eastAsia="Book Antiqua" w:hAnsi="Book Antiqua" w:cs="Book Antiqua"/>
          <w:color w:val="000000"/>
        </w:rPr>
        <w:t xml:space="preserve"> of each predictor. By summing the scores of all risk factors presented by a patient the total predictor score for each patient was obtained. A value of 0 was assigned to missing data.</w:t>
      </w:r>
    </w:p>
    <w:p w14:paraId="7EEDC066" w14:textId="77777777" w:rsidR="00A77B3E" w:rsidRPr="002850AE" w:rsidRDefault="00A77B3E" w:rsidP="00AE50D3">
      <w:pPr>
        <w:snapToGrid w:val="0"/>
        <w:spacing w:line="360" w:lineRule="auto"/>
        <w:jc w:val="both"/>
        <w:rPr>
          <w:rFonts w:ascii="Book Antiqua" w:hAnsi="Book Antiqua"/>
        </w:rPr>
      </w:pPr>
    </w:p>
    <w:p w14:paraId="01FB0DAF" w14:textId="77777777" w:rsidR="00A77B3E" w:rsidRPr="002850AE" w:rsidRDefault="00EC02D8" w:rsidP="00AE50D3">
      <w:pPr>
        <w:snapToGrid w:val="0"/>
        <w:spacing w:line="360" w:lineRule="auto"/>
        <w:jc w:val="both"/>
        <w:rPr>
          <w:rFonts w:ascii="Book Antiqua" w:hAnsi="Book Antiqua"/>
          <w:b/>
        </w:rPr>
      </w:pPr>
      <w:r w:rsidRPr="002850AE">
        <w:rPr>
          <w:rFonts w:ascii="Book Antiqua" w:eastAsia="Book Antiqua" w:hAnsi="Book Antiqua" w:cs="Book Antiqua"/>
          <w:b/>
          <w:iCs/>
          <w:color w:val="000000"/>
        </w:rPr>
        <w:t>Score performance</w:t>
      </w:r>
      <w:r w:rsidR="00195A1B" w:rsidRPr="002850AE">
        <w:rPr>
          <w:rFonts w:ascii="Book Antiqua" w:eastAsia="Book Antiqua" w:hAnsi="Book Antiqua" w:cs="Book Antiqua"/>
          <w:b/>
          <w:iCs/>
          <w:color w:val="000000"/>
        </w:rPr>
        <w:t xml:space="preserve">: </w:t>
      </w:r>
      <w:r w:rsidRPr="002850AE">
        <w:rPr>
          <w:rFonts w:ascii="Book Antiqua" w:eastAsia="Book Antiqua" w:hAnsi="Book Antiqua" w:cs="Book Antiqua"/>
          <w:color w:val="000000"/>
        </w:rPr>
        <w:t xml:space="preserve">The </w:t>
      </w:r>
      <w:r w:rsidRPr="002850AE">
        <w:rPr>
          <w:rFonts w:ascii="Book Antiqua" w:eastAsia="Book Antiqua" w:hAnsi="Book Antiqua" w:cs="Book Antiqua"/>
          <w:color w:val="000000"/>
          <w:shd w:val="clear" w:color="auto" w:fill="FFFFFF"/>
        </w:rPr>
        <w:t xml:space="preserve">CPS’s performance to differentiate patients with HCV coinfection </w:t>
      </w:r>
      <w:r w:rsidRPr="002850AE">
        <w:rPr>
          <w:rFonts w:ascii="Book Antiqua" w:eastAsia="Book Antiqua" w:hAnsi="Book Antiqua" w:cs="Book Antiqua"/>
          <w:i/>
          <w:iCs/>
          <w:color w:val="000000"/>
          <w:shd w:val="clear" w:color="auto" w:fill="FFFFFF"/>
        </w:rPr>
        <w:t>vs</w:t>
      </w:r>
      <w:r w:rsidRPr="002850AE">
        <w:rPr>
          <w:rFonts w:ascii="Book Antiqua" w:eastAsia="Book Antiqua" w:hAnsi="Book Antiqua" w:cs="Book Antiqua"/>
          <w:color w:val="000000"/>
        </w:rPr>
        <w:t xml:space="preserve"> those without HCV coinfection (discrimination) was evaluated by the area-under-the-ROC curve (AUROC) with 95% confidence intervals (CI). AUROCs of 0.7-0.79, 0.8–0.89, ≥ 0.9 were respectively considered acceptable, good, and outstanding in terms of </w:t>
      </w:r>
      <w:proofErr w:type="gramStart"/>
      <w:r w:rsidRPr="002850AE">
        <w:rPr>
          <w:rFonts w:ascii="Book Antiqua" w:eastAsia="Book Antiqua" w:hAnsi="Book Antiqua" w:cs="Book Antiqua"/>
          <w:color w:val="000000"/>
        </w:rPr>
        <w:t>discrimination</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24]</w:t>
      </w:r>
      <w:r w:rsidRPr="002850AE">
        <w:rPr>
          <w:rFonts w:ascii="Book Antiqua" w:eastAsia="Book Antiqua" w:hAnsi="Book Antiqua" w:cs="Book Antiqua"/>
          <w:color w:val="000000"/>
        </w:rPr>
        <w:t>. In addition, diagnostic accuracy (sensitivity, specificity, positive predictive value, negative predictive value) was calculated at the different cut-offs of the score.</w:t>
      </w:r>
      <w:r w:rsidRPr="002850AE">
        <w:rPr>
          <w:rFonts w:ascii="Book Antiqua" w:eastAsia="Book Antiqua" w:hAnsi="Book Antiqua" w:cs="Book Antiqua"/>
          <w:color w:val="000000"/>
          <w:shd w:val="clear" w:color="auto" w:fill="FFFFFF"/>
        </w:rPr>
        <w:t xml:space="preserve"> Statistical analysis was done using Stata 14 and R 3.4.2 software.</w:t>
      </w:r>
    </w:p>
    <w:p w14:paraId="1748932C" w14:textId="77777777" w:rsidR="00A77B3E" w:rsidRPr="002850AE" w:rsidRDefault="00A77B3E" w:rsidP="00AE50D3">
      <w:pPr>
        <w:snapToGrid w:val="0"/>
        <w:spacing w:line="360" w:lineRule="auto"/>
        <w:jc w:val="both"/>
        <w:rPr>
          <w:rFonts w:ascii="Book Antiqua" w:hAnsi="Book Antiqua"/>
          <w:i/>
        </w:rPr>
      </w:pPr>
    </w:p>
    <w:p w14:paraId="5642B2FC"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 xml:space="preserve">Derivation and performance of the decision rule to guide prioritization of HCV testing </w:t>
      </w:r>
    </w:p>
    <w:p w14:paraId="57D960A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As clinically useful decision threshold (test-threshold in our case), we opted for the CPS cut-off which dichotomizes the HIV patients in a subgroup with probability of HCV coinfection &lt; 1% and a subgroup with probability ≥ 1% (Figure 1). This latter group could be prioritized for HCV testing, while for those with probability below 1% testing could be postponed if ‘testing all’ is not feasible or not affordable in the short-term. </w:t>
      </w:r>
    </w:p>
    <w:p w14:paraId="495D270E" w14:textId="0BAB6EA5"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We considered the harm/benefit of ‘testing and not testing’ at patient (access to treatment) and public health level (onward transmission, cost) (Table 1). Generally, due to the introduction of</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nearly 100% curative, well-tolerated generic DAA treatment options the potential harm of not testing has become much more important in recent years. In addition, HCV coinfected HIV populations in resource-constrained settings might be at higher risk of advanced HCV disease as they have often started ART late or with less optimal regimens. Pondering this, but also the possibility to repeat the risk scoring regularly (as HIV patients are in chronic care follow-up), we opted for a 1% probability threshold for the decision rule (</w:t>
      </w:r>
      <w:r w:rsidRPr="002850AE">
        <w:rPr>
          <w:rFonts w:ascii="Book Antiqua" w:eastAsia="Book Antiqua" w:hAnsi="Book Antiqua" w:cs="Book Antiqua"/>
          <w:i/>
          <w:iCs/>
          <w:color w:val="000000"/>
        </w:rPr>
        <w:t>i.e</w:t>
      </w:r>
      <w:r w:rsidRPr="002850AE">
        <w:rPr>
          <w:rFonts w:ascii="Book Antiqua" w:eastAsia="Book Antiqua" w:hAnsi="Book Antiqua" w:cs="Book Antiqua"/>
          <w:iCs/>
          <w:color w:val="000000"/>
        </w:rPr>
        <w:t>.</w:t>
      </w:r>
      <w:r w:rsidR="00CC26DB" w:rsidRPr="002850AE">
        <w:rPr>
          <w:rFonts w:ascii="Book Antiqua" w:eastAsia="Book Antiqua" w:hAnsi="Book Antiqua" w:cs="Book Antiqua"/>
          <w:iCs/>
          <w:color w:val="000000"/>
        </w:rPr>
        <w:t>,</w:t>
      </w:r>
      <w:r w:rsidRPr="002850AE">
        <w:rPr>
          <w:rFonts w:ascii="Book Antiqua" w:eastAsia="Book Antiqua" w:hAnsi="Book Antiqua" w:cs="Book Antiqua"/>
          <w:color w:val="000000"/>
        </w:rPr>
        <w:t xml:space="preserve"> giving false negatives much more weight than false positives). Logically, this threshold is lower than the WHO recommended threshold range (2</w:t>
      </w:r>
      <w:r w:rsidR="00CC26DB" w:rsidRPr="002850AE">
        <w:rPr>
          <w:rFonts w:ascii="Book Antiqua" w:eastAsia="Book Antiqua" w:hAnsi="Book Antiqua" w:cs="Book Antiqua"/>
          <w:color w:val="000000"/>
        </w:rPr>
        <w:t>%</w:t>
      </w:r>
      <w:r w:rsidRPr="002850AE">
        <w:rPr>
          <w:rFonts w:ascii="Book Antiqua" w:eastAsia="Book Antiqua" w:hAnsi="Book Antiqua" w:cs="Book Antiqua"/>
          <w:color w:val="000000"/>
        </w:rPr>
        <w:t xml:space="preserve">-5%) for HCV testing in the general </w:t>
      </w:r>
      <w:proofErr w:type="gramStart"/>
      <w:r w:rsidRPr="002850AE">
        <w:rPr>
          <w:rFonts w:ascii="Book Antiqua" w:eastAsia="Book Antiqua" w:hAnsi="Book Antiqua" w:cs="Book Antiqua"/>
          <w:color w:val="000000"/>
        </w:rPr>
        <w:t>population</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4]</w:t>
      </w:r>
      <w:r w:rsidRPr="002850AE">
        <w:rPr>
          <w:rFonts w:ascii="Book Antiqua" w:eastAsia="Book Antiqua" w:hAnsi="Book Antiqua" w:cs="Book Antiqua"/>
          <w:color w:val="000000"/>
        </w:rPr>
        <w:t xml:space="preserve">. </w:t>
      </w:r>
    </w:p>
    <w:p w14:paraId="15B015C3"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The proportion of missed HCV coinfections, and the number of patients needed to test (NNT) to identify one HCV/HIV coinfection were calculated as measures of performance (clinical usefulness) of the decision rule in the derivation cohort.</w:t>
      </w:r>
    </w:p>
    <w:p w14:paraId="1F3F8CDE" w14:textId="77777777" w:rsidR="00A77B3E" w:rsidRPr="002850AE" w:rsidRDefault="00A77B3E" w:rsidP="00AE50D3">
      <w:pPr>
        <w:snapToGrid w:val="0"/>
        <w:spacing w:line="360" w:lineRule="auto"/>
        <w:jc w:val="both"/>
        <w:rPr>
          <w:rFonts w:ascii="Book Antiqua" w:hAnsi="Book Antiqua"/>
        </w:rPr>
      </w:pPr>
    </w:p>
    <w:p w14:paraId="640BEEDF"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Internal validation of the CPS</w:t>
      </w:r>
    </w:p>
    <w:p w14:paraId="38D7D321"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Finally, in order to correct for over-optimism (over-fitting) caused by the use of the same data set for both the derivation of the score and the evaluation of its predictive ability, we assessed internal validity of the CPS performance with a bootstrapping procedure (0.632+ estimator)</w:t>
      </w:r>
      <w:r w:rsidRPr="002850AE">
        <w:rPr>
          <w:rFonts w:ascii="Book Antiqua" w:eastAsia="Book Antiqua" w:hAnsi="Book Antiqua" w:cs="Book Antiqua"/>
          <w:color w:val="000000"/>
          <w:vertAlign w:val="superscript"/>
        </w:rPr>
        <w:t>[25]</w:t>
      </w:r>
      <w:r w:rsidRPr="002850AE">
        <w:rPr>
          <w:rFonts w:ascii="Book Antiqua" w:eastAsia="Book Antiqua" w:hAnsi="Book Antiqua" w:cs="Book Antiqua"/>
          <w:color w:val="000000"/>
        </w:rPr>
        <w:t>. We determined the performance (proportion of missed coinfections) of the CPS and the decision rule derived from each bootstrap sample in the original derivation set. This bootstrap-derived performance provides a more realistic estimate of the CPS performance in similar new patient cohorts.</w:t>
      </w:r>
    </w:p>
    <w:p w14:paraId="4ACB64F7" w14:textId="77777777" w:rsidR="00A77B3E" w:rsidRPr="002850AE" w:rsidRDefault="00A77B3E" w:rsidP="00AE50D3">
      <w:pPr>
        <w:snapToGrid w:val="0"/>
        <w:spacing w:line="360" w:lineRule="auto"/>
        <w:jc w:val="both"/>
        <w:rPr>
          <w:rFonts w:ascii="Book Antiqua" w:hAnsi="Book Antiqua"/>
        </w:rPr>
      </w:pPr>
    </w:p>
    <w:p w14:paraId="77ED389C"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Development of alternative scores</w:t>
      </w:r>
    </w:p>
    <w:p w14:paraId="62A1B38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We explored two reduced models: </w:t>
      </w:r>
      <w:r w:rsidR="00944493" w:rsidRPr="002850AE">
        <w:rPr>
          <w:rFonts w:ascii="Book Antiqua" w:eastAsia="Book Antiqua" w:hAnsi="Book Antiqua" w:cs="Book Antiqua"/>
          <w:color w:val="000000"/>
        </w:rPr>
        <w:t>(</w:t>
      </w:r>
      <w:r w:rsidRPr="002850AE">
        <w:rPr>
          <w:rFonts w:ascii="Book Antiqua" w:eastAsia="Book Antiqua" w:hAnsi="Book Antiqua" w:cs="Book Antiqua"/>
          <w:color w:val="000000"/>
        </w:rPr>
        <w:t>1) using only the six clinical and socio-demographic candidate predictors (clinical CPS)</w:t>
      </w:r>
      <w:r w:rsidR="00944493" w:rsidRPr="002850AE">
        <w:rPr>
          <w:rFonts w:ascii="Book Antiqua" w:eastAsia="Book Antiqua" w:hAnsi="Book Antiqua" w:cs="Book Antiqua"/>
          <w:color w:val="000000"/>
        </w:rPr>
        <w:t>;</w:t>
      </w:r>
      <w:r w:rsidRPr="002850AE">
        <w:rPr>
          <w:rFonts w:ascii="Book Antiqua" w:eastAsia="Book Antiqua" w:hAnsi="Book Antiqua" w:cs="Book Antiqua"/>
          <w:color w:val="000000"/>
        </w:rPr>
        <w:t xml:space="preserve"> and </w:t>
      </w:r>
      <w:r w:rsidR="00944493" w:rsidRPr="002850AE">
        <w:rPr>
          <w:rFonts w:ascii="Book Antiqua" w:eastAsia="Book Antiqua" w:hAnsi="Book Antiqua" w:cs="Book Antiqua"/>
          <w:color w:val="000000"/>
        </w:rPr>
        <w:t>(</w:t>
      </w:r>
      <w:r w:rsidRPr="002850AE">
        <w:rPr>
          <w:rFonts w:ascii="Book Antiqua" w:eastAsia="Book Antiqua" w:hAnsi="Book Antiqua" w:cs="Book Antiqua"/>
          <w:color w:val="000000"/>
        </w:rPr>
        <w:t>2) starting from lab-based (ALT, AST, platelets, APRI) and socio-demographic (gender, age) candidate predictors (lab CPS). Both were developed and assessed in the same way as the full CPS. The clinical model was explored with the intention to provide a feasible alternative for HIV programs where ALT, AST and platelet count results are not routinely available. The lab model might be easier to use in large programs equipped with electronic databases which can flag patients to be prioritized for HCV testing.</w:t>
      </w:r>
    </w:p>
    <w:p w14:paraId="7072243A" w14:textId="77777777" w:rsidR="00A77B3E" w:rsidRPr="002850AE" w:rsidRDefault="00A77B3E" w:rsidP="00AE50D3">
      <w:pPr>
        <w:snapToGrid w:val="0"/>
        <w:spacing w:line="360" w:lineRule="auto"/>
        <w:jc w:val="both"/>
        <w:rPr>
          <w:rFonts w:ascii="Book Antiqua" w:hAnsi="Book Antiqua"/>
        </w:rPr>
      </w:pPr>
    </w:p>
    <w:p w14:paraId="65E4B68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RESULTS</w:t>
      </w:r>
    </w:p>
    <w:p w14:paraId="123A99BB"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 xml:space="preserve">Description of the HIV derivation cohort </w:t>
      </w:r>
    </w:p>
    <w:p w14:paraId="6D28621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A total of 3,045 ambulatory HIV patients of Sihanouk Hospital Center of Hope were included. Their median age was 43 years (interquartile range - IQR: 36-48), 43% were male patients, and 98% were on antiretroviral therapy (ART) for a duration ranging from 2 </w:t>
      </w:r>
      <w:proofErr w:type="spellStart"/>
      <w:r w:rsidRPr="002850AE">
        <w:rPr>
          <w:rFonts w:ascii="Book Antiqua" w:eastAsia="Book Antiqua" w:hAnsi="Book Antiqua" w:cs="Book Antiqua"/>
          <w:color w:val="000000"/>
        </w:rPr>
        <w:t>mo</w:t>
      </w:r>
      <w:proofErr w:type="spellEnd"/>
      <w:r w:rsidRPr="002850AE">
        <w:rPr>
          <w:rFonts w:ascii="Book Antiqua" w:eastAsia="Book Antiqua" w:hAnsi="Book Antiqua" w:cs="Book Antiqua"/>
          <w:color w:val="000000"/>
        </w:rPr>
        <w:t xml:space="preserve"> to 13 years. Most were on nevirapine- (</w:t>
      </w:r>
      <w:r w:rsidRPr="002850AE">
        <w:rPr>
          <w:rFonts w:ascii="Book Antiqua" w:eastAsia="Book Antiqua" w:hAnsi="Book Antiqua" w:cs="Book Antiqua"/>
          <w:i/>
          <w:iCs/>
          <w:color w:val="000000"/>
        </w:rPr>
        <w:t>n</w:t>
      </w:r>
      <w:r w:rsidR="00B90AFC" w:rsidRPr="002850AE">
        <w:rPr>
          <w:rFonts w:ascii="Book Antiqua" w:eastAsia="Book Antiqua" w:hAnsi="Book Antiqua" w:cs="Book Antiqua"/>
          <w:color w:val="000000"/>
        </w:rPr>
        <w:t xml:space="preserve"> = 1</w:t>
      </w:r>
      <w:r w:rsidRPr="002850AE">
        <w:rPr>
          <w:rFonts w:ascii="Book Antiqua" w:eastAsia="Book Antiqua" w:hAnsi="Book Antiqua" w:cs="Book Antiqua"/>
          <w:color w:val="000000"/>
        </w:rPr>
        <w:t>189) or efavirenz-based (</w:t>
      </w:r>
      <w:r w:rsidRPr="002850AE">
        <w:rPr>
          <w:rFonts w:ascii="Book Antiqua" w:eastAsia="Book Antiqua" w:hAnsi="Book Antiqua" w:cs="Book Antiqua"/>
          <w:i/>
          <w:iCs/>
          <w:color w:val="000000"/>
        </w:rPr>
        <w:t>n</w:t>
      </w:r>
      <w:r w:rsidR="00B90AFC" w:rsidRPr="002850AE">
        <w:rPr>
          <w:rFonts w:ascii="Book Antiqua" w:eastAsia="Book Antiqua" w:hAnsi="Book Antiqua" w:cs="Book Antiqua"/>
          <w:color w:val="000000"/>
        </w:rPr>
        <w:t xml:space="preserve"> = 1</w:t>
      </w:r>
      <w:r w:rsidRPr="002850AE">
        <w:rPr>
          <w:rFonts w:ascii="Book Antiqua" w:eastAsia="Book Antiqua" w:hAnsi="Book Antiqua" w:cs="Book Antiqua"/>
          <w:color w:val="000000"/>
        </w:rPr>
        <w:t>539) ART. HIV virological failure was rare (3.4%). The cohort counted only few people (</w:t>
      </w:r>
      <w:r w:rsidRPr="002850AE">
        <w:rPr>
          <w:rFonts w:ascii="Book Antiqua" w:eastAsia="Book Antiqua" w:hAnsi="Book Antiqua" w:cs="Book Antiqua"/>
          <w:i/>
          <w:iCs/>
          <w:color w:val="000000"/>
        </w:rPr>
        <w:t>n</w:t>
      </w:r>
      <w:r w:rsidRPr="002850AE">
        <w:rPr>
          <w:rFonts w:ascii="Book Antiqua" w:eastAsia="Book Antiqua" w:hAnsi="Book Antiqua" w:cs="Book Antiqua"/>
          <w:color w:val="000000"/>
        </w:rPr>
        <w:t xml:space="preserve"> = 31) who reported a history or current engagement in sex work, being homosexual, or past or current injecting drug use. </w:t>
      </w:r>
    </w:p>
    <w:p w14:paraId="4148E1CE" w14:textId="50D29BA1"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In this cohort, 230 patients tested positive for HCV antibodies, two had a borderline result. Of these 232, 106 had a detectable HCV-RNA, our outcome of interest. None of the coinfected reported</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 xml:space="preserve">past/current sex work, being MSM, or injecting drug use. Distribution of the candidate predictors in the cohort and the missing values are further specified in Table 2. </w:t>
      </w:r>
    </w:p>
    <w:p w14:paraId="240B6BA3" w14:textId="77777777" w:rsidR="00A77B3E" w:rsidRPr="002850AE" w:rsidRDefault="00A77B3E" w:rsidP="00AE50D3">
      <w:pPr>
        <w:snapToGrid w:val="0"/>
        <w:spacing w:line="360" w:lineRule="auto"/>
        <w:jc w:val="both"/>
        <w:rPr>
          <w:rFonts w:ascii="Book Antiqua" w:hAnsi="Book Antiqua"/>
        </w:rPr>
      </w:pPr>
    </w:p>
    <w:p w14:paraId="652D10D9"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Prediction score for HCV/HIV coinfection</w:t>
      </w:r>
    </w:p>
    <w:p w14:paraId="0CEC3D5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In </w:t>
      </w:r>
      <w:r w:rsidRPr="002850AE">
        <w:rPr>
          <w:rFonts w:ascii="Book Antiqua" w:eastAsia="Book Antiqua" w:hAnsi="Book Antiqua" w:cs="Book Antiqua"/>
          <w:caps/>
          <w:color w:val="000000"/>
        </w:rPr>
        <w:t>t</w:t>
      </w:r>
      <w:r w:rsidRPr="002850AE">
        <w:rPr>
          <w:rFonts w:ascii="Book Antiqua" w:eastAsia="Book Antiqua" w:hAnsi="Book Antiqua" w:cs="Book Antiqua"/>
          <w:color w:val="000000"/>
        </w:rPr>
        <w:t xml:space="preserve">able 3, we list the 11 candidate predictors, all in dichotomous format, as taken forward in the score building. We report the unadjusted associations (crude positive and negative likelihood ratios) between the candidate predictors and having a HCV coinfection. After univariable analysis, two potential predictors (poor CD4 recovery on ART, gender) were dropped as the crude LHRs were not ≥ 2 or ≤ 0.5. From the remaining candidate predictors, seven with adjusted LHR ≥ 1.5 or ≤ 0.67 were retained in the final multivariable score model. The adjusted LHRs are shown in the last two columns. Among the retained predictors, three rely on laboratory testing results (platelet count, AST, APRI). </w:t>
      </w:r>
    </w:p>
    <w:p w14:paraId="5DFAB4CF"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 xml:space="preserve">The relative weight (further called score) of the retained predictors is detailed in Table 4. Only APRI (whether </w:t>
      </w:r>
      <w:r w:rsidRPr="002850AE">
        <w:rPr>
          <w:rFonts w:ascii="Book Antiqua" w:eastAsia="Book Antiqua" w:hAnsi="Book Antiqua" w:cs="Book Antiqua"/>
          <w:b/>
          <w:bCs/>
          <w:color w:val="000000"/>
        </w:rPr>
        <w:t xml:space="preserve">≥ </w:t>
      </w:r>
      <w:r w:rsidRPr="002850AE">
        <w:rPr>
          <w:rFonts w:ascii="Book Antiqua" w:eastAsia="Book Antiqua" w:hAnsi="Book Antiqua" w:cs="Book Antiqua"/>
          <w:color w:val="000000"/>
        </w:rPr>
        <w:t>0.45 or &lt; 0.45) contributed in both directions, and none of the predictors weighed more than + 1 or -1. The total score for each individual patient can range from -2 to + 6.</w:t>
      </w:r>
    </w:p>
    <w:p w14:paraId="75F7407D"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The distribution of the total individual scores in the HIV cohort, by coinfection status, and probability of HCV coinfection by each final score is presented in Figure 2. None of the patients in the derivation cohort had a score above 5. The majority (</w:t>
      </w:r>
      <w:r w:rsidRPr="002850AE">
        <w:rPr>
          <w:rFonts w:ascii="Book Antiqua" w:eastAsia="Book Antiqua" w:hAnsi="Book Antiqua" w:cs="Book Antiqua"/>
          <w:i/>
          <w:iCs/>
          <w:color w:val="000000"/>
        </w:rPr>
        <w:t>n</w:t>
      </w:r>
      <w:r w:rsidRPr="002850AE">
        <w:rPr>
          <w:rFonts w:ascii="Book Antiqua" w:eastAsia="Book Antiqua" w:hAnsi="Book Antiqua" w:cs="Book Antiqua"/>
          <w:color w:val="000000"/>
        </w:rPr>
        <w:t xml:space="preserve"> = 2,219, 70%) had -2 or -1 as score. The probability of HCV coinfection ranged from 0.6% when the score was -2, to 75% for those with the highest score. </w:t>
      </w:r>
      <w:r w:rsidRPr="002850AE">
        <w:rPr>
          <w:rFonts w:ascii="Book Antiqua" w:eastAsia="Book Antiqua" w:hAnsi="Book Antiqua" w:cs="Book Antiqua"/>
          <w:color w:val="000000"/>
          <w:shd w:val="clear" w:color="auto" w:fill="FFFFFF"/>
        </w:rPr>
        <w:t xml:space="preserve">A score ≥ 0 seems to fit best as test-threshold by dichotomizing in a large sub-group with predictive probability of HCV coinfection &lt; 1% </w:t>
      </w:r>
      <w:r w:rsidRPr="002850AE">
        <w:rPr>
          <w:rFonts w:ascii="Book Antiqua" w:eastAsia="Book Antiqua" w:hAnsi="Book Antiqua" w:cs="Book Antiqua"/>
          <w:i/>
          <w:iCs/>
          <w:color w:val="000000"/>
          <w:shd w:val="clear" w:color="auto" w:fill="FFFFFF"/>
        </w:rPr>
        <w:t>vs</w:t>
      </w:r>
      <w:r w:rsidRPr="002850AE">
        <w:rPr>
          <w:rFonts w:ascii="Book Antiqua" w:eastAsia="Book Antiqua" w:hAnsi="Book Antiqua" w:cs="Book Antiqua"/>
          <w:color w:val="000000"/>
          <w:shd w:val="clear" w:color="auto" w:fill="FFFFFF"/>
        </w:rPr>
        <w:t xml:space="preserve"> a smaller group with probability ≥ 1%.</w:t>
      </w:r>
    </w:p>
    <w:p w14:paraId="2971ECB4" w14:textId="77777777" w:rsidR="00A77B3E" w:rsidRPr="002850AE" w:rsidRDefault="00A77B3E" w:rsidP="00AE50D3">
      <w:pPr>
        <w:snapToGrid w:val="0"/>
        <w:spacing w:line="360" w:lineRule="auto"/>
        <w:jc w:val="both"/>
        <w:rPr>
          <w:rFonts w:ascii="Book Antiqua" w:hAnsi="Book Antiqua"/>
        </w:rPr>
      </w:pPr>
    </w:p>
    <w:p w14:paraId="12928172"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Performance of the full CPS and derived decision rule for targeted HCV testing</w:t>
      </w:r>
    </w:p>
    <w:p w14:paraId="197CB3E7"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 xml:space="preserve">The CPS yielded an AUROC of 0.84 (95%CI: 0.80-0.89), indicating good discrimination between HCV/HIV coinfection and HIV mono-infection. Diagnostic accuracy for different cut-offs of the risk score is detailed in Table 5. </w:t>
      </w:r>
    </w:p>
    <w:p w14:paraId="600E7550"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shd w:val="clear" w:color="auto" w:fill="FFFFFF"/>
        </w:rPr>
        <w:t>The score ≥ 0, identified above as meeting our pre-defined criteria of clinically useful threshold to guide prioritization of HCV testing, had a negative predictive value (NPV) of 99.2% (95%CI: 98.8%</w:t>
      </w:r>
      <w:r w:rsidR="00B90AFC" w:rsidRPr="002850AE">
        <w:rPr>
          <w:rFonts w:ascii="Book Antiqua" w:eastAsia="Book Antiqua" w:hAnsi="Book Antiqua" w:cs="Book Antiqua"/>
          <w:color w:val="000000"/>
          <w:shd w:val="clear" w:color="auto" w:fill="FFFFFF"/>
        </w:rPr>
        <w:t>-</w:t>
      </w:r>
      <w:r w:rsidRPr="002850AE">
        <w:rPr>
          <w:rFonts w:ascii="Book Antiqua" w:eastAsia="Book Antiqua" w:hAnsi="Book Antiqua" w:cs="Book Antiqua"/>
          <w:color w:val="000000"/>
          <w:shd w:val="clear" w:color="auto" w:fill="FFFFFF"/>
        </w:rPr>
        <w:t>99.6%) or differently put, the probability of HCV coinfection among those with score &lt; 0 was 0.8%.</w:t>
      </w:r>
    </w:p>
    <w:p w14:paraId="25B77A72"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shd w:val="clear" w:color="auto" w:fill="FFFFFF"/>
        </w:rPr>
        <w:t>Applying this test-threshold, only 30% (</w:t>
      </w:r>
      <w:r w:rsidRPr="002850AE">
        <w:rPr>
          <w:rFonts w:ascii="Book Antiqua" w:eastAsia="Book Antiqua" w:hAnsi="Book Antiqua" w:cs="Book Antiqua"/>
          <w:i/>
          <w:iCs/>
          <w:color w:val="000000"/>
          <w:shd w:val="clear" w:color="auto" w:fill="FFFFFF"/>
        </w:rPr>
        <w:t>n</w:t>
      </w:r>
      <w:r w:rsidRPr="002850AE">
        <w:rPr>
          <w:rFonts w:ascii="Book Antiqua" w:eastAsia="Book Antiqua" w:hAnsi="Book Antiqua" w:cs="Book Antiqua"/>
          <w:color w:val="000000"/>
          <w:shd w:val="clear" w:color="auto" w:fill="FFFFFF"/>
        </w:rPr>
        <w:t xml:space="preserve"> = 926) of the HIV patients would have been prioritized for HCV testing. In this subgroup, 90 HCV coinfections (85%) would have been diagnosed decreasing the number needed to test (NNT) from 29 to 10. Sixteen HCV coinfections would have been missed, but none of these missed HCV diagnoses had advanced fibrosis (</w:t>
      </w:r>
      <w:r w:rsidRPr="002850AE">
        <w:rPr>
          <w:rFonts w:ascii="Book Antiqua" w:eastAsia="Book Antiqua" w:hAnsi="Book Antiqua" w:cs="Book Antiqua"/>
          <w:i/>
          <w:iCs/>
          <w:color w:val="000000"/>
          <w:shd w:val="clear" w:color="auto" w:fill="FFFFFF"/>
        </w:rPr>
        <w:t>i.e.</w:t>
      </w:r>
      <w:r w:rsidR="00B90AFC" w:rsidRPr="002850AE">
        <w:rPr>
          <w:rFonts w:ascii="Book Antiqua" w:eastAsia="Book Antiqua" w:hAnsi="Book Antiqua" w:cs="Book Antiqua"/>
          <w:iCs/>
          <w:color w:val="000000"/>
          <w:shd w:val="clear" w:color="auto" w:fill="FFFFFF"/>
        </w:rPr>
        <w:t>,</w:t>
      </w:r>
      <w:r w:rsidRPr="002850AE">
        <w:rPr>
          <w:rFonts w:ascii="Book Antiqua" w:eastAsia="Book Antiqua" w:hAnsi="Book Antiqua" w:cs="Book Antiqua"/>
          <w:color w:val="000000"/>
          <w:shd w:val="clear" w:color="auto" w:fill="FFFFFF"/>
        </w:rPr>
        <w:t xml:space="preserve"> ≥ 9.5 kPa as measured by transient elastography). In line with international guidelines, triple HBV/HCV/HIV coinfections should also be prioritized for testing and treatment. In this derivation cohort, they were rare (</w:t>
      </w:r>
      <w:r w:rsidRPr="002850AE">
        <w:rPr>
          <w:rFonts w:ascii="Book Antiqua" w:eastAsia="Book Antiqua" w:hAnsi="Book Antiqua" w:cs="Book Antiqua"/>
          <w:i/>
          <w:iCs/>
          <w:color w:val="000000"/>
          <w:shd w:val="clear" w:color="auto" w:fill="FFFFFF"/>
        </w:rPr>
        <w:t>n</w:t>
      </w:r>
      <w:r w:rsidRPr="002850AE">
        <w:rPr>
          <w:rFonts w:ascii="Book Antiqua" w:eastAsia="Book Antiqua" w:hAnsi="Book Antiqua" w:cs="Book Antiqua"/>
          <w:color w:val="000000"/>
          <w:shd w:val="clear" w:color="auto" w:fill="FFFFFF"/>
        </w:rPr>
        <w:t xml:space="preserve"> = 2), but not missed by the prioritization rule. </w:t>
      </w:r>
    </w:p>
    <w:p w14:paraId="0AE12EF9"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 xml:space="preserve">Adjusting for over-optimism (over-fitting), the bootstrap 0.632+ estimate of proportion of missed HCV coinfections was 18%, compared to 15% in the original derivation set. </w:t>
      </w:r>
    </w:p>
    <w:p w14:paraId="7BD3CBD6" w14:textId="77777777" w:rsidR="00A77B3E" w:rsidRPr="002850AE" w:rsidRDefault="00A77B3E" w:rsidP="00AE50D3">
      <w:pPr>
        <w:snapToGrid w:val="0"/>
        <w:spacing w:line="360" w:lineRule="auto"/>
        <w:jc w:val="both"/>
        <w:rPr>
          <w:rFonts w:ascii="Book Antiqua" w:hAnsi="Book Antiqua"/>
        </w:rPr>
      </w:pPr>
    </w:p>
    <w:p w14:paraId="073FD897" w14:textId="77777777" w:rsidR="00A77B3E" w:rsidRPr="002850AE" w:rsidRDefault="00EC02D8" w:rsidP="00AE50D3">
      <w:pPr>
        <w:snapToGrid w:val="0"/>
        <w:spacing w:line="360" w:lineRule="auto"/>
        <w:jc w:val="both"/>
        <w:rPr>
          <w:rFonts w:ascii="Book Antiqua" w:hAnsi="Book Antiqua"/>
          <w:i/>
        </w:rPr>
      </w:pPr>
      <w:r w:rsidRPr="002850AE">
        <w:rPr>
          <w:rFonts w:ascii="Book Antiqua" w:eastAsia="Book Antiqua" w:hAnsi="Book Antiqua" w:cs="Book Antiqua"/>
          <w:b/>
          <w:bCs/>
          <w:i/>
          <w:color w:val="000000"/>
        </w:rPr>
        <w:t>Development of alternative scores (clinical CPS, lab CPS)</w:t>
      </w:r>
    </w:p>
    <w:p w14:paraId="3764D878"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In the alternative ‘clinical’ model, five predictors (age ≥ 50 years, diabetes mellitus, partner/household member with liver disease, generalized pruritus, fatigue/myalgia-arthralgia/anorexia-weight loss) were retained in the final model, each with a relative weight of +1 point. Gender was dropped after univariable analysis. The AUROC was 0.69 </w:t>
      </w:r>
      <w:r w:rsidRPr="002850AE">
        <w:rPr>
          <w:rFonts w:ascii="Book Antiqua" w:eastAsia="Book Antiqua" w:hAnsi="Book Antiqua" w:cs="Book Antiqua"/>
          <w:color w:val="000000"/>
          <w:shd w:val="clear" w:color="auto" w:fill="FFFFFF"/>
        </w:rPr>
        <w:t xml:space="preserve">(95%CI: </w:t>
      </w:r>
      <w:r w:rsidRPr="002850AE">
        <w:rPr>
          <w:rFonts w:ascii="Book Antiqua" w:eastAsia="Book Antiqua" w:hAnsi="Book Antiqua" w:cs="Book Antiqua"/>
          <w:color w:val="000000"/>
        </w:rPr>
        <w:t>0.64-0.74</w:t>
      </w:r>
      <w:r w:rsidRPr="002850AE">
        <w:rPr>
          <w:rFonts w:ascii="Book Antiqua" w:eastAsia="Book Antiqua" w:hAnsi="Book Antiqua" w:cs="Book Antiqua"/>
          <w:color w:val="000000"/>
          <w:shd w:val="clear" w:color="auto" w:fill="FFFFFF"/>
        </w:rPr>
        <w:t>)</w:t>
      </w:r>
      <w:r w:rsidRPr="002850AE">
        <w:rPr>
          <w:rFonts w:ascii="Book Antiqua" w:eastAsia="Book Antiqua" w:hAnsi="Book Antiqua" w:cs="Book Antiqua"/>
          <w:color w:val="000000"/>
        </w:rPr>
        <w:t xml:space="preserve">, indicative of poor discrimination of HCV/HIV coinfection and HIV mono-infection. Figure 3 further illustrates the poor discrimination of the clinical score, which moreover did not allow to identify a sub-group with predicted HCV infection probability below 1%. </w:t>
      </w:r>
    </w:p>
    <w:p w14:paraId="32D1559A"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For the primarily laboratory test based model, four predictors were retained in the final model (age ≥ 50 years: + 1 point, APRI ≥ 0.45: + 1, APRI &lt; 0.45: - 1, platelets &lt; 200 10</w:t>
      </w:r>
      <w:r w:rsidRPr="002850AE">
        <w:rPr>
          <w:rFonts w:ascii="Book Antiqua" w:eastAsia="Book Antiqua" w:hAnsi="Book Antiqua" w:cs="Book Antiqua"/>
          <w:color w:val="000000"/>
          <w:vertAlign w:val="superscript"/>
        </w:rPr>
        <w:t>9</w:t>
      </w:r>
      <w:r w:rsidRPr="002850AE">
        <w:rPr>
          <w:rFonts w:ascii="Book Antiqua" w:eastAsia="Book Antiqua" w:hAnsi="Book Antiqua" w:cs="Book Antiqua"/>
          <w:color w:val="000000"/>
        </w:rPr>
        <w:t xml:space="preserve">/L: + 1, AST &lt; 40 IU/L: -1). Gender and ALT were dropped. The AUROC of the lab CPS showed good discrimination of HCV/HIV coinfection and HIV mono-infection, and was 0.83 (95%CI: 0.79-0.87). The best-fit cut-off for the test-threshold of ≥ 1% predicted probability was a lab CPS score ≥ 0. Applying this cut-off, 22 HCV coinfections would have been missed, including two with advanced fibrosis. The NNT was 9.5, as 800 persons would have been prioritized for testing, to identify 84 coinfections. </w:t>
      </w:r>
    </w:p>
    <w:p w14:paraId="23CDBEE7" w14:textId="77777777" w:rsidR="00A77B3E" w:rsidRPr="002850AE" w:rsidRDefault="00A77B3E" w:rsidP="00AE50D3">
      <w:pPr>
        <w:snapToGrid w:val="0"/>
        <w:spacing w:line="360" w:lineRule="auto"/>
        <w:jc w:val="both"/>
        <w:rPr>
          <w:rFonts w:ascii="Book Antiqua" w:hAnsi="Book Antiqua"/>
        </w:rPr>
      </w:pPr>
    </w:p>
    <w:p w14:paraId="2721621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DISCUSSION</w:t>
      </w:r>
    </w:p>
    <w:p w14:paraId="46BD9CDF"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We developed (and internally validated) a clinical prediction score to risk-stratify, primarily heterosexually-infected HIV patients for HCV coinfection, for use as first step in the identification of HIV patients to be prioritized for HCV testing when resources are insufficient to test all.</w:t>
      </w:r>
    </w:p>
    <w:p w14:paraId="7337E289"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The risk score uses elements from history taking, physical examination and laboratory test results which are readily available or easily obtainable in most HIV programs, and are a combination of age, an exposure-related factor (partner/household member with liver disease) and variables related to severity of liver disease. Its overall performance in the derivation cohort in terms of discriminating HCV/HIV coinfected and HIV mono-infected was good (AUROC 0.84, 95%CI: 0.80-0.89), and we were able to derive a clinically useful decision rule for HCV testing prioritization along our pre-set requirements (test-threshold at ≥ 1% predicted probability of HCV coinfection, and substantially decrease the number needed to test (NNT)). In our study population, not testing those with predicted probability &lt; 1% would have decreased the NNT from 29 to 10, while missing 15% of the HCV/HIV coinfections, and thus outperforming birth cohort testing</w:t>
      </w:r>
      <w:r w:rsidRPr="002850AE">
        <w:rPr>
          <w:rFonts w:ascii="Book Antiqua" w:eastAsia="Book Antiqua" w:hAnsi="Book Antiqua" w:cs="Book Antiqua"/>
          <w:color w:val="000000"/>
          <w:vertAlign w:val="superscript"/>
        </w:rPr>
        <w:t>[7]</w:t>
      </w:r>
      <w:r w:rsidRPr="002850AE">
        <w:rPr>
          <w:rFonts w:ascii="Book Antiqua" w:eastAsia="Book Antiqua" w:hAnsi="Book Antiqua" w:cs="Book Antiqua"/>
          <w:color w:val="000000"/>
        </w:rPr>
        <w:t xml:space="preserve">. If externally validated, our score and decision rule may thus be a practical way forward for countries not able or not opting to fully implement the WHO recommendation to test all HIV patients for hepatitis </w:t>
      </w:r>
      <w:proofErr w:type="gramStart"/>
      <w:r w:rsidRPr="002850AE">
        <w:rPr>
          <w:rFonts w:ascii="Book Antiqua" w:eastAsia="Book Antiqua" w:hAnsi="Book Antiqua" w:cs="Book Antiqua"/>
          <w:color w:val="000000"/>
        </w:rPr>
        <w:t>C</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4]</w:t>
      </w:r>
      <w:r w:rsidRPr="002850AE">
        <w:rPr>
          <w:rFonts w:ascii="Book Antiqua" w:eastAsia="Book Antiqua" w:hAnsi="Book Antiqua" w:cs="Book Antiqua"/>
          <w:color w:val="000000"/>
        </w:rPr>
        <w:t>. Resource-constrained countries carry the largest burden of HCV/HIV coinfection.</w:t>
      </w:r>
    </w:p>
    <w:p w14:paraId="41FAA592"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With this paper, we do not intend to advocate in a general manner for targeted HCV testing in all HIV populations. We agree with the WHO guidelines that HIV populations are a convenient population sub-group to be targeted as a whole, as they often have a higher HCV prevalence than the general population, and are easy to reach</w:t>
      </w:r>
      <w:r w:rsidRPr="002850AE">
        <w:rPr>
          <w:rFonts w:ascii="Book Antiqua" w:eastAsia="Book Antiqua" w:hAnsi="Book Antiqua" w:cs="Book Antiqua"/>
          <w:color w:val="000000"/>
          <w:vertAlign w:val="superscript"/>
        </w:rPr>
        <w:t>[4,26]</w:t>
      </w:r>
      <w:r w:rsidRPr="002850AE">
        <w:rPr>
          <w:rFonts w:ascii="Book Antiqua" w:eastAsia="Book Antiqua" w:hAnsi="Book Antiqua" w:cs="Book Antiqua"/>
          <w:color w:val="000000"/>
        </w:rPr>
        <w:t xml:space="preserve">. ‘Testing all repeatedly for HCV, accompanied by appropriate preventive counselling’ should be aimed for whenever feasible as part of a comprehensive package of care for people living with HIV (including timely initiation of ART and treatment of comorbidities as HCV), especially as nearly 100% curative HCV treatment options are now available. However, lack of resources, and low in-country HCV coinfection prevalence in large HIV cohorts with little ongoing transmission risk, are valid contextual arguments that countries may use to opt </w:t>
      </w:r>
      <w:proofErr w:type="gramStart"/>
      <w:r w:rsidRPr="002850AE">
        <w:rPr>
          <w:rFonts w:ascii="Book Antiqua" w:eastAsia="Book Antiqua" w:hAnsi="Book Antiqua" w:cs="Book Antiqua"/>
          <w:color w:val="000000"/>
        </w:rPr>
        <w:t>differently</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8-10,27]</w:t>
      </w:r>
      <w:r w:rsidRPr="002850AE">
        <w:rPr>
          <w:rFonts w:ascii="Book Antiqua" w:eastAsia="Book Antiqua" w:hAnsi="Book Antiqua" w:cs="Book Antiqua"/>
          <w:color w:val="000000"/>
        </w:rPr>
        <w:t>. As also the argument that HIV coinfection leads to faster HCV disease progression (and therefore priority) has become debatable in the early ART era</w:t>
      </w:r>
      <w:r w:rsidRPr="002850AE">
        <w:rPr>
          <w:rFonts w:ascii="Book Antiqua" w:eastAsia="Book Antiqua" w:hAnsi="Book Antiqua" w:cs="Book Antiqua"/>
          <w:color w:val="000000"/>
          <w:vertAlign w:val="superscript"/>
        </w:rPr>
        <w:t>[8-10,27,28]</w:t>
      </w:r>
      <w:r w:rsidRPr="002850AE">
        <w:rPr>
          <w:rFonts w:ascii="Book Antiqua" w:eastAsia="Book Antiqua" w:hAnsi="Book Antiqua" w:cs="Book Antiqua"/>
          <w:color w:val="000000"/>
        </w:rPr>
        <w:t xml:space="preserve">, some countries may indeed opt for a more restricted HCV testing approach combined with early initiation of ART. Anticipating this, it seemed to us timely to develop this score for targeted HCV testing. </w:t>
      </w:r>
    </w:p>
    <w:p w14:paraId="47AE98FF"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 xml:space="preserve">The study and the resulting risk score have a number of strengths. The study was conducted and reported in accordance with the methodological standards for development of clinical prediction rules, as outlined in the TRIPOD statement and detailed in the S1 TRIPOD </w:t>
      </w:r>
      <w:proofErr w:type="gramStart"/>
      <w:r w:rsidRPr="002850AE">
        <w:rPr>
          <w:rFonts w:ascii="Book Antiqua" w:eastAsia="Book Antiqua" w:hAnsi="Book Antiqua" w:cs="Book Antiqua"/>
          <w:color w:val="000000"/>
        </w:rPr>
        <w:t>checklist</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29]</w:t>
      </w:r>
      <w:r w:rsidRPr="002850AE">
        <w:rPr>
          <w:rFonts w:ascii="Book Antiqua" w:eastAsia="Book Antiqua" w:hAnsi="Book Antiqua" w:cs="Book Antiqua"/>
          <w:color w:val="000000"/>
        </w:rPr>
        <w:t xml:space="preserve">. Data collection was done prospectively, and blinded from the HCV diagnostic results. Missing data were rare. The model was built following the </w:t>
      </w:r>
      <w:proofErr w:type="spellStart"/>
      <w:r w:rsidRPr="002850AE">
        <w:rPr>
          <w:rFonts w:ascii="Book Antiqua" w:eastAsia="Book Antiqua" w:hAnsi="Book Antiqua" w:cs="Book Antiqua"/>
          <w:color w:val="000000"/>
        </w:rPr>
        <w:t>Spiegelhalter</w:t>
      </w:r>
      <w:proofErr w:type="spellEnd"/>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Knill</w:t>
      </w:r>
      <w:proofErr w:type="spellEnd"/>
      <w:r w:rsidRPr="002850AE">
        <w:rPr>
          <w:rFonts w:ascii="Book Antiqua" w:eastAsia="Book Antiqua" w:hAnsi="Book Antiqua" w:cs="Book Antiqua"/>
          <w:color w:val="000000"/>
        </w:rPr>
        <w:t>-Jones (SKJ) approach, a statistical method that combines elements of the Bayes theorem and logistic regression. While combining, it also sidesteps disadvantages of both conventional methods (</w:t>
      </w:r>
      <w:r w:rsidRPr="002850AE">
        <w:rPr>
          <w:rFonts w:ascii="Book Antiqua" w:eastAsia="Book Antiqua" w:hAnsi="Book Antiqua" w:cs="Book Antiqua"/>
          <w:i/>
          <w:iCs/>
          <w:color w:val="000000"/>
        </w:rPr>
        <w:t>i.e.</w:t>
      </w:r>
      <w:r w:rsidR="001E414C" w:rsidRPr="002850AE">
        <w:rPr>
          <w:rFonts w:ascii="Book Antiqua" w:eastAsia="Book Antiqua" w:hAnsi="Book Antiqua" w:cs="Book Antiqua"/>
          <w:iCs/>
          <w:color w:val="000000"/>
        </w:rPr>
        <w:t>,</w:t>
      </w:r>
      <w:r w:rsidRPr="002850AE">
        <w:rPr>
          <w:rFonts w:ascii="Book Antiqua" w:eastAsia="Book Antiqua" w:hAnsi="Book Antiqua" w:cs="Book Antiqua"/>
          <w:color w:val="000000"/>
        </w:rPr>
        <w:t xml:space="preserve"> the Bayes’ assumption of independence of predictors; and the mathematical, user-unfriendly output of logistic regression). SKJ allows and adjusts for dependency between predictors, and provides output in adjusted LHRs which are more easily understood and interpreted by </w:t>
      </w:r>
      <w:proofErr w:type="gramStart"/>
      <w:r w:rsidRPr="002850AE">
        <w:rPr>
          <w:rFonts w:ascii="Book Antiqua" w:eastAsia="Book Antiqua" w:hAnsi="Book Antiqua" w:cs="Book Antiqua"/>
          <w:color w:val="000000"/>
        </w:rPr>
        <w:t>clinicians</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22,23,30]</w:t>
      </w:r>
      <w:r w:rsidRPr="002850AE">
        <w:rPr>
          <w:rFonts w:ascii="Book Antiqua" w:eastAsia="Book Antiqua" w:hAnsi="Book Antiqua" w:cs="Book Antiqua"/>
          <w:color w:val="000000"/>
        </w:rPr>
        <w:t>. The model we developed is clinically sensible as all predictors retained in the final score are plausibly related to infection risk (older age and having a household member/partner) or severity of liver disease (increased APRI, low platelets, diabetes, generalized pruritus without skin abnormalities)</w:t>
      </w:r>
      <w:r w:rsidRPr="002850AE">
        <w:rPr>
          <w:rFonts w:ascii="Book Antiqua" w:eastAsia="Book Antiqua" w:hAnsi="Book Antiqua" w:cs="Book Antiqua"/>
          <w:color w:val="000000"/>
          <w:vertAlign w:val="superscript"/>
        </w:rPr>
        <w:t>[7,31,32]</w:t>
      </w:r>
      <w:r w:rsidRPr="002850AE">
        <w:rPr>
          <w:rFonts w:ascii="Book Antiqua" w:eastAsia="Book Antiqua" w:hAnsi="Book Antiqua" w:cs="Book Antiqua"/>
          <w:color w:val="000000"/>
        </w:rPr>
        <w:t>. This, as well as the fact that the score can be repeated at regular intervals and that initially missed cases can be picked up later, may favor acceptability by clinicians. The score has a good discriminative ability and performed particularly well to identify a large subgroup of HIV patients that can be considered as a very low-risk group for HCV coinfection (probability &lt; 1%). From a program perspective, this opens perspectives of substantial optimization of resource utilization for HCV testing.</w:t>
      </w:r>
    </w:p>
    <w:p w14:paraId="10304901" w14:textId="24F71AD8"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 xml:space="preserve">There are also several limitations. It is a model development study, with internal validation to correct for over-optimism by bootstrapping, but no external validation was done yet. Further validation in different settings will thus be crucial before decisions on generalizability can be </w:t>
      </w:r>
      <w:proofErr w:type="gramStart"/>
      <w:r w:rsidRPr="002850AE">
        <w:rPr>
          <w:rFonts w:ascii="Book Antiqua" w:eastAsia="Book Antiqua" w:hAnsi="Book Antiqua" w:cs="Book Antiqua"/>
          <w:color w:val="000000"/>
        </w:rPr>
        <w:t>taken</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33]</w:t>
      </w:r>
      <w:r w:rsidRPr="002850AE">
        <w:rPr>
          <w:rFonts w:ascii="Book Antiqua" w:eastAsia="Book Antiqua" w:hAnsi="Book Antiqua" w:cs="Book Antiqua"/>
          <w:color w:val="000000"/>
        </w:rPr>
        <w:t>. Inherent to the score building method used (</w:t>
      </w:r>
      <w:proofErr w:type="spellStart"/>
      <w:r w:rsidRPr="002850AE">
        <w:rPr>
          <w:rFonts w:ascii="Book Antiqua" w:eastAsia="Book Antiqua" w:hAnsi="Book Antiqua" w:cs="Book Antiqua"/>
          <w:color w:val="000000"/>
        </w:rPr>
        <w:t>Spiegelhalter</w:t>
      </w:r>
      <w:proofErr w:type="spellEnd"/>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Knill</w:t>
      </w:r>
      <w:proofErr w:type="spellEnd"/>
      <w:r w:rsidRPr="002850AE">
        <w:rPr>
          <w:rFonts w:ascii="Book Antiqua" w:eastAsia="Book Antiqua" w:hAnsi="Book Antiqua" w:cs="Book Antiqua"/>
          <w:color w:val="000000"/>
        </w:rPr>
        <w:t xml:space="preserve">-Jones), continuous variables had to be categorized. This may have led to information </w:t>
      </w:r>
      <w:proofErr w:type="gramStart"/>
      <w:r w:rsidRPr="002850AE">
        <w:rPr>
          <w:rFonts w:ascii="Book Antiqua" w:eastAsia="Book Antiqua" w:hAnsi="Book Antiqua" w:cs="Book Antiqua"/>
          <w:color w:val="000000"/>
        </w:rPr>
        <w:t>loss</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34,35]</w:t>
      </w:r>
      <w:r w:rsidRPr="002850AE">
        <w:rPr>
          <w:rFonts w:ascii="Book Antiqua" w:eastAsia="Book Antiqua" w:hAnsi="Book Antiqua" w:cs="Book Antiqua"/>
          <w:color w:val="000000"/>
        </w:rPr>
        <w:t xml:space="preserve">. The SKJ method adjusts for dependency between predictors (confounding), but in a more restricted manner than the conventional logistic regression. Each result (present or absent) of a particular predictor/test is being shrunk to the same </w:t>
      </w:r>
      <w:proofErr w:type="gramStart"/>
      <w:r w:rsidRPr="002850AE">
        <w:rPr>
          <w:rFonts w:ascii="Book Antiqua" w:eastAsia="Book Antiqua" w:hAnsi="Book Antiqua" w:cs="Book Antiqua"/>
          <w:color w:val="000000"/>
        </w:rPr>
        <w:t>degree</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30]</w:t>
      </w:r>
      <w:r w:rsidRPr="002850AE">
        <w:rPr>
          <w:rFonts w:ascii="Book Antiqua" w:eastAsia="Book Antiqua" w:hAnsi="Book Antiqua" w:cs="Book Antiqua"/>
          <w:color w:val="000000"/>
        </w:rPr>
        <w:t>.</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Taking into consideration these potential weaknesses, we used our dataset to compare the performance of logistic regression, CART</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 xml:space="preserve">and SKJ to predict HCV/HIV coinfection. Logistic regression missed less HCV coinfections, but would refer 98% of HIV patients for HCV testing. The SKJ method had the highest area under the ROC curve and missed less coinfections than CART. CART delivered a better positive predictive </w:t>
      </w:r>
      <w:proofErr w:type="gramStart"/>
      <w:r w:rsidRPr="002850AE">
        <w:rPr>
          <w:rFonts w:ascii="Book Antiqua" w:eastAsia="Book Antiqua" w:hAnsi="Book Antiqua" w:cs="Book Antiqua"/>
          <w:color w:val="000000"/>
        </w:rPr>
        <w:t>value</w:t>
      </w:r>
      <w:r w:rsidRPr="002850AE">
        <w:rPr>
          <w:rFonts w:ascii="Book Antiqua" w:eastAsia="Book Antiqua" w:hAnsi="Book Antiqua" w:cs="Book Antiqua"/>
          <w:color w:val="000000"/>
          <w:vertAlign w:val="superscript"/>
        </w:rPr>
        <w:t>[</w:t>
      </w:r>
      <w:proofErr w:type="gramEnd"/>
      <w:r w:rsidRPr="002850AE">
        <w:rPr>
          <w:rFonts w:ascii="Book Antiqua" w:eastAsia="Book Antiqua" w:hAnsi="Book Antiqua" w:cs="Book Antiqua"/>
          <w:color w:val="000000"/>
          <w:vertAlign w:val="superscript"/>
        </w:rPr>
        <w:t>36]</w:t>
      </w:r>
      <w:r w:rsidRPr="002850AE">
        <w:rPr>
          <w:rFonts w:ascii="Book Antiqua" w:eastAsia="Book Antiqua" w:hAnsi="Book Antiqua" w:cs="Book Antiqua"/>
          <w:color w:val="000000"/>
        </w:rPr>
        <w:t>. Another potential weakness of the score is its dependence on</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some lab tests (mainly transaminases).</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Though we aimed to use information which is readily available or easily obtainable in HIV programs, these lab tests might not be done regularly anymore in some programs. The clinical score (without lab tests) did unfortunately not perform well. On the other hand, the alternative score without clinical variables did perform reasonably well, and can, if validated, be a handy alternative in certain HIV programs. Routine electronic HIV databases containing these variables could flag patients to be prioritized for HCV testing without any need for further data collection by the clinician.</w:t>
      </w:r>
    </w:p>
    <w:p w14:paraId="276D6117" w14:textId="77777777" w:rsidR="00A77B3E" w:rsidRPr="002850AE" w:rsidRDefault="00EC02D8" w:rsidP="00AE50D3">
      <w:pPr>
        <w:snapToGrid w:val="0"/>
        <w:spacing w:line="360" w:lineRule="auto"/>
        <w:ind w:firstLineChars="100" w:firstLine="240"/>
        <w:jc w:val="both"/>
        <w:rPr>
          <w:rFonts w:ascii="Book Antiqua" w:hAnsi="Book Antiqua"/>
        </w:rPr>
      </w:pPr>
      <w:r w:rsidRPr="002850AE">
        <w:rPr>
          <w:rFonts w:ascii="Book Antiqua" w:eastAsia="Book Antiqua" w:hAnsi="Book Antiqua" w:cs="Book Antiqua"/>
          <w:color w:val="000000"/>
        </w:rPr>
        <w:t>To further improve cost-effectiveness of HCV testing, the potential of the risk score to identify subgroups best to be tested with the classical two-step algorithm (HCV antibody test followed by HCV-RNA testing), or one-step test procedure (HCV-RNA) could also be further explored.</w:t>
      </w:r>
    </w:p>
    <w:p w14:paraId="2A326BE6" w14:textId="77777777" w:rsidR="00A77B3E" w:rsidRPr="002850AE" w:rsidRDefault="00A77B3E" w:rsidP="00AE50D3">
      <w:pPr>
        <w:snapToGrid w:val="0"/>
        <w:spacing w:line="360" w:lineRule="auto"/>
        <w:jc w:val="both"/>
        <w:rPr>
          <w:rFonts w:ascii="Book Antiqua" w:hAnsi="Book Antiqua"/>
        </w:rPr>
      </w:pPr>
    </w:p>
    <w:p w14:paraId="6B622766"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CONCLUSION</w:t>
      </w:r>
    </w:p>
    <w:p w14:paraId="2F8E73E2" w14:textId="05572C13"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We successfully developed and internally validated a practical score, based on readily available clinical data,</w:t>
      </w:r>
      <w:r w:rsidR="00085D76">
        <w:rPr>
          <w:rFonts w:ascii="Book Antiqua" w:eastAsia="Book Antiqua" w:hAnsi="Book Antiqua" w:cs="Book Antiqua"/>
          <w:color w:val="000000"/>
        </w:rPr>
        <w:t xml:space="preserve"> </w:t>
      </w:r>
      <w:r w:rsidRPr="002850AE">
        <w:rPr>
          <w:rFonts w:ascii="Book Antiqua" w:eastAsia="Book Antiqua" w:hAnsi="Book Antiqua" w:cs="Book Antiqua"/>
          <w:color w:val="000000"/>
        </w:rPr>
        <w:t>to risk-stratify HIV patients for HCV coinfection. In our setting, a large cohort of primarily heterosexually-infected Cambodian HIV patients, the score has shown promising potential to substantially reduce the number needed to test (to 30% of the cohort) without compromising access to testing and treatment for HIV patients with advanced HCV disease, especially as this score can be repeated regularly. Confirmation of these promising findings through external validation is required before its use in other low-risk HIV cohorts (</w:t>
      </w:r>
      <w:r w:rsidRPr="002850AE">
        <w:rPr>
          <w:rFonts w:ascii="Book Antiqua" w:eastAsia="Book Antiqua" w:hAnsi="Book Antiqua" w:cs="Book Antiqua"/>
          <w:i/>
          <w:color w:val="000000"/>
        </w:rPr>
        <w:t>i.e.</w:t>
      </w:r>
      <w:r w:rsidR="00E75299" w:rsidRPr="002850AE">
        <w:rPr>
          <w:rFonts w:ascii="Book Antiqua" w:eastAsia="Book Antiqua" w:hAnsi="Book Antiqua" w:cs="Book Antiqua"/>
          <w:color w:val="000000"/>
        </w:rPr>
        <w:t>,</w:t>
      </w:r>
      <w:r w:rsidRPr="002850AE">
        <w:rPr>
          <w:rFonts w:ascii="Book Antiqua" w:eastAsia="Book Antiqua" w:hAnsi="Book Antiqua" w:cs="Book Antiqua"/>
          <w:color w:val="000000"/>
        </w:rPr>
        <w:t xml:space="preserve"> with few MSM or injecting drug users) in settings with limited resources can be considered. </w:t>
      </w:r>
    </w:p>
    <w:p w14:paraId="07007A73" w14:textId="77777777" w:rsidR="00A77B3E" w:rsidRPr="002850AE" w:rsidRDefault="00A77B3E" w:rsidP="00AE50D3">
      <w:pPr>
        <w:snapToGrid w:val="0"/>
        <w:spacing w:line="360" w:lineRule="auto"/>
        <w:jc w:val="both"/>
        <w:rPr>
          <w:rFonts w:ascii="Book Antiqua" w:hAnsi="Book Antiqua"/>
        </w:rPr>
      </w:pPr>
    </w:p>
    <w:p w14:paraId="38663CF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ARTICLE HIGHLIGHTS</w:t>
      </w:r>
    </w:p>
    <w:p w14:paraId="453E53A8"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background</w:t>
      </w:r>
    </w:p>
    <w:p w14:paraId="031C3225" w14:textId="7F95275D"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The advent of direct-acting antivirals has revolutionized hepatitis C (HCV) treatment and has generated interest in the global elimination of hepatitis C as a public health problem. To allow timely scale up of treatment, efficient HCV testing strategies are crucial. By the end of 2017, only about 20% of those living with hepatitis C knew their status,</w:t>
      </w:r>
      <w:r w:rsidR="00522072" w:rsidRPr="002850AE">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with significantly lower proportions in low and middle income countries (LMIC).</w:t>
      </w:r>
    </w:p>
    <w:p w14:paraId="6BBC6E4F" w14:textId="77777777" w:rsidR="00A77B3E" w:rsidRPr="002850AE" w:rsidRDefault="00A77B3E" w:rsidP="00AE50D3">
      <w:pPr>
        <w:snapToGrid w:val="0"/>
        <w:spacing w:line="360" w:lineRule="auto"/>
        <w:jc w:val="both"/>
        <w:rPr>
          <w:rFonts w:ascii="Book Antiqua" w:hAnsi="Book Antiqua"/>
        </w:rPr>
      </w:pPr>
    </w:p>
    <w:p w14:paraId="36E0C7B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motivation</w:t>
      </w:r>
    </w:p>
    <w:p w14:paraId="685B4B97" w14:textId="1CED2024"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In the absence of funding initiatives dedicated to viral hepatitis, it is expected to remain difficult for LMIC to offer broad access to HCV testing. Depending on local resources and epidemiology, offering targeted HCV screening might be a more feasible option. However, easy-to-use tools to guide such targeted HCV testing, other than prioritization of</w:t>
      </w:r>
      <w:r w:rsidR="00085D76">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key populations or older birth cohorts, do not exist.</w:t>
      </w:r>
    </w:p>
    <w:p w14:paraId="116FC6F6" w14:textId="77777777" w:rsidR="00A77B3E" w:rsidRPr="002850AE" w:rsidRDefault="00A77B3E" w:rsidP="00AE50D3">
      <w:pPr>
        <w:snapToGrid w:val="0"/>
        <w:spacing w:line="360" w:lineRule="auto"/>
        <w:jc w:val="both"/>
        <w:rPr>
          <w:rFonts w:ascii="Book Antiqua" w:hAnsi="Book Antiqua"/>
        </w:rPr>
      </w:pPr>
    </w:p>
    <w:p w14:paraId="08307C7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objectives</w:t>
      </w:r>
    </w:p>
    <w:p w14:paraId="4722FA47"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 xml:space="preserve">To develop and internally validate a clinical prediction score for targeted HCV screening combining age and factors linked to liver disease severity, aiming to identify most of the chronic hepatitis C patients in low-risk </w:t>
      </w:r>
      <w:r w:rsidR="000E5BEC" w:rsidRPr="002850AE">
        <w:rPr>
          <w:rFonts w:ascii="Book Antiqua" w:eastAsia="Book Antiqua" w:hAnsi="Book Antiqua" w:cs="Book Antiqua"/>
          <w:color w:val="000000"/>
        </w:rPr>
        <w:t>human immunodeficiency virus (HIV)</w:t>
      </w:r>
      <w:r w:rsidRPr="002850AE">
        <w:rPr>
          <w:rFonts w:ascii="Book Antiqua" w:eastAsia="Book Antiqua" w:hAnsi="Book Antiqua" w:cs="Book Antiqua"/>
          <w:color w:val="000000"/>
          <w:shd w:val="clear" w:color="auto" w:fill="FFFFFF"/>
        </w:rPr>
        <w:t xml:space="preserve"> populations, but especially those in more urgent need of treatment.</w:t>
      </w:r>
    </w:p>
    <w:p w14:paraId="23E85FF8" w14:textId="77777777" w:rsidR="00A77B3E" w:rsidRPr="002850AE" w:rsidRDefault="00A77B3E" w:rsidP="00AE50D3">
      <w:pPr>
        <w:snapToGrid w:val="0"/>
        <w:spacing w:line="360" w:lineRule="auto"/>
        <w:jc w:val="both"/>
        <w:rPr>
          <w:rFonts w:ascii="Book Antiqua" w:hAnsi="Book Antiqua"/>
        </w:rPr>
      </w:pPr>
    </w:p>
    <w:p w14:paraId="24B66F5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methods</w:t>
      </w:r>
    </w:p>
    <w:p w14:paraId="05D9D93D" w14:textId="336199FC"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 xml:space="preserve">Score development relied on the </w:t>
      </w:r>
      <w:proofErr w:type="spellStart"/>
      <w:r w:rsidRPr="002850AE">
        <w:rPr>
          <w:rFonts w:ascii="Book Antiqua" w:eastAsia="Book Antiqua" w:hAnsi="Book Antiqua" w:cs="Book Antiqua"/>
          <w:color w:val="000000"/>
          <w:shd w:val="clear" w:color="auto" w:fill="FFFFFF"/>
        </w:rPr>
        <w:t>Spiegelhalter</w:t>
      </w:r>
      <w:proofErr w:type="spellEnd"/>
      <w:r w:rsidRPr="002850AE">
        <w:rPr>
          <w:rFonts w:ascii="Book Antiqua" w:eastAsia="Book Antiqua" w:hAnsi="Book Antiqua" w:cs="Book Antiqua"/>
          <w:color w:val="000000"/>
          <w:shd w:val="clear" w:color="auto" w:fill="FFFFFF"/>
        </w:rPr>
        <w:t xml:space="preserve"> and </w:t>
      </w:r>
      <w:proofErr w:type="spellStart"/>
      <w:r w:rsidRPr="002850AE">
        <w:rPr>
          <w:rFonts w:ascii="Book Antiqua" w:eastAsia="Book Antiqua" w:hAnsi="Book Antiqua" w:cs="Book Antiqua"/>
          <w:color w:val="000000"/>
          <w:shd w:val="clear" w:color="auto" w:fill="FFFFFF"/>
        </w:rPr>
        <w:t>Knill</w:t>
      </w:r>
      <w:proofErr w:type="spellEnd"/>
      <w:r w:rsidRPr="002850AE">
        <w:rPr>
          <w:rFonts w:ascii="Book Antiqua" w:eastAsia="Book Antiqua" w:hAnsi="Book Antiqua" w:cs="Book Antiqua"/>
          <w:color w:val="000000"/>
          <w:shd w:val="clear" w:color="auto" w:fill="FFFFFF"/>
        </w:rPr>
        <w:t>-Jones method which was applied on a cross-sectional dataset from a large HIV cohort in Phnom Penh, Cambodia. Predictors independently associated with current HCV infection (HCV RNA detected) with likelihood ratio ≥ 1.5 or ≤ 0.67 were retained in the score. Performance of the score was estimated by the area-under-the-ROC curve and diagnostic accuracy at the different cut-offs. For the decision rule, HCV coinfection probability ≥</w:t>
      </w:r>
      <w:r w:rsidR="00EE5899">
        <w:rPr>
          <w:rFonts w:ascii="Book Antiqua" w:eastAsia="Book Antiqua" w:hAnsi="Book Antiqua" w:cs="Book Antiqua"/>
          <w:color w:val="000000"/>
          <w:shd w:val="clear" w:color="auto" w:fill="FFFFFF"/>
        </w:rPr>
        <w:t xml:space="preserve"> </w:t>
      </w:r>
      <w:r w:rsidRPr="002850AE">
        <w:rPr>
          <w:rFonts w:ascii="Book Antiqua" w:eastAsia="Book Antiqua" w:hAnsi="Book Antiqua" w:cs="Book Antiqua"/>
          <w:color w:val="000000"/>
          <w:shd w:val="clear" w:color="auto" w:fill="FFFFFF"/>
        </w:rPr>
        <w:t>1% was agreed as test-threshold.</w:t>
      </w:r>
    </w:p>
    <w:p w14:paraId="116FA5F8" w14:textId="77777777" w:rsidR="00A77B3E" w:rsidRPr="002850AE" w:rsidRDefault="00A77B3E" w:rsidP="00AE50D3">
      <w:pPr>
        <w:snapToGrid w:val="0"/>
        <w:spacing w:line="360" w:lineRule="auto"/>
        <w:jc w:val="both"/>
        <w:rPr>
          <w:rFonts w:ascii="Book Antiqua" w:hAnsi="Book Antiqua"/>
        </w:rPr>
      </w:pPr>
    </w:p>
    <w:p w14:paraId="033EE667"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results</w:t>
      </w:r>
    </w:p>
    <w:p w14:paraId="1F199F96"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We developed (and internally validated) a clinical prediction score to risk-stratify, primarily heterosexually-infected HIV patients for HCV coinfection, for use as first step in the identification of HIV patients to be prioritized for HCV testing when resources are insufficient to test all. The risk score uses elements from history taking, physical examination and laboratory test results which are readily available or easily obtainable in most HIV programs. In the Cambodian derivation cohort, the score would have enabled identifying 85% of the coinfected while reducing the need for testing by 70%. At the best-fitting threshold-to-screen (score ≥ 0), a negative predictive value of 99.2% was obtained, and no cases with advanced fibrosis were missed.</w:t>
      </w:r>
    </w:p>
    <w:p w14:paraId="350C10BE" w14:textId="77777777" w:rsidR="00A77B3E" w:rsidRPr="002850AE" w:rsidRDefault="00A77B3E" w:rsidP="00AE50D3">
      <w:pPr>
        <w:snapToGrid w:val="0"/>
        <w:spacing w:line="360" w:lineRule="auto"/>
        <w:jc w:val="both"/>
        <w:rPr>
          <w:rFonts w:ascii="Book Antiqua" w:hAnsi="Book Antiqua"/>
        </w:rPr>
      </w:pPr>
    </w:p>
    <w:p w14:paraId="2AEB0BF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conclusions</w:t>
      </w:r>
    </w:p>
    <w:p w14:paraId="1635B189"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The score for targeted HCV screening performed well in the derivation cohort and bears potential to substantially reduce the number needed to test without compromising access to testing and treatment for HIV patients with advanced HCV disease. Confirmation of these promising findings through external validation is required before recommendations on wider use can be made.</w:t>
      </w:r>
    </w:p>
    <w:p w14:paraId="24E882DA" w14:textId="77777777" w:rsidR="00A77B3E" w:rsidRPr="002850AE" w:rsidRDefault="00A77B3E" w:rsidP="00AE50D3">
      <w:pPr>
        <w:snapToGrid w:val="0"/>
        <w:spacing w:line="360" w:lineRule="auto"/>
        <w:jc w:val="both"/>
        <w:rPr>
          <w:rFonts w:ascii="Book Antiqua" w:hAnsi="Book Antiqua"/>
        </w:rPr>
      </w:pPr>
    </w:p>
    <w:p w14:paraId="06F0B3E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i/>
          <w:color w:val="000000"/>
        </w:rPr>
        <w:t>Research perspectives</w:t>
      </w:r>
    </w:p>
    <w:p w14:paraId="5B314136"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shd w:val="clear" w:color="auto" w:fill="FFFFFF"/>
        </w:rPr>
        <w:t>The validity of the score should be tested in other HIV cohorts with low onward risk of transmission, starting from similar HIV cohorts in Cambodia but also in HIV populations in other settings.</w:t>
      </w:r>
    </w:p>
    <w:p w14:paraId="0B9F8E3C" w14:textId="77777777" w:rsidR="00A77B3E" w:rsidRPr="002850AE" w:rsidRDefault="00A77B3E" w:rsidP="00AE50D3">
      <w:pPr>
        <w:snapToGrid w:val="0"/>
        <w:spacing w:line="360" w:lineRule="auto"/>
        <w:jc w:val="both"/>
        <w:rPr>
          <w:rFonts w:ascii="Book Antiqua" w:hAnsi="Book Antiqua"/>
        </w:rPr>
      </w:pPr>
    </w:p>
    <w:p w14:paraId="03205091"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aps/>
          <w:color w:val="000000"/>
          <w:u w:val="single"/>
        </w:rPr>
        <w:t>ACKNOWLEDGEMENTS</w:t>
      </w:r>
    </w:p>
    <w:p w14:paraId="09BF8A12"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The authors of this paper thank the HIV clinicians, counsellors, laboratory technicians and, data-management team of Sihanouk Hospital Center of Hope (SHCH), ITM, and the Antwerp University Hospital for their contribution to the implementation of this study. </w:t>
      </w:r>
    </w:p>
    <w:p w14:paraId="14207B48" w14:textId="77777777" w:rsidR="00A77B3E" w:rsidRPr="002850AE" w:rsidRDefault="00A77B3E" w:rsidP="00AE50D3">
      <w:pPr>
        <w:snapToGrid w:val="0"/>
        <w:spacing w:line="360" w:lineRule="auto"/>
        <w:jc w:val="both"/>
        <w:rPr>
          <w:rFonts w:ascii="Book Antiqua" w:hAnsi="Book Antiqua"/>
        </w:rPr>
      </w:pPr>
    </w:p>
    <w:p w14:paraId="3D26401B"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REFERENCES</w:t>
      </w:r>
    </w:p>
    <w:p w14:paraId="7F7616EC" w14:textId="60497F07" w:rsidR="00A77B3E" w:rsidRPr="00085D76" w:rsidRDefault="00EC02D8" w:rsidP="00AE50D3">
      <w:pPr>
        <w:snapToGrid w:val="0"/>
        <w:spacing w:line="360" w:lineRule="auto"/>
        <w:jc w:val="both"/>
        <w:rPr>
          <w:rFonts w:ascii="Book Antiqua" w:hAnsi="Book Antiqua"/>
          <w:highlight w:val="yellow"/>
        </w:rPr>
      </w:pPr>
      <w:r w:rsidRPr="00085D76">
        <w:rPr>
          <w:rFonts w:ascii="Book Antiqua" w:eastAsia="Book Antiqua" w:hAnsi="Book Antiqua" w:cs="Book Antiqua"/>
          <w:color w:val="000000"/>
          <w:highlight w:val="yellow"/>
        </w:rPr>
        <w:t xml:space="preserve">1 </w:t>
      </w:r>
      <w:r w:rsidRPr="00085D76">
        <w:rPr>
          <w:rFonts w:ascii="Book Antiqua" w:eastAsia="Book Antiqua" w:hAnsi="Book Antiqua" w:cs="Book Antiqua"/>
          <w:b/>
          <w:bCs/>
          <w:color w:val="000000"/>
          <w:highlight w:val="yellow"/>
        </w:rPr>
        <w:t>WHO</w:t>
      </w:r>
      <w:r w:rsidRPr="00085D76">
        <w:rPr>
          <w:rFonts w:ascii="Book Antiqua" w:eastAsia="Book Antiqua" w:hAnsi="Book Antiqua" w:cs="Book Antiqua"/>
          <w:bCs/>
          <w:color w:val="000000"/>
          <w:highlight w:val="yellow"/>
        </w:rPr>
        <w:t>. Guidelines for the screening,</w:t>
      </w:r>
      <w:r w:rsidRPr="00085D76">
        <w:rPr>
          <w:rFonts w:ascii="Book Antiqua" w:eastAsia="Book Antiqua" w:hAnsi="Book Antiqua" w:cs="Book Antiqua"/>
          <w:color w:val="000000"/>
          <w:highlight w:val="yellow"/>
        </w:rPr>
        <w:t xml:space="preserve"> care and treatment of persons with hepatitis C infection. April 2016</w:t>
      </w:r>
      <w:r w:rsidR="00B60597" w:rsidRPr="00085D76">
        <w:rPr>
          <w:rFonts w:ascii="Book Antiqua" w:eastAsia="Book Antiqua" w:hAnsi="Book Antiqua" w:cs="Book Antiqua"/>
          <w:color w:val="000000"/>
          <w:highlight w:val="yellow"/>
        </w:rPr>
        <w:t>.</w:t>
      </w:r>
      <w:r w:rsidR="00D6020E" w:rsidRPr="00085D76">
        <w:rPr>
          <w:rFonts w:ascii="Book Antiqua" w:eastAsia="Book Antiqua" w:hAnsi="Book Antiqua" w:cs="Book Antiqua"/>
          <w:color w:val="000000"/>
          <w:highlight w:val="yellow"/>
        </w:rPr>
        <w:t xml:space="preserve"> [cited</w:t>
      </w:r>
      <w:r w:rsidR="00932566" w:rsidRPr="00085D76">
        <w:rPr>
          <w:rFonts w:ascii="Book Antiqua" w:eastAsia="Book Antiqua" w:hAnsi="Book Antiqua" w:cs="Book Antiqua"/>
          <w:color w:val="000000"/>
          <w:highlight w:val="yellow"/>
        </w:rPr>
        <w:t xml:space="preserve"> 23 February 2021</w:t>
      </w:r>
      <w:r w:rsidR="00D6020E" w:rsidRPr="00085D76">
        <w:rPr>
          <w:rFonts w:ascii="Book Antiqua" w:eastAsia="Book Antiqua" w:hAnsi="Book Antiqua" w:cs="Book Antiqua"/>
          <w:color w:val="000000"/>
          <w:highlight w:val="yellow"/>
        </w:rPr>
        <w:t>]</w:t>
      </w:r>
      <w:r w:rsidRPr="00085D76">
        <w:rPr>
          <w:rFonts w:ascii="Book Antiqua" w:eastAsia="Book Antiqua" w:hAnsi="Book Antiqua" w:cs="Book Antiqua"/>
          <w:color w:val="000000"/>
          <w:highlight w:val="yellow"/>
        </w:rPr>
        <w:t xml:space="preserve"> </w:t>
      </w:r>
      <w:r w:rsidR="0056553E" w:rsidRPr="00085D76">
        <w:rPr>
          <w:rFonts w:ascii="Book Antiqua" w:eastAsia="Book Antiqua" w:hAnsi="Book Antiqua" w:cs="Book Antiqua"/>
          <w:caps/>
          <w:color w:val="000000"/>
          <w:highlight w:val="yellow"/>
        </w:rPr>
        <w:t>a</w:t>
      </w:r>
      <w:r w:rsidR="0056553E" w:rsidRPr="00085D76">
        <w:rPr>
          <w:rFonts w:ascii="Book Antiqua" w:eastAsia="Book Antiqua" w:hAnsi="Book Antiqua" w:cs="Book Antiqua"/>
          <w:color w:val="000000"/>
          <w:highlight w:val="yellow"/>
        </w:rPr>
        <w:t xml:space="preserve">vailable from: </w:t>
      </w:r>
      <w:hyperlink r:id="rId7" w:history="1">
        <w:r w:rsidR="001B392E" w:rsidRPr="00085D76">
          <w:rPr>
            <w:rStyle w:val="a7"/>
            <w:rFonts w:ascii="Book Antiqua" w:eastAsia="Book Antiqua" w:hAnsi="Book Antiqua" w:cs="Book Antiqua"/>
            <w:highlight w:val="yellow"/>
          </w:rPr>
          <w:t>http://apps.who.int/iris/bitstream/10665/205035/1/9789241549615_eng.pdf?ua=1</w:t>
        </w:r>
      </w:hyperlink>
      <w:r w:rsidR="001B392E" w:rsidRPr="00085D76">
        <w:rPr>
          <w:rFonts w:ascii="Book Antiqua" w:eastAsia="Book Antiqua" w:hAnsi="Book Antiqua" w:cs="Book Antiqua"/>
          <w:color w:val="000000"/>
          <w:highlight w:val="yellow"/>
        </w:rPr>
        <w:t xml:space="preserve"> </w:t>
      </w:r>
    </w:p>
    <w:p w14:paraId="705A4C6D" w14:textId="51651E54" w:rsidR="00A77B3E" w:rsidRPr="00085D76" w:rsidRDefault="00EC02D8" w:rsidP="00AE50D3">
      <w:pPr>
        <w:snapToGrid w:val="0"/>
        <w:spacing w:line="360" w:lineRule="auto"/>
        <w:jc w:val="both"/>
        <w:rPr>
          <w:rFonts w:ascii="Book Antiqua" w:hAnsi="Book Antiqua"/>
          <w:highlight w:val="yellow"/>
        </w:rPr>
      </w:pPr>
      <w:r w:rsidRPr="00085D76">
        <w:rPr>
          <w:rFonts w:ascii="Book Antiqua" w:eastAsia="Book Antiqua" w:hAnsi="Book Antiqua" w:cs="Book Antiqua"/>
          <w:color w:val="000000"/>
          <w:highlight w:val="yellow"/>
        </w:rPr>
        <w:t>2</w:t>
      </w:r>
      <w:r w:rsidR="00174F95" w:rsidRPr="00085D76">
        <w:rPr>
          <w:rFonts w:ascii="Book Antiqua" w:eastAsia="Book Antiqua" w:hAnsi="Book Antiqua" w:cs="Book Antiqua"/>
          <w:color w:val="000000"/>
          <w:highlight w:val="yellow"/>
        </w:rPr>
        <w:t xml:space="preserve"> </w:t>
      </w:r>
      <w:r w:rsidRPr="00085D76">
        <w:rPr>
          <w:rFonts w:ascii="Book Antiqua" w:eastAsia="Book Antiqua" w:hAnsi="Book Antiqua" w:cs="Book Antiqua"/>
          <w:b/>
          <w:color w:val="000000"/>
          <w:highlight w:val="yellow"/>
        </w:rPr>
        <w:t>WHO</w:t>
      </w:r>
      <w:r w:rsidRPr="00085D76">
        <w:rPr>
          <w:rFonts w:ascii="Book Antiqua" w:eastAsia="Book Antiqua" w:hAnsi="Book Antiqua" w:cs="Book Antiqua"/>
          <w:color w:val="000000"/>
          <w:highlight w:val="yellow"/>
        </w:rPr>
        <w:t>. Global health sector strategy on viral hepatitis 2016-2021: towards ending viral hepatitis</w:t>
      </w:r>
      <w:r w:rsidR="0056553E" w:rsidRPr="00085D76">
        <w:rPr>
          <w:rFonts w:ascii="Book Antiqua" w:eastAsia="Book Antiqua" w:hAnsi="Book Antiqua" w:cs="Book Antiqua"/>
          <w:color w:val="000000"/>
          <w:highlight w:val="yellow"/>
        </w:rPr>
        <w:t xml:space="preserve">. </w:t>
      </w:r>
      <w:r w:rsidR="00FF68A8" w:rsidRPr="00085D76">
        <w:rPr>
          <w:rFonts w:ascii="Book Antiqua" w:eastAsia="Book Antiqua" w:hAnsi="Book Antiqua" w:cs="Book Antiqua"/>
          <w:color w:val="000000"/>
          <w:highlight w:val="yellow"/>
        </w:rPr>
        <w:t xml:space="preserve">2016 </w:t>
      </w:r>
      <w:r w:rsidR="00C7041C" w:rsidRPr="00085D76">
        <w:rPr>
          <w:rFonts w:ascii="Book Antiqua" w:eastAsia="Book Antiqua" w:hAnsi="Book Antiqua" w:cs="Book Antiqua"/>
          <w:color w:val="000000"/>
          <w:highlight w:val="yellow"/>
        </w:rPr>
        <w:t>[cited</w:t>
      </w:r>
      <w:r w:rsidR="00932566" w:rsidRPr="00085D76">
        <w:rPr>
          <w:rFonts w:ascii="Book Antiqua" w:eastAsia="Book Antiqua" w:hAnsi="Book Antiqua" w:cs="Book Antiqua"/>
          <w:color w:val="000000"/>
          <w:highlight w:val="yellow"/>
        </w:rPr>
        <w:t xml:space="preserve"> 23 February 2021</w:t>
      </w:r>
      <w:r w:rsidR="00C7041C" w:rsidRPr="00085D76">
        <w:rPr>
          <w:rFonts w:ascii="Book Antiqua" w:eastAsia="Book Antiqua" w:hAnsi="Book Antiqua" w:cs="Book Antiqua"/>
          <w:color w:val="000000"/>
          <w:highlight w:val="yellow"/>
        </w:rPr>
        <w:t>]</w:t>
      </w:r>
      <w:r w:rsidR="00932566" w:rsidRPr="00085D76">
        <w:rPr>
          <w:rFonts w:ascii="Book Antiqua" w:eastAsia="Book Antiqua" w:hAnsi="Book Antiqua" w:cs="Book Antiqua"/>
          <w:color w:val="000000"/>
          <w:highlight w:val="yellow"/>
        </w:rPr>
        <w:t xml:space="preserve"> </w:t>
      </w:r>
      <w:r w:rsidR="0056553E" w:rsidRPr="00085D76">
        <w:rPr>
          <w:rFonts w:ascii="Book Antiqua" w:eastAsia="Book Antiqua" w:hAnsi="Book Antiqua" w:cs="Book Antiqua"/>
          <w:caps/>
          <w:color w:val="000000"/>
          <w:highlight w:val="yellow"/>
        </w:rPr>
        <w:t>a</w:t>
      </w:r>
      <w:r w:rsidR="0056553E" w:rsidRPr="00085D76">
        <w:rPr>
          <w:rFonts w:ascii="Book Antiqua" w:eastAsia="Book Antiqua" w:hAnsi="Book Antiqua" w:cs="Book Antiqua"/>
          <w:color w:val="000000"/>
          <w:highlight w:val="yellow"/>
        </w:rPr>
        <w:t xml:space="preserve">vailable from: </w:t>
      </w:r>
      <w:hyperlink r:id="rId8" w:history="1">
        <w:r w:rsidR="00FF68A8" w:rsidRPr="00085D76">
          <w:rPr>
            <w:rStyle w:val="a7"/>
            <w:rFonts w:ascii="Book Antiqua" w:eastAsia="Book Antiqua" w:hAnsi="Book Antiqua" w:cs="Book Antiqua"/>
            <w:highlight w:val="yellow"/>
          </w:rPr>
          <w:t>http://apps.who.int/iris/bitstream/10665/246177/1/WHO-HIV-2016.06-eng.pdf?ua=1</w:t>
        </w:r>
      </w:hyperlink>
      <w:r w:rsidR="00FF68A8" w:rsidRPr="00085D76">
        <w:rPr>
          <w:rFonts w:ascii="Book Antiqua" w:eastAsia="Book Antiqua" w:hAnsi="Book Antiqua" w:cs="Book Antiqua"/>
          <w:color w:val="000000"/>
          <w:highlight w:val="yellow"/>
        </w:rPr>
        <w:t xml:space="preserve"> </w:t>
      </w:r>
    </w:p>
    <w:p w14:paraId="5332D2A1" w14:textId="6FE5F952" w:rsidR="00A77B3E" w:rsidRPr="00085D76" w:rsidRDefault="00EC02D8" w:rsidP="00AE50D3">
      <w:pPr>
        <w:snapToGrid w:val="0"/>
        <w:spacing w:line="360" w:lineRule="auto"/>
        <w:jc w:val="both"/>
        <w:rPr>
          <w:rFonts w:ascii="Book Antiqua" w:hAnsi="Book Antiqua"/>
          <w:highlight w:val="yellow"/>
        </w:rPr>
      </w:pPr>
      <w:r w:rsidRPr="00085D76">
        <w:rPr>
          <w:rFonts w:ascii="Book Antiqua" w:eastAsia="Book Antiqua" w:hAnsi="Book Antiqua" w:cs="Book Antiqua"/>
          <w:color w:val="000000"/>
          <w:highlight w:val="yellow"/>
        </w:rPr>
        <w:t>3</w:t>
      </w:r>
      <w:r w:rsidR="00174F95" w:rsidRPr="00085D76">
        <w:rPr>
          <w:rFonts w:ascii="Book Antiqua" w:eastAsia="Book Antiqua" w:hAnsi="Book Antiqua" w:cs="Book Antiqua"/>
          <w:color w:val="000000"/>
          <w:highlight w:val="yellow"/>
        </w:rPr>
        <w:t xml:space="preserve"> </w:t>
      </w:r>
      <w:r w:rsidRPr="00085D76">
        <w:rPr>
          <w:rFonts w:ascii="Book Antiqua" w:eastAsia="Book Antiqua" w:hAnsi="Book Antiqua" w:cs="Book Antiqua"/>
          <w:b/>
          <w:bCs/>
          <w:color w:val="000000"/>
          <w:highlight w:val="yellow"/>
        </w:rPr>
        <w:t>WHO</w:t>
      </w:r>
      <w:r w:rsidRPr="00085D76">
        <w:rPr>
          <w:rFonts w:ascii="Book Antiqua" w:eastAsia="Book Antiqua" w:hAnsi="Book Antiqua" w:cs="Book Antiqua"/>
          <w:bCs/>
          <w:color w:val="000000"/>
          <w:highlight w:val="yellow"/>
        </w:rPr>
        <w:t>. Global Hepatitis report,</w:t>
      </w:r>
      <w:r w:rsidRPr="00085D76">
        <w:rPr>
          <w:rFonts w:ascii="Book Antiqua" w:eastAsia="Book Antiqua" w:hAnsi="Book Antiqua" w:cs="Book Antiqua"/>
          <w:color w:val="000000"/>
          <w:highlight w:val="yellow"/>
        </w:rPr>
        <w:t xml:space="preserve"> 2017</w:t>
      </w:r>
      <w:r w:rsidR="0056553E" w:rsidRPr="00085D76">
        <w:rPr>
          <w:rFonts w:ascii="Book Antiqua" w:eastAsia="Book Antiqua" w:hAnsi="Book Antiqua" w:cs="Book Antiqua"/>
          <w:color w:val="000000"/>
          <w:highlight w:val="yellow"/>
        </w:rPr>
        <w:t>.</w:t>
      </w:r>
      <w:r w:rsidRPr="00085D76">
        <w:rPr>
          <w:rFonts w:ascii="Book Antiqua" w:eastAsia="Book Antiqua" w:hAnsi="Book Antiqua" w:cs="Book Antiqua"/>
          <w:color w:val="000000"/>
          <w:highlight w:val="yellow"/>
        </w:rPr>
        <w:t xml:space="preserve"> </w:t>
      </w:r>
      <w:r w:rsidR="00C7041C" w:rsidRPr="00085D76">
        <w:rPr>
          <w:rFonts w:ascii="Book Antiqua" w:eastAsia="Book Antiqua" w:hAnsi="Book Antiqua" w:cs="Book Antiqua"/>
          <w:color w:val="000000"/>
          <w:highlight w:val="yellow"/>
        </w:rPr>
        <w:t>[cited</w:t>
      </w:r>
      <w:r w:rsidR="00932566" w:rsidRPr="00085D76">
        <w:rPr>
          <w:rFonts w:ascii="Book Antiqua" w:eastAsia="Book Antiqua" w:hAnsi="Book Antiqua" w:cs="Book Antiqua"/>
          <w:color w:val="000000"/>
          <w:highlight w:val="yellow"/>
        </w:rPr>
        <w:t xml:space="preserve"> 23 February 2021</w:t>
      </w:r>
      <w:r w:rsidR="00C7041C" w:rsidRPr="00085D76">
        <w:rPr>
          <w:rFonts w:ascii="Book Antiqua" w:eastAsia="Book Antiqua" w:hAnsi="Book Antiqua" w:cs="Book Antiqua"/>
          <w:color w:val="000000"/>
          <w:highlight w:val="yellow"/>
        </w:rPr>
        <w:t>]</w:t>
      </w:r>
      <w:r w:rsidR="00932566" w:rsidRPr="00085D76">
        <w:rPr>
          <w:rFonts w:ascii="Book Antiqua" w:eastAsia="Book Antiqua" w:hAnsi="Book Antiqua" w:cs="Book Antiqua"/>
          <w:color w:val="000000"/>
          <w:highlight w:val="yellow"/>
        </w:rPr>
        <w:t xml:space="preserve"> </w:t>
      </w:r>
      <w:r w:rsidRPr="00085D76">
        <w:rPr>
          <w:rFonts w:ascii="Book Antiqua" w:eastAsia="Book Antiqua" w:hAnsi="Book Antiqua" w:cs="Book Antiqua"/>
          <w:caps/>
          <w:color w:val="000000"/>
          <w:highlight w:val="yellow"/>
        </w:rPr>
        <w:t>a</w:t>
      </w:r>
      <w:r w:rsidRPr="00085D76">
        <w:rPr>
          <w:rFonts w:ascii="Book Antiqua" w:eastAsia="Book Antiqua" w:hAnsi="Book Antiqua" w:cs="Book Antiqua"/>
          <w:color w:val="000000"/>
          <w:highlight w:val="yellow"/>
        </w:rPr>
        <w:t xml:space="preserve">vailable </w:t>
      </w:r>
      <w:r w:rsidR="0056553E" w:rsidRPr="00085D76">
        <w:rPr>
          <w:rFonts w:ascii="Book Antiqua" w:eastAsia="Book Antiqua" w:hAnsi="Book Antiqua" w:cs="Book Antiqua"/>
          <w:color w:val="000000"/>
          <w:highlight w:val="yellow"/>
        </w:rPr>
        <w:t>from</w:t>
      </w:r>
      <w:r w:rsidRPr="00085D76">
        <w:rPr>
          <w:rFonts w:ascii="Book Antiqua" w:eastAsia="Book Antiqua" w:hAnsi="Book Antiqua" w:cs="Book Antiqua"/>
          <w:color w:val="000000"/>
          <w:highlight w:val="yellow"/>
        </w:rPr>
        <w:t xml:space="preserve">: </w:t>
      </w:r>
      <w:hyperlink r:id="rId9" w:history="1">
        <w:r w:rsidR="00FD1C12" w:rsidRPr="00085D76">
          <w:rPr>
            <w:rStyle w:val="a7"/>
            <w:rFonts w:ascii="Book Antiqua" w:eastAsia="Book Antiqua" w:hAnsi="Book Antiqua" w:cs="Book Antiqua"/>
            <w:highlight w:val="yellow"/>
          </w:rPr>
          <w:t>http://apps.who.int/iris/bitstream/10665/255016/1/9789241565455-eng.pdf?ua=1</w:t>
        </w:r>
      </w:hyperlink>
      <w:r w:rsidR="00FD1C12" w:rsidRPr="00085D76">
        <w:rPr>
          <w:rFonts w:ascii="Book Antiqua" w:eastAsia="Book Antiqua" w:hAnsi="Book Antiqua" w:cs="Book Antiqua"/>
          <w:color w:val="000000"/>
          <w:highlight w:val="yellow"/>
        </w:rPr>
        <w:t xml:space="preserve"> </w:t>
      </w:r>
    </w:p>
    <w:p w14:paraId="5FC74D04" w14:textId="649ABED7" w:rsidR="00A77B3E" w:rsidRPr="002850AE" w:rsidRDefault="00EC02D8" w:rsidP="00AE50D3">
      <w:pPr>
        <w:snapToGrid w:val="0"/>
        <w:spacing w:line="360" w:lineRule="auto"/>
        <w:jc w:val="both"/>
        <w:rPr>
          <w:rFonts w:ascii="Book Antiqua" w:hAnsi="Book Antiqua"/>
        </w:rPr>
      </w:pPr>
      <w:r w:rsidRPr="00085D76">
        <w:rPr>
          <w:rFonts w:ascii="Book Antiqua" w:eastAsia="Book Antiqua" w:hAnsi="Book Antiqua" w:cs="Book Antiqua"/>
          <w:color w:val="000000"/>
          <w:highlight w:val="yellow"/>
        </w:rPr>
        <w:t>4</w:t>
      </w:r>
      <w:r w:rsidR="00A643EC" w:rsidRPr="00085D76">
        <w:rPr>
          <w:rFonts w:ascii="Book Antiqua" w:eastAsia="Book Antiqua" w:hAnsi="Book Antiqua" w:cs="Book Antiqua"/>
          <w:color w:val="000000"/>
          <w:highlight w:val="yellow"/>
        </w:rPr>
        <w:t xml:space="preserve"> </w:t>
      </w:r>
      <w:r w:rsidRPr="00085D76">
        <w:rPr>
          <w:rFonts w:ascii="Book Antiqua" w:eastAsia="Book Antiqua" w:hAnsi="Book Antiqua" w:cs="Book Antiqua"/>
          <w:b/>
          <w:color w:val="000000"/>
          <w:highlight w:val="yellow"/>
        </w:rPr>
        <w:t>WHO</w:t>
      </w:r>
      <w:r w:rsidRPr="00085D76">
        <w:rPr>
          <w:rFonts w:ascii="Book Antiqua" w:eastAsia="Book Antiqua" w:hAnsi="Book Antiqua" w:cs="Book Antiqua"/>
          <w:color w:val="000000"/>
          <w:highlight w:val="yellow"/>
        </w:rPr>
        <w:t>. Guidelines on Hepatitis B and C testing. February 2017</w:t>
      </w:r>
      <w:r w:rsidR="00C7041C" w:rsidRPr="00085D76">
        <w:rPr>
          <w:rFonts w:ascii="Book Antiqua" w:eastAsia="Book Antiqua" w:hAnsi="Book Antiqua" w:cs="Book Antiqua"/>
          <w:color w:val="000000"/>
          <w:highlight w:val="yellow"/>
        </w:rPr>
        <w:t>.</w:t>
      </w:r>
      <w:r w:rsidRPr="00085D76">
        <w:rPr>
          <w:rFonts w:ascii="Book Antiqua" w:eastAsia="Book Antiqua" w:hAnsi="Book Antiqua" w:cs="Book Antiqua"/>
          <w:color w:val="000000"/>
          <w:highlight w:val="yellow"/>
        </w:rPr>
        <w:t xml:space="preserve"> </w:t>
      </w:r>
      <w:r w:rsidR="00C7041C" w:rsidRPr="00085D76">
        <w:rPr>
          <w:rFonts w:ascii="Book Antiqua" w:eastAsia="Book Antiqua" w:hAnsi="Book Antiqua" w:cs="Book Antiqua"/>
          <w:color w:val="000000"/>
          <w:highlight w:val="yellow"/>
        </w:rPr>
        <w:t xml:space="preserve">[cited </w:t>
      </w:r>
      <w:r w:rsidR="00932566" w:rsidRPr="00085D76">
        <w:rPr>
          <w:rFonts w:ascii="Book Antiqua" w:eastAsia="Book Antiqua" w:hAnsi="Book Antiqua" w:cs="Book Antiqua"/>
          <w:color w:val="000000"/>
          <w:highlight w:val="yellow"/>
        </w:rPr>
        <w:t>23 February 2021</w:t>
      </w:r>
      <w:r w:rsidR="00C7041C" w:rsidRPr="00085D76">
        <w:rPr>
          <w:rFonts w:ascii="Book Antiqua" w:eastAsia="Book Antiqua" w:hAnsi="Book Antiqua" w:cs="Book Antiqua"/>
          <w:color w:val="000000"/>
          <w:highlight w:val="yellow"/>
        </w:rPr>
        <w:t>]</w:t>
      </w:r>
      <w:r w:rsidR="008D1386" w:rsidRPr="00085D76">
        <w:rPr>
          <w:rFonts w:ascii="Book Antiqua" w:eastAsia="Book Antiqua" w:hAnsi="Book Antiqua" w:cs="Book Antiqua"/>
          <w:color w:val="000000"/>
          <w:highlight w:val="yellow"/>
        </w:rPr>
        <w:t xml:space="preserve"> </w:t>
      </w:r>
      <w:r w:rsidR="00FD1C12" w:rsidRPr="00085D76">
        <w:rPr>
          <w:rFonts w:ascii="Book Antiqua" w:eastAsia="Book Antiqua" w:hAnsi="Book Antiqua" w:cs="Book Antiqua"/>
          <w:caps/>
          <w:color w:val="000000"/>
          <w:highlight w:val="yellow"/>
        </w:rPr>
        <w:t>a</w:t>
      </w:r>
      <w:r w:rsidR="00FD1C12" w:rsidRPr="00085D76">
        <w:rPr>
          <w:rFonts w:ascii="Book Antiqua" w:eastAsia="Book Antiqua" w:hAnsi="Book Antiqua" w:cs="Book Antiqua"/>
          <w:color w:val="000000"/>
          <w:highlight w:val="yellow"/>
        </w:rPr>
        <w:t>vailable from</w:t>
      </w:r>
      <w:r w:rsidR="00CD64C5" w:rsidRPr="00085D76">
        <w:rPr>
          <w:rFonts w:ascii="Book Antiqua" w:eastAsia="Book Antiqua" w:hAnsi="Book Antiqua" w:cs="Book Antiqua"/>
          <w:color w:val="000000"/>
          <w:highlight w:val="yellow"/>
        </w:rPr>
        <w:t>:</w:t>
      </w:r>
      <w:r w:rsidRPr="00085D76">
        <w:rPr>
          <w:rFonts w:ascii="Book Antiqua" w:eastAsia="Book Antiqua" w:hAnsi="Book Antiqua" w:cs="Book Antiqua"/>
          <w:color w:val="000000"/>
          <w:highlight w:val="yellow"/>
        </w:rPr>
        <w:t xml:space="preserve"> </w:t>
      </w:r>
      <w:hyperlink r:id="rId10" w:history="1">
        <w:r w:rsidR="00FD1C12" w:rsidRPr="00085D76">
          <w:rPr>
            <w:rStyle w:val="a7"/>
            <w:rFonts w:ascii="Book Antiqua" w:eastAsia="Book Antiqua" w:hAnsi="Book Antiqua" w:cs="Book Antiqua"/>
            <w:highlight w:val="yellow"/>
          </w:rPr>
          <w:t>http://apps.who.int/iris/bitstream/10665/254621/1/9789241549981-eng.pdf?ua=1</w:t>
        </w:r>
      </w:hyperlink>
      <w:r w:rsidR="00FD1C12" w:rsidRPr="002850AE">
        <w:rPr>
          <w:rFonts w:ascii="Book Antiqua" w:eastAsia="Book Antiqua" w:hAnsi="Book Antiqua" w:cs="Book Antiqua"/>
          <w:color w:val="000000"/>
        </w:rPr>
        <w:t xml:space="preserve"> </w:t>
      </w:r>
    </w:p>
    <w:p w14:paraId="7BE28D2F"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5 </w:t>
      </w:r>
      <w:r w:rsidRPr="002850AE">
        <w:rPr>
          <w:rFonts w:ascii="Book Antiqua" w:eastAsia="Book Antiqua" w:hAnsi="Book Antiqua" w:cs="Book Antiqua"/>
          <w:b/>
          <w:bCs/>
          <w:color w:val="000000"/>
        </w:rPr>
        <w:t>Assefa Y</w:t>
      </w:r>
      <w:r w:rsidRPr="002850AE">
        <w:rPr>
          <w:rFonts w:ascii="Book Antiqua" w:eastAsia="Book Antiqua" w:hAnsi="Book Antiqua" w:cs="Book Antiqua"/>
          <w:color w:val="000000"/>
        </w:rPr>
        <w:t xml:space="preserve">, Hill PS, </w:t>
      </w:r>
      <w:proofErr w:type="spellStart"/>
      <w:r w:rsidRPr="002850AE">
        <w:rPr>
          <w:rFonts w:ascii="Book Antiqua" w:eastAsia="Book Antiqua" w:hAnsi="Book Antiqua" w:cs="Book Antiqua"/>
          <w:color w:val="000000"/>
        </w:rPr>
        <w:t>Ulikpan</w:t>
      </w:r>
      <w:proofErr w:type="spellEnd"/>
      <w:r w:rsidRPr="002850AE">
        <w:rPr>
          <w:rFonts w:ascii="Book Antiqua" w:eastAsia="Book Antiqua" w:hAnsi="Book Antiqua" w:cs="Book Antiqua"/>
          <w:color w:val="000000"/>
        </w:rPr>
        <w:t xml:space="preserve"> A, Williams OD. Access to medicines and hepatitis C in Africa: can tiered pricing and voluntary </w:t>
      </w:r>
      <w:proofErr w:type="spellStart"/>
      <w:r w:rsidRPr="002850AE">
        <w:rPr>
          <w:rFonts w:ascii="Book Antiqua" w:eastAsia="Book Antiqua" w:hAnsi="Book Antiqua" w:cs="Book Antiqua"/>
          <w:color w:val="000000"/>
        </w:rPr>
        <w:t>licencing</w:t>
      </w:r>
      <w:proofErr w:type="spellEnd"/>
      <w:r w:rsidRPr="002850AE">
        <w:rPr>
          <w:rFonts w:ascii="Book Antiqua" w:eastAsia="Book Antiqua" w:hAnsi="Book Antiqua" w:cs="Book Antiqua"/>
          <w:color w:val="000000"/>
        </w:rPr>
        <w:t xml:space="preserve"> assure universal access, health equity and fairness? </w:t>
      </w:r>
      <w:r w:rsidRPr="002850AE">
        <w:rPr>
          <w:rFonts w:ascii="Book Antiqua" w:eastAsia="Book Antiqua" w:hAnsi="Book Antiqua" w:cs="Book Antiqua"/>
          <w:i/>
          <w:iCs/>
          <w:color w:val="000000"/>
        </w:rPr>
        <w:t>Global Health</w:t>
      </w:r>
      <w:r w:rsidRPr="002850AE">
        <w:rPr>
          <w:rFonts w:ascii="Book Antiqua" w:eastAsia="Book Antiqua" w:hAnsi="Book Antiqua" w:cs="Book Antiqua"/>
          <w:color w:val="000000"/>
        </w:rPr>
        <w:t xml:space="preserve"> 2017; </w:t>
      </w:r>
      <w:r w:rsidRPr="002850AE">
        <w:rPr>
          <w:rFonts w:ascii="Book Antiqua" w:eastAsia="Book Antiqua" w:hAnsi="Book Antiqua" w:cs="Book Antiqua"/>
          <w:b/>
          <w:bCs/>
          <w:color w:val="000000"/>
        </w:rPr>
        <w:t>13</w:t>
      </w:r>
      <w:r w:rsidRPr="002850AE">
        <w:rPr>
          <w:rFonts w:ascii="Book Antiqua" w:eastAsia="Book Antiqua" w:hAnsi="Book Antiqua" w:cs="Book Antiqua"/>
          <w:color w:val="000000"/>
        </w:rPr>
        <w:t>: 73 [PMID: 28903757 DOI: 10.1186/s12992-017-0297-6</w:t>
      </w:r>
      <w:r w:rsidR="00FF68A8" w:rsidRPr="002850AE">
        <w:rPr>
          <w:rFonts w:ascii="Book Antiqua" w:eastAsia="Book Antiqua" w:hAnsi="Book Antiqua" w:cs="Book Antiqua"/>
          <w:color w:val="000000"/>
        </w:rPr>
        <w:t>]</w:t>
      </w:r>
    </w:p>
    <w:p w14:paraId="3D4F322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6 </w:t>
      </w:r>
      <w:r w:rsidRPr="002850AE">
        <w:rPr>
          <w:rFonts w:ascii="Book Antiqua" w:eastAsia="Book Antiqua" w:hAnsi="Book Antiqua" w:cs="Book Antiqua"/>
          <w:b/>
          <w:bCs/>
          <w:color w:val="000000"/>
        </w:rPr>
        <w:t>Gore C</w:t>
      </w:r>
      <w:r w:rsidRPr="002850AE">
        <w:rPr>
          <w:rFonts w:ascii="Book Antiqua" w:eastAsia="Book Antiqua" w:hAnsi="Book Antiqua" w:cs="Book Antiqua"/>
          <w:color w:val="000000"/>
        </w:rPr>
        <w:t xml:space="preserve">, Hicks J, </w:t>
      </w:r>
      <w:proofErr w:type="spellStart"/>
      <w:r w:rsidRPr="002850AE">
        <w:rPr>
          <w:rFonts w:ascii="Book Antiqua" w:eastAsia="Book Antiqua" w:hAnsi="Book Antiqua" w:cs="Book Antiqua"/>
          <w:color w:val="000000"/>
        </w:rPr>
        <w:t>Deelder</w:t>
      </w:r>
      <w:proofErr w:type="spellEnd"/>
      <w:r w:rsidRPr="002850AE">
        <w:rPr>
          <w:rFonts w:ascii="Book Antiqua" w:eastAsia="Book Antiqua" w:hAnsi="Book Antiqua" w:cs="Book Antiqua"/>
          <w:color w:val="000000"/>
        </w:rPr>
        <w:t xml:space="preserve"> W. Funding the elimination of viral hepatitis: donors needed. </w:t>
      </w:r>
      <w:r w:rsidRPr="002850AE">
        <w:rPr>
          <w:rFonts w:ascii="Book Antiqua" w:eastAsia="Book Antiqua" w:hAnsi="Book Antiqua" w:cs="Book Antiqua"/>
          <w:i/>
          <w:iCs/>
          <w:color w:val="000000"/>
        </w:rPr>
        <w:t>Lancet Gastroenterol Hepatol</w:t>
      </w:r>
      <w:r w:rsidRPr="002850AE">
        <w:rPr>
          <w:rFonts w:ascii="Book Antiqua" w:eastAsia="Book Antiqua" w:hAnsi="Book Antiqua" w:cs="Book Antiqua"/>
          <w:color w:val="000000"/>
        </w:rPr>
        <w:t xml:space="preserve"> 2017; </w:t>
      </w:r>
      <w:r w:rsidRPr="002850AE">
        <w:rPr>
          <w:rFonts w:ascii="Book Antiqua" w:eastAsia="Book Antiqua" w:hAnsi="Book Antiqua" w:cs="Book Antiqua"/>
          <w:b/>
          <w:bCs/>
          <w:color w:val="000000"/>
        </w:rPr>
        <w:t>2</w:t>
      </w:r>
      <w:r w:rsidRPr="002850AE">
        <w:rPr>
          <w:rFonts w:ascii="Book Antiqua" w:eastAsia="Book Antiqua" w:hAnsi="Book Antiqua" w:cs="Book Antiqua"/>
          <w:color w:val="000000"/>
        </w:rPr>
        <w:t>: 843-845 [PMID: 29100843 DOI: 10.1016/S2468-1253(17)30333-3</w:t>
      </w:r>
      <w:r w:rsidR="00FF68A8" w:rsidRPr="002850AE">
        <w:rPr>
          <w:rFonts w:ascii="Book Antiqua" w:eastAsia="Book Antiqua" w:hAnsi="Book Antiqua" w:cs="Book Antiqua"/>
          <w:color w:val="000000"/>
        </w:rPr>
        <w:t>]</w:t>
      </w:r>
    </w:p>
    <w:p w14:paraId="224388D7" w14:textId="77777777" w:rsidR="00A77B3E" w:rsidRPr="002850AE" w:rsidRDefault="00EC02D8" w:rsidP="00AE50D3">
      <w:pPr>
        <w:snapToGrid w:val="0"/>
        <w:spacing w:line="360" w:lineRule="auto"/>
        <w:jc w:val="both"/>
        <w:rPr>
          <w:rFonts w:ascii="Book Antiqua" w:eastAsia="Book Antiqua" w:hAnsi="Book Antiqua" w:cs="Book Antiqua"/>
          <w:color w:val="000000"/>
        </w:rPr>
      </w:pPr>
      <w:r w:rsidRPr="002850AE">
        <w:rPr>
          <w:rFonts w:ascii="Book Antiqua" w:eastAsia="Book Antiqua" w:hAnsi="Book Antiqua" w:cs="Book Antiqua"/>
          <w:color w:val="000000"/>
        </w:rPr>
        <w:t xml:space="preserve">7 </w:t>
      </w:r>
      <w:r w:rsidRPr="002850AE">
        <w:rPr>
          <w:rFonts w:ascii="Book Antiqua" w:eastAsia="Book Antiqua" w:hAnsi="Book Antiqua" w:cs="Book Antiqua"/>
          <w:b/>
          <w:bCs/>
          <w:color w:val="000000"/>
        </w:rPr>
        <w:t xml:space="preserve">De </w:t>
      </w:r>
      <w:proofErr w:type="spellStart"/>
      <w:r w:rsidRPr="002850AE">
        <w:rPr>
          <w:rFonts w:ascii="Book Antiqua" w:eastAsia="Book Antiqua" w:hAnsi="Book Antiqua" w:cs="Book Antiqua"/>
          <w:b/>
          <w:bCs/>
          <w:color w:val="000000"/>
        </w:rPr>
        <w:t>Weggheleire</w:t>
      </w:r>
      <w:proofErr w:type="spellEnd"/>
      <w:r w:rsidRPr="002850AE">
        <w:rPr>
          <w:rFonts w:ascii="Book Antiqua" w:eastAsia="Book Antiqua" w:hAnsi="Book Antiqua" w:cs="Book Antiqua"/>
          <w:b/>
          <w:bCs/>
          <w:color w:val="000000"/>
        </w:rPr>
        <w:t xml:space="preserve"> A</w:t>
      </w:r>
      <w:r w:rsidRPr="002850AE">
        <w:rPr>
          <w:rFonts w:ascii="Book Antiqua" w:eastAsia="Book Antiqua" w:hAnsi="Book Antiqua" w:cs="Book Antiqua"/>
          <w:color w:val="000000"/>
        </w:rPr>
        <w:t xml:space="preserve">, An S, De </w:t>
      </w:r>
      <w:proofErr w:type="spellStart"/>
      <w:r w:rsidRPr="002850AE">
        <w:rPr>
          <w:rFonts w:ascii="Book Antiqua" w:eastAsia="Book Antiqua" w:hAnsi="Book Antiqua" w:cs="Book Antiqua"/>
          <w:color w:val="000000"/>
        </w:rPr>
        <w:t>Baetselier</w:t>
      </w:r>
      <w:proofErr w:type="spellEnd"/>
      <w:r w:rsidRPr="002850AE">
        <w:rPr>
          <w:rFonts w:ascii="Book Antiqua" w:eastAsia="Book Antiqua" w:hAnsi="Book Antiqua" w:cs="Book Antiqua"/>
          <w:color w:val="000000"/>
        </w:rPr>
        <w:t xml:space="preserve"> I, </w:t>
      </w:r>
      <w:proofErr w:type="spellStart"/>
      <w:r w:rsidRPr="002850AE">
        <w:rPr>
          <w:rFonts w:ascii="Book Antiqua" w:eastAsia="Book Antiqua" w:hAnsi="Book Antiqua" w:cs="Book Antiqua"/>
          <w:color w:val="000000"/>
        </w:rPr>
        <w:t>Soeung</w:t>
      </w:r>
      <w:proofErr w:type="spellEnd"/>
      <w:r w:rsidRPr="002850AE">
        <w:rPr>
          <w:rFonts w:ascii="Book Antiqua" w:eastAsia="Book Antiqua" w:hAnsi="Book Antiqua" w:cs="Book Antiqua"/>
          <w:color w:val="000000"/>
        </w:rPr>
        <w:t xml:space="preserve"> P, </w:t>
      </w:r>
      <w:proofErr w:type="spellStart"/>
      <w:r w:rsidRPr="002850AE">
        <w:rPr>
          <w:rFonts w:ascii="Book Antiqua" w:eastAsia="Book Antiqua" w:hAnsi="Book Antiqua" w:cs="Book Antiqua"/>
          <w:color w:val="000000"/>
        </w:rPr>
        <w:t>Keath</w:t>
      </w:r>
      <w:proofErr w:type="spellEnd"/>
      <w:r w:rsidRPr="002850AE">
        <w:rPr>
          <w:rFonts w:ascii="Book Antiqua" w:eastAsia="Book Antiqua" w:hAnsi="Book Antiqua" w:cs="Book Antiqua"/>
          <w:color w:val="000000"/>
        </w:rPr>
        <w:t xml:space="preserve"> H, So V, Ros S, </w:t>
      </w:r>
      <w:proofErr w:type="spellStart"/>
      <w:r w:rsidRPr="002850AE">
        <w:rPr>
          <w:rFonts w:ascii="Book Antiqua" w:eastAsia="Book Antiqua" w:hAnsi="Book Antiqua" w:cs="Book Antiqua"/>
          <w:color w:val="000000"/>
        </w:rPr>
        <w:t>Teav</w:t>
      </w:r>
      <w:proofErr w:type="spellEnd"/>
      <w:r w:rsidRPr="002850AE">
        <w:rPr>
          <w:rFonts w:ascii="Book Antiqua" w:eastAsia="Book Antiqua" w:hAnsi="Book Antiqua" w:cs="Book Antiqua"/>
          <w:color w:val="000000"/>
        </w:rPr>
        <w:t xml:space="preserve"> S, </w:t>
      </w:r>
      <w:proofErr w:type="spellStart"/>
      <w:r w:rsidRPr="002850AE">
        <w:rPr>
          <w:rFonts w:ascii="Book Antiqua" w:eastAsia="Book Antiqua" w:hAnsi="Book Antiqua" w:cs="Book Antiqua"/>
          <w:color w:val="000000"/>
        </w:rPr>
        <w:t>Smekens</w:t>
      </w:r>
      <w:proofErr w:type="spellEnd"/>
      <w:r w:rsidRPr="002850AE">
        <w:rPr>
          <w:rFonts w:ascii="Book Antiqua" w:eastAsia="Book Antiqua" w:hAnsi="Book Antiqua" w:cs="Book Antiqua"/>
          <w:color w:val="000000"/>
        </w:rPr>
        <w:t xml:space="preserve"> B, </w:t>
      </w:r>
      <w:proofErr w:type="spellStart"/>
      <w:r w:rsidRPr="002850AE">
        <w:rPr>
          <w:rFonts w:ascii="Book Antiqua" w:eastAsia="Book Antiqua" w:hAnsi="Book Antiqua" w:cs="Book Antiqua"/>
          <w:color w:val="000000"/>
        </w:rPr>
        <w:t>Buyze</w:t>
      </w:r>
      <w:proofErr w:type="spellEnd"/>
      <w:r w:rsidRPr="002850AE">
        <w:rPr>
          <w:rFonts w:ascii="Book Antiqua" w:eastAsia="Book Antiqua" w:hAnsi="Book Antiqua" w:cs="Book Antiqua"/>
          <w:color w:val="000000"/>
        </w:rPr>
        <w:t xml:space="preserve"> J, Florence E, van </w:t>
      </w:r>
      <w:proofErr w:type="spellStart"/>
      <w:r w:rsidRPr="002850AE">
        <w:rPr>
          <w:rFonts w:ascii="Book Antiqua" w:eastAsia="Book Antiqua" w:hAnsi="Book Antiqua" w:cs="Book Antiqua"/>
          <w:color w:val="000000"/>
        </w:rPr>
        <w:t>Griensven</w:t>
      </w:r>
      <w:proofErr w:type="spellEnd"/>
      <w:r w:rsidRPr="002850AE">
        <w:rPr>
          <w:rFonts w:ascii="Book Antiqua" w:eastAsia="Book Antiqua" w:hAnsi="Book Antiqua" w:cs="Book Antiqua"/>
          <w:color w:val="000000"/>
        </w:rPr>
        <w:t xml:space="preserve"> J, Thai S, </w:t>
      </w:r>
      <w:proofErr w:type="spellStart"/>
      <w:r w:rsidRPr="002850AE">
        <w:rPr>
          <w:rFonts w:ascii="Book Antiqua" w:eastAsia="Book Antiqua" w:hAnsi="Book Antiqua" w:cs="Book Antiqua"/>
          <w:color w:val="000000"/>
        </w:rPr>
        <w:t>Francque</w:t>
      </w:r>
      <w:proofErr w:type="spellEnd"/>
      <w:r w:rsidRPr="002850AE">
        <w:rPr>
          <w:rFonts w:ascii="Book Antiqua" w:eastAsia="Book Antiqua" w:hAnsi="Book Antiqua" w:cs="Book Antiqua"/>
          <w:color w:val="000000"/>
        </w:rPr>
        <w:t xml:space="preserve"> S, Lynen L. A cross-sectional study of hepatitis C among people living with HIV in Cambodia: Prevalence, risk factors, and potential for targeted screening. </w:t>
      </w:r>
      <w:proofErr w:type="spellStart"/>
      <w:r w:rsidRPr="002850AE">
        <w:rPr>
          <w:rFonts w:ascii="Book Antiqua" w:eastAsia="Book Antiqua" w:hAnsi="Book Antiqua" w:cs="Book Antiqua"/>
          <w:i/>
          <w:iCs/>
          <w:color w:val="000000"/>
        </w:rPr>
        <w:t>PLoS</w:t>
      </w:r>
      <w:proofErr w:type="spellEnd"/>
      <w:r w:rsidRPr="002850AE">
        <w:rPr>
          <w:rFonts w:ascii="Book Antiqua" w:eastAsia="Book Antiqua" w:hAnsi="Book Antiqua" w:cs="Book Antiqua"/>
          <w:i/>
          <w:iCs/>
          <w:color w:val="000000"/>
        </w:rPr>
        <w:t xml:space="preserve"> One</w:t>
      </w:r>
      <w:r w:rsidRPr="002850AE">
        <w:rPr>
          <w:rFonts w:ascii="Book Antiqua" w:eastAsia="Book Antiqua" w:hAnsi="Book Antiqua" w:cs="Book Antiqua"/>
          <w:color w:val="000000"/>
        </w:rPr>
        <w:t xml:space="preserve"> 2017; </w:t>
      </w:r>
      <w:r w:rsidRPr="002850AE">
        <w:rPr>
          <w:rFonts w:ascii="Book Antiqua" w:eastAsia="Book Antiqua" w:hAnsi="Book Antiqua" w:cs="Book Antiqua"/>
          <w:b/>
          <w:bCs/>
          <w:color w:val="000000"/>
        </w:rPr>
        <w:t>12</w:t>
      </w:r>
      <w:r w:rsidRPr="002850AE">
        <w:rPr>
          <w:rFonts w:ascii="Book Antiqua" w:eastAsia="Book Antiqua" w:hAnsi="Book Antiqua" w:cs="Book Antiqua"/>
          <w:color w:val="000000"/>
        </w:rPr>
        <w:t>: e0183530 [PMID: 28832660 DOI: 10.1371/journal.pone.0183530</w:t>
      </w:r>
      <w:r w:rsidR="00FF68A8" w:rsidRPr="002850AE">
        <w:rPr>
          <w:rFonts w:ascii="Book Antiqua" w:eastAsia="Book Antiqua" w:hAnsi="Book Antiqua" w:cs="Book Antiqua"/>
          <w:color w:val="000000"/>
        </w:rPr>
        <w:t>]</w:t>
      </w:r>
    </w:p>
    <w:p w14:paraId="206F5A06" w14:textId="77777777" w:rsidR="00FB3DC8" w:rsidRPr="002850AE" w:rsidRDefault="00FB3DC8" w:rsidP="00AE50D3">
      <w:pPr>
        <w:snapToGrid w:val="0"/>
        <w:spacing w:line="360" w:lineRule="auto"/>
        <w:jc w:val="both"/>
        <w:rPr>
          <w:rFonts w:ascii="Book Antiqua" w:hAnsi="Book Antiqua"/>
        </w:rPr>
      </w:pPr>
      <w:r w:rsidRPr="002850AE">
        <w:rPr>
          <w:rFonts w:ascii="Book Antiqua" w:hAnsi="Book Antiqua"/>
        </w:rPr>
        <w:t xml:space="preserve">8 </w:t>
      </w:r>
      <w:proofErr w:type="spellStart"/>
      <w:r w:rsidRPr="002850AE">
        <w:rPr>
          <w:rFonts w:ascii="Book Antiqua" w:hAnsi="Book Antiqua"/>
          <w:b/>
        </w:rPr>
        <w:t>Loarec</w:t>
      </w:r>
      <w:proofErr w:type="spellEnd"/>
      <w:r w:rsidRPr="002850AE">
        <w:rPr>
          <w:rFonts w:ascii="Book Antiqua" w:hAnsi="Book Antiqua"/>
          <w:b/>
        </w:rPr>
        <w:t xml:space="preserve"> A</w:t>
      </w:r>
      <w:r w:rsidRPr="002850AE">
        <w:rPr>
          <w:rFonts w:ascii="Book Antiqua" w:hAnsi="Book Antiqua"/>
        </w:rPr>
        <w:t xml:space="preserve">, </w:t>
      </w:r>
      <w:proofErr w:type="spellStart"/>
      <w:r w:rsidRPr="002850AE">
        <w:rPr>
          <w:rFonts w:ascii="Book Antiqua" w:hAnsi="Book Antiqua"/>
        </w:rPr>
        <w:t>Carnimeo</w:t>
      </w:r>
      <w:proofErr w:type="spellEnd"/>
      <w:r w:rsidRPr="002850AE">
        <w:rPr>
          <w:rFonts w:ascii="Book Antiqua" w:hAnsi="Book Antiqua"/>
        </w:rPr>
        <w:t xml:space="preserve"> V, </w:t>
      </w:r>
      <w:proofErr w:type="spellStart"/>
      <w:r w:rsidRPr="002850AE">
        <w:rPr>
          <w:rFonts w:ascii="Book Antiqua" w:hAnsi="Book Antiqua"/>
        </w:rPr>
        <w:t>Maman</w:t>
      </w:r>
      <w:proofErr w:type="spellEnd"/>
      <w:r w:rsidRPr="002850AE">
        <w:rPr>
          <w:rFonts w:ascii="Book Antiqua" w:hAnsi="Book Antiqua"/>
        </w:rPr>
        <w:t xml:space="preserve"> D, </w:t>
      </w:r>
      <w:proofErr w:type="spellStart"/>
      <w:r w:rsidRPr="002850AE">
        <w:rPr>
          <w:rFonts w:ascii="Book Antiqua" w:hAnsi="Book Antiqua"/>
        </w:rPr>
        <w:t>Molfino</w:t>
      </w:r>
      <w:proofErr w:type="spellEnd"/>
      <w:r w:rsidRPr="002850AE">
        <w:rPr>
          <w:rFonts w:ascii="Book Antiqua" w:hAnsi="Book Antiqua"/>
        </w:rPr>
        <w:t xml:space="preserve"> L, Walter K, </w:t>
      </w:r>
      <w:proofErr w:type="spellStart"/>
      <w:r w:rsidRPr="002850AE">
        <w:rPr>
          <w:rFonts w:ascii="Book Antiqua" w:hAnsi="Book Antiqua"/>
        </w:rPr>
        <w:t>Nzomukunda</w:t>
      </w:r>
      <w:proofErr w:type="spellEnd"/>
      <w:r w:rsidRPr="002850AE">
        <w:rPr>
          <w:rFonts w:ascii="Book Antiqua" w:hAnsi="Book Antiqua"/>
        </w:rPr>
        <w:t xml:space="preserve"> Y,</w:t>
      </w:r>
      <w:r w:rsidR="0073380E" w:rsidRPr="002850AE">
        <w:rPr>
          <w:rFonts w:ascii="Book Antiqua" w:hAnsi="Book Antiqua"/>
        </w:rPr>
        <w:t xml:space="preserve"> </w:t>
      </w:r>
      <w:proofErr w:type="spellStart"/>
      <w:r w:rsidRPr="002850AE">
        <w:rPr>
          <w:rFonts w:ascii="Book Antiqua" w:hAnsi="Book Antiqua"/>
        </w:rPr>
        <w:t>Muyindike</w:t>
      </w:r>
      <w:proofErr w:type="spellEnd"/>
      <w:r w:rsidRPr="002850AE">
        <w:rPr>
          <w:rFonts w:ascii="Book Antiqua" w:hAnsi="Book Antiqua"/>
        </w:rPr>
        <w:t xml:space="preserve"> W, </w:t>
      </w:r>
      <w:proofErr w:type="spellStart"/>
      <w:r w:rsidRPr="002850AE">
        <w:rPr>
          <w:rFonts w:ascii="Book Antiqua" w:hAnsi="Book Antiqua"/>
        </w:rPr>
        <w:t>Andrieux</w:t>
      </w:r>
      <w:proofErr w:type="spellEnd"/>
      <w:r w:rsidRPr="002850AE">
        <w:rPr>
          <w:rFonts w:ascii="Book Antiqua" w:hAnsi="Book Antiqua"/>
        </w:rPr>
        <w:t>-Meyer I, Balkan S, Mwanga-</w:t>
      </w:r>
      <w:proofErr w:type="spellStart"/>
      <w:r w:rsidRPr="002850AE">
        <w:rPr>
          <w:rFonts w:ascii="Book Antiqua" w:hAnsi="Book Antiqua"/>
        </w:rPr>
        <w:t>Amumpaire</w:t>
      </w:r>
      <w:proofErr w:type="spellEnd"/>
      <w:r w:rsidRPr="002850AE">
        <w:rPr>
          <w:rFonts w:ascii="Book Antiqua" w:hAnsi="Book Antiqua"/>
        </w:rPr>
        <w:t xml:space="preserve"> J, </w:t>
      </w:r>
      <w:r w:rsidR="00932702" w:rsidRPr="002850AE">
        <w:rPr>
          <w:rFonts w:ascii="Book Antiqua" w:hAnsi="Book Antiqua"/>
        </w:rPr>
        <w:t>Bygrave H</w:t>
      </w:r>
      <w:r w:rsidRPr="002850AE">
        <w:rPr>
          <w:rFonts w:ascii="Book Antiqua" w:hAnsi="Book Antiqua"/>
        </w:rPr>
        <w:t xml:space="preserve">. </w:t>
      </w:r>
      <w:proofErr w:type="spellStart"/>
      <w:r w:rsidRPr="002850AE">
        <w:rPr>
          <w:rFonts w:ascii="Book Antiqua" w:hAnsi="Book Antiqua"/>
        </w:rPr>
        <w:t>Lowhepatitis</w:t>
      </w:r>
      <w:proofErr w:type="spellEnd"/>
      <w:r w:rsidRPr="002850AE">
        <w:rPr>
          <w:rFonts w:ascii="Book Antiqua" w:hAnsi="Book Antiqua"/>
        </w:rPr>
        <w:t xml:space="preserve"> C virus prevalence among human immunodeficiency </w:t>
      </w:r>
      <w:proofErr w:type="spellStart"/>
      <w:r w:rsidRPr="002850AE">
        <w:rPr>
          <w:rFonts w:ascii="Book Antiqua" w:hAnsi="Book Antiqua"/>
        </w:rPr>
        <w:t>virus+individuals</w:t>
      </w:r>
      <w:proofErr w:type="spellEnd"/>
      <w:r w:rsidRPr="002850AE">
        <w:rPr>
          <w:rFonts w:ascii="Book Antiqua" w:hAnsi="Book Antiqua"/>
        </w:rPr>
        <w:t xml:space="preserve"> in Sub-Saharan Africa. </w:t>
      </w:r>
      <w:r w:rsidRPr="002850AE">
        <w:rPr>
          <w:rFonts w:ascii="Book Antiqua" w:hAnsi="Book Antiqua"/>
          <w:i/>
        </w:rPr>
        <w:t xml:space="preserve">J Hepatol </w:t>
      </w:r>
      <w:r w:rsidRPr="002850AE">
        <w:rPr>
          <w:rFonts w:ascii="Book Antiqua" w:hAnsi="Book Antiqua"/>
        </w:rPr>
        <w:t xml:space="preserve">2017; </w:t>
      </w:r>
      <w:r w:rsidRPr="002850AE">
        <w:rPr>
          <w:rFonts w:ascii="Book Antiqua" w:hAnsi="Book Antiqua"/>
          <w:b/>
        </w:rPr>
        <w:t>66</w:t>
      </w:r>
      <w:r w:rsidRPr="002850AE">
        <w:rPr>
          <w:rFonts w:ascii="Book Antiqua" w:hAnsi="Book Antiqua"/>
        </w:rPr>
        <w:t>: S270–S271</w:t>
      </w:r>
      <w:r w:rsidR="00AF4C31" w:rsidRPr="002850AE">
        <w:rPr>
          <w:rFonts w:ascii="Book Antiqua" w:hAnsi="Book Antiqua"/>
        </w:rPr>
        <w:t xml:space="preserve"> [DOI</w:t>
      </w:r>
      <w:r w:rsidR="00AF4C31" w:rsidRPr="002850AE">
        <w:rPr>
          <w:rFonts w:ascii="Book Antiqua" w:hAnsi="Book Antiqua"/>
          <w:lang w:eastAsia="zh-CN"/>
        </w:rPr>
        <w:t xml:space="preserve">: </w:t>
      </w:r>
      <w:r w:rsidR="00AF4C31" w:rsidRPr="002850AE">
        <w:rPr>
          <w:rFonts w:ascii="Book Antiqua" w:hAnsi="Book Antiqua"/>
        </w:rPr>
        <w:t>10.1016/S0168-8278(17)30854-1]</w:t>
      </w:r>
    </w:p>
    <w:p w14:paraId="6ADD60B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9 </w:t>
      </w:r>
      <w:proofErr w:type="spellStart"/>
      <w:r w:rsidRPr="002850AE">
        <w:rPr>
          <w:rFonts w:ascii="Book Antiqua" w:eastAsia="Book Antiqua" w:hAnsi="Book Antiqua" w:cs="Book Antiqua"/>
          <w:b/>
          <w:bCs/>
          <w:color w:val="000000"/>
        </w:rPr>
        <w:t>Jaquet</w:t>
      </w:r>
      <w:proofErr w:type="spellEnd"/>
      <w:r w:rsidRPr="002850AE">
        <w:rPr>
          <w:rFonts w:ascii="Book Antiqua" w:eastAsia="Book Antiqua" w:hAnsi="Book Antiqua" w:cs="Book Antiqua"/>
          <w:b/>
          <w:bCs/>
          <w:color w:val="000000"/>
        </w:rPr>
        <w:t xml:space="preserve"> A</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Wandeler</w:t>
      </w:r>
      <w:proofErr w:type="spellEnd"/>
      <w:r w:rsidRPr="002850AE">
        <w:rPr>
          <w:rFonts w:ascii="Book Antiqua" w:eastAsia="Book Antiqua" w:hAnsi="Book Antiqua" w:cs="Book Antiqua"/>
          <w:color w:val="000000"/>
        </w:rPr>
        <w:t xml:space="preserve"> G, </w:t>
      </w:r>
      <w:proofErr w:type="spellStart"/>
      <w:r w:rsidRPr="002850AE">
        <w:rPr>
          <w:rFonts w:ascii="Book Antiqua" w:eastAsia="Book Antiqua" w:hAnsi="Book Antiqua" w:cs="Book Antiqua"/>
          <w:color w:val="000000"/>
        </w:rPr>
        <w:t>Nouaman</w:t>
      </w:r>
      <w:proofErr w:type="spellEnd"/>
      <w:r w:rsidRPr="002850AE">
        <w:rPr>
          <w:rFonts w:ascii="Book Antiqua" w:eastAsia="Book Antiqua" w:hAnsi="Book Antiqua" w:cs="Book Antiqua"/>
          <w:color w:val="000000"/>
        </w:rPr>
        <w:t xml:space="preserve"> M, </w:t>
      </w:r>
      <w:proofErr w:type="spellStart"/>
      <w:r w:rsidRPr="002850AE">
        <w:rPr>
          <w:rFonts w:ascii="Book Antiqua" w:eastAsia="Book Antiqua" w:hAnsi="Book Antiqua" w:cs="Book Antiqua"/>
          <w:color w:val="000000"/>
        </w:rPr>
        <w:t>Ekouevi</w:t>
      </w:r>
      <w:proofErr w:type="spellEnd"/>
      <w:r w:rsidRPr="002850AE">
        <w:rPr>
          <w:rFonts w:ascii="Book Antiqua" w:eastAsia="Book Antiqua" w:hAnsi="Book Antiqua" w:cs="Book Antiqua"/>
          <w:color w:val="000000"/>
        </w:rPr>
        <w:t xml:space="preserve"> DK, Tine J, </w:t>
      </w:r>
      <w:proofErr w:type="spellStart"/>
      <w:r w:rsidRPr="002850AE">
        <w:rPr>
          <w:rFonts w:ascii="Book Antiqua" w:eastAsia="Book Antiqua" w:hAnsi="Book Antiqua" w:cs="Book Antiqua"/>
          <w:color w:val="000000"/>
        </w:rPr>
        <w:t>Patassi</w:t>
      </w:r>
      <w:proofErr w:type="spellEnd"/>
      <w:r w:rsidRPr="002850AE">
        <w:rPr>
          <w:rFonts w:ascii="Book Antiqua" w:eastAsia="Book Antiqua" w:hAnsi="Book Antiqua" w:cs="Book Antiqua"/>
          <w:color w:val="000000"/>
        </w:rPr>
        <w:t xml:space="preserve"> A, </w:t>
      </w:r>
      <w:proofErr w:type="spellStart"/>
      <w:r w:rsidRPr="002850AE">
        <w:rPr>
          <w:rFonts w:ascii="Book Antiqua" w:eastAsia="Book Antiqua" w:hAnsi="Book Antiqua" w:cs="Book Antiqua"/>
          <w:color w:val="000000"/>
        </w:rPr>
        <w:t>Coffie</w:t>
      </w:r>
      <w:proofErr w:type="spellEnd"/>
      <w:r w:rsidRPr="002850AE">
        <w:rPr>
          <w:rFonts w:ascii="Book Antiqua" w:eastAsia="Book Antiqua" w:hAnsi="Book Antiqua" w:cs="Book Antiqua"/>
          <w:color w:val="000000"/>
        </w:rPr>
        <w:t xml:space="preserve"> PA, </w:t>
      </w:r>
      <w:proofErr w:type="spellStart"/>
      <w:r w:rsidRPr="002850AE">
        <w:rPr>
          <w:rFonts w:ascii="Book Antiqua" w:eastAsia="Book Antiqua" w:hAnsi="Book Antiqua" w:cs="Book Antiqua"/>
          <w:color w:val="000000"/>
        </w:rPr>
        <w:t>Tanon</w:t>
      </w:r>
      <w:proofErr w:type="spellEnd"/>
      <w:r w:rsidRPr="002850AE">
        <w:rPr>
          <w:rFonts w:ascii="Book Antiqua" w:eastAsia="Book Antiqua" w:hAnsi="Book Antiqua" w:cs="Book Antiqua"/>
          <w:color w:val="000000"/>
        </w:rPr>
        <w:t xml:space="preserve"> A, </w:t>
      </w:r>
      <w:proofErr w:type="spellStart"/>
      <w:r w:rsidRPr="002850AE">
        <w:rPr>
          <w:rFonts w:ascii="Book Antiqua" w:eastAsia="Book Antiqua" w:hAnsi="Book Antiqua" w:cs="Book Antiqua"/>
          <w:color w:val="000000"/>
        </w:rPr>
        <w:t>Seydi</w:t>
      </w:r>
      <w:proofErr w:type="spellEnd"/>
      <w:r w:rsidRPr="002850AE">
        <w:rPr>
          <w:rFonts w:ascii="Book Antiqua" w:eastAsia="Book Antiqua" w:hAnsi="Book Antiqua" w:cs="Book Antiqua"/>
          <w:color w:val="000000"/>
        </w:rPr>
        <w:t xml:space="preserve"> M, Attia A, </w:t>
      </w:r>
      <w:proofErr w:type="spellStart"/>
      <w:r w:rsidRPr="002850AE">
        <w:rPr>
          <w:rFonts w:ascii="Book Antiqua" w:eastAsia="Book Antiqua" w:hAnsi="Book Antiqua" w:cs="Book Antiqua"/>
          <w:color w:val="000000"/>
        </w:rPr>
        <w:t>Dabis</w:t>
      </w:r>
      <w:proofErr w:type="spellEnd"/>
      <w:r w:rsidRPr="002850AE">
        <w:rPr>
          <w:rFonts w:ascii="Book Antiqua" w:eastAsia="Book Antiqua" w:hAnsi="Book Antiqua" w:cs="Book Antiqua"/>
          <w:color w:val="000000"/>
        </w:rPr>
        <w:t xml:space="preserve"> F. Alcohol use, viral hepatitis and liver fibrosis among HIV-positive persons in West Africa: a cross-sectional study. </w:t>
      </w:r>
      <w:r w:rsidRPr="002850AE">
        <w:rPr>
          <w:rFonts w:ascii="Book Antiqua" w:eastAsia="Book Antiqua" w:hAnsi="Book Antiqua" w:cs="Book Antiqua"/>
          <w:i/>
          <w:iCs/>
          <w:color w:val="000000"/>
        </w:rPr>
        <w:t>J Int AIDS Soc</w:t>
      </w:r>
      <w:r w:rsidRPr="002850AE">
        <w:rPr>
          <w:rFonts w:ascii="Book Antiqua" w:eastAsia="Book Antiqua" w:hAnsi="Book Antiqua" w:cs="Book Antiqua"/>
          <w:color w:val="000000"/>
        </w:rPr>
        <w:t xml:space="preserve"> 2017; </w:t>
      </w:r>
      <w:r w:rsidRPr="002850AE">
        <w:rPr>
          <w:rFonts w:ascii="Book Antiqua" w:eastAsia="Book Antiqua" w:hAnsi="Book Antiqua" w:cs="Book Antiqua"/>
          <w:b/>
          <w:bCs/>
          <w:color w:val="000000"/>
        </w:rPr>
        <w:t>19</w:t>
      </w:r>
      <w:r w:rsidRPr="002850AE">
        <w:rPr>
          <w:rFonts w:ascii="Book Antiqua" w:eastAsia="Book Antiqua" w:hAnsi="Book Antiqua" w:cs="Book Antiqua"/>
          <w:color w:val="000000"/>
        </w:rPr>
        <w:t>: 21424 [PMID: 28362065 DOI: 10.7448/IAS.20.1.21424</w:t>
      </w:r>
      <w:r w:rsidR="00FF68A8" w:rsidRPr="002850AE">
        <w:rPr>
          <w:rFonts w:ascii="Book Antiqua" w:eastAsia="Book Antiqua" w:hAnsi="Book Antiqua" w:cs="Book Antiqua"/>
          <w:color w:val="000000"/>
        </w:rPr>
        <w:t>]</w:t>
      </w:r>
    </w:p>
    <w:p w14:paraId="49D3F95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10 </w:t>
      </w:r>
      <w:r w:rsidRPr="002850AE">
        <w:rPr>
          <w:rFonts w:ascii="Book Antiqua" w:eastAsia="Book Antiqua" w:hAnsi="Book Antiqua" w:cs="Book Antiqua"/>
          <w:b/>
          <w:bCs/>
          <w:color w:val="000000"/>
        </w:rPr>
        <w:t>Demir M</w:t>
      </w:r>
      <w:r w:rsidRPr="002850AE">
        <w:rPr>
          <w:rFonts w:ascii="Book Antiqua" w:eastAsia="Book Antiqua" w:hAnsi="Book Antiqua" w:cs="Book Antiqua"/>
          <w:color w:val="000000"/>
        </w:rPr>
        <w:t xml:space="preserve">, Phiri S, Kaiser R, </w:t>
      </w:r>
      <w:proofErr w:type="spellStart"/>
      <w:r w:rsidRPr="002850AE">
        <w:rPr>
          <w:rFonts w:ascii="Book Antiqua" w:eastAsia="Book Antiqua" w:hAnsi="Book Antiqua" w:cs="Book Antiqua"/>
          <w:color w:val="000000"/>
        </w:rPr>
        <w:t>Chaweza</w:t>
      </w:r>
      <w:proofErr w:type="spellEnd"/>
      <w:r w:rsidRPr="002850AE">
        <w:rPr>
          <w:rFonts w:ascii="Book Antiqua" w:eastAsia="Book Antiqua" w:hAnsi="Book Antiqua" w:cs="Book Antiqua"/>
          <w:color w:val="000000"/>
        </w:rPr>
        <w:t xml:space="preserve"> T, </w:t>
      </w:r>
      <w:proofErr w:type="spellStart"/>
      <w:r w:rsidRPr="002850AE">
        <w:rPr>
          <w:rFonts w:ascii="Book Antiqua" w:eastAsia="Book Antiqua" w:hAnsi="Book Antiqua" w:cs="Book Antiqua"/>
          <w:color w:val="000000"/>
        </w:rPr>
        <w:t>Neuhann</w:t>
      </w:r>
      <w:proofErr w:type="spellEnd"/>
      <w:r w:rsidRPr="002850AE">
        <w:rPr>
          <w:rFonts w:ascii="Book Antiqua" w:eastAsia="Book Antiqua" w:hAnsi="Book Antiqua" w:cs="Book Antiqua"/>
          <w:color w:val="000000"/>
        </w:rPr>
        <w:t xml:space="preserve"> F, </w:t>
      </w:r>
      <w:proofErr w:type="spellStart"/>
      <w:r w:rsidRPr="002850AE">
        <w:rPr>
          <w:rFonts w:ascii="Book Antiqua" w:eastAsia="Book Antiqua" w:hAnsi="Book Antiqua" w:cs="Book Antiqua"/>
          <w:color w:val="000000"/>
        </w:rPr>
        <w:t>Tweya</w:t>
      </w:r>
      <w:proofErr w:type="spellEnd"/>
      <w:r w:rsidRPr="002850AE">
        <w:rPr>
          <w:rFonts w:ascii="Book Antiqua" w:eastAsia="Book Antiqua" w:hAnsi="Book Antiqua" w:cs="Book Antiqua"/>
          <w:color w:val="000000"/>
        </w:rPr>
        <w:t xml:space="preserve"> H, </w:t>
      </w:r>
      <w:proofErr w:type="spellStart"/>
      <w:r w:rsidRPr="002850AE">
        <w:rPr>
          <w:rFonts w:ascii="Book Antiqua" w:eastAsia="Book Antiqua" w:hAnsi="Book Antiqua" w:cs="Book Antiqua"/>
          <w:color w:val="000000"/>
        </w:rPr>
        <w:t>Fätkenheuer</w:t>
      </w:r>
      <w:proofErr w:type="spellEnd"/>
      <w:r w:rsidRPr="002850AE">
        <w:rPr>
          <w:rFonts w:ascii="Book Antiqua" w:eastAsia="Book Antiqua" w:hAnsi="Book Antiqua" w:cs="Book Antiqua"/>
          <w:color w:val="000000"/>
        </w:rPr>
        <w:t xml:space="preserve"> G, Steffen HM. HIV/Hepatitis C Virus Co-infection among Adults Beginning Antiretroviral Therapy, Malawi. </w:t>
      </w:r>
      <w:proofErr w:type="spellStart"/>
      <w:r w:rsidRPr="002850AE">
        <w:rPr>
          <w:rFonts w:ascii="Book Antiqua" w:eastAsia="Book Antiqua" w:hAnsi="Book Antiqua" w:cs="Book Antiqua"/>
          <w:i/>
          <w:iCs/>
          <w:color w:val="000000"/>
        </w:rPr>
        <w:t>Emerg</w:t>
      </w:r>
      <w:proofErr w:type="spellEnd"/>
      <w:r w:rsidRPr="002850AE">
        <w:rPr>
          <w:rFonts w:ascii="Book Antiqua" w:eastAsia="Book Antiqua" w:hAnsi="Book Antiqua" w:cs="Book Antiqua"/>
          <w:i/>
          <w:iCs/>
          <w:color w:val="000000"/>
        </w:rPr>
        <w:t xml:space="preserve"> Infect Dis</w:t>
      </w:r>
      <w:r w:rsidRPr="002850AE">
        <w:rPr>
          <w:rFonts w:ascii="Book Antiqua" w:eastAsia="Book Antiqua" w:hAnsi="Book Antiqua" w:cs="Book Antiqua"/>
          <w:color w:val="000000"/>
        </w:rPr>
        <w:t xml:space="preserve"> 2016; </w:t>
      </w:r>
      <w:r w:rsidRPr="002850AE">
        <w:rPr>
          <w:rFonts w:ascii="Book Antiqua" w:eastAsia="Book Antiqua" w:hAnsi="Book Antiqua" w:cs="Book Antiqua"/>
          <w:b/>
          <w:bCs/>
          <w:color w:val="000000"/>
        </w:rPr>
        <w:t>22</w:t>
      </w:r>
      <w:r w:rsidRPr="002850AE">
        <w:rPr>
          <w:rFonts w:ascii="Book Antiqua" w:eastAsia="Book Antiqua" w:hAnsi="Book Antiqua" w:cs="Book Antiqua"/>
          <w:color w:val="000000"/>
        </w:rPr>
        <w:t>: 2018-2020 [PMID: 27767917 DOI: 10.3201/eid2211.160892</w:t>
      </w:r>
      <w:r w:rsidR="00FF68A8" w:rsidRPr="002850AE">
        <w:rPr>
          <w:rFonts w:ascii="Book Antiqua" w:eastAsia="Book Antiqua" w:hAnsi="Book Antiqua" w:cs="Book Antiqua"/>
          <w:color w:val="000000"/>
        </w:rPr>
        <w:t>]</w:t>
      </w:r>
    </w:p>
    <w:p w14:paraId="64123721" w14:textId="1F982848" w:rsidR="00A77B3E" w:rsidRPr="002850AE" w:rsidRDefault="00EC02D8" w:rsidP="00AE50D3">
      <w:pPr>
        <w:snapToGrid w:val="0"/>
        <w:spacing w:line="360" w:lineRule="auto"/>
        <w:jc w:val="both"/>
        <w:rPr>
          <w:rFonts w:ascii="Book Antiqua" w:hAnsi="Book Antiqua"/>
        </w:rPr>
      </w:pPr>
      <w:r w:rsidRPr="00162330">
        <w:rPr>
          <w:rFonts w:ascii="Book Antiqua" w:eastAsia="Book Antiqua" w:hAnsi="Book Antiqua" w:cs="Book Antiqua"/>
          <w:color w:val="000000"/>
          <w:highlight w:val="yellow"/>
        </w:rPr>
        <w:t>11</w:t>
      </w:r>
      <w:r w:rsidR="00056124" w:rsidRPr="00162330">
        <w:rPr>
          <w:rFonts w:ascii="Book Antiqua" w:eastAsia="Book Antiqua" w:hAnsi="Book Antiqua" w:cs="Book Antiqua"/>
          <w:color w:val="000000"/>
          <w:highlight w:val="yellow"/>
        </w:rPr>
        <w:t xml:space="preserve"> </w:t>
      </w:r>
      <w:r w:rsidRPr="00162330">
        <w:rPr>
          <w:rFonts w:ascii="Book Antiqua" w:eastAsia="Book Antiqua" w:hAnsi="Book Antiqua" w:cs="Book Antiqua"/>
          <w:b/>
          <w:color w:val="000000"/>
          <w:highlight w:val="yellow"/>
        </w:rPr>
        <w:t>MSF Access Campaign</w:t>
      </w:r>
      <w:r w:rsidRPr="00162330">
        <w:rPr>
          <w:rFonts w:ascii="Book Antiqua" w:eastAsia="Book Antiqua" w:hAnsi="Book Antiqua" w:cs="Book Antiqua"/>
          <w:color w:val="000000"/>
          <w:highlight w:val="yellow"/>
        </w:rPr>
        <w:t>. Putting HCV and HIV to the test. A product guide for point-of-care CD4 tests and laboratory-based and point-of-care HIV and HCV viral load tests. July 2017</w:t>
      </w:r>
      <w:r w:rsidR="00F83572" w:rsidRPr="00162330">
        <w:rPr>
          <w:rFonts w:ascii="Book Antiqua" w:eastAsia="Book Antiqua" w:hAnsi="Book Antiqua" w:cs="Book Antiqua"/>
          <w:color w:val="000000"/>
          <w:highlight w:val="yellow"/>
        </w:rPr>
        <w:t>.</w:t>
      </w:r>
      <w:r w:rsidRPr="00162330">
        <w:rPr>
          <w:rFonts w:ascii="Book Antiqua" w:eastAsia="Book Antiqua" w:hAnsi="Book Antiqua" w:cs="Book Antiqua"/>
          <w:color w:val="000000"/>
          <w:highlight w:val="yellow"/>
        </w:rPr>
        <w:t xml:space="preserve"> </w:t>
      </w:r>
      <w:r w:rsidR="008D1386" w:rsidRPr="00162330">
        <w:rPr>
          <w:rFonts w:ascii="Book Antiqua" w:eastAsia="Book Antiqua" w:hAnsi="Book Antiqua" w:cs="Book Antiqua"/>
          <w:color w:val="000000"/>
          <w:highlight w:val="yellow"/>
        </w:rPr>
        <w:t>[cited</w:t>
      </w:r>
      <w:r w:rsidR="00932566" w:rsidRPr="00162330">
        <w:rPr>
          <w:rFonts w:ascii="Book Antiqua" w:eastAsia="Book Antiqua" w:hAnsi="Book Antiqua" w:cs="Book Antiqua"/>
          <w:color w:val="000000"/>
          <w:highlight w:val="yellow"/>
        </w:rPr>
        <w:t xml:space="preserve"> 23 February 2021</w:t>
      </w:r>
      <w:r w:rsidR="008D1386" w:rsidRPr="00162330">
        <w:rPr>
          <w:rFonts w:ascii="Book Antiqua" w:eastAsia="Book Antiqua" w:hAnsi="Book Antiqua" w:cs="Book Antiqua"/>
          <w:color w:val="000000"/>
          <w:highlight w:val="yellow"/>
        </w:rPr>
        <w:t xml:space="preserve">] </w:t>
      </w:r>
      <w:r w:rsidR="000A7F8A" w:rsidRPr="00162330">
        <w:rPr>
          <w:rFonts w:ascii="Book Antiqua" w:eastAsia="Book Antiqua" w:hAnsi="Book Antiqua" w:cs="Book Antiqua"/>
          <w:caps/>
          <w:color w:val="000000"/>
          <w:highlight w:val="yellow"/>
        </w:rPr>
        <w:t>a</w:t>
      </w:r>
      <w:r w:rsidR="000A7F8A" w:rsidRPr="00162330">
        <w:rPr>
          <w:rFonts w:ascii="Book Antiqua" w:eastAsia="Book Antiqua" w:hAnsi="Book Antiqua" w:cs="Book Antiqua"/>
          <w:color w:val="000000"/>
          <w:highlight w:val="yellow"/>
        </w:rPr>
        <w:t>vailable from:</w:t>
      </w:r>
      <w:r w:rsidRPr="00162330">
        <w:rPr>
          <w:rFonts w:ascii="Book Antiqua" w:eastAsia="Book Antiqua" w:hAnsi="Book Antiqua" w:cs="Book Antiqua"/>
          <w:color w:val="000000"/>
          <w:highlight w:val="yellow"/>
        </w:rPr>
        <w:t xml:space="preserve"> </w:t>
      </w:r>
      <w:hyperlink r:id="rId11" w:history="1">
        <w:r w:rsidR="000A7F8A" w:rsidRPr="00162330">
          <w:rPr>
            <w:rStyle w:val="a7"/>
            <w:rFonts w:ascii="Book Antiqua" w:eastAsia="Book Antiqua" w:hAnsi="Book Antiqua" w:cs="Book Antiqua"/>
            <w:highlight w:val="yellow"/>
          </w:rPr>
          <w:t>https://www.msf.org/sites/msf.org/files/putting_hiv_and_hcv_to_the_test.pdf</w:t>
        </w:r>
      </w:hyperlink>
      <w:r w:rsidR="000A7F8A" w:rsidRPr="002850AE">
        <w:rPr>
          <w:rFonts w:ascii="Book Antiqua" w:eastAsia="Book Antiqua" w:hAnsi="Book Antiqua" w:cs="Book Antiqua"/>
          <w:color w:val="000000"/>
        </w:rPr>
        <w:t xml:space="preserve"> </w:t>
      </w:r>
    </w:p>
    <w:p w14:paraId="29D9DEBB"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12 </w:t>
      </w:r>
      <w:proofErr w:type="spellStart"/>
      <w:r w:rsidRPr="002850AE">
        <w:rPr>
          <w:rFonts w:ascii="Book Antiqua" w:eastAsia="Book Antiqua" w:hAnsi="Book Antiqua" w:cs="Book Antiqua"/>
          <w:b/>
          <w:bCs/>
          <w:color w:val="000000"/>
        </w:rPr>
        <w:t>Thursz</w:t>
      </w:r>
      <w:proofErr w:type="spellEnd"/>
      <w:r w:rsidRPr="002850AE">
        <w:rPr>
          <w:rFonts w:ascii="Book Antiqua" w:eastAsia="Book Antiqua" w:hAnsi="Book Antiqua" w:cs="Book Antiqua"/>
          <w:b/>
          <w:bCs/>
          <w:color w:val="000000"/>
        </w:rPr>
        <w:t xml:space="preserve"> M</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Fontanet</w:t>
      </w:r>
      <w:proofErr w:type="spellEnd"/>
      <w:r w:rsidRPr="002850AE">
        <w:rPr>
          <w:rFonts w:ascii="Book Antiqua" w:eastAsia="Book Antiqua" w:hAnsi="Book Antiqua" w:cs="Book Antiqua"/>
          <w:color w:val="000000"/>
        </w:rPr>
        <w:t xml:space="preserve"> A. HCV transmission in industrialized countries and resource-constrained areas. </w:t>
      </w:r>
      <w:r w:rsidRPr="002850AE">
        <w:rPr>
          <w:rFonts w:ascii="Book Antiqua" w:eastAsia="Book Antiqua" w:hAnsi="Book Antiqua" w:cs="Book Antiqua"/>
          <w:i/>
          <w:iCs/>
          <w:color w:val="000000"/>
        </w:rPr>
        <w:t>Nat Rev Gastroenterol Hepatol</w:t>
      </w:r>
      <w:r w:rsidRPr="002850AE">
        <w:rPr>
          <w:rFonts w:ascii="Book Antiqua" w:eastAsia="Book Antiqua" w:hAnsi="Book Antiqua" w:cs="Book Antiqua"/>
          <w:color w:val="000000"/>
        </w:rPr>
        <w:t xml:space="preserve"> 2014; </w:t>
      </w:r>
      <w:r w:rsidRPr="002850AE">
        <w:rPr>
          <w:rFonts w:ascii="Book Antiqua" w:eastAsia="Book Antiqua" w:hAnsi="Book Antiqua" w:cs="Book Antiqua"/>
          <w:b/>
          <w:bCs/>
          <w:color w:val="000000"/>
        </w:rPr>
        <w:t>11</w:t>
      </w:r>
      <w:r w:rsidRPr="002850AE">
        <w:rPr>
          <w:rFonts w:ascii="Book Antiqua" w:eastAsia="Book Antiqua" w:hAnsi="Book Antiqua" w:cs="Book Antiqua"/>
          <w:color w:val="000000"/>
        </w:rPr>
        <w:t>: 28-35 [PMID: 24080775 DOI: 10.1038/nrgastro.2013.179</w:t>
      </w:r>
      <w:r w:rsidR="00FF68A8" w:rsidRPr="002850AE">
        <w:rPr>
          <w:rFonts w:ascii="Book Antiqua" w:eastAsia="Book Antiqua" w:hAnsi="Book Antiqua" w:cs="Book Antiqua"/>
          <w:color w:val="000000"/>
        </w:rPr>
        <w:t>]</w:t>
      </w:r>
    </w:p>
    <w:p w14:paraId="26427B6F"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13 </w:t>
      </w:r>
      <w:proofErr w:type="spellStart"/>
      <w:r w:rsidRPr="002850AE">
        <w:rPr>
          <w:rFonts w:ascii="Book Antiqua" w:eastAsia="Book Antiqua" w:hAnsi="Book Antiqua" w:cs="Book Antiqua"/>
          <w:b/>
          <w:bCs/>
          <w:color w:val="000000"/>
        </w:rPr>
        <w:t>Rouet</w:t>
      </w:r>
      <w:proofErr w:type="spellEnd"/>
      <w:r w:rsidRPr="002850AE">
        <w:rPr>
          <w:rFonts w:ascii="Book Antiqua" w:eastAsia="Book Antiqua" w:hAnsi="Book Antiqua" w:cs="Book Antiqua"/>
          <w:b/>
          <w:bCs/>
          <w:color w:val="000000"/>
        </w:rPr>
        <w:t xml:space="preserve"> F</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Nouhin</w:t>
      </w:r>
      <w:proofErr w:type="spellEnd"/>
      <w:r w:rsidRPr="002850AE">
        <w:rPr>
          <w:rFonts w:ascii="Book Antiqua" w:eastAsia="Book Antiqua" w:hAnsi="Book Antiqua" w:cs="Book Antiqua"/>
          <w:color w:val="000000"/>
        </w:rPr>
        <w:t xml:space="preserve"> J, Zheng DP, Roche B, Black A, </w:t>
      </w:r>
      <w:proofErr w:type="spellStart"/>
      <w:r w:rsidRPr="002850AE">
        <w:rPr>
          <w:rFonts w:ascii="Book Antiqua" w:eastAsia="Book Antiqua" w:hAnsi="Book Antiqua" w:cs="Book Antiqua"/>
          <w:color w:val="000000"/>
        </w:rPr>
        <w:t>Prak</w:t>
      </w:r>
      <w:proofErr w:type="spellEnd"/>
      <w:r w:rsidRPr="002850AE">
        <w:rPr>
          <w:rFonts w:ascii="Book Antiqua" w:eastAsia="Book Antiqua" w:hAnsi="Book Antiqua" w:cs="Book Antiqua"/>
          <w:color w:val="000000"/>
        </w:rPr>
        <w:t xml:space="preserve"> S, </w:t>
      </w:r>
      <w:proofErr w:type="spellStart"/>
      <w:r w:rsidRPr="002850AE">
        <w:rPr>
          <w:rFonts w:ascii="Book Antiqua" w:eastAsia="Book Antiqua" w:hAnsi="Book Antiqua" w:cs="Book Antiqua"/>
          <w:color w:val="000000"/>
        </w:rPr>
        <w:t>Leoz</w:t>
      </w:r>
      <w:proofErr w:type="spellEnd"/>
      <w:r w:rsidRPr="002850AE">
        <w:rPr>
          <w:rFonts w:ascii="Book Antiqua" w:eastAsia="Book Antiqua" w:hAnsi="Book Antiqua" w:cs="Book Antiqua"/>
          <w:color w:val="000000"/>
        </w:rPr>
        <w:t xml:space="preserve"> M, Gaudy-</w:t>
      </w:r>
      <w:proofErr w:type="spellStart"/>
      <w:r w:rsidRPr="002850AE">
        <w:rPr>
          <w:rFonts w:ascii="Book Antiqua" w:eastAsia="Book Antiqua" w:hAnsi="Book Antiqua" w:cs="Book Antiqua"/>
          <w:color w:val="000000"/>
        </w:rPr>
        <w:t>Graffin</w:t>
      </w:r>
      <w:proofErr w:type="spellEnd"/>
      <w:r w:rsidRPr="002850AE">
        <w:rPr>
          <w:rFonts w:ascii="Book Antiqua" w:eastAsia="Book Antiqua" w:hAnsi="Book Antiqua" w:cs="Book Antiqua"/>
          <w:color w:val="000000"/>
        </w:rPr>
        <w:t xml:space="preserve"> C, </w:t>
      </w:r>
      <w:proofErr w:type="spellStart"/>
      <w:r w:rsidRPr="002850AE">
        <w:rPr>
          <w:rFonts w:ascii="Book Antiqua" w:eastAsia="Book Antiqua" w:hAnsi="Book Antiqua" w:cs="Book Antiqua"/>
          <w:color w:val="000000"/>
        </w:rPr>
        <w:t>Ferradini</w:t>
      </w:r>
      <w:proofErr w:type="spellEnd"/>
      <w:r w:rsidRPr="002850AE">
        <w:rPr>
          <w:rFonts w:ascii="Book Antiqua" w:eastAsia="Book Antiqua" w:hAnsi="Book Antiqua" w:cs="Book Antiqua"/>
          <w:color w:val="000000"/>
        </w:rPr>
        <w:t xml:space="preserve"> L, Mom C, Mam S, Gautier C, Lesage G, Ken S, </w:t>
      </w:r>
      <w:proofErr w:type="spellStart"/>
      <w:r w:rsidRPr="002850AE">
        <w:rPr>
          <w:rFonts w:ascii="Book Antiqua" w:eastAsia="Book Antiqua" w:hAnsi="Book Antiqua" w:cs="Book Antiqua"/>
          <w:color w:val="000000"/>
        </w:rPr>
        <w:t>Phon</w:t>
      </w:r>
      <w:proofErr w:type="spellEnd"/>
      <w:r w:rsidRPr="002850AE">
        <w:rPr>
          <w:rFonts w:ascii="Book Antiqua" w:eastAsia="Book Antiqua" w:hAnsi="Book Antiqua" w:cs="Book Antiqua"/>
          <w:color w:val="000000"/>
        </w:rPr>
        <w:t xml:space="preserve"> K, </w:t>
      </w:r>
      <w:proofErr w:type="spellStart"/>
      <w:r w:rsidRPr="002850AE">
        <w:rPr>
          <w:rFonts w:ascii="Book Antiqua" w:eastAsia="Book Antiqua" w:hAnsi="Book Antiqua" w:cs="Book Antiqua"/>
          <w:color w:val="000000"/>
        </w:rPr>
        <w:t>Kerleguer</w:t>
      </w:r>
      <w:proofErr w:type="spellEnd"/>
      <w:r w:rsidRPr="002850AE">
        <w:rPr>
          <w:rFonts w:ascii="Book Antiqua" w:eastAsia="Book Antiqua" w:hAnsi="Book Antiqua" w:cs="Book Antiqua"/>
          <w:color w:val="000000"/>
        </w:rPr>
        <w:t xml:space="preserve"> A, Yang C, Killam W, Fujita M, Mean C, </w:t>
      </w:r>
      <w:proofErr w:type="spellStart"/>
      <w:r w:rsidRPr="002850AE">
        <w:rPr>
          <w:rFonts w:ascii="Book Antiqua" w:eastAsia="Book Antiqua" w:hAnsi="Book Antiqua" w:cs="Book Antiqua"/>
          <w:color w:val="000000"/>
        </w:rPr>
        <w:t>Fontenille</w:t>
      </w:r>
      <w:proofErr w:type="spellEnd"/>
      <w:r w:rsidRPr="002850AE">
        <w:rPr>
          <w:rFonts w:ascii="Book Antiqua" w:eastAsia="Book Antiqua" w:hAnsi="Book Antiqua" w:cs="Book Antiqua"/>
          <w:color w:val="000000"/>
        </w:rPr>
        <w:t xml:space="preserve"> D, </w:t>
      </w:r>
      <w:proofErr w:type="spellStart"/>
      <w:r w:rsidRPr="002850AE">
        <w:rPr>
          <w:rFonts w:ascii="Book Antiqua" w:eastAsia="Book Antiqua" w:hAnsi="Book Antiqua" w:cs="Book Antiqua"/>
          <w:color w:val="000000"/>
        </w:rPr>
        <w:t>Barin</w:t>
      </w:r>
      <w:proofErr w:type="spellEnd"/>
      <w:r w:rsidRPr="002850AE">
        <w:rPr>
          <w:rFonts w:ascii="Book Antiqua" w:eastAsia="Book Antiqua" w:hAnsi="Book Antiqua" w:cs="Book Antiqua"/>
          <w:color w:val="000000"/>
        </w:rPr>
        <w:t xml:space="preserve"> F, </w:t>
      </w:r>
      <w:proofErr w:type="spellStart"/>
      <w:r w:rsidRPr="002850AE">
        <w:rPr>
          <w:rFonts w:ascii="Book Antiqua" w:eastAsia="Book Antiqua" w:hAnsi="Book Antiqua" w:cs="Book Antiqua"/>
          <w:color w:val="000000"/>
        </w:rPr>
        <w:t>Plantier</w:t>
      </w:r>
      <w:proofErr w:type="spellEnd"/>
      <w:r w:rsidRPr="002850AE">
        <w:rPr>
          <w:rFonts w:ascii="Book Antiqua" w:eastAsia="Book Antiqua" w:hAnsi="Book Antiqua" w:cs="Book Antiqua"/>
          <w:color w:val="000000"/>
        </w:rPr>
        <w:t xml:space="preserve"> JC, Bedford T, Ramos A, </w:t>
      </w:r>
      <w:proofErr w:type="spellStart"/>
      <w:r w:rsidRPr="002850AE">
        <w:rPr>
          <w:rFonts w:ascii="Book Antiqua" w:eastAsia="Book Antiqua" w:hAnsi="Book Antiqua" w:cs="Book Antiqua"/>
          <w:color w:val="000000"/>
        </w:rPr>
        <w:t>Saphonn</w:t>
      </w:r>
      <w:proofErr w:type="spellEnd"/>
      <w:r w:rsidRPr="002850AE">
        <w:rPr>
          <w:rFonts w:ascii="Book Antiqua" w:eastAsia="Book Antiqua" w:hAnsi="Book Antiqua" w:cs="Book Antiqua"/>
          <w:color w:val="000000"/>
        </w:rPr>
        <w:t xml:space="preserve"> V. Massive Iatrogenic Outbreak of Human Immunodeficiency Virus Type 1 in Rural Cambodia, 2014-2015. </w:t>
      </w:r>
      <w:r w:rsidRPr="002850AE">
        <w:rPr>
          <w:rFonts w:ascii="Book Antiqua" w:eastAsia="Book Antiqua" w:hAnsi="Book Antiqua" w:cs="Book Antiqua"/>
          <w:i/>
          <w:iCs/>
          <w:color w:val="000000"/>
        </w:rPr>
        <w:t>Clin Infect Dis</w:t>
      </w:r>
      <w:r w:rsidRPr="002850AE">
        <w:rPr>
          <w:rFonts w:ascii="Book Antiqua" w:eastAsia="Book Antiqua" w:hAnsi="Book Antiqua" w:cs="Book Antiqua"/>
          <w:color w:val="000000"/>
        </w:rPr>
        <w:t xml:space="preserve"> 2018; </w:t>
      </w:r>
      <w:r w:rsidRPr="002850AE">
        <w:rPr>
          <w:rFonts w:ascii="Book Antiqua" w:eastAsia="Book Antiqua" w:hAnsi="Book Antiqua" w:cs="Book Antiqua"/>
          <w:b/>
          <w:bCs/>
          <w:color w:val="000000"/>
        </w:rPr>
        <w:t>66</w:t>
      </w:r>
      <w:r w:rsidRPr="002850AE">
        <w:rPr>
          <w:rFonts w:ascii="Book Antiqua" w:eastAsia="Book Antiqua" w:hAnsi="Book Antiqua" w:cs="Book Antiqua"/>
          <w:color w:val="000000"/>
        </w:rPr>
        <w:t>: 1733-1741 [PMID: 29211835 DOI: 10.1093/</w:t>
      </w:r>
      <w:proofErr w:type="spellStart"/>
      <w:r w:rsidRPr="002850AE">
        <w:rPr>
          <w:rFonts w:ascii="Book Antiqua" w:eastAsia="Book Antiqua" w:hAnsi="Book Antiqua" w:cs="Book Antiqua"/>
          <w:color w:val="000000"/>
        </w:rPr>
        <w:t>cid</w:t>
      </w:r>
      <w:proofErr w:type="spellEnd"/>
      <w:r w:rsidRPr="002850AE">
        <w:rPr>
          <w:rFonts w:ascii="Book Antiqua" w:eastAsia="Book Antiqua" w:hAnsi="Book Antiqua" w:cs="Book Antiqua"/>
          <w:color w:val="000000"/>
        </w:rPr>
        <w:t>/cix1071</w:t>
      </w:r>
      <w:r w:rsidR="00FF68A8" w:rsidRPr="002850AE">
        <w:rPr>
          <w:rFonts w:ascii="Book Antiqua" w:eastAsia="Book Antiqua" w:hAnsi="Book Antiqua" w:cs="Book Antiqua"/>
          <w:color w:val="000000"/>
        </w:rPr>
        <w:t>]</w:t>
      </w:r>
    </w:p>
    <w:p w14:paraId="5F862072" w14:textId="77777777" w:rsidR="00A77B3E" w:rsidRPr="002850AE" w:rsidRDefault="00EC02D8" w:rsidP="00AE50D3">
      <w:pPr>
        <w:snapToGrid w:val="0"/>
        <w:spacing w:line="360" w:lineRule="auto"/>
        <w:jc w:val="both"/>
        <w:rPr>
          <w:rFonts w:ascii="Book Antiqua" w:hAnsi="Book Antiqua"/>
          <w:lang w:val="nl-BE"/>
        </w:rPr>
      </w:pPr>
      <w:r w:rsidRPr="002850AE">
        <w:rPr>
          <w:rFonts w:ascii="Book Antiqua" w:eastAsia="Book Antiqua" w:hAnsi="Book Antiqua" w:cs="Book Antiqua"/>
          <w:color w:val="000000"/>
        </w:rPr>
        <w:t xml:space="preserve">14 </w:t>
      </w:r>
      <w:r w:rsidRPr="002850AE">
        <w:rPr>
          <w:rFonts w:ascii="Book Antiqua" w:eastAsia="Book Antiqua" w:hAnsi="Book Antiqua" w:cs="Book Antiqua"/>
          <w:b/>
          <w:bCs/>
          <w:color w:val="000000"/>
        </w:rPr>
        <w:t>Pépin J</w:t>
      </w:r>
      <w:r w:rsidRPr="002850AE">
        <w:rPr>
          <w:rFonts w:ascii="Book Antiqua" w:eastAsia="Book Antiqua" w:hAnsi="Book Antiqua" w:cs="Book Antiqua"/>
          <w:color w:val="000000"/>
        </w:rPr>
        <w:t xml:space="preserve">, Abou Chakra CN, Pépin E, </w:t>
      </w:r>
      <w:proofErr w:type="spellStart"/>
      <w:r w:rsidRPr="002850AE">
        <w:rPr>
          <w:rFonts w:ascii="Book Antiqua" w:eastAsia="Book Antiqua" w:hAnsi="Book Antiqua" w:cs="Book Antiqua"/>
          <w:color w:val="000000"/>
        </w:rPr>
        <w:t>Nault</w:t>
      </w:r>
      <w:proofErr w:type="spellEnd"/>
      <w:r w:rsidRPr="002850AE">
        <w:rPr>
          <w:rFonts w:ascii="Book Antiqua" w:eastAsia="Book Antiqua" w:hAnsi="Book Antiqua" w:cs="Book Antiqua"/>
          <w:color w:val="000000"/>
        </w:rPr>
        <w:t xml:space="preserve"> V, </w:t>
      </w:r>
      <w:proofErr w:type="spellStart"/>
      <w:r w:rsidRPr="002850AE">
        <w:rPr>
          <w:rFonts w:ascii="Book Antiqua" w:eastAsia="Book Antiqua" w:hAnsi="Book Antiqua" w:cs="Book Antiqua"/>
          <w:color w:val="000000"/>
        </w:rPr>
        <w:t>Valiquette</w:t>
      </w:r>
      <w:proofErr w:type="spellEnd"/>
      <w:r w:rsidRPr="002850AE">
        <w:rPr>
          <w:rFonts w:ascii="Book Antiqua" w:eastAsia="Book Antiqua" w:hAnsi="Book Antiqua" w:cs="Book Antiqua"/>
          <w:color w:val="000000"/>
        </w:rPr>
        <w:t xml:space="preserve"> L. Evolution of the global burden of viral infections from unsafe medical injections, 2000-2010. </w:t>
      </w:r>
      <w:r w:rsidRPr="002850AE">
        <w:rPr>
          <w:rFonts w:ascii="Book Antiqua" w:eastAsia="Book Antiqua" w:hAnsi="Book Antiqua" w:cs="Book Antiqua"/>
          <w:i/>
          <w:iCs/>
          <w:color w:val="000000"/>
          <w:lang w:val="nl-BE"/>
        </w:rPr>
        <w:t>PLoS One</w:t>
      </w:r>
      <w:r w:rsidRPr="002850AE">
        <w:rPr>
          <w:rFonts w:ascii="Book Antiqua" w:eastAsia="Book Antiqua" w:hAnsi="Book Antiqua" w:cs="Book Antiqua"/>
          <w:color w:val="000000"/>
          <w:lang w:val="nl-BE"/>
        </w:rPr>
        <w:t xml:space="preserve"> 2014; </w:t>
      </w:r>
      <w:r w:rsidRPr="002850AE">
        <w:rPr>
          <w:rFonts w:ascii="Book Antiqua" w:eastAsia="Book Antiqua" w:hAnsi="Book Antiqua" w:cs="Book Antiqua"/>
          <w:b/>
          <w:bCs/>
          <w:color w:val="000000"/>
          <w:lang w:val="nl-BE"/>
        </w:rPr>
        <w:t>9</w:t>
      </w:r>
      <w:r w:rsidRPr="002850AE">
        <w:rPr>
          <w:rFonts w:ascii="Book Antiqua" w:eastAsia="Book Antiqua" w:hAnsi="Book Antiqua" w:cs="Book Antiqua"/>
          <w:color w:val="000000"/>
          <w:lang w:val="nl-BE"/>
        </w:rPr>
        <w:t>: e99677 [PMID: 24911341 DOI: 10.1371/journal.pone.0099677</w:t>
      </w:r>
      <w:r w:rsidR="00FF68A8" w:rsidRPr="002850AE">
        <w:rPr>
          <w:rFonts w:ascii="Book Antiqua" w:eastAsia="Book Antiqua" w:hAnsi="Book Antiqua" w:cs="Book Antiqua"/>
          <w:color w:val="000000"/>
          <w:lang w:val="nl-BE"/>
        </w:rPr>
        <w:t>]</w:t>
      </w:r>
    </w:p>
    <w:p w14:paraId="3797AE6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lang w:val="nl-BE"/>
        </w:rPr>
        <w:t xml:space="preserve">15 </w:t>
      </w:r>
      <w:r w:rsidRPr="002850AE">
        <w:rPr>
          <w:rFonts w:ascii="Book Antiqua" w:eastAsia="Book Antiqua" w:hAnsi="Book Antiqua" w:cs="Book Antiqua"/>
          <w:b/>
          <w:bCs/>
          <w:color w:val="000000"/>
          <w:lang w:val="nl-BE"/>
        </w:rPr>
        <w:t>Hendriksen JM</w:t>
      </w:r>
      <w:r w:rsidRPr="002850AE">
        <w:rPr>
          <w:rFonts w:ascii="Book Antiqua" w:eastAsia="Book Antiqua" w:hAnsi="Book Antiqua" w:cs="Book Antiqua"/>
          <w:color w:val="000000"/>
          <w:lang w:val="nl-BE"/>
        </w:rPr>
        <w:t xml:space="preserve">, Geersing GJ, Moons KG, de Groot JA. </w:t>
      </w:r>
      <w:r w:rsidRPr="002850AE">
        <w:rPr>
          <w:rFonts w:ascii="Book Antiqua" w:eastAsia="Book Antiqua" w:hAnsi="Book Antiqua" w:cs="Book Antiqua"/>
          <w:color w:val="000000"/>
        </w:rPr>
        <w:t xml:space="preserve">Diagnostic and prognostic prediction models. </w:t>
      </w:r>
      <w:r w:rsidRPr="002850AE">
        <w:rPr>
          <w:rFonts w:ascii="Book Antiqua" w:eastAsia="Book Antiqua" w:hAnsi="Book Antiqua" w:cs="Book Antiqua"/>
          <w:i/>
          <w:iCs/>
          <w:color w:val="000000"/>
        </w:rPr>
        <w:t xml:space="preserve">J </w:t>
      </w:r>
      <w:proofErr w:type="spellStart"/>
      <w:r w:rsidRPr="002850AE">
        <w:rPr>
          <w:rFonts w:ascii="Book Antiqua" w:eastAsia="Book Antiqua" w:hAnsi="Book Antiqua" w:cs="Book Antiqua"/>
          <w:i/>
          <w:iCs/>
          <w:color w:val="000000"/>
        </w:rPr>
        <w:t>Thromb</w:t>
      </w:r>
      <w:proofErr w:type="spellEnd"/>
      <w:r w:rsidRPr="002850AE">
        <w:rPr>
          <w:rFonts w:ascii="Book Antiqua" w:eastAsia="Book Antiqua" w:hAnsi="Book Antiqua" w:cs="Book Antiqua"/>
          <w:i/>
          <w:iCs/>
          <w:color w:val="000000"/>
        </w:rPr>
        <w:t xml:space="preserve"> </w:t>
      </w:r>
      <w:proofErr w:type="spellStart"/>
      <w:r w:rsidRPr="002850AE">
        <w:rPr>
          <w:rFonts w:ascii="Book Antiqua" w:eastAsia="Book Antiqua" w:hAnsi="Book Antiqua" w:cs="Book Antiqua"/>
          <w:i/>
          <w:iCs/>
          <w:color w:val="000000"/>
        </w:rPr>
        <w:t>Haemost</w:t>
      </w:r>
      <w:proofErr w:type="spellEnd"/>
      <w:r w:rsidRPr="002850AE">
        <w:rPr>
          <w:rFonts w:ascii="Book Antiqua" w:eastAsia="Book Antiqua" w:hAnsi="Book Antiqua" w:cs="Book Antiqua"/>
          <w:color w:val="000000"/>
        </w:rPr>
        <w:t xml:space="preserve"> 2013; </w:t>
      </w:r>
      <w:r w:rsidRPr="002850AE">
        <w:rPr>
          <w:rFonts w:ascii="Book Antiqua" w:eastAsia="Book Antiqua" w:hAnsi="Book Antiqua" w:cs="Book Antiqua"/>
          <w:b/>
          <w:bCs/>
          <w:color w:val="000000"/>
        </w:rPr>
        <w:t>11 Suppl 1</w:t>
      </w:r>
      <w:r w:rsidRPr="002850AE">
        <w:rPr>
          <w:rFonts w:ascii="Book Antiqua" w:eastAsia="Book Antiqua" w:hAnsi="Book Antiqua" w:cs="Book Antiqua"/>
          <w:color w:val="000000"/>
        </w:rPr>
        <w:t>: 129-141 [PMID: 23809117 DOI: 10.1111/jth.12262</w:t>
      </w:r>
      <w:r w:rsidR="00FF68A8" w:rsidRPr="002850AE">
        <w:rPr>
          <w:rFonts w:ascii="Book Antiqua" w:eastAsia="Book Antiqua" w:hAnsi="Book Antiqua" w:cs="Book Antiqua"/>
          <w:color w:val="000000"/>
        </w:rPr>
        <w:t>]</w:t>
      </w:r>
    </w:p>
    <w:p w14:paraId="510B4C7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16 </w:t>
      </w:r>
      <w:r w:rsidRPr="002850AE">
        <w:rPr>
          <w:rFonts w:ascii="Book Antiqua" w:eastAsia="Book Antiqua" w:hAnsi="Book Antiqua" w:cs="Book Antiqua"/>
          <w:b/>
          <w:bCs/>
          <w:color w:val="000000"/>
        </w:rPr>
        <w:t>Lynen L</w:t>
      </w:r>
      <w:r w:rsidRPr="002850AE">
        <w:rPr>
          <w:rFonts w:ascii="Book Antiqua" w:eastAsia="Book Antiqua" w:hAnsi="Book Antiqua" w:cs="Book Antiqua"/>
          <w:color w:val="000000"/>
        </w:rPr>
        <w:t xml:space="preserve">, An S, </w:t>
      </w:r>
      <w:proofErr w:type="spellStart"/>
      <w:r w:rsidRPr="002850AE">
        <w:rPr>
          <w:rFonts w:ascii="Book Antiqua" w:eastAsia="Book Antiqua" w:hAnsi="Book Antiqua" w:cs="Book Antiqua"/>
          <w:color w:val="000000"/>
        </w:rPr>
        <w:t>Koole</w:t>
      </w:r>
      <w:proofErr w:type="spellEnd"/>
      <w:r w:rsidRPr="002850AE">
        <w:rPr>
          <w:rFonts w:ascii="Book Antiqua" w:eastAsia="Book Antiqua" w:hAnsi="Book Antiqua" w:cs="Book Antiqua"/>
          <w:color w:val="000000"/>
        </w:rPr>
        <w:t xml:space="preserve"> O, Thai S, Ros S, De </w:t>
      </w:r>
      <w:proofErr w:type="spellStart"/>
      <w:r w:rsidRPr="002850AE">
        <w:rPr>
          <w:rFonts w:ascii="Book Antiqua" w:eastAsia="Book Antiqua" w:hAnsi="Book Antiqua" w:cs="Book Antiqua"/>
          <w:color w:val="000000"/>
        </w:rPr>
        <w:t>Munter</w:t>
      </w:r>
      <w:proofErr w:type="spellEnd"/>
      <w:r w:rsidRPr="002850AE">
        <w:rPr>
          <w:rFonts w:ascii="Book Antiqua" w:eastAsia="Book Antiqua" w:hAnsi="Book Antiqua" w:cs="Book Antiqua"/>
          <w:color w:val="000000"/>
        </w:rPr>
        <w:t xml:space="preserve"> P, </w:t>
      </w:r>
      <w:proofErr w:type="spellStart"/>
      <w:r w:rsidRPr="002850AE">
        <w:rPr>
          <w:rFonts w:ascii="Book Antiqua" w:eastAsia="Book Antiqua" w:hAnsi="Book Antiqua" w:cs="Book Antiqua"/>
          <w:color w:val="000000"/>
        </w:rPr>
        <w:t>Sculier</w:t>
      </w:r>
      <w:proofErr w:type="spellEnd"/>
      <w:r w:rsidRPr="002850AE">
        <w:rPr>
          <w:rFonts w:ascii="Book Antiqua" w:eastAsia="Book Antiqua" w:hAnsi="Book Antiqua" w:cs="Book Antiqua"/>
          <w:color w:val="000000"/>
        </w:rPr>
        <w:t xml:space="preserve"> D, </w:t>
      </w:r>
      <w:proofErr w:type="spellStart"/>
      <w:r w:rsidRPr="002850AE">
        <w:rPr>
          <w:rFonts w:ascii="Book Antiqua" w:eastAsia="Book Antiqua" w:hAnsi="Book Antiqua" w:cs="Book Antiqua"/>
          <w:color w:val="000000"/>
        </w:rPr>
        <w:t>Arnould</w:t>
      </w:r>
      <w:proofErr w:type="spellEnd"/>
      <w:r w:rsidRPr="002850AE">
        <w:rPr>
          <w:rFonts w:ascii="Book Antiqua" w:eastAsia="Book Antiqua" w:hAnsi="Book Antiqua" w:cs="Book Antiqua"/>
          <w:color w:val="000000"/>
        </w:rPr>
        <w:t xml:space="preserve"> L, </w:t>
      </w:r>
      <w:proofErr w:type="spellStart"/>
      <w:r w:rsidRPr="002850AE">
        <w:rPr>
          <w:rFonts w:ascii="Book Antiqua" w:eastAsia="Book Antiqua" w:hAnsi="Book Antiqua" w:cs="Book Antiqua"/>
          <w:color w:val="000000"/>
        </w:rPr>
        <w:t>Fransen</w:t>
      </w:r>
      <w:proofErr w:type="spellEnd"/>
      <w:r w:rsidRPr="002850AE">
        <w:rPr>
          <w:rFonts w:ascii="Book Antiqua" w:eastAsia="Book Antiqua" w:hAnsi="Book Antiqua" w:cs="Book Antiqua"/>
          <w:color w:val="000000"/>
        </w:rPr>
        <w:t xml:space="preserve"> K, Menten J, </w:t>
      </w:r>
      <w:proofErr w:type="spellStart"/>
      <w:r w:rsidRPr="002850AE">
        <w:rPr>
          <w:rFonts w:ascii="Book Antiqua" w:eastAsia="Book Antiqua" w:hAnsi="Book Antiqua" w:cs="Book Antiqua"/>
          <w:color w:val="000000"/>
        </w:rPr>
        <w:t>Boelaert</w:t>
      </w:r>
      <w:proofErr w:type="spellEnd"/>
      <w:r w:rsidRPr="002850AE">
        <w:rPr>
          <w:rFonts w:ascii="Book Antiqua" w:eastAsia="Book Antiqua" w:hAnsi="Book Antiqua" w:cs="Book Antiqua"/>
          <w:color w:val="000000"/>
        </w:rPr>
        <w:t xml:space="preserve"> M, Van den Ende J, </w:t>
      </w:r>
      <w:proofErr w:type="spellStart"/>
      <w:r w:rsidRPr="002850AE">
        <w:rPr>
          <w:rFonts w:ascii="Book Antiqua" w:eastAsia="Book Antiqua" w:hAnsi="Book Antiqua" w:cs="Book Antiqua"/>
          <w:color w:val="000000"/>
        </w:rPr>
        <w:t>Colebunders</w:t>
      </w:r>
      <w:proofErr w:type="spellEnd"/>
      <w:r w:rsidRPr="002850AE">
        <w:rPr>
          <w:rFonts w:ascii="Book Antiqua" w:eastAsia="Book Antiqua" w:hAnsi="Book Antiqua" w:cs="Book Antiqua"/>
          <w:color w:val="000000"/>
        </w:rPr>
        <w:t xml:space="preserve"> R. An algorithm to optimize viral load testing in HIV-positive patients with suspected first-line antiretroviral therapy failure in Cambodia. </w:t>
      </w:r>
      <w:r w:rsidRPr="002850AE">
        <w:rPr>
          <w:rFonts w:ascii="Book Antiqua" w:eastAsia="Book Antiqua" w:hAnsi="Book Antiqua" w:cs="Book Antiqua"/>
          <w:i/>
          <w:iCs/>
          <w:color w:val="000000"/>
        </w:rPr>
        <w:t xml:space="preserve">J </w:t>
      </w:r>
      <w:proofErr w:type="spellStart"/>
      <w:r w:rsidRPr="002850AE">
        <w:rPr>
          <w:rFonts w:ascii="Book Antiqua" w:eastAsia="Book Antiqua" w:hAnsi="Book Antiqua" w:cs="Book Antiqua"/>
          <w:i/>
          <w:iCs/>
          <w:color w:val="000000"/>
        </w:rPr>
        <w:t>Acquir</w:t>
      </w:r>
      <w:proofErr w:type="spellEnd"/>
      <w:r w:rsidRPr="002850AE">
        <w:rPr>
          <w:rFonts w:ascii="Book Antiqua" w:eastAsia="Book Antiqua" w:hAnsi="Book Antiqua" w:cs="Book Antiqua"/>
          <w:i/>
          <w:iCs/>
          <w:color w:val="000000"/>
        </w:rPr>
        <w:t xml:space="preserve"> Immune </w:t>
      </w:r>
      <w:proofErr w:type="spellStart"/>
      <w:r w:rsidRPr="002850AE">
        <w:rPr>
          <w:rFonts w:ascii="Book Antiqua" w:eastAsia="Book Antiqua" w:hAnsi="Book Antiqua" w:cs="Book Antiqua"/>
          <w:i/>
          <w:iCs/>
          <w:color w:val="000000"/>
        </w:rPr>
        <w:t>Defic</w:t>
      </w:r>
      <w:proofErr w:type="spellEnd"/>
      <w:r w:rsidRPr="002850AE">
        <w:rPr>
          <w:rFonts w:ascii="Book Antiqua" w:eastAsia="Book Antiqua" w:hAnsi="Book Antiqua" w:cs="Book Antiqua"/>
          <w:i/>
          <w:iCs/>
          <w:color w:val="000000"/>
        </w:rPr>
        <w:t xml:space="preserve"> </w:t>
      </w:r>
      <w:proofErr w:type="spellStart"/>
      <w:r w:rsidRPr="002850AE">
        <w:rPr>
          <w:rFonts w:ascii="Book Antiqua" w:eastAsia="Book Antiqua" w:hAnsi="Book Antiqua" w:cs="Book Antiqua"/>
          <w:i/>
          <w:iCs/>
          <w:color w:val="000000"/>
        </w:rPr>
        <w:t>Syndr</w:t>
      </w:r>
      <w:proofErr w:type="spellEnd"/>
      <w:r w:rsidRPr="002850AE">
        <w:rPr>
          <w:rFonts w:ascii="Book Antiqua" w:eastAsia="Book Antiqua" w:hAnsi="Book Antiqua" w:cs="Book Antiqua"/>
          <w:color w:val="000000"/>
        </w:rPr>
        <w:t xml:space="preserve"> 2009; </w:t>
      </w:r>
      <w:r w:rsidRPr="002850AE">
        <w:rPr>
          <w:rFonts w:ascii="Book Antiqua" w:eastAsia="Book Antiqua" w:hAnsi="Book Antiqua" w:cs="Book Antiqua"/>
          <w:b/>
          <w:bCs/>
          <w:color w:val="000000"/>
        </w:rPr>
        <w:t>52</w:t>
      </w:r>
      <w:r w:rsidRPr="002850AE">
        <w:rPr>
          <w:rFonts w:ascii="Book Antiqua" w:eastAsia="Book Antiqua" w:hAnsi="Book Antiqua" w:cs="Book Antiqua"/>
          <w:color w:val="000000"/>
        </w:rPr>
        <w:t>: 40-48 [PMID: 19550349 DOI: 10.1097/QAI.0b013e3181af6705</w:t>
      </w:r>
      <w:r w:rsidR="00FF68A8" w:rsidRPr="002850AE">
        <w:rPr>
          <w:rFonts w:ascii="Book Antiqua" w:eastAsia="Book Antiqua" w:hAnsi="Book Antiqua" w:cs="Book Antiqua"/>
          <w:color w:val="000000"/>
        </w:rPr>
        <w:t>]</w:t>
      </w:r>
    </w:p>
    <w:p w14:paraId="3982166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17 </w:t>
      </w:r>
      <w:r w:rsidRPr="002850AE">
        <w:rPr>
          <w:rFonts w:ascii="Book Antiqua" w:eastAsia="Book Antiqua" w:hAnsi="Book Antiqua" w:cs="Book Antiqua"/>
          <w:b/>
          <w:bCs/>
          <w:color w:val="000000"/>
        </w:rPr>
        <w:t>Hendriksen JM</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Geersing</w:t>
      </w:r>
      <w:proofErr w:type="spellEnd"/>
      <w:r w:rsidRPr="002850AE">
        <w:rPr>
          <w:rFonts w:ascii="Book Antiqua" w:eastAsia="Book Antiqua" w:hAnsi="Book Antiqua" w:cs="Book Antiqua"/>
          <w:color w:val="000000"/>
        </w:rPr>
        <w:t xml:space="preserve"> GJ, Lucassen WA, </w:t>
      </w:r>
      <w:proofErr w:type="spellStart"/>
      <w:r w:rsidRPr="002850AE">
        <w:rPr>
          <w:rFonts w:ascii="Book Antiqua" w:eastAsia="Book Antiqua" w:hAnsi="Book Antiqua" w:cs="Book Antiqua"/>
          <w:color w:val="000000"/>
        </w:rPr>
        <w:t>Erkens</w:t>
      </w:r>
      <w:proofErr w:type="spellEnd"/>
      <w:r w:rsidRPr="002850AE">
        <w:rPr>
          <w:rFonts w:ascii="Book Antiqua" w:eastAsia="Book Antiqua" w:hAnsi="Book Antiqua" w:cs="Book Antiqua"/>
          <w:color w:val="000000"/>
        </w:rPr>
        <w:t xml:space="preserve"> PM, </w:t>
      </w:r>
      <w:proofErr w:type="spellStart"/>
      <w:r w:rsidRPr="002850AE">
        <w:rPr>
          <w:rFonts w:ascii="Book Antiqua" w:eastAsia="Book Antiqua" w:hAnsi="Book Antiqua" w:cs="Book Antiqua"/>
          <w:color w:val="000000"/>
        </w:rPr>
        <w:t>Stoffers</w:t>
      </w:r>
      <w:proofErr w:type="spellEnd"/>
      <w:r w:rsidRPr="002850AE">
        <w:rPr>
          <w:rFonts w:ascii="Book Antiqua" w:eastAsia="Book Antiqua" w:hAnsi="Book Antiqua" w:cs="Book Antiqua"/>
          <w:color w:val="000000"/>
        </w:rPr>
        <w:t xml:space="preserve"> HE, van </w:t>
      </w:r>
      <w:proofErr w:type="spellStart"/>
      <w:r w:rsidRPr="002850AE">
        <w:rPr>
          <w:rFonts w:ascii="Book Antiqua" w:eastAsia="Book Antiqua" w:hAnsi="Book Antiqua" w:cs="Book Antiqua"/>
          <w:color w:val="000000"/>
        </w:rPr>
        <w:t>Weert</w:t>
      </w:r>
      <w:proofErr w:type="spellEnd"/>
      <w:r w:rsidRPr="002850AE">
        <w:rPr>
          <w:rFonts w:ascii="Book Antiqua" w:eastAsia="Book Antiqua" w:hAnsi="Book Antiqua" w:cs="Book Antiqua"/>
          <w:color w:val="000000"/>
        </w:rPr>
        <w:t xml:space="preserve"> HC, </w:t>
      </w:r>
      <w:proofErr w:type="spellStart"/>
      <w:r w:rsidRPr="002850AE">
        <w:rPr>
          <w:rFonts w:ascii="Book Antiqua" w:eastAsia="Book Antiqua" w:hAnsi="Book Antiqua" w:cs="Book Antiqua"/>
          <w:color w:val="000000"/>
        </w:rPr>
        <w:t>Büller</w:t>
      </w:r>
      <w:proofErr w:type="spellEnd"/>
      <w:r w:rsidRPr="002850AE">
        <w:rPr>
          <w:rFonts w:ascii="Book Antiqua" w:eastAsia="Book Antiqua" w:hAnsi="Book Antiqua" w:cs="Book Antiqua"/>
          <w:color w:val="000000"/>
        </w:rPr>
        <w:t xml:space="preserve"> HR, Hoes AW, Moons KG. Diagnostic prediction models for suspected pulmonary embolism: systematic review and independent external validation in primary care. </w:t>
      </w:r>
      <w:r w:rsidRPr="002850AE">
        <w:rPr>
          <w:rFonts w:ascii="Book Antiqua" w:eastAsia="Book Antiqua" w:hAnsi="Book Antiqua" w:cs="Book Antiqua"/>
          <w:i/>
          <w:iCs/>
          <w:color w:val="000000"/>
        </w:rPr>
        <w:t>BMJ</w:t>
      </w:r>
      <w:r w:rsidRPr="002850AE">
        <w:rPr>
          <w:rFonts w:ascii="Book Antiqua" w:eastAsia="Book Antiqua" w:hAnsi="Book Antiqua" w:cs="Book Antiqua"/>
          <w:color w:val="000000"/>
        </w:rPr>
        <w:t xml:space="preserve"> 2015; </w:t>
      </w:r>
      <w:r w:rsidRPr="002850AE">
        <w:rPr>
          <w:rFonts w:ascii="Book Antiqua" w:eastAsia="Book Antiqua" w:hAnsi="Book Antiqua" w:cs="Book Antiqua"/>
          <w:b/>
          <w:bCs/>
          <w:color w:val="000000"/>
        </w:rPr>
        <w:t>351</w:t>
      </w:r>
      <w:r w:rsidRPr="002850AE">
        <w:rPr>
          <w:rFonts w:ascii="Book Antiqua" w:eastAsia="Book Antiqua" w:hAnsi="Book Antiqua" w:cs="Book Antiqua"/>
          <w:color w:val="000000"/>
        </w:rPr>
        <w:t>: h4438 [PMID: 26349907 DOI: 10.1136/bmj.h4438</w:t>
      </w:r>
      <w:r w:rsidR="00FF68A8" w:rsidRPr="002850AE">
        <w:rPr>
          <w:rFonts w:ascii="Book Antiqua" w:eastAsia="Book Antiqua" w:hAnsi="Book Antiqua" w:cs="Book Antiqua"/>
          <w:color w:val="000000"/>
        </w:rPr>
        <w:t>]</w:t>
      </w:r>
    </w:p>
    <w:p w14:paraId="4EA32438"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18 </w:t>
      </w:r>
      <w:r w:rsidRPr="002850AE">
        <w:rPr>
          <w:rFonts w:ascii="Book Antiqua" w:eastAsia="Book Antiqua" w:hAnsi="Book Antiqua" w:cs="Book Antiqua"/>
          <w:b/>
          <w:bCs/>
          <w:color w:val="000000"/>
        </w:rPr>
        <w:t>Moreno L</w:t>
      </w:r>
      <w:r w:rsidRPr="002850AE">
        <w:rPr>
          <w:rFonts w:ascii="Book Antiqua" w:eastAsia="Book Antiqua" w:hAnsi="Book Antiqua" w:cs="Book Antiqua"/>
          <w:color w:val="000000"/>
        </w:rPr>
        <w:t xml:space="preserve">, Krishnan JA, Duran P, Ferrero F. Development and validation of a clinical prediction rule to distinguish bacterial from viral pneumonia in children. </w:t>
      </w:r>
      <w:proofErr w:type="spellStart"/>
      <w:r w:rsidRPr="002850AE">
        <w:rPr>
          <w:rFonts w:ascii="Book Antiqua" w:eastAsia="Book Antiqua" w:hAnsi="Book Antiqua" w:cs="Book Antiqua"/>
          <w:i/>
          <w:iCs/>
          <w:color w:val="000000"/>
        </w:rPr>
        <w:t>Pediatr</w:t>
      </w:r>
      <w:proofErr w:type="spellEnd"/>
      <w:r w:rsidRPr="002850AE">
        <w:rPr>
          <w:rFonts w:ascii="Book Antiqua" w:eastAsia="Book Antiqua" w:hAnsi="Book Antiqua" w:cs="Book Antiqua"/>
          <w:i/>
          <w:iCs/>
          <w:color w:val="000000"/>
        </w:rPr>
        <w:t xml:space="preserve"> </w:t>
      </w:r>
      <w:proofErr w:type="spellStart"/>
      <w:r w:rsidRPr="002850AE">
        <w:rPr>
          <w:rFonts w:ascii="Book Antiqua" w:eastAsia="Book Antiqua" w:hAnsi="Book Antiqua" w:cs="Book Antiqua"/>
          <w:i/>
          <w:iCs/>
          <w:color w:val="000000"/>
        </w:rPr>
        <w:t>Pulmonol</w:t>
      </w:r>
      <w:proofErr w:type="spellEnd"/>
      <w:r w:rsidRPr="002850AE">
        <w:rPr>
          <w:rFonts w:ascii="Book Antiqua" w:eastAsia="Book Antiqua" w:hAnsi="Book Antiqua" w:cs="Book Antiqua"/>
          <w:color w:val="000000"/>
        </w:rPr>
        <w:t xml:space="preserve"> 2006; </w:t>
      </w:r>
      <w:r w:rsidRPr="002850AE">
        <w:rPr>
          <w:rFonts w:ascii="Book Antiqua" w:eastAsia="Book Antiqua" w:hAnsi="Book Antiqua" w:cs="Book Antiqua"/>
          <w:b/>
          <w:bCs/>
          <w:color w:val="000000"/>
        </w:rPr>
        <w:t>41</w:t>
      </w:r>
      <w:r w:rsidRPr="002850AE">
        <w:rPr>
          <w:rFonts w:ascii="Book Antiqua" w:eastAsia="Book Antiqua" w:hAnsi="Book Antiqua" w:cs="Book Antiqua"/>
          <w:color w:val="000000"/>
        </w:rPr>
        <w:t>: 331-337 [PMID: 16493666 DOI: 10.1002/ppul.20364</w:t>
      </w:r>
      <w:r w:rsidR="00FF68A8" w:rsidRPr="002850AE">
        <w:rPr>
          <w:rFonts w:ascii="Book Antiqua" w:eastAsia="Book Antiqua" w:hAnsi="Book Antiqua" w:cs="Book Antiqua"/>
          <w:color w:val="000000"/>
        </w:rPr>
        <w:t>]</w:t>
      </w:r>
    </w:p>
    <w:p w14:paraId="63B1634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19 </w:t>
      </w:r>
      <w:r w:rsidRPr="002850AE">
        <w:rPr>
          <w:rFonts w:ascii="Book Antiqua" w:eastAsia="Book Antiqua" w:hAnsi="Book Antiqua" w:cs="Book Antiqua"/>
          <w:b/>
          <w:bCs/>
          <w:color w:val="000000"/>
        </w:rPr>
        <w:t>Vaughan TS</w:t>
      </w:r>
      <w:r w:rsidRPr="002850AE">
        <w:rPr>
          <w:rFonts w:ascii="Book Antiqua" w:eastAsia="Book Antiqua" w:hAnsi="Book Antiqua" w:cs="Book Antiqua"/>
          <w:bCs/>
          <w:color w:val="000000"/>
        </w:rPr>
        <w:t>,</w:t>
      </w:r>
      <w:r w:rsidRPr="002850AE">
        <w:rPr>
          <w:rFonts w:ascii="Book Antiqua" w:eastAsia="Book Antiqua" w:hAnsi="Book Antiqua" w:cs="Book Antiqua"/>
          <w:color w:val="000000"/>
        </w:rPr>
        <w:t xml:space="preserve"> Berry KE. Using Monte Carlo Techniques to Demonstrate the Meaning and Implications of Multicollinearity. </w:t>
      </w:r>
      <w:r w:rsidRPr="002850AE">
        <w:rPr>
          <w:rFonts w:ascii="Book Antiqua" w:eastAsia="Book Antiqua" w:hAnsi="Book Antiqua" w:cs="Book Antiqua"/>
          <w:i/>
          <w:color w:val="000000"/>
        </w:rPr>
        <w:t>J</w:t>
      </w:r>
      <w:r w:rsidR="00E07D90" w:rsidRPr="002850AE">
        <w:rPr>
          <w:rFonts w:ascii="Book Antiqua" w:eastAsia="Book Antiqua" w:hAnsi="Book Antiqua" w:cs="Book Antiqua"/>
          <w:i/>
          <w:color w:val="000000"/>
        </w:rPr>
        <w:t xml:space="preserve"> </w:t>
      </w:r>
      <w:r w:rsidRPr="002850AE">
        <w:rPr>
          <w:rFonts w:ascii="Book Antiqua" w:eastAsia="Book Antiqua" w:hAnsi="Book Antiqua" w:cs="Book Antiqua"/>
          <w:i/>
          <w:color w:val="000000"/>
        </w:rPr>
        <w:t>Stat</w:t>
      </w:r>
      <w:r w:rsidR="00E07D90" w:rsidRPr="002850AE">
        <w:rPr>
          <w:rFonts w:ascii="Book Antiqua" w:eastAsia="Book Antiqua" w:hAnsi="Book Antiqua" w:cs="Book Antiqua"/>
          <w:i/>
          <w:color w:val="000000"/>
        </w:rPr>
        <w:t xml:space="preserve"> </w:t>
      </w:r>
      <w:r w:rsidRPr="002850AE">
        <w:rPr>
          <w:rFonts w:ascii="Book Antiqua" w:eastAsia="Book Antiqua" w:hAnsi="Book Antiqua" w:cs="Book Antiqua"/>
          <w:i/>
          <w:color w:val="000000"/>
        </w:rPr>
        <w:t>Educ</w:t>
      </w:r>
      <w:r w:rsidR="00E07D90" w:rsidRPr="002850AE">
        <w:rPr>
          <w:rFonts w:ascii="Book Antiqua" w:eastAsia="Book Antiqua" w:hAnsi="Book Antiqua" w:cs="Book Antiqua"/>
          <w:color w:val="000000"/>
        </w:rPr>
        <w:t xml:space="preserve"> </w:t>
      </w:r>
      <w:r w:rsidRPr="002850AE">
        <w:rPr>
          <w:rFonts w:ascii="Book Antiqua" w:eastAsia="Book Antiqua" w:hAnsi="Book Antiqua" w:cs="Book Antiqua"/>
          <w:color w:val="000000"/>
        </w:rPr>
        <w:t>2005</w:t>
      </w:r>
      <w:r w:rsidR="0014362A" w:rsidRPr="002850AE">
        <w:rPr>
          <w:rFonts w:ascii="Book Antiqua" w:eastAsia="Book Antiqua" w:hAnsi="Book Antiqua" w:cs="Book Antiqua"/>
          <w:color w:val="000000"/>
        </w:rPr>
        <w:t>;</w:t>
      </w:r>
      <w:r w:rsidRPr="002850AE">
        <w:rPr>
          <w:rFonts w:ascii="Book Antiqua" w:eastAsia="Book Antiqua" w:hAnsi="Book Antiqua" w:cs="Book Antiqua"/>
          <w:color w:val="000000"/>
        </w:rPr>
        <w:t xml:space="preserve"> </w:t>
      </w:r>
      <w:r w:rsidRPr="002850AE">
        <w:rPr>
          <w:rFonts w:ascii="Book Antiqua" w:eastAsia="Book Antiqua" w:hAnsi="Book Antiqua" w:cs="Book Antiqua"/>
          <w:b/>
          <w:color w:val="000000"/>
        </w:rPr>
        <w:t>13</w:t>
      </w:r>
      <w:r w:rsidRPr="002850AE">
        <w:rPr>
          <w:rFonts w:ascii="Book Antiqua" w:eastAsia="Book Antiqua" w:hAnsi="Book Antiqua" w:cs="Book Antiqua"/>
          <w:color w:val="000000"/>
        </w:rPr>
        <w:t>:</w:t>
      </w:r>
      <w:r w:rsidR="004979E1" w:rsidRPr="002850AE">
        <w:rPr>
          <w:rFonts w:ascii="Book Antiqua" w:eastAsia="Book Antiqua" w:hAnsi="Book Antiqua" w:cs="Book Antiqua"/>
          <w:color w:val="000000"/>
        </w:rPr>
        <w:t xml:space="preserve"> </w:t>
      </w:r>
      <w:r w:rsidRPr="002850AE">
        <w:rPr>
          <w:rFonts w:ascii="Book Antiqua" w:eastAsia="Book Antiqua" w:hAnsi="Book Antiqua" w:cs="Book Antiqua"/>
          <w:color w:val="000000"/>
        </w:rPr>
        <w:t>1</w:t>
      </w:r>
    </w:p>
    <w:p w14:paraId="273A094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20 </w:t>
      </w:r>
      <w:proofErr w:type="spellStart"/>
      <w:r w:rsidRPr="002850AE">
        <w:rPr>
          <w:rFonts w:ascii="Book Antiqua" w:eastAsia="Book Antiqua" w:hAnsi="Book Antiqua" w:cs="Book Antiqua"/>
          <w:b/>
          <w:bCs/>
          <w:color w:val="000000"/>
        </w:rPr>
        <w:t>Shmueli</w:t>
      </w:r>
      <w:proofErr w:type="spellEnd"/>
      <w:r w:rsidRPr="002850AE">
        <w:rPr>
          <w:rFonts w:ascii="Book Antiqua" w:eastAsia="Book Antiqua" w:hAnsi="Book Antiqua" w:cs="Book Antiqua"/>
          <w:b/>
          <w:bCs/>
          <w:color w:val="000000"/>
        </w:rPr>
        <w:t xml:space="preserve"> G</w:t>
      </w:r>
      <w:r w:rsidRPr="002850AE">
        <w:rPr>
          <w:rFonts w:ascii="Book Antiqua" w:eastAsia="Book Antiqua" w:hAnsi="Book Antiqua" w:cs="Book Antiqua"/>
          <w:bCs/>
          <w:color w:val="000000"/>
        </w:rPr>
        <w:t>. To explain or to predict</w:t>
      </w:r>
      <w:r w:rsidR="000962F6" w:rsidRPr="002850AE">
        <w:rPr>
          <w:rFonts w:ascii="Book Antiqua" w:eastAsia="Book Antiqua" w:hAnsi="Book Antiqua" w:cs="Book Antiqua"/>
          <w:bCs/>
          <w:color w:val="000000"/>
        </w:rPr>
        <w:t>?</w:t>
      </w:r>
      <w:r w:rsidRPr="002850AE">
        <w:rPr>
          <w:rFonts w:ascii="Book Antiqua" w:eastAsia="Book Antiqua" w:hAnsi="Book Antiqua" w:cs="Book Antiqua"/>
          <w:b/>
          <w:bCs/>
          <w:color w:val="000000"/>
        </w:rPr>
        <w:t xml:space="preserve"> </w:t>
      </w:r>
      <w:r w:rsidRPr="002850AE">
        <w:rPr>
          <w:rFonts w:ascii="Book Antiqua" w:eastAsia="Book Antiqua" w:hAnsi="Book Antiqua" w:cs="Book Antiqua"/>
          <w:bCs/>
          <w:i/>
          <w:color w:val="000000"/>
        </w:rPr>
        <w:t>Stat</w:t>
      </w:r>
      <w:r w:rsidR="00E37C79" w:rsidRPr="002850AE">
        <w:rPr>
          <w:rFonts w:ascii="Book Antiqua" w:eastAsia="Book Antiqua" w:hAnsi="Book Antiqua" w:cs="Book Antiqua"/>
          <w:bCs/>
          <w:i/>
          <w:color w:val="000000"/>
        </w:rPr>
        <w:t xml:space="preserve"> </w:t>
      </w:r>
      <w:r w:rsidRPr="002850AE">
        <w:rPr>
          <w:rFonts w:ascii="Book Antiqua" w:eastAsia="Book Antiqua" w:hAnsi="Book Antiqua" w:cs="Book Antiqua"/>
          <w:bCs/>
          <w:i/>
          <w:color w:val="000000"/>
        </w:rPr>
        <w:t>Sci</w:t>
      </w:r>
      <w:r w:rsidR="00E37C79" w:rsidRPr="002850AE">
        <w:rPr>
          <w:rFonts w:ascii="Book Antiqua" w:eastAsia="Book Antiqua" w:hAnsi="Book Antiqua" w:cs="Book Antiqua"/>
          <w:bCs/>
          <w:i/>
          <w:color w:val="000000"/>
        </w:rPr>
        <w:t xml:space="preserve"> </w:t>
      </w:r>
      <w:r w:rsidRPr="002850AE">
        <w:rPr>
          <w:rFonts w:ascii="Book Antiqua" w:eastAsia="Book Antiqua" w:hAnsi="Book Antiqua" w:cs="Book Antiqua"/>
          <w:bCs/>
          <w:color w:val="000000"/>
        </w:rPr>
        <w:t>2010</w:t>
      </w:r>
      <w:r w:rsidR="00E37C79" w:rsidRPr="002850AE">
        <w:rPr>
          <w:rFonts w:ascii="Book Antiqua" w:eastAsia="Book Antiqua" w:hAnsi="Book Antiqua" w:cs="Book Antiqua"/>
          <w:bCs/>
          <w:color w:val="000000"/>
        </w:rPr>
        <w:t>;</w:t>
      </w:r>
      <w:r w:rsidRPr="002850AE">
        <w:rPr>
          <w:rFonts w:ascii="Book Antiqua" w:eastAsia="Book Antiqua" w:hAnsi="Book Antiqua" w:cs="Book Antiqua"/>
          <w:color w:val="000000"/>
        </w:rPr>
        <w:t xml:space="preserve"> </w:t>
      </w:r>
      <w:r w:rsidRPr="002850AE">
        <w:rPr>
          <w:rFonts w:ascii="Book Antiqua" w:eastAsia="Book Antiqua" w:hAnsi="Book Antiqua" w:cs="Book Antiqua"/>
          <w:b/>
          <w:bCs/>
          <w:color w:val="000000"/>
        </w:rPr>
        <w:t>25</w:t>
      </w:r>
      <w:r w:rsidRPr="002850AE">
        <w:rPr>
          <w:rFonts w:ascii="Book Antiqua" w:eastAsia="Book Antiqua" w:hAnsi="Book Antiqua" w:cs="Book Antiqua"/>
          <w:color w:val="000000"/>
        </w:rPr>
        <w:t>:</w:t>
      </w:r>
      <w:r w:rsidR="00E37C79" w:rsidRPr="002850AE">
        <w:rPr>
          <w:rFonts w:ascii="Book Antiqua" w:eastAsia="Book Antiqua" w:hAnsi="Book Antiqua" w:cs="Book Antiqua"/>
          <w:color w:val="000000"/>
        </w:rPr>
        <w:t xml:space="preserve"> </w:t>
      </w:r>
      <w:r w:rsidRPr="002850AE">
        <w:rPr>
          <w:rFonts w:ascii="Book Antiqua" w:eastAsia="Book Antiqua" w:hAnsi="Book Antiqua" w:cs="Book Antiqua"/>
          <w:color w:val="000000"/>
        </w:rPr>
        <w:t>289-310</w:t>
      </w:r>
    </w:p>
    <w:p w14:paraId="788215D8"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21 </w:t>
      </w:r>
      <w:proofErr w:type="spellStart"/>
      <w:r w:rsidRPr="002850AE">
        <w:rPr>
          <w:rFonts w:ascii="Book Antiqua" w:eastAsia="Book Antiqua" w:hAnsi="Book Antiqua" w:cs="Book Antiqua"/>
          <w:b/>
          <w:bCs/>
          <w:color w:val="000000"/>
        </w:rPr>
        <w:t>Peduzzi</w:t>
      </w:r>
      <w:proofErr w:type="spellEnd"/>
      <w:r w:rsidRPr="002850AE">
        <w:rPr>
          <w:rFonts w:ascii="Book Antiqua" w:eastAsia="Book Antiqua" w:hAnsi="Book Antiqua" w:cs="Book Antiqua"/>
          <w:b/>
          <w:bCs/>
          <w:color w:val="000000"/>
        </w:rPr>
        <w:t xml:space="preserve"> P</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Concato</w:t>
      </w:r>
      <w:proofErr w:type="spellEnd"/>
      <w:r w:rsidRPr="002850AE">
        <w:rPr>
          <w:rFonts w:ascii="Book Antiqua" w:eastAsia="Book Antiqua" w:hAnsi="Book Antiqua" w:cs="Book Antiqua"/>
          <w:color w:val="000000"/>
        </w:rPr>
        <w:t xml:space="preserve"> J, Kemper E, Holford TR, Feinstein AR. A simulation study of the number of events per variable in logistic regression analysis. </w:t>
      </w:r>
      <w:r w:rsidRPr="002850AE">
        <w:rPr>
          <w:rFonts w:ascii="Book Antiqua" w:eastAsia="Book Antiqua" w:hAnsi="Book Antiqua" w:cs="Book Antiqua"/>
          <w:i/>
          <w:iCs/>
          <w:color w:val="000000"/>
        </w:rPr>
        <w:t>J Clin Epidemiol</w:t>
      </w:r>
      <w:r w:rsidRPr="002850AE">
        <w:rPr>
          <w:rFonts w:ascii="Book Antiqua" w:eastAsia="Book Antiqua" w:hAnsi="Book Antiqua" w:cs="Book Antiqua"/>
          <w:color w:val="000000"/>
        </w:rPr>
        <w:t xml:space="preserve"> 1996; </w:t>
      </w:r>
      <w:r w:rsidRPr="002850AE">
        <w:rPr>
          <w:rFonts w:ascii="Book Antiqua" w:eastAsia="Book Antiqua" w:hAnsi="Book Antiqua" w:cs="Book Antiqua"/>
          <w:b/>
          <w:bCs/>
          <w:color w:val="000000"/>
        </w:rPr>
        <w:t>49</w:t>
      </w:r>
      <w:r w:rsidRPr="002850AE">
        <w:rPr>
          <w:rFonts w:ascii="Book Antiqua" w:eastAsia="Book Antiqua" w:hAnsi="Book Antiqua" w:cs="Book Antiqua"/>
          <w:color w:val="000000"/>
        </w:rPr>
        <w:t>: 1373-1379 [PMID: 8970487 DOI: 10.1016/s0895-4356(96)00236-3</w:t>
      </w:r>
      <w:r w:rsidR="00FF68A8" w:rsidRPr="002850AE">
        <w:rPr>
          <w:rFonts w:ascii="Book Antiqua" w:eastAsia="Book Antiqua" w:hAnsi="Book Antiqua" w:cs="Book Antiqua"/>
          <w:color w:val="000000"/>
        </w:rPr>
        <w:t>]</w:t>
      </w:r>
    </w:p>
    <w:p w14:paraId="318CFCC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22 </w:t>
      </w:r>
      <w:r w:rsidRPr="002850AE">
        <w:rPr>
          <w:rFonts w:ascii="Book Antiqua" w:eastAsia="Book Antiqua" w:hAnsi="Book Antiqua" w:cs="Book Antiqua"/>
          <w:b/>
          <w:bCs/>
          <w:color w:val="000000"/>
        </w:rPr>
        <w:t>Berkley JA</w:t>
      </w:r>
      <w:r w:rsidRPr="002850AE">
        <w:rPr>
          <w:rFonts w:ascii="Book Antiqua" w:eastAsia="Book Antiqua" w:hAnsi="Book Antiqua" w:cs="Book Antiqua"/>
          <w:color w:val="000000"/>
        </w:rPr>
        <w:t xml:space="preserve">, Ross A, Mwangi I, Osier FH, Mohammed M, </w:t>
      </w:r>
      <w:proofErr w:type="spellStart"/>
      <w:r w:rsidRPr="002850AE">
        <w:rPr>
          <w:rFonts w:ascii="Book Antiqua" w:eastAsia="Book Antiqua" w:hAnsi="Book Antiqua" w:cs="Book Antiqua"/>
          <w:color w:val="000000"/>
        </w:rPr>
        <w:t>Shebbe</w:t>
      </w:r>
      <w:proofErr w:type="spellEnd"/>
      <w:r w:rsidRPr="002850AE">
        <w:rPr>
          <w:rFonts w:ascii="Book Antiqua" w:eastAsia="Book Antiqua" w:hAnsi="Book Antiqua" w:cs="Book Antiqua"/>
          <w:color w:val="000000"/>
        </w:rPr>
        <w:t xml:space="preserve"> M, Lowe BS, Marsh K, Newton CR. Prognostic indicators of early and late death in children admitted to district hospital in Kenya: cohort study. </w:t>
      </w:r>
      <w:r w:rsidRPr="002850AE">
        <w:rPr>
          <w:rFonts w:ascii="Book Antiqua" w:eastAsia="Book Antiqua" w:hAnsi="Book Antiqua" w:cs="Book Antiqua"/>
          <w:i/>
          <w:iCs/>
          <w:color w:val="000000"/>
        </w:rPr>
        <w:t>BMJ</w:t>
      </w:r>
      <w:r w:rsidRPr="002850AE">
        <w:rPr>
          <w:rFonts w:ascii="Book Antiqua" w:eastAsia="Book Antiqua" w:hAnsi="Book Antiqua" w:cs="Book Antiqua"/>
          <w:color w:val="000000"/>
        </w:rPr>
        <w:t xml:space="preserve"> 2003; </w:t>
      </w:r>
      <w:r w:rsidRPr="002850AE">
        <w:rPr>
          <w:rFonts w:ascii="Book Antiqua" w:eastAsia="Book Antiqua" w:hAnsi="Book Antiqua" w:cs="Book Antiqua"/>
          <w:b/>
          <w:bCs/>
          <w:color w:val="000000"/>
        </w:rPr>
        <w:t>326</w:t>
      </w:r>
      <w:r w:rsidRPr="002850AE">
        <w:rPr>
          <w:rFonts w:ascii="Book Antiqua" w:eastAsia="Book Antiqua" w:hAnsi="Book Antiqua" w:cs="Book Antiqua"/>
          <w:color w:val="000000"/>
        </w:rPr>
        <w:t>: 361 [PMID: 12586667 DOI: 10.1136/bmj.326.7385.361</w:t>
      </w:r>
      <w:r w:rsidR="00FF68A8" w:rsidRPr="002850AE">
        <w:rPr>
          <w:rFonts w:ascii="Book Antiqua" w:eastAsia="Book Antiqua" w:hAnsi="Book Antiqua" w:cs="Book Antiqua"/>
          <w:color w:val="000000"/>
        </w:rPr>
        <w:t>]</w:t>
      </w:r>
    </w:p>
    <w:p w14:paraId="08C9203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23 </w:t>
      </w:r>
      <w:proofErr w:type="spellStart"/>
      <w:r w:rsidRPr="002850AE">
        <w:rPr>
          <w:rFonts w:ascii="Book Antiqua" w:eastAsia="Book Antiqua" w:hAnsi="Book Antiqua" w:cs="Book Antiqua"/>
          <w:b/>
          <w:bCs/>
          <w:color w:val="000000"/>
        </w:rPr>
        <w:t>Stéphan</w:t>
      </w:r>
      <w:proofErr w:type="spellEnd"/>
      <w:r w:rsidRPr="002850AE">
        <w:rPr>
          <w:rFonts w:ascii="Book Antiqua" w:eastAsia="Book Antiqua" w:hAnsi="Book Antiqua" w:cs="Book Antiqua"/>
          <w:b/>
          <w:bCs/>
          <w:color w:val="000000"/>
        </w:rPr>
        <w:t xml:space="preserve"> F</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Flahault</w:t>
      </w:r>
      <w:proofErr w:type="spellEnd"/>
      <w:r w:rsidRPr="002850AE">
        <w:rPr>
          <w:rFonts w:ascii="Book Antiqua" w:eastAsia="Book Antiqua" w:hAnsi="Book Antiqua" w:cs="Book Antiqua"/>
          <w:color w:val="000000"/>
        </w:rPr>
        <w:t xml:space="preserve"> A, </w:t>
      </w:r>
      <w:proofErr w:type="spellStart"/>
      <w:r w:rsidRPr="002850AE">
        <w:rPr>
          <w:rFonts w:ascii="Book Antiqua" w:eastAsia="Book Antiqua" w:hAnsi="Book Antiqua" w:cs="Book Antiqua"/>
          <w:color w:val="000000"/>
        </w:rPr>
        <w:t>Dieudonné</w:t>
      </w:r>
      <w:proofErr w:type="spellEnd"/>
      <w:r w:rsidRPr="002850AE">
        <w:rPr>
          <w:rFonts w:ascii="Book Antiqua" w:eastAsia="Book Antiqua" w:hAnsi="Book Antiqua" w:cs="Book Antiqua"/>
          <w:color w:val="000000"/>
        </w:rPr>
        <w:t xml:space="preserve"> N, Hollande J, Paillard F, Bonnet F. Clinical evaluation of circulating blood volume in critically ill patients--contribution of a clinical scoring system. </w:t>
      </w:r>
      <w:r w:rsidRPr="002850AE">
        <w:rPr>
          <w:rFonts w:ascii="Book Antiqua" w:eastAsia="Book Antiqua" w:hAnsi="Book Antiqua" w:cs="Book Antiqua"/>
          <w:i/>
          <w:iCs/>
          <w:color w:val="000000"/>
        </w:rPr>
        <w:t xml:space="preserve">Br J </w:t>
      </w:r>
      <w:proofErr w:type="spellStart"/>
      <w:r w:rsidRPr="002850AE">
        <w:rPr>
          <w:rFonts w:ascii="Book Antiqua" w:eastAsia="Book Antiqua" w:hAnsi="Book Antiqua" w:cs="Book Antiqua"/>
          <w:i/>
          <w:iCs/>
          <w:color w:val="000000"/>
        </w:rPr>
        <w:t>Anaesth</w:t>
      </w:r>
      <w:proofErr w:type="spellEnd"/>
      <w:r w:rsidRPr="002850AE">
        <w:rPr>
          <w:rFonts w:ascii="Book Antiqua" w:eastAsia="Book Antiqua" w:hAnsi="Book Antiqua" w:cs="Book Antiqua"/>
          <w:color w:val="000000"/>
        </w:rPr>
        <w:t xml:space="preserve"> 2001; </w:t>
      </w:r>
      <w:r w:rsidRPr="002850AE">
        <w:rPr>
          <w:rFonts w:ascii="Book Antiqua" w:eastAsia="Book Antiqua" w:hAnsi="Book Antiqua" w:cs="Book Antiqua"/>
          <w:b/>
          <w:bCs/>
          <w:color w:val="000000"/>
        </w:rPr>
        <w:t>86</w:t>
      </w:r>
      <w:r w:rsidRPr="002850AE">
        <w:rPr>
          <w:rFonts w:ascii="Book Antiqua" w:eastAsia="Book Antiqua" w:hAnsi="Book Antiqua" w:cs="Book Antiqua"/>
          <w:color w:val="000000"/>
        </w:rPr>
        <w:t>: 754-762 [PMID: 11573580 DOI: 10.1093/</w:t>
      </w:r>
      <w:proofErr w:type="spellStart"/>
      <w:r w:rsidRPr="002850AE">
        <w:rPr>
          <w:rFonts w:ascii="Book Antiqua" w:eastAsia="Book Antiqua" w:hAnsi="Book Antiqua" w:cs="Book Antiqua"/>
          <w:color w:val="000000"/>
        </w:rPr>
        <w:t>bja</w:t>
      </w:r>
      <w:proofErr w:type="spellEnd"/>
      <w:r w:rsidRPr="002850AE">
        <w:rPr>
          <w:rFonts w:ascii="Book Antiqua" w:eastAsia="Book Antiqua" w:hAnsi="Book Antiqua" w:cs="Book Antiqua"/>
          <w:color w:val="000000"/>
        </w:rPr>
        <w:t>/86.6.754</w:t>
      </w:r>
      <w:r w:rsidR="00FF68A8" w:rsidRPr="002850AE">
        <w:rPr>
          <w:rFonts w:ascii="Book Antiqua" w:eastAsia="Book Antiqua" w:hAnsi="Book Antiqua" w:cs="Book Antiqua"/>
          <w:color w:val="000000"/>
        </w:rPr>
        <w:t>]</w:t>
      </w:r>
    </w:p>
    <w:p w14:paraId="26E5253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24 </w:t>
      </w:r>
      <w:r w:rsidRPr="002850AE">
        <w:rPr>
          <w:rFonts w:ascii="Book Antiqua" w:eastAsia="Book Antiqua" w:hAnsi="Book Antiqua" w:cs="Book Antiqua"/>
          <w:b/>
          <w:bCs/>
          <w:color w:val="000000"/>
        </w:rPr>
        <w:t>Fan J</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Upadhye</w:t>
      </w:r>
      <w:proofErr w:type="spellEnd"/>
      <w:r w:rsidRPr="002850AE">
        <w:rPr>
          <w:rFonts w:ascii="Book Antiqua" w:eastAsia="Book Antiqua" w:hAnsi="Book Antiqua" w:cs="Book Antiqua"/>
          <w:color w:val="000000"/>
        </w:rPr>
        <w:t xml:space="preserve"> S, </w:t>
      </w:r>
      <w:proofErr w:type="spellStart"/>
      <w:r w:rsidRPr="002850AE">
        <w:rPr>
          <w:rFonts w:ascii="Book Antiqua" w:eastAsia="Book Antiqua" w:hAnsi="Book Antiqua" w:cs="Book Antiqua"/>
          <w:color w:val="000000"/>
        </w:rPr>
        <w:t>Worster</w:t>
      </w:r>
      <w:proofErr w:type="spellEnd"/>
      <w:r w:rsidRPr="002850AE">
        <w:rPr>
          <w:rFonts w:ascii="Book Antiqua" w:eastAsia="Book Antiqua" w:hAnsi="Book Antiqua" w:cs="Book Antiqua"/>
          <w:color w:val="000000"/>
        </w:rPr>
        <w:t xml:space="preserve"> A. Understanding receiver operating characteristic (ROC) curves. </w:t>
      </w:r>
      <w:r w:rsidRPr="002850AE">
        <w:rPr>
          <w:rFonts w:ascii="Book Antiqua" w:eastAsia="Book Antiqua" w:hAnsi="Book Antiqua" w:cs="Book Antiqua"/>
          <w:i/>
          <w:iCs/>
          <w:color w:val="000000"/>
        </w:rPr>
        <w:t>CJEM</w:t>
      </w:r>
      <w:r w:rsidRPr="002850AE">
        <w:rPr>
          <w:rFonts w:ascii="Book Antiqua" w:eastAsia="Book Antiqua" w:hAnsi="Book Antiqua" w:cs="Book Antiqua"/>
          <w:color w:val="000000"/>
        </w:rPr>
        <w:t xml:space="preserve"> 2006; </w:t>
      </w:r>
      <w:r w:rsidRPr="002850AE">
        <w:rPr>
          <w:rFonts w:ascii="Book Antiqua" w:eastAsia="Book Antiqua" w:hAnsi="Book Antiqua" w:cs="Book Antiqua"/>
          <w:b/>
          <w:bCs/>
          <w:color w:val="000000"/>
        </w:rPr>
        <w:t>8</w:t>
      </w:r>
      <w:r w:rsidRPr="002850AE">
        <w:rPr>
          <w:rFonts w:ascii="Book Antiqua" w:eastAsia="Book Antiqua" w:hAnsi="Book Antiqua" w:cs="Book Antiqua"/>
          <w:color w:val="000000"/>
        </w:rPr>
        <w:t>: 19-20 [PMID: 17175625 DOI: 10.1017/s1481803500013336</w:t>
      </w:r>
      <w:r w:rsidR="00FF68A8" w:rsidRPr="002850AE">
        <w:rPr>
          <w:rFonts w:ascii="Book Antiqua" w:eastAsia="Book Antiqua" w:hAnsi="Book Antiqua" w:cs="Book Antiqua"/>
          <w:color w:val="000000"/>
        </w:rPr>
        <w:t>]</w:t>
      </w:r>
    </w:p>
    <w:p w14:paraId="3FD0620D" w14:textId="03BF200C" w:rsidR="00A77B3E" w:rsidRPr="002850AE" w:rsidRDefault="00EC02D8" w:rsidP="00AE50D3">
      <w:pPr>
        <w:snapToGrid w:val="0"/>
        <w:spacing w:line="360" w:lineRule="auto"/>
        <w:jc w:val="both"/>
        <w:rPr>
          <w:rFonts w:ascii="Book Antiqua" w:hAnsi="Book Antiqua"/>
        </w:rPr>
      </w:pPr>
      <w:r w:rsidRPr="00EC4A9B">
        <w:rPr>
          <w:rFonts w:ascii="Book Antiqua" w:eastAsia="Book Antiqua" w:hAnsi="Book Antiqua" w:cs="Book Antiqua"/>
          <w:color w:val="000000"/>
          <w:highlight w:val="yellow"/>
        </w:rPr>
        <w:t xml:space="preserve">25 </w:t>
      </w:r>
      <w:r w:rsidRPr="00EC4A9B">
        <w:rPr>
          <w:rFonts w:ascii="Book Antiqua" w:eastAsia="Book Antiqua" w:hAnsi="Book Antiqua" w:cs="Book Antiqua"/>
          <w:b/>
          <w:bCs/>
          <w:color w:val="000000"/>
          <w:highlight w:val="yellow"/>
        </w:rPr>
        <w:t>Hastie T,</w:t>
      </w:r>
      <w:r w:rsidRPr="00EC4A9B">
        <w:rPr>
          <w:rFonts w:ascii="Book Antiqua" w:eastAsia="Book Antiqua" w:hAnsi="Book Antiqua" w:cs="Book Antiqua"/>
          <w:color w:val="000000"/>
          <w:highlight w:val="yellow"/>
        </w:rPr>
        <w:t xml:space="preserve"> </w:t>
      </w:r>
      <w:proofErr w:type="spellStart"/>
      <w:r w:rsidRPr="00EC4A9B">
        <w:rPr>
          <w:rFonts w:ascii="Book Antiqua" w:eastAsia="Book Antiqua" w:hAnsi="Book Antiqua" w:cs="Book Antiqua"/>
          <w:color w:val="000000"/>
          <w:highlight w:val="yellow"/>
        </w:rPr>
        <w:t>Tibshirani</w:t>
      </w:r>
      <w:proofErr w:type="spellEnd"/>
      <w:r w:rsidRPr="00EC4A9B">
        <w:rPr>
          <w:rFonts w:ascii="Book Antiqua" w:eastAsia="Book Antiqua" w:hAnsi="Book Antiqua" w:cs="Book Antiqua"/>
          <w:color w:val="000000"/>
          <w:highlight w:val="yellow"/>
        </w:rPr>
        <w:t xml:space="preserve"> R, Friedman JH. The elements of statistical learning: data mining, inf</w:t>
      </w:r>
      <w:r w:rsidR="00EC4A9B">
        <w:rPr>
          <w:rFonts w:ascii="Book Antiqua" w:eastAsia="Book Antiqua" w:hAnsi="Book Antiqua" w:cs="Book Antiqua"/>
          <w:color w:val="000000"/>
          <w:highlight w:val="yellow"/>
        </w:rPr>
        <w:t>erence, and prediction. 2nd ed</w:t>
      </w:r>
      <w:r w:rsidRPr="00EC4A9B">
        <w:rPr>
          <w:rFonts w:ascii="Book Antiqua" w:eastAsia="Book Antiqua" w:hAnsi="Book Antiqua" w:cs="Book Antiqua"/>
          <w:color w:val="000000"/>
          <w:highlight w:val="yellow"/>
        </w:rPr>
        <w:t>. Springer; 2009</w:t>
      </w:r>
    </w:p>
    <w:p w14:paraId="384E6EBB"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26 </w:t>
      </w:r>
      <w:r w:rsidRPr="002850AE">
        <w:rPr>
          <w:rFonts w:ascii="Book Antiqua" w:eastAsia="Book Antiqua" w:hAnsi="Book Antiqua" w:cs="Book Antiqua"/>
          <w:b/>
          <w:bCs/>
          <w:color w:val="000000"/>
        </w:rPr>
        <w:t>Platt L</w:t>
      </w:r>
      <w:r w:rsidRPr="002850AE">
        <w:rPr>
          <w:rFonts w:ascii="Book Antiqua" w:eastAsia="Book Antiqua" w:hAnsi="Book Antiqua" w:cs="Book Antiqua"/>
          <w:color w:val="000000"/>
        </w:rPr>
        <w:t xml:space="preserve">, Easterbrook P, Gower E, McDonald B, Sabin K, McGowan C, </w:t>
      </w:r>
      <w:proofErr w:type="spellStart"/>
      <w:r w:rsidRPr="002850AE">
        <w:rPr>
          <w:rFonts w:ascii="Book Antiqua" w:eastAsia="Book Antiqua" w:hAnsi="Book Antiqua" w:cs="Book Antiqua"/>
          <w:color w:val="000000"/>
        </w:rPr>
        <w:t>Yanny</w:t>
      </w:r>
      <w:proofErr w:type="spellEnd"/>
      <w:r w:rsidRPr="002850AE">
        <w:rPr>
          <w:rFonts w:ascii="Book Antiqua" w:eastAsia="Book Antiqua" w:hAnsi="Book Antiqua" w:cs="Book Antiqua"/>
          <w:color w:val="000000"/>
        </w:rPr>
        <w:t xml:space="preserve"> I, </w:t>
      </w:r>
      <w:proofErr w:type="spellStart"/>
      <w:r w:rsidRPr="002850AE">
        <w:rPr>
          <w:rFonts w:ascii="Book Antiqua" w:eastAsia="Book Antiqua" w:hAnsi="Book Antiqua" w:cs="Book Antiqua"/>
          <w:color w:val="000000"/>
        </w:rPr>
        <w:t>Razavi</w:t>
      </w:r>
      <w:proofErr w:type="spellEnd"/>
      <w:r w:rsidRPr="002850AE">
        <w:rPr>
          <w:rFonts w:ascii="Book Antiqua" w:eastAsia="Book Antiqua" w:hAnsi="Book Antiqua" w:cs="Book Antiqua"/>
          <w:color w:val="000000"/>
        </w:rPr>
        <w:t xml:space="preserve"> H, Vickerman P. Prevalence and burden of HCV co-infection in people living with HIV: a global systematic review and meta-analysis. </w:t>
      </w:r>
      <w:r w:rsidRPr="002850AE">
        <w:rPr>
          <w:rFonts w:ascii="Book Antiqua" w:eastAsia="Book Antiqua" w:hAnsi="Book Antiqua" w:cs="Book Antiqua"/>
          <w:i/>
          <w:iCs/>
          <w:color w:val="000000"/>
        </w:rPr>
        <w:t>Lancet Infect Dis</w:t>
      </w:r>
      <w:r w:rsidRPr="002850AE">
        <w:rPr>
          <w:rFonts w:ascii="Book Antiqua" w:eastAsia="Book Antiqua" w:hAnsi="Book Antiqua" w:cs="Book Antiqua"/>
          <w:color w:val="000000"/>
        </w:rPr>
        <w:t xml:space="preserve"> 2016; </w:t>
      </w:r>
      <w:r w:rsidRPr="002850AE">
        <w:rPr>
          <w:rFonts w:ascii="Book Antiqua" w:eastAsia="Book Antiqua" w:hAnsi="Book Antiqua" w:cs="Book Antiqua"/>
          <w:b/>
          <w:bCs/>
          <w:color w:val="000000"/>
        </w:rPr>
        <w:t>16</w:t>
      </w:r>
      <w:r w:rsidRPr="002850AE">
        <w:rPr>
          <w:rFonts w:ascii="Book Antiqua" w:eastAsia="Book Antiqua" w:hAnsi="Book Antiqua" w:cs="Book Antiqua"/>
          <w:color w:val="000000"/>
        </w:rPr>
        <w:t>: 797-808 [PMID: 26922272 DOI: 10.1016/S1473-3099(15)00485-5</w:t>
      </w:r>
      <w:r w:rsidR="00FF68A8" w:rsidRPr="002850AE">
        <w:rPr>
          <w:rFonts w:ascii="Book Antiqua" w:eastAsia="Book Antiqua" w:hAnsi="Book Antiqua" w:cs="Book Antiqua"/>
          <w:color w:val="000000"/>
        </w:rPr>
        <w:t>]</w:t>
      </w:r>
    </w:p>
    <w:p w14:paraId="33FAC5E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27 </w:t>
      </w:r>
      <w:proofErr w:type="spellStart"/>
      <w:r w:rsidRPr="002850AE">
        <w:rPr>
          <w:rFonts w:ascii="Book Antiqua" w:eastAsia="Book Antiqua" w:hAnsi="Book Antiqua" w:cs="Book Antiqua"/>
          <w:b/>
          <w:bCs/>
          <w:color w:val="000000"/>
        </w:rPr>
        <w:t>Wandeler</w:t>
      </w:r>
      <w:proofErr w:type="spellEnd"/>
      <w:r w:rsidRPr="002850AE">
        <w:rPr>
          <w:rFonts w:ascii="Book Antiqua" w:eastAsia="Book Antiqua" w:hAnsi="Book Antiqua" w:cs="Book Antiqua"/>
          <w:b/>
          <w:bCs/>
          <w:color w:val="000000"/>
        </w:rPr>
        <w:t xml:space="preserve"> G</w:t>
      </w:r>
      <w:r w:rsidRPr="002850AE">
        <w:rPr>
          <w:rFonts w:ascii="Book Antiqua" w:eastAsia="Book Antiqua" w:hAnsi="Book Antiqua" w:cs="Book Antiqua"/>
          <w:color w:val="000000"/>
        </w:rPr>
        <w:t xml:space="preserve">, Mulenga L, Hobbins M, Joao C, </w:t>
      </w:r>
      <w:proofErr w:type="spellStart"/>
      <w:r w:rsidRPr="002850AE">
        <w:rPr>
          <w:rFonts w:ascii="Book Antiqua" w:eastAsia="Book Antiqua" w:hAnsi="Book Antiqua" w:cs="Book Antiqua"/>
          <w:color w:val="000000"/>
        </w:rPr>
        <w:t>Sinkala</w:t>
      </w:r>
      <w:proofErr w:type="spellEnd"/>
      <w:r w:rsidRPr="002850AE">
        <w:rPr>
          <w:rFonts w:ascii="Book Antiqua" w:eastAsia="Book Antiqua" w:hAnsi="Book Antiqua" w:cs="Book Antiqua"/>
          <w:color w:val="000000"/>
        </w:rPr>
        <w:t xml:space="preserve"> E, Hector J, Aly M, Chi BH, Egger M, </w:t>
      </w:r>
      <w:proofErr w:type="spellStart"/>
      <w:r w:rsidRPr="002850AE">
        <w:rPr>
          <w:rFonts w:ascii="Book Antiqua" w:eastAsia="Book Antiqua" w:hAnsi="Book Antiqua" w:cs="Book Antiqua"/>
          <w:color w:val="000000"/>
        </w:rPr>
        <w:t>Vinikoor</w:t>
      </w:r>
      <w:proofErr w:type="spellEnd"/>
      <w:r w:rsidRPr="002850AE">
        <w:rPr>
          <w:rFonts w:ascii="Book Antiqua" w:eastAsia="Book Antiqua" w:hAnsi="Book Antiqua" w:cs="Book Antiqua"/>
          <w:color w:val="000000"/>
        </w:rPr>
        <w:t xml:space="preserve"> MJ. Absence of Active Hepatitis C Virus Infection in Human Immunodeficiency Virus Clinics in Zambia and Mozambique. </w:t>
      </w:r>
      <w:r w:rsidRPr="002850AE">
        <w:rPr>
          <w:rFonts w:ascii="Book Antiqua" w:eastAsia="Book Antiqua" w:hAnsi="Book Antiqua" w:cs="Book Antiqua"/>
          <w:i/>
          <w:iCs/>
          <w:color w:val="000000"/>
        </w:rPr>
        <w:t>Open Forum Infect Dis</w:t>
      </w:r>
      <w:r w:rsidRPr="002850AE">
        <w:rPr>
          <w:rFonts w:ascii="Book Antiqua" w:eastAsia="Book Antiqua" w:hAnsi="Book Antiqua" w:cs="Book Antiqua"/>
          <w:color w:val="000000"/>
        </w:rPr>
        <w:t xml:space="preserve"> 2016; </w:t>
      </w:r>
      <w:r w:rsidRPr="002850AE">
        <w:rPr>
          <w:rFonts w:ascii="Book Antiqua" w:eastAsia="Book Antiqua" w:hAnsi="Book Antiqua" w:cs="Book Antiqua"/>
          <w:b/>
          <w:bCs/>
          <w:color w:val="000000"/>
        </w:rPr>
        <w:t>3</w:t>
      </w:r>
      <w:r w:rsidRPr="002850AE">
        <w:rPr>
          <w:rFonts w:ascii="Book Antiqua" w:eastAsia="Book Antiqua" w:hAnsi="Book Antiqua" w:cs="Book Antiqua"/>
          <w:color w:val="000000"/>
        </w:rPr>
        <w:t>: ofw049 [PMID: 27047986 DOI: 10.1093/</w:t>
      </w:r>
      <w:proofErr w:type="spellStart"/>
      <w:r w:rsidRPr="002850AE">
        <w:rPr>
          <w:rFonts w:ascii="Book Antiqua" w:eastAsia="Book Antiqua" w:hAnsi="Book Antiqua" w:cs="Book Antiqua"/>
          <w:color w:val="000000"/>
        </w:rPr>
        <w:t>ofid</w:t>
      </w:r>
      <w:proofErr w:type="spellEnd"/>
      <w:r w:rsidRPr="002850AE">
        <w:rPr>
          <w:rFonts w:ascii="Book Antiqua" w:eastAsia="Book Antiqua" w:hAnsi="Book Antiqua" w:cs="Book Antiqua"/>
          <w:color w:val="000000"/>
        </w:rPr>
        <w:t>/ofw049</w:t>
      </w:r>
      <w:r w:rsidR="00FF68A8" w:rsidRPr="002850AE">
        <w:rPr>
          <w:rFonts w:ascii="Book Antiqua" w:eastAsia="Book Antiqua" w:hAnsi="Book Antiqua" w:cs="Book Antiqua"/>
          <w:color w:val="000000"/>
        </w:rPr>
        <w:t>]</w:t>
      </w:r>
    </w:p>
    <w:p w14:paraId="36867A0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28 </w:t>
      </w:r>
      <w:r w:rsidRPr="002850AE">
        <w:rPr>
          <w:rFonts w:ascii="Book Antiqua" w:eastAsia="Book Antiqua" w:hAnsi="Book Antiqua" w:cs="Book Antiqua"/>
          <w:b/>
          <w:bCs/>
          <w:color w:val="000000"/>
        </w:rPr>
        <w:t>Arends JE</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Lieveld</w:t>
      </w:r>
      <w:proofErr w:type="spellEnd"/>
      <w:r w:rsidRPr="002850AE">
        <w:rPr>
          <w:rFonts w:ascii="Book Antiqua" w:eastAsia="Book Antiqua" w:hAnsi="Book Antiqua" w:cs="Book Antiqua"/>
          <w:color w:val="000000"/>
        </w:rPr>
        <w:t xml:space="preserve"> FI, </w:t>
      </w:r>
      <w:proofErr w:type="spellStart"/>
      <w:r w:rsidRPr="002850AE">
        <w:rPr>
          <w:rFonts w:ascii="Book Antiqua" w:eastAsia="Book Antiqua" w:hAnsi="Book Antiqua" w:cs="Book Antiqua"/>
          <w:color w:val="000000"/>
        </w:rPr>
        <w:t>Boeijen</w:t>
      </w:r>
      <w:proofErr w:type="spellEnd"/>
      <w:r w:rsidRPr="002850AE">
        <w:rPr>
          <w:rFonts w:ascii="Book Antiqua" w:eastAsia="Book Antiqua" w:hAnsi="Book Antiqua" w:cs="Book Antiqua"/>
          <w:color w:val="000000"/>
        </w:rPr>
        <w:t xml:space="preserve"> LL, de Kanter CT, van </w:t>
      </w:r>
      <w:proofErr w:type="spellStart"/>
      <w:r w:rsidRPr="002850AE">
        <w:rPr>
          <w:rFonts w:ascii="Book Antiqua" w:eastAsia="Book Antiqua" w:hAnsi="Book Antiqua" w:cs="Book Antiqua"/>
          <w:color w:val="000000"/>
        </w:rPr>
        <w:t>Erpecum</w:t>
      </w:r>
      <w:proofErr w:type="spellEnd"/>
      <w:r w:rsidRPr="002850AE">
        <w:rPr>
          <w:rFonts w:ascii="Book Antiqua" w:eastAsia="Book Antiqua" w:hAnsi="Book Antiqua" w:cs="Book Antiqua"/>
          <w:color w:val="000000"/>
        </w:rPr>
        <w:t xml:space="preserve"> KJ, Salmon D, </w:t>
      </w:r>
      <w:proofErr w:type="spellStart"/>
      <w:r w:rsidRPr="002850AE">
        <w:rPr>
          <w:rFonts w:ascii="Book Antiqua" w:eastAsia="Book Antiqua" w:hAnsi="Book Antiqua" w:cs="Book Antiqua"/>
          <w:color w:val="000000"/>
        </w:rPr>
        <w:t>Hoepelman</w:t>
      </w:r>
      <w:proofErr w:type="spellEnd"/>
      <w:r w:rsidRPr="002850AE">
        <w:rPr>
          <w:rFonts w:ascii="Book Antiqua" w:eastAsia="Book Antiqua" w:hAnsi="Book Antiqua" w:cs="Book Antiqua"/>
          <w:color w:val="000000"/>
        </w:rPr>
        <w:t xml:space="preserve"> AI, </w:t>
      </w:r>
      <w:proofErr w:type="spellStart"/>
      <w:r w:rsidRPr="002850AE">
        <w:rPr>
          <w:rFonts w:ascii="Book Antiqua" w:eastAsia="Book Antiqua" w:hAnsi="Book Antiqua" w:cs="Book Antiqua"/>
          <w:color w:val="000000"/>
        </w:rPr>
        <w:t>Asselah</w:t>
      </w:r>
      <w:proofErr w:type="spellEnd"/>
      <w:r w:rsidRPr="002850AE">
        <w:rPr>
          <w:rFonts w:ascii="Book Antiqua" w:eastAsia="Book Antiqua" w:hAnsi="Book Antiqua" w:cs="Book Antiqua"/>
          <w:color w:val="000000"/>
        </w:rPr>
        <w:t xml:space="preserve"> T, </w:t>
      </w:r>
      <w:proofErr w:type="spellStart"/>
      <w:r w:rsidRPr="002850AE">
        <w:rPr>
          <w:rFonts w:ascii="Book Antiqua" w:eastAsia="Book Antiqua" w:hAnsi="Book Antiqua" w:cs="Book Antiqua"/>
          <w:color w:val="000000"/>
        </w:rPr>
        <w:t>Ustianowski</w:t>
      </w:r>
      <w:proofErr w:type="spellEnd"/>
      <w:r w:rsidRPr="002850AE">
        <w:rPr>
          <w:rFonts w:ascii="Book Antiqua" w:eastAsia="Book Antiqua" w:hAnsi="Book Antiqua" w:cs="Book Antiqua"/>
          <w:color w:val="000000"/>
        </w:rPr>
        <w:t xml:space="preserve"> A. Natural history and treatment of HCV/HIV coinfection: Is it time to change paradigms? </w:t>
      </w:r>
      <w:r w:rsidRPr="002850AE">
        <w:rPr>
          <w:rFonts w:ascii="Book Antiqua" w:eastAsia="Book Antiqua" w:hAnsi="Book Antiqua" w:cs="Book Antiqua"/>
          <w:i/>
          <w:iCs/>
          <w:color w:val="000000"/>
        </w:rPr>
        <w:t>J Hepatol</w:t>
      </w:r>
      <w:r w:rsidRPr="002850AE">
        <w:rPr>
          <w:rFonts w:ascii="Book Antiqua" w:eastAsia="Book Antiqua" w:hAnsi="Book Antiqua" w:cs="Book Antiqua"/>
          <w:color w:val="000000"/>
        </w:rPr>
        <w:t xml:space="preserve"> 2015; </w:t>
      </w:r>
      <w:r w:rsidRPr="002850AE">
        <w:rPr>
          <w:rFonts w:ascii="Book Antiqua" w:eastAsia="Book Antiqua" w:hAnsi="Book Antiqua" w:cs="Book Antiqua"/>
          <w:b/>
          <w:bCs/>
          <w:color w:val="000000"/>
        </w:rPr>
        <w:t>63</w:t>
      </w:r>
      <w:r w:rsidRPr="002850AE">
        <w:rPr>
          <w:rFonts w:ascii="Book Antiqua" w:eastAsia="Book Antiqua" w:hAnsi="Book Antiqua" w:cs="Book Antiqua"/>
          <w:color w:val="000000"/>
        </w:rPr>
        <w:t>: 1254-1262 [PMID: 26186987 DOI: 10.1016/j.jhep.2015.06.034</w:t>
      </w:r>
      <w:r w:rsidR="00FF68A8" w:rsidRPr="002850AE">
        <w:rPr>
          <w:rFonts w:ascii="Book Antiqua" w:eastAsia="Book Antiqua" w:hAnsi="Book Antiqua" w:cs="Book Antiqua"/>
          <w:color w:val="000000"/>
        </w:rPr>
        <w:t>]</w:t>
      </w:r>
    </w:p>
    <w:p w14:paraId="6003E28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29 </w:t>
      </w:r>
      <w:r w:rsidRPr="002850AE">
        <w:rPr>
          <w:rFonts w:ascii="Book Antiqua" w:eastAsia="Book Antiqua" w:hAnsi="Book Antiqua" w:cs="Book Antiqua"/>
          <w:b/>
          <w:bCs/>
          <w:color w:val="000000"/>
        </w:rPr>
        <w:t>Collins GS</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Reitsma</w:t>
      </w:r>
      <w:proofErr w:type="spellEnd"/>
      <w:r w:rsidRPr="002850AE">
        <w:rPr>
          <w:rFonts w:ascii="Book Antiqua" w:eastAsia="Book Antiqua" w:hAnsi="Book Antiqua" w:cs="Book Antiqua"/>
          <w:color w:val="000000"/>
        </w:rPr>
        <w:t xml:space="preserve"> JB, Altman DG, Moons KG. Transparent Reporting of a multivariable prediction model for Individual Prognosis </w:t>
      </w:r>
      <w:proofErr w:type="gramStart"/>
      <w:r w:rsidRPr="002850AE">
        <w:rPr>
          <w:rFonts w:ascii="Book Antiqua" w:eastAsia="Book Antiqua" w:hAnsi="Book Antiqua" w:cs="Book Antiqua"/>
          <w:color w:val="000000"/>
        </w:rPr>
        <w:t>Or</w:t>
      </w:r>
      <w:proofErr w:type="gramEnd"/>
      <w:r w:rsidRPr="002850AE">
        <w:rPr>
          <w:rFonts w:ascii="Book Antiqua" w:eastAsia="Book Antiqua" w:hAnsi="Book Antiqua" w:cs="Book Antiqua"/>
          <w:color w:val="000000"/>
        </w:rPr>
        <w:t xml:space="preserve"> Diagnosis (TRIPOD). </w:t>
      </w:r>
      <w:r w:rsidRPr="002850AE">
        <w:rPr>
          <w:rFonts w:ascii="Book Antiqua" w:eastAsia="Book Antiqua" w:hAnsi="Book Antiqua" w:cs="Book Antiqua"/>
          <w:i/>
          <w:iCs/>
          <w:color w:val="000000"/>
        </w:rPr>
        <w:t>Ann Intern Med</w:t>
      </w:r>
      <w:r w:rsidRPr="002850AE">
        <w:rPr>
          <w:rFonts w:ascii="Book Antiqua" w:eastAsia="Book Antiqua" w:hAnsi="Book Antiqua" w:cs="Book Antiqua"/>
          <w:color w:val="000000"/>
        </w:rPr>
        <w:t xml:space="preserve"> 2015; </w:t>
      </w:r>
      <w:r w:rsidRPr="002850AE">
        <w:rPr>
          <w:rFonts w:ascii="Book Antiqua" w:eastAsia="Book Antiqua" w:hAnsi="Book Antiqua" w:cs="Book Antiqua"/>
          <w:b/>
          <w:bCs/>
          <w:color w:val="000000"/>
        </w:rPr>
        <w:t>162</w:t>
      </w:r>
      <w:r w:rsidRPr="002850AE">
        <w:rPr>
          <w:rFonts w:ascii="Book Antiqua" w:eastAsia="Book Antiqua" w:hAnsi="Book Antiqua" w:cs="Book Antiqua"/>
          <w:color w:val="000000"/>
        </w:rPr>
        <w:t>: 735-736 [PMID: 25984857 DOI: 10.7326/L15-5093-2</w:t>
      </w:r>
      <w:r w:rsidR="00FF68A8" w:rsidRPr="002850AE">
        <w:rPr>
          <w:rFonts w:ascii="Book Antiqua" w:eastAsia="Book Antiqua" w:hAnsi="Book Antiqua" w:cs="Book Antiqua"/>
          <w:color w:val="000000"/>
        </w:rPr>
        <w:t>]</w:t>
      </w:r>
    </w:p>
    <w:p w14:paraId="1015AD7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30 </w:t>
      </w:r>
      <w:r w:rsidRPr="002850AE">
        <w:rPr>
          <w:rFonts w:ascii="Book Antiqua" w:eastAsia="Book Antiqua" w:hAnsi="Book Antiqua" w:cs="Book Antiqua"/>
          <w:b/>
          <w:bCs/>
          <w:color w:val="000000"/>
        </w:rPr>
        <w:t>Chan SF</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Deeks</w:t>
      </w:r>
      <w:proofErr w:type="spellEnd"/>
      <w:r w:rsidRPr="002850AE">
        <w:rPr>
          <w:rFonts w:ascii="Book Antiqua" w:eastAsia="Book Antiqua" w:hAnsi="Book Antiqua" w:cs="Book Antiqua"/>
          <w:color w:val="000000"/>
        </w:rPr>
        <w:t xml:space="preserve"> JJ, Macaskill P, </w:t>
      </w:r>
      <w:proofErr w:type="spellStart"/>
      <w:r w:rsidRPr="002850AE">
        <w:rPr>
          <w:rFonts w:ascii="Book Antiqua" w:eastAsia="Book Antiqua" w:hAnsi="Book Antiqua" w:cs="Book Antiqua"/>
          <w:color w:val="000000"/>
        </w:rPr>
        <w:t>Irwig</w:t>
      </w:r>
      <w:proofErr w:type="spellEnd"/>
      <w:r w:rsidRPr="002850AE">
        <w:rPr>
          <w:rFonts w:ascii="Book Antiqua" w:eastAsia="Book Antiqua" w:hAnsi="Book Antiqua" w:cs="Book Antiqua"/>
          <w:color w:val="000000"/>
        </w:rPr>
        <w:t xml:space="preserve"> L. Three methods to construct predictive models using logistic regression and likelihood ratios to facilitate adjustment for pretest probability give similar results. </w:t>
      </w:r>
      <w:r w:rsidRPr="002850AE">
        <w:rPr>
          <w:rFonts w:ascii="Book Antiqua" w:eastAsia="Book Antiqua" w:hAnsi="Book Antiqua" w:cs="Book Antiqua"/>
          <w:i/>
          <w:iCs/>
          <w:color w:val="000000"/>
        </w:rPr>
        <w:t>J Clin Epidemiol</w:t>
      </w:r>
      <w:r w:rsidRPr="002850AE">
        <w:rPr>
          <w:rFonts w:ascii="Book Antiqua" w:eastAsia="Book Antiqua" w:hAnsi="Book Antiqua" w:cs="Book Antiqua"/>
          <w:color w:val="000000"/>
        </w:rPr>
        <w:t xml:space="preserve"> 2008; </w:t>
      </w:r>
      <w:r w:rsidRPr="002850AE">
        <w:rPr>
          <w:rFonts w:ascii="Book Antiqua" w:eastAsia="Book Antiqua" w:hAnsi="Book Antiqua" w:cs="Book Antiqua"/>
          <w:b/>
          <w:bCs/>
          <w:color w:val="000000"/>
        </w:rPr>
        <w:t>61</w:t>
      </w:r>
      <w:r w:rsidRPr="002850AE">
        <w:rPr>
          <w:rFonts w:ascii="Book Antiqua" w:eastAsia="Book Antiqua" w:hAnsi="Book Antiqua" w:cs="Book Antiqua"/>
          <w:color w:val="000000"/>
        </w:rPr>
        <w:t>: 52-63 [PMID: 18083462 DOI: 10.1016/j.jclinepi.2007.02.012</w:t>
      </w:r>
      <w:r w:rsidR="00FF68A8" w:rsidRPr="002850AE">
        <w:rPr>
          <w:rFonts w:ascii="Book Antiqua" w:eastAsia="Book Antiqua" w:hAnsi="Book Antiqua" w:cs="Book Antiqua"/>
          <w:color w:val="000000"/>
        </w:rPr>
        <w:t>]</w:t>
      </w:r>
    </w:p>
    <w:p w14:paraId="2AAD251F"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31 </w:t>
      </w:r>
      <w:r w:rsidRPr="002850AE">
        <w:rPr>
          <w:rFonts w:ascii="Book Antiqua" w:eastAsia="Book Antiqua" w:hAnsi="Book Antiqua" w:cs="Book Antiqua"/>
          <w:b/>
          <w:bCs/>
          <w:color w:val="000000"/>
        </w:rPr>
        <w:t>Chou R</w:t>
      </w:r>
      <w:r w:rsidRPr="002850AE">
        <w:rPr>
          <w:rFonts w:ascii="Book Antiqua" w:eastAsia="Book Antiqua" w:hAnsi="Book Antiqua" w:cs="Book Antiqua"/>
          <w:color w:val="000000"/>
        </w:rPr>
        <w:t xml:space="preserve">, Wasson N. Blood tests to diagnose fibrosis or cirrhosis in patients with chronic hepatitis C virus infection: a systematic review. </w:t>
      </w:r>
      <w:r w:rsidRPr="002850AE">
        <w:rPr>
          <w:rFonts w:ascii="Book Antiqua" w:eastAsia="Book Antiqua" w:hAnsi="Book Antiqua" w:cs="Book Antiqua"/>
          <w:i/>
          <w:iCs/>
          <w:color w:val="000000"/>
        </w:rPr>
        <w:t>Ann Intern Med</w:t>
      </w:r>
      <w:r w:rsidRPr="002850AE">
        <w:rPr>
          <w:rFonts w:ascii="Book Antiqua" w:eastAsia="Book Antiqua" w:hAnsi="Book Antiqua" w:cs="Book Antiqua"/>
          <w:color w:val="000000"/>
        </w:rPr>
        <w:t xml:space="preserve"> 2013; </w:t>
      </w:r>
      <w:r w:rsidRPr="002850AE">
        <w:rPr>
          <w:rFonts w:ascii="Book Antiqua" w:eastAsia="Book Antiqua" w:hAnsi="Book Antiqua" w:cs="Book Antiqua"/>
          <w:b/>
          <w:bCs/>
          <w:color w:val="000000"/>
        </w:rPr>
        <w:t>158</w:t>
      </w:r>
      <w:r w:rsidRPr="002850AE">
        <w:rPr>
          <w:rFonts w:ascii="Book Antiqua" w:eastAsia="Book Antiqua" w:hAnsi="Book Antiqua" w:cs="Book Antiqua"/>
          <w:color w:val="000000"/>
        </w:rPr>
        <w:t>: 807-820 [PMID: 23732714 DOI: 10.7326/0003-4819-158-11-201306040-00005</w:t>
      </w:r>
      <w:r w:rsidR="00FF68A8" w:rsidRPr="002850AE">
        <w:rPr>
          <w:rFonts w:ascii="Book Antiqua" w:eastAsia="Book Antiqua" w:hAnsi="Book Antiqua" w:cs="Book Antiqua"/>
          <w:color w:val="000000"/>
        </w:rPr>
        <w:t>]</w:t>
      </w:r>
    </w:p>
    <w:p w14:paraId="4F75DD2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32 </w:t>
      </w:r>
      <w:proofErr w:type="spellStart"/>
      <w:r w:rsidRPr="002850AE">
        <w:rPr>
          <w:rFonts w:ascii="Book Antiqua" w:eastAsia="Book Antiqua" w:hAnsi="Book Antiqua" w:cs="Book Antiqua"/>
          <w:b/>
          <w:bCs/>
          <w:color w:val="000000"/>
        </w:rPr>
        <w:t>Hammerstad</w:t>
      </w:r>
      <w:proofErr w:type="spellEnd"/>
      <w:r w:rsidRPr="002850AE">
        <w:rPr>
          <w:rFonts w:ascii="Book Antiqua" w:eastAsia="Book Antiqua" w:hAnsi="Book Antiqua" w:cs="Book Antiqua"/>
          <w:b/>
          <w:bCs/>
          <w:color w:val="000000"/>
        </w:rPr>
        <w:t xml:space="preserve"> SS</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Grock</w:t>
      </w:r>
      <w:proofErr w:type="spellEnd"/>
      <w:r w:rsidRPr="002850AE">
        <w:rPr>
          <w:rFonts w:ascii="Book Antiqua" w:eastAsia="Book Antiqua" w:hAnsi="Book Antiqua" w:cs="Book Antiqua"/>
          <w:color w:val="000000"/>
        </w:rPr>
        <w:t xml:space="preserve"> SF, Lee HJ, </w:t>
      </w:r>
      <w:proofErr w:type="spellStart"/>
      <w:r w:rsidRPr="002850AE">
        <w:rPr>
          <w:rFonts w:ascii="Book Antiqua" w:eastAsia="Book Antiqua" w:hAnsi="Book Antiqua" w:cs="Book Antiqua"/>
          <w:color w:val="000000"/>
        </w:rPr>
        <w:t>Hasham</w:t>
      </w:r>
      <w:proofErr w:type="spellEnd"/>
      <w:r w:rsidRPr="002850AE">
        <w:rPr>
          <w:rFonts w:ascii="Book Antiqua" w:eastAsia="Book Antiqua" w:hAnsi="Book Antiqua" w:cs="Book Antiqua"/>
          <w:color w:val="000000"/>
        </w:rPr>
        <w:t xml:space="preserve"> A, Sundaram N, Tomer Y. Diabetes and Hepatitis C: A Two-Way Association. </w:t>
      </w:r>
      <w:r w:rsidRPr="002850AE">
        <w:rPr>
          <w:rFonts w:ascii="Book Antiqua" w:eastAsia="Book Antiqua" w:hAnsi="Book Antiqua" w:cs="Book Antiqua"/>
          <w:i/>
          <w:iCs/>
          <w:color w:val="000000"/>
        </w:rPr>
        <w:t>Front Endocrinol (Lausanne)</w:t>
      </w:r>
      <w:r w:rsidRPr="002850AE">
        <w:rPr>
          <w:rFonts w:ascii="Book Antiqua" w:eastAsia="Book Antiqua" w:hAnsi="Book Antiqua" w:cs="Book Antiqua"/>
          <w:color w:val="000000"/>
        </w:rPr>
        <w:t xml:space="preserve"> 2015; </w:t>
      </w:r>
      <w:r w:rsidRPr="002850AE">
        <w:rPr>
          <w:rFonts w:ascii="Book Antiqua" w:eastAsia="Book Antiqua" w:hAnsi="Book Antiqua" w:cs="Book Antiqua"/>
          <w:b/>
          <w:bCs/>
          <w:color w:val="000000"/>
        </w:rPr>
        <w:t>6</w:t>
      </w:r>
      <w:r w:rsidRPr="002850AE">
        <w:rPr>
          <w:rFonts w:ascii="Book Antiqua" w:eastAsia="Book Antiqua" w:hAnsi="Book Antiqua" w:cs="Book Antiqua"/>
          <w:color w:val="000000"/>
        </w:rPr>
        <w:t>: 134 [PMID: 26441826 DOI: 10.3389/fendo.2015.00134</w:t>
      </w:r>
      <w:r w:rsidR="00FF68A8" w:rsidRPr="002850AE">
        <w:rPr>
          <w:rFonts w:ascii="Book Antiqua" w:eastAsia="Book Antiqua" w:hAnsi="Book Antiqua" w:cs="Book Antiqua"/>
          <w:color w:val="000000"/>
        </w:rPr>
        <w:t>]</w:t>
      </w:r>
    </w:p>
    <w:p w14:paraId="77B1A7D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33 </w:t>
      </w:r>
      <w:r w:rsidRPr="002850AE">
        <w:rPr>
          <w:rFonts w:ascii="Book Antiqua" w:eastAsia="Book Antiqua" w:hAnsi="Book Antiqua" w:cs="Book Antiqua"/>
          <w:b/>
          <w:bCs/>
          <w:color w:val="000000"/>
        </w:rPr>
        <w:t>Justice AC</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Covinsky</w:t>
      </w:r>
      <w:proofErr w:type="spellEnd"/>
      <w:r w:rsidRPr="002850AE">
        <w:rPr>
          <w:rFonts w:ascii="Book Antiqua" w:eastAsia="Book Antiqua" w:hAnsi="Book Antiqua" w:cs="Book Antiqua"/>
          <w:color w:val="000000"/>
        </w:rPr>
        <w:t xml:space="preserve"> KE, Berlin JA. Assessing the generalizability of prognostic information. </w:t>
      </w:r>
      <w:r w:rsidRPr="002850AE">
        <w:rPr>
          <w:rFonts w:ascii="Book Antiqua" w:eastAsia="Book Antiqua" w:hAnsi="Book Antiqua" w:cs="Book Antiqua"/>
          <w:i/>
          <w:iCs/>
          <w:color w:val="000000"/>
        </w:rPr>
        <w:t>Ann Intern Med</w:t>
      </w:r>
      <w:r w:rsidRPr="002850AE">
        <w:rPr>
          <w:rFonts w:ascii="Book Antiqua" w:eastAsia="Book Antiqua" w:hAnsi="Book Antiqua" w:cs="Book Antiqua"/>
          <w:color w:val="000000"/>
        </w:rPr>
        <w:t xml:space="preserve"> 1999; </w:t>
      </w:r>
      <w:r w:rsidRPr="002850AE">
        <w:rPr>
          <w:rFonts w:ascii="Book Antiqua" w:eastAsia="Book Antiqua" w:hAnsi="Book Antiqua" w:cs="Book Antiqua"/>
          <w:b/>
          <w:bCs/>
          <w:color w:val="000000"/>
        </w:rPr>
        <w:t>130</w:t>
      </w:r>
      <w:r w:rsidRPr="002850AE">
        <w:rPr>
          <w:rFonts w:ascii="Book Antiqua" w:eastAsia="Book Antiqua" w:hAnsi="Book Antiqua" w:cs="Book Antiqua"/>
          <w:color w:val="000000"/>
        </w:rPr>
        <w:t>: 515-524 [PMID: 10075620 DOI: 10.7326/0003-4819-130-6-199903160-00016</w:t>
      </w:r>
      <w:r w:rsidR="00FF68A8" w:rsidRPr="002850AE">
        <w:rPr>
          <w:rFonts w:ascii="Book Antiqua" w:eastAsia="Book Antiqua" w:hAnsi="Book Antiqua" w:cs="Book Antiqua"/>
          <w:color w:val="000000"/>
        </w:rPr>
        <w:t>]</w:t>
      </w:r>
    </w:p>
    <w:p w14:paraId="75809CF2"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34 </w:t>
      </w:r>
      <w:r w:rsidRPr="002850AE">
        <w:rPr>
          <w:rFonts w:ascii="Book Antiqua" w:eastAsia="Book Antiqua" w:hAnsi="Book Antiqua" w:cs="Book Antiqua"/>
          <w:b/>
          <w:bCs/>
          <w:color w:val="000000"/>
        </w:rPr>
        <w:t>Altman DG</w:t>
      </w:r>
      <w:r w:rsidRPr="002850AE">
        <w:rPr>
          <w:rFonts w:ascii="Book Antiqua" w:eastAsia="Book Antiqua" w:hAnsi="Book Antiqua" w:cs="Book Antiqua"/>
          <w:color w:val="000000"/>
        </w:rPr>
        <w:t xml:space="preserve">, Royston P. The cost of </w:t>
      </w:r>
      <w:proofErr w:type="spellStart"/>
      <w:r w:rsidRPr="002850AE">
        <w:rPr>
          <w:rFonts w:ascii="Book Antiqua" w:eastAsia="Book Antiqua" w:hAnsi="Book Antiqua" w:cs="Book Antiqua"/>
          <w:color w:val="000000"/>
        </w:rPr>
        <w:t>dichotomising</w:t>
      </w:r>
      <w:proofErr w:type="spellEnd"/>
      <w:r w:rsidRPr="002850AE">
        <w:rPr>
          <w:rFonts w:ascii="Book Antiqua" w:eastAsia="Book Antiqua" w:hAnsi="Book Antiqua" w:cs="Book Antiqua"/>
          <w:color w:val="000000"/>
        </w:rPr>
        <w:t xml:space="preserve"> continuous variables. </w:t>
      </w:r>
      <w:r w:rsidRPr="002850AE">
        <w:rPr>
          <w:rFonts w:ascii="Book Antiqua" w:eastAsia="Book Antiqua" w:hAnsi="Book Antiqua" w:cs="Book Antiqua"/>
          <w:i/>
          <w:iCs/>
          <w:color w:val="000000"/>
        </w:rPr>
        <w:t>BMJ</w:t>
      </w:r>
      <w:r w:rsidRPr="002850AE">
        <w:rPr>
          <w:rFonts w:ascii="Book Antiqua" w:eastAsia="Book Antiqua" w:hAnsi="Book Antiqua" w:cs="Book Antiqua"/>
          <w:color w:val="000000"/>
        </w:rPr>
        <w:t xml:space="preserve"> 2006; </w:t>
      </w:r>
      <w:r w:rsidRPr="002850AE">
        <w:rPr>
          <w:rFonts w:ascii="Book Antiqua" w:eastAsia="Book Antiqua" w:hAnsi="Book Antiqua" w:cs="Book Antiqua"/>
          <w:b/>
          <w:bCs/>
          <w:color w:val="000000"/>
        </w:rPr>
        <w:t>332</w:t>
      </w:r>
      <w:r w:rsidRPr="002850AE">
        <w:rPr>
          <w:rFonts w:ascii="Book Antiqua" w:eastAsia="Book Antiqua" w:hAnsi="Book Antiqua" w:cs="Book Antiqua"/>
          <w:color w:val="000000"/>
        </w:rPr>
        <w:t>: 1080 [PMID: 16675816 DOI: 10.1136/bmj.332.7549.1080</w:t>
      </w:r>
      <w:r w:rsidR="00FF68A8" w:rsidRPr="002850AE">
        <w:rPr>
          <w:rFonts w:ascii="Book Antiqua" w:eastAsia="Book Antiqua" w:hAnsi="Book Antiqua" w:cs="Book Antiqua"/>
          <w:color w:val="000000"/>
        </w:rPr>
        <w:t>]</w:t>
      </w:r>
    </w:p>
    <w:p w14:paraId="6211F8CE"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35 </w:t>
      </w:r>
      <w:r w:rsidRPr="002850AE">
        <w:rPr>
          <w:rFonts w:ascii="Book Antiqua" w:eastAsia="Book Antiqua" w:hAnsi="Book Antiqua" w:cs="Book Antiqua"/>
          <w:b/>
          <w:bCs/>
          <w:color w:val="000000"/>
        </w:rPr>
        <w:t>Collins GS</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Ogundimu</w:t>
      </w:r>
      <w:proofErr w:type="spellEnd"/>
      <w:r w:rsidRPr="002850AE">
        <w:rPr>
          <w:rFonts w:ascii="Book Antiqua" w:eastAsia="Book Antiqua" w:hAnsi="Book Antiqua" w:cs="Book Antiqua"/>
          <w:color w:val="000000"/>
        </w:rPr>
        <w:t xml:space="preserve"> EO, Cook JA, </w:t>
      </w:r>
      <w:proofErr w:type="spellStart"/>
      <w:r w:rsidRPr="002850AE">
        <w:rPr>
          <w:rFonts w:ascii="Book Antiqua" w:eastAsia="Book Antiqua" w:hAnsi="Book Antiqua" w:cs="Book Antiqua"/>
          <w:color w:val="000000"/>
        </w:rPr>
        <w:t>Manach</w:t>
      </w:r>
      <w:proofErr w:type="spellEnd"/>
      <w:r w:rsidRPr="002850AE">
        <w:rPr>
          <w:rFonts w:ascii="Book Antiqua" w:eastAsia="Book Antiqua" w:hAnsi="Book Antiqua" w:cs="Book Antiqua"/>
          <w:color w:val="000000"/>
        </w:rPr>
        <w:t xml:space="preserve"> YL, Altman DG. Quantifying the impact of different approaches for handling continuous predictors on the performance of a prognostic model. </w:t>
      </w:r>
      <w:r w:rsidRPr="002850AE">
        <w:rPr>
          <w:rFonts w:ascii="Book Antiqua" w:eastAsia="Book Antiqua" w:hAnsi="Book Antiqua" w:cs="Book Antiqua"/>
          <w:i/>
          <w:iCs/>
          <w:color w:val="000000"/>
        </w:rPr>
        <w:t>Stat Med</w:t>
      </w:r>
      <w:r w:rsidRPr="002850AE">
        <w:rPr>
          <w:rFonts w:ascii="Book Antiqua" w:eastAsia="Book Antiqua" w:hAnsi="Book Antiqua" w:cs="Book Antiqua"/>
          <w:color w:val="000000"/>
        </w:rPr>
        <w:t xml:space="preserve"> 2016; </w:t>
      </w:r>
      <w:r w:rsidRPr="002850AE">
        <w:rPr>
          <w:rFonts w:ascii="Book Antiqua" w:eastAsia="Book Antiqua" w:hAnsi="Book Antiqua" w:cs="Book Antiqua"/>
          <w:b/>
          <w:bCs/>
          <w:color w:val="000000"/>
        </w:rPr>
        <w:t>35</w:t>
      </w:r>
      <w:r w:rsidRPr="002850AE">
        <w:rPr>
          <w:rFonts w:ascii="Book Antiqua" w:eastAsia="Book Antiqua" w:hAnsi="Book Antiqua" w:cs="Book Antiqua"/>
          <w:color w:val="000000"/>
        </w:rPr>
        <w:t>: 4124-4135 [PMID: 27193918 DOI: 10.1002/sim.6986</w:t>
      </w:r>
      <w:r w:rsidR="00FF68A8" w:rsidRPr="002850AE">
        <w:rPr>
          <w:rFonts w:ascii="Book Antiqua" w:eastAsia="Book Antiqua" w:hAnsi="Book Antiqua" w:cs="Book Antiqua"/>
          <w:color w:val="000000"/>
        </w:rPr>
        <w:t>]</w:t>
      </w:r>
    </w:p>
    <w:p w14:paraId="6682F1A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36 </w:t>
      </w:r>
      <w:proofErr w:type="spellStart"/>
      <w:r w:rsidRPr="002850AE">
        <w:rPr>
          <w:rFonts w:ascii="Book Antiqua" w:eastAsia="Book Antiqua" w:hAnsi="Book Antiqua" w:cs="Book Antiqua"/>
          <w:b/>
          <w:bCs/>
          <w:color w:val="000000"/>
        </w:rPr>
        <w:t>Buyze</w:t>
      </w:r>
      <w:proofErr w:type="spellEnd"/>
      <w:r w:rsidRPr="002850AE">
        <w:rPr>
          <w:rFonts w:ascii="Book Antiqua" w:eastAsia="Book Antiqua" w:hAnsi="Book Antiqua" w:cs="Book Antiqua"/>
          <w:b/>
          <w:bCs/>
          <w:color w:val="000000"/>
        </w:rPr>
        <w:t xml:space="preserve"> J</w:t>
      </w:r>
      <w:r w:rsidRPr="002850AE">
        <w:rPr>
          <w:rFonts w:ascii="Book Antiqua" w:eastAsia="Book Antiqua" w:hAnsi="Book Antiqua" w:cs="Book Antiqua"/>
          <w:color w:val="000000"/>
        </w:rPr>
        <w:t xml:space="preserve">, </w:t>
      </w:r>
      <w:proofErr w:type="spellStart"/>
      <w:r w:rsidRPr="002850AE">
        <w:rPr>
          <w:rFonts w:ascii="Book Antiqua" w:eastAsia="Book Antiqua" w:hAnsi="Book Antiqua" w:cs="Book Antiqua"/>
          <w:color w:val="000000"/>
        </w:rPr>
        <w:t>Weggheleire</w:t>
      </w:r>
      <w:proofErr w:type="spellEnd"/>
      <w:r w:rsidRPr="002850AE">
        <w:rPr>
          <w:rFonts w:ascii="Book Antiqua" w:eastAsia="Book Antiqua" w:hAnsi="Book Antiqua" w:cs="Book Antiqua"/>
          <w:color w:val="000000"/>
        </w:rPr>
        <w:t xml:space="preserve"> A, van </w:t>
      </w:r>
      <w:proofErr w:type="spellStart"/>
      <w:r w:rsidRPr="002850AE">
        <w:rPr>
          <w:rFonts w:ascii="Book Antiqua" w:eastAsia="Book Antiqua" w:hAnsi="Book Antiqua" w:cs="Book Antiqua"/>
          <w:color w:val="000000"/>
        </w:rPr>
        <w:t>Griensven</w:t>
      </w:r>
      <w:proofErr w:type="spellEnd"/>
      <w:r w:rsidRPr="002850AE">
        <w:rPr>
          <w:rFonts w:ascii="Book Antiqua" w:eastAsia="Book Antiqua" w:hAnsi="Book Antiqua" w:cs="Book Antiqua"/>
          <w:color w:val="000000"/>
        </w:rPr>
        <w:t xml:space="preserve"> J, Lynen L. Comparison of predictive models for hepatitis C co-infection among HIV patients in Cambodia. </w:t>
      </w:r>
      <w:r w:rsidRPr="002850AE">
        <w:rPr>
          <w:rFonts w:ascii="Book Antiqua" w:eastAsia="Book Antiqua" w:hAnsi="Book Antiqua" w:cs="Book Antiqua"/>
          <w:i/>
          <w:iCs/>
          <w:color w:val="000000"/>
        </w:rPr>
        <w:t>BMC Infect Dis</w:t>
      </w:r>
      <w:r w:rsidRPr="002850AE">
        <w:rPr>
          <w:rFonts w:ascii="Book Antiqua" w:eastAsia="Book Antiqua" w:hAnsi="Book Antiqua" w:cs="Book Antiqua"/>
          <w:color w:val="000000"/>
        </w:rPr>
        <w:t xml:space="preserve"> 2020; </w:t>
      </w:r>
      <w:r w:rsidRPr="002850AE">
        <w:rPr>
          <w:rFonts w:ascii="Book Antiqua" w:eastAsia="Book Antiqua" w:hAnsi="Book Antiqua" w:cs="Book Antiqua"/>
          <w:b/>
          <w:bCs/>
          <w:color w:val="000000"/>
        </w:rPr>
        <w:t>20</w:t>
      </w:r>
      <w:r w:rsidRPr="002850AE">
        <w:rPr>
          <w:rFonts w:ascii="Book Antiqua" w:eastAsia="Book Antiqua" w:hAnsi="Book Antiqua" w:cs="Book Antiqua"/>
          <w:color w:val="000000"/>
        </w:rPr>
        <w:t>: 209 [PMID: 32164581 DOI: 10.1186/s12879-020-4909-z</w:t>
      </w:r>
      <w:r w:rsidR="00FF68A8" w:rsidRPr="002850AE">
        <w:rPr>
          <w:rFonts w:ascii="Book Antiqua" w:eastAsia="Book Antiqua" w:hAnsi="Book Antiqua" w:cs="Book Antiqua"/>
          <w:color w:val="000000"/>
        </w:rPr>
        <w:t>]</w:t>
      </w:r>
    </w:p>
    <w:p w14:paraId="487D159E" w14:textId="77777777" w:rsidR="00A77B3E" w:rsidRPr="002850AE" w:rsidRDefault="00A77B3E" w:rsidP="00AE50D3">
      <w:pPr>
        <w:snapToGrid w:val="0"/>
        <w:spacing w:line="360" w:lineRule="auto"/>
        <w:jc w:val="both"/>
        <w:rPr>
          <w:rFonts w:ascii="Book Antiqua" w:hAnsi="Book Antiqua"/>
        </w:rPr>
        <w:sectPr w:rsidR="00A77B3E" w:rsidRPr="002850AE">
          <w:footerReference w:type="default" r:id="rId12"/>
          <w:pgSz w:w="12240" w:h="15840"/>
          <w:pgMar w:top="1440" w:right="1440" w:bottom="1440" w:left="1440" w:header="720" w:footer="720" w:gutter="0"/>
          <w:cols w:space="720"/>
          <w:docGrid w:linePitch="360"/>
        </w:sectPr>
      </w:pPr>
    </w:p>
    <w:p w14:paraId="01B31D9A"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Footnotes</w:t>
      </w:r>
    </w:p>
    <w:p w14:paraId="4F835032"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Institutional review board statement: </w:t>
      </w:r>
      <w:r w:rsidRPr="002850AE">
        <w:rPr>
          <w:rFonts w:ascii="Book Antiqua" w:eastAsia="Book Antiqua" w:hAnsi="Book Antiqua" w:cs="Book Antiqua"/>
          <w:color w:val="000000"/>
        </w:rPr>
        <w:t xml:space="preserve">The study was reviewed and approved </w:t>
      </w:r>
      <w:r w:rsidRPr="002850AE">
        <w:rPr>
          <w:rFonts w:ascii="Book Antiqua" w:eastAsia="Book Antiqua" w:hAnsi="Book Antiqua" w:cs="Book Antiqua"/>
          <w:color w:val="000000"/>
          <w:shd w:val="clear" w:color="auto" w:fill="FFFFFF"/>
        </w:rPr>
        <w:t>by the Institutional Review Board of the Institute of Tropical Medicine Antwerp (Approval No.</w:t>
      </w:r>
      <w:r w:rsidRPr="002850AE">
        <w:rPr>
          <w:rFonts w:ascii="Book Antiqua" w:eastAsia="Book Antiqua" w:hAnsi="Book Antiqua" w:cs="Book Antiqua"/>
          <w:color w:val="000000"/>
        </w:rPr>
        <w:t xml:space="preserve"> IRB 925/14)</w:t>
      </w:r>
      <w:r w:rsidRPr="002850AE">
        <w:rPr>
          <w:rFonts w:ascii="Book Antiqua" w:eastAsia="Book Antiqua" w:hAnsi="Book Antiqua" w:cs="Book Antiqua"/>
          <w:color w:val="000000"/>
          <w:shd w:val="clear" w:color="auto" w:fill="FFFFFF"/>
        </w:rPr>
        <w:t>, the Ethics Committee of the Antwerp University Hospital (Belgium) (</w:t>
      </w:r>
      <w:r w:rsidRPr="002850AE">
        <w:rPr>
          <w:rFonts w:ascii="Book Antiqua" w:eastAsia="Book Antiqua" w:hAnsi="Book Antiqua" w:cs="Book Antiqua"/>
          <w:color w:val="000000"/>
        </w:rPr>
        <w:t xml:space="preserve">Approval No. </w:t>
      </w:r>
      <w:r w:rsidRPr="002850AE">
        <w:rPr>
          <w:rFonts w:ascii="Book Antiqua" w:eastAsia="Book Antiqua" w:hAnsi="Book Antiqua" w:cs="Book Antiqua"/>
          <w:color w:val="000000"/>
          <w:shd w:val="clear" w:color="auto" w:fill="FFFFFF"/>
        </w:rPr>
        <w:t xml:space="preserve">14/39/405), and the Cambodian National Ethics Committee for Health Research </w:t>
      </w:r>
      <w:r w:rsidRPr="002850AE">
        <w:rPr>
          <w:rFonts w:ascii="Book Antiqua" w:eastAsia="Book Antiqua" w:hAnsi="Book Antiqua" w:cs="Book Antiqua"/>
          <w:color w:val="000000"/>
        </w:rPr>
        <w:t>(Approval No. 0309)</w:t>
      </w:r>
      <w:r w:rsidRPr="002850AE">
        <w:rPr>
          <w:rFonts w:ascii="Book Antiqua" w:eastAsia="Book Antiqua" w:hAnsi="Book Antiqua" w:cs="Book Antiqua"/>
          <w:color w:val="000000"/>
          <w:shd w:val="clear" w:color="auto" w:fill="FFFFFF"/>
        </w:rPr>
        <w:t xml:space="preserve">. </w:t>
      </w:r>
    </w:p>
    <w:p w14:paraId="7BA8714B" w14:textId="77777777" w:rsidR="00A77B3E" w:rsidRPr="002850AE" w:rsidRDefault="00A77B3E" w:rsidP="00AE50D3">
      <w:pPr>
        <w:snapToGrid w:val="0"/>
        <w:spacing w:line="360" w:lineRule="auto"/>
        <w:jc w:val="both"/>
        <w:rPr>
          <w:rFonts w:ascii="Book Antiqua" w:hAnsi="Book Antiqua"/>
        </w:rPr>
      </w:pPr>
    </w:p>
    <w:p w14:paraId="626F1085" w14:textId="0A51C5B5" w:rsidR="00932566" w:rsidRPr="002850AE" w:rsidRDefault="00566657" w:rsidP="00AE50D3">
      <w:pPr>
        <w:snapToGrid w:val="0"/>
        <w:spacing w:line="360" w:lineRule="auto"/>
        <w:jc w:val="both"/>
        <w:rPr>
          <w:rFonts w:ascii="Book Antiqua" w:hAnsi="Book Antiqua"/>
          <w:b/>
        </w:rPr>
      </w:pPr>
      <w:r w:rsidRPr="002850AE">
        <w:rPr>
          <w:rFonts w:ascii="Book Antiqua" w:hAnsi="Book Antiqua"/>
          <w:b/>
        </w:rPr>
        <w:t xml:space="preserve">Clinical trial registration statement: </w:t>
      </w:r>
      <w:r w:rsidR="0040411E" w:rsidRPr="002850AE">
        <w:rPr>
          <w:rFonts w:ascii="Book Antiqua" w:hAnsi="Book Antiqua"/>
        </w:rPr>
        <w:t xml:space="preserve">This study was registered in </w:t>
      </w:r>
      <w:r w:rsidR="00932566" w:rsidRPr="002850AE">
        <w:rPr>
          <w:rFonts w:ascii="Book Antiqua" w:hAnsi="Book Antiqua"/>
          <w:bCs/>
        </w:rPr>
        <w:t>ClinicalTrials.gov, identifier NCT02361541</w:t>
      </w:r>
      <w:r w:rsidR="003F669B" w:rsidRPr="002850AE">
        <w:rPr>
          <w:rFonts w:ascii="Book Antiqua" w:hAnsi="Book Antiqua"/>
          <w:bCs/>
        </w:rPr>
        <w:t>.</w:t>
      </w:r>
    </w:p>
    <w:p w14:paraId="4D23B579" w14:textId="77777777" w:rsidR="00566657" w:rsidRPr="002850AE" w:rsidRDefault="00566657" w:rsidP="00AE50D3">
      <w:pPr>
        <w:snapToGrid w:val="0"/>
        <w:spacing w:line="360" w:lineRule="auto"/>
        <w:jc w:val="both"/>
        <w:rPr>
          <w:rFonts w:ascii="Book Antiqua" w:hAnsi="Book Antiqua"/>
          <w:b/>
        </w:rPr>
      </w:pPr>
    </w:p>
    <w:p w14:paraId="6DF5C111" w14:textId="17207E1A" w:rsidR="00566657" w:rsidRPr="002850AE" w:rsidRDefault="00566657" w:rsidP="00AE50D3">
      <w:pPr>
        <w:snapToGrid w:val="0"/>
        <w:spacing w:line="360" w:lineRule="auto"/>
        <w:jc w:val="both"/>
        <w:rPr>
          <w:rFonts w:ascii="Book Antiqua" w:hAnsi="Book Antiqua"/>
          <w:bCs/>
        </w:rPr>
      </w:pPr>
      <w:r w:rsidRPr="002850AE">
        <w:rPr>
          <w:rFonts w:ascii="Book Antiqua" w:hAnsi="Book Antiqua"/>
          <w:b/>
        </w:rPr>
        <w:t>Informed consent statement:</w:t>
      </w:r>
      <w:r w:rsidR="003F669B" w:rsidRPr="002850AE">
        <w:rPr>
          <w:rFonts w:ascii="Book Antiqua" w:hAnsi="Book Antiqua"/>
          <w:b/>
        </w:rPr>
        <w:t xml:space="preserve"> </w:t>
      </w:r>
      <w:r w:rsidR="003F669B" w:rsidRPr="002850AE">
        <w:rPr>
          <w:rFonts w:ascii="Book Antiqua" w:hAnsi="Book Antiqua"/>
          <w:bCs/>
        </w:rPr>
        <w:t>Written informed consent was provided for all participants.</w:t>
      </w:r>
    </w:p>
    <w:p w14:paraId="07FC886A" w14:textId="77777777" w:rsidR="00566657" w:rsidRPr="002850AE" w:rsidRDefault="00566657" w:rsidP="00AE50D3">
      <w:pPr>
        <w:snapToGrid w:val="0"/>
        <w:spacing w:line="360" w:lineRule="auto"/>
        <w:jc w:val="both"/>
        <w:rPr>
          <w:rFonts w:ascii="Book Antiqua" w:hAnsi="Book Antiqua"/>
        </w:rPr>
      </w:pPr>
    </w:p>
    <w:p w14:paraId="7E09F8E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Conflict-of-interest statement: </w:t>
      </w:r>
      <w:r w:rsidRPr="002850AE">
        <w:rPr>
          <w:rFonts w:ascii="Book Antiqua" w:eastAsia="Book Antiqua" w:hAnsi="Book Antiqua" w:cs="Book Antiqua"/>
          <w:color w:val="000000"/>
          <w:shd w:val="clear" w:color="auto" w:fill="FFFFFF"/>
        </w:rPr>
        <w:t>The authors have </w:t>
      </w:r>
      <w:r w:rsidRPr="002850AE">
        <w:rPr>
          <w:rFonts w:ascii="Book Antiqua" w:eastAsia="Book Antiqua" w:hAnsi="Book Antiqua" w:cs="Book Antiqua"/>
          <w:color w:val="000000"/>
        </w:rPr>
        <w:t>no conflicts of interest to declare.</w:t>
      </w:r>
    </w:p>
    <w:p w14:paraId="5F9E0703" w14:textId="77777777" w:rsidR="00A77B3E" w:rsidRPr="002850AE" w:rsidRDefault="00A77B3E" w:rsidP="00AE50D3">
      <w:pPr>
        <w:snapToGrid w:val="0"/>
        <w:spacing w:line="360" w:lineRule="auto"/>
        <w:jc w:val="both"/>
        <w:rPr>
          <w:rFonts w:ascii="Book Antiqua" w:hAnsi="Book Antiqua"/>
        </w:rPr>
      </w:pPr>
    </w:p>
    <w:p w14:paraId="4C7FE351" w14:textId="2BD285CE"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Data sharing statement: </w:t>
      </w:r>
      <w:r w:rsidRPr="002850AE">
        <w:rPr>
          <w:rFonts w:ascii="Book Antiqua" w:eastAsia="Book Antiqua" w:hAnsi="Book Antiqua" w:cs="Book Antiqua"/>
          <w:color w:val="000000"/>
        </w:rPr>
        <w:t xml:space="preserve">The data underlying this study are available upon request because the applied informed consent did not inform participants about the possibility of non-restricted data sharing. Data are available from the corresponding author </w:t>
      </w:r>
      <w:r w:rsidRPr="00A3014A">
        <w:rPr>
          <w:rFonts w:ascii="Book Antiqua" w:eastAsia="Book Antiqua" w:hAnsi="Book Antiqua" w:cs="Book Antiqua"/>
          <w:color w:val="000000"/>
        </w:rPr>
        <w:t>(</w:t>
      </w:r>
      <w:r w:rsidRPr="00A3014A">
        <w:rPr>
          <w:rFonts w:ascii="Book Antiqua" w:eastAsia="Book Antiqua" w:hAnsi="Book Antiqua" w:cs="Book Antiqua"/>
          <w:color w:val="000000"/>
          <w:u w:color="0000FF"/>
        </w:rPr>
        <w:t>adeweggheleire@itg.be</w:t>
      </w:r>
      <w:r w:rsidRPr="00A3014A">
        <w:rPr>
          <w:rFonts w:ascii="Book Antiqua" w:eastAsia="Book Antiqua" w:hAnsi="Book Antiqua" w:cs="Book Antiqua"/>
          <w:color w:val="000000"/>
        </w:rPr>
        <w:t>) f</w:t>
      </w:r>
      <w:r w:rsidRPr="002850AE">
        <w:rPr>
          <w:rFonts w:ascii="Book Antiqua" w:eastAsia="Book Antiqua" w:hAnsi="Book Antiqua" w:cs="Book Antiqua"/>
          <w:color w:val="000000"/>
        </w:rPr>
        <w:t>or researchers who meet the criteria for access to confidential anonymized data.</w:t>
      </w:r>
    </w:p>
    <w:p w14:paraId="61408379" w14:textId="77777777" w:rsidR="00A77B3E" w:rsidRPr="002850AE" w:rsidRDefault="00A77B3E" w:rsidP="00AE50D3">
      <w:pPr>
        <w:snapToGrid w:val="0"/>
        <w:spacing w:line="360" w:lineRule="auto"/>
        <w:jc w:val="both"/>
        <w:rPr>
          <w:rFonts w:ascii="Book Antiqua" w:hAnsi="Book Antiqua"/>
        </w:rPr>
      </w:pPr>
    </w:p>
    <w:p w14:paraId="0300AC2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 xml:space="preserve">Open-Access: </w:t>
      </w:r>
      <w:r w:rsidRPr="002850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850AE">
        <w:rPr>
          <w:rFonts w:ascii="Book Antiqua" w:eastAsia="Book Antiqua" w:hAnsi="Book Antiqua" w:cs="Book Antiqua"/>
          <w:color w:val="000000"/>
        </w:rPr>
        <w:t>NonCommercial</w:t>
      </w:r>
      <w:proofErr w:type="spellEnd"/>
      <w:r w:rsidRPr="002850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D80212" w14:textId="77777777" w:rsidR="00A77B3E" w:rsidRPr="002850AE" w:rsidRDefault="00A77B3E" w:rsidP="00AE50D3">
      <w:pPr>
        <w:snapToGrid w:val="0"/>
        <w:spacing w:line="360" w:lineRule="auto"/>
        <w:jc w:val="both"/>
        <w:rPr>
          <w:rFonts w:ascii="Book Antiqua" w:hAnsi="Book Antiqua"/>
        </w:rPr>
      </w:pPr>
    </w:p>
    <w:p w14:paraId="38D43A18"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Manuscript source: </w:t>
      </w:r>
      <w:r w:rsidRPr="002850AE">
        <w:rPr>
          <w:rFonts w:ascii="Book Antiqua" w:eastAsia="Book Antiqua" w:hAnsi="Book Antiqua" w:cs="Book Antiqua"/>
          <w:color w:val="000000"/>
        </w:rPr>
        <w:t xml:space="preserve">Unsolicited </w:t>
      </w:r>
      <w:r w:rsidR="004A2E51" w:rsidRPr="002850AE">
        <w:rPr>
          <w:rFonts w:ascii="Book Antiqua" w:eastAsia="Book Antiqua" w:hAnsi="Book Antiqua" w:cs="Book Antiqua"/>
          <w:color w:val="000000"/>
        </w:rPr>
        <w:t>m</w:t>
      </w:r>
      <w:r w:rsidRPr="002850AE">
        <w:rPr>
          <w:rFonts w:ascii="Book Antiqua" w:eastAsia="Book Antiqua" w:hAnsi="Book Antiqua" w:cs="Book Antiqua"/>
          <w:color w:val="000000"/>
        </w:rPr>
        <w:t>anuscript</w:t>
      </w:r>
    </w:p>
    <w:p w14:paraId="40C5751F" w14:textId="77777777" w:rsidR="00A77B3E" w:rsidRPr="002850AE" w:rsidRDefault="00A77B3E" w:rsidP="00AE50D3">
      <w:pPr>
        <w:snapToGrid w:val="0"/>
        <w:spacing w:line="360" w:lineRule="auto"/>
        <w:jc w:val="both"/>
        <w:rPr>
          <w:rFonts w:ascii="Book Antiqua" w:hAnsi="Book Antiqua"/>
        </w:rPr>
      </w:pPr>
    </w:p>
    <w:p w14:paraId="722B0E42"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Peer-review started: </w:t>
      </w:r>
      <w:r w:rsidRPr="002850AE">
        <w:rPr>
          <w:rFonts w:ascii="Book Antiqua" w:eastAsia="Book Antiqua" w:hAnsi="Book Antiqua" w:cs="Book Antiqua"/>
          <w:color w:val="000000"/>
        </w:rPr>
        <w:t>April 25, 2021</w:t>
      </w:r>
    </w:p>
    <w:p w14:paraId="78CEFEA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First decision: </w:t>
      </w:r>
      <w:r w:rsidRPr="002850AE">
        <w:rPr>
          <w:rFonts w:ascii="Book Antiqua" w:eastAsia="Book Antiqua" w:hAnsi="Book Antiqua" w:cs="Book Antiqua"/>
          <w:color w:val="000000"/>
        </w:rPr>
        <w:t>June 4, 2021</w:t>
      </w:r>
    </w:p>
    <w:p w14:paraId="380D00B3"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Article in press: </w:t>
      </w:r>
    </w:p>
    <w:p w14:paraId="65E0A260" w14:textId="77777777" w:rsidR="00A77B3E" w:rsidRPr="002850AE" w:rsidRDefault="00A77B3E" w:rsidP="00AE50D3">
      <w:pPr>
        <w:snapToGrid w:val="0"/>
        <w:spacing w:line="360" w:lineRule="auto"/>
        <w:jc w:val="both"/>
        <w:rPr>
          <w:rFonts w:ascii="Book Antiqua" w:hAnsi="Book Antiqua"/>
        </w:rPr>
      </w:pPr>
    </w:p>
    <w:p w14:paraId="75C2246C"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Specialty type: </w:t>
      </w:r>
      <w:r w:rsidRPr="002850AE">
        <w:rPr>
          <w:rFonts w:ascii="Book Antiqua" w:eastAsia="Book Antiqua" w:hAnsi="Book Antiqua" w:cs="Book Antiqua"/>
          <w:color w:val="000000"/>
        </w:rPr>
        <w:t xml:space="preserve">Gastroenterology and </w:t>
      </w:r>
      <w:r w:rsidR="003754CE" w:rsidRPr="002850AE">
        <w:rPr>
          <w:rFonts w:ascii="Book Antiqua" w:eastAsia="Book Antiqua" w:hAnsi="Book Antiqua" w:cs="Book Antiqua"/>
          <w:color w:val="000000"/>
        </w:rPr>
        <w:t>h</w:t>
      </w:r>
      <w:r w:rsidRPr="002850AE">
        <w:rPr>
          <w:rFonts w:ascii="Book Antiqua" w:eastAsia="Book Antiqua" w:hAnsi="Book Antiqua" w:cs="Book Antiqua"/>
          <w:color w:val="000000"/>
        </w:rPr>
        <w:t>epatology</w:t>
      </w:r>
    </w:p>
    <w:p w14:paraId="33FC447D"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 xml:space="preserve">Country/Territory of origin: </w:t>
      </w:r>
      <w:r w:rsidRPr="002850AE">
        <w:rPr>
          <w:rFonts w:ascii="Book Antiqua" w:eastAsia="Book Antiqua" w:hAnsi="Book Antiqua" w:cs="Book Antiqua"/>
          <w:color w:val="000000"/>
        </w:rPr>
        <w:t>Belgium</w:t>
      </w:r>
    </w:p>
    <w:p w14:paraId="6FDC2F9F"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b/>
          <w:color w:val="000000"/>
        </w:rPr>
        <w:t>Peer-review report’s scientific quality classification</w:t>
      </w:r>
    </w:p>
    <w:p w14:paraId="6D1BDA26"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Grade A (Excellent): A</w:t>
      </w:r>
    </w:p>
    <w:p w14:paraId="608CD98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Grade B (Very good): B</w:t>
      </w:r>
    </w:p>
    <w:p w14:paraId="16818495"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Grade C (Good): C</w:t>
      </w:r>
    </w:p>
    <w:p w14:paraId="01C803A0"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Grade D (Fair): 0</w:t>
      </w:r>
    </w:p>
    <w:p w14:paraId="713FCD24"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Grade E (Poor): 0</w:t>
      </w:r>
    </w:p>
    <w:p w14:paraId="37ADCAE1" w14:textId="77777777" w:rsidR="00A77B3E" w:rsidRPr="002850AE" w:rsidRDefault="00A77B3E" w:rsidP="00AE50D3">
      <w:pPr>
        <w:snapToGrid w:val="0"/>
        <w:spacing w:line="360" w:lineRule="auto"/>
        <w:jc w:val="both"/>
        <w:rPr>
          <w:rFonts w:ascii="Book Antiqua" w:hAnsi="Book Antiqua"/>
        </w:rPr>
      </w:pPr>
    </w:p>
    <w:p w14:paraId="214CDA67" w14:textId="2B96D1D4" w:rsidR="00A77B3E" w:rsidRPr="002850AE" w:rsidRDefault="00EC02D8" w:rsidP="00AE50D3">
      <w:pPr>
        <w:snapToGrid w:val="0"/>
        <w:spacing w:line="360" w:lineRule="auto"/>
        <w:jc w:val="both"/>
        <w:rPr>
          <w:rFonts w:ascii="Book Antiqua" w:hAnsi="Book Antiqua"/>
        </w:rPr>
        <w:sectPr w:rsidR="00A77B3E" w:rsidRPr="002850AE">
          <w:pgSz w:w="12240" w:h="15840"/>
          <w:pgMar w:top="1440" w:right="1440" w:bottom="1440" w:left="1440" w:header="720" w:footer="720" w:gutter="0"/>
          <w:cols w:space="720"/>
          <w:docGrid w:linePitch="360"/>
        </w:sectPr>
      </w:pPr>
      <w:r w:rsidRPr="002850AE">
        <w:rPr>
          <w:rFonts w:ascii="Book Antiqua" w:eastAsia="Book Antiqua" w:hAnsi="Book Antiqua" w:cs="Book Antiqua"/>
          <w:b/>
          <w:color w:val="000000"/>
        </w:rPr>
        <w:t xml:space="preserve">P-Reviewer: </w:t>
      </w:r>
      <w:r w:rsidRPr="002850AE">
        <w:rPr>
          <w:rFonts w:ascii="Book Antiqua" w:eastAsia="Book Antiqua" w:hAnsi="Book Antiqua" w:cs="Book Antiqua"/>
          <w:color w:val="000000"/>
        </w:rPr>
        <w:t xml:space="preserve">Kishida Y, </w:t>
      </w:r>
      <w:proofErr w:type="spellStart"/>
      <w:r w:rsidRPr="002850AE">
        <w:rPr>
          <w:rFonts w:ascii="Book Antiqua" w:eastAsia="Book Antiqua" w:hAnsi="Book Antiqua" w:cs="Book Antiqua"/>
          <w:color w:val="000000"/>
        </w:rPr>
        <w:t>Sachu</w:t>
      </w:r>
      <w:proofErr w:type="spellEnd"/>
      <w:r w:rsidRPr="002850AE">
        <w:rPr>
          <w:rFonts w:ascii="Book Antiqua" w:eastAsia="Book Antiqua" w:hAnsi="Book Antiqua" w:cs="Book Antiqua"/>
          <w:color w:val="000000"/>
        </w:rPr>
        <w:t xml:space="preserve"> A, Voulgaris T</w:t>
      </w:r>
      <w:r w:rsidRPr="002850AE">
        <w:rPr>
          <w:rFonts w:ascii="Book Antiqua" w:eastAsia="Book Antiqua" w:hAnsi="Book Antiqua" w:cs="Book Antiqua"/>
          <w:b/>
          <w:color w:val="000000"/>
        </w:rPr>
        <w:t xml:space="preserve"> S-Editor: </w:t>
      </w:r>
      <w:r w:rsidRPr="002850AE">
        <w:rPr>
          <w:rFonts w:ascii="Book Antiqua" w:eastAsia="Book Antiqua" w:hAnsi="Book Antiqua" w:cs="Book Antiqua"/>
          <w:color w:val="000000"/>
        </w:rPr>
        <w:t>Gong ZM</w:t>
      </w:r>
      <w:r w:rsidRPr="002850AE">
        <w:rPr>
          <w:rFonts w:ascii="Book Antiqua" w:eastAsia="Book Antiqua" w:hAnsi="Book Antiqua" w:cs="Book Antiqua"/>
          <w:b/>
          <w:color w:val="000000"/>
        </w:rPr>
        <w:t xml:space="preserve"> L-Editor:</w:t>
      </w:r>
      <w:r w:rsidR="00085D76">
        <w:rPr>
          <w:rFonts w:ascii="Book Antiqua" w:eastAsia="Book Antiqua" w:hAnsi="Book Antiqua" w:cs="Book Antiqua"/>
          <w:b/>
          <w:color w:val="000000"/>
        </w:rPr>
        <w:t xml:space="preserve"> </w:t>
      </w:r>
      <w:r w:rsidRPr="002850AE">
        <w:rPr>
          <w:rFonts w:ascii="Book Antiqua" w:eastAsia="Book Antiqua" w:hAnsi="Book Antiqua" w:cs="Book Antiqua"/>
          <w:b/>
          <w:color w:val="000000"/>
        </w:rPr>
        <w:t xml:space="preserve">P-Editor: </w:t>
      </w:r>
    </w:p>
    <w:p w14:paraId="1C6371E5" w14:textId="77777777" w:rsidR="00A77B3E" w:rsidRPr="002850AE" w:rsidRDefault="00EC02D8" w:rsidP="00AE50D3">
      <w:pPr>
        <w:snapToGrid w:val="0"/>
        <w:spacing w:line="360" w:lineRule="auto"/>
        <w:jc w:val="both"/>
        <w:rPr>
          <w:rFonts w:ascii="Book Antiqua" w:eastAsia="Book Antiqua" w:hAnsi="Book Antiqua" w:cs="Book Antiqua"/>
          <w:b/>
          <w:color w:val="000000"/>
        </w:rPr>
      </w:pPr>
      <w:r w:rsidRPr="002850AE">
        <w:rPr>
          <w:rFonts w:ascii="Book Antiqua" w:eastAsia="Book Antiqua" w:hAnsi="Book Antiqua" w:cs="Book Antiqua"/>
          <w:b/>
          <w:color w:val="000000"/>
        </w:rPr>
        <w:t>Figure Legends</w:t>
      </w:r>
    </w:p>
    <w:p w14:paraId="2E1514D1" w14:textId="77777777" w:rsidR="003754CE" w:rsidRPr="002850AE" w:rsidRDefault="00994297" w:rsidP="00AE50D3">
      <w:pPr>
        <w:snapToGrid w:val="0"/>
        <w:spacing w:line="360" w:lineRule="auto"/>
        <w:jc w:val="both"/>
        <w:rPr>
          <w:rFonts w:ascii="Book Antiqua" w:hAnsi="Book Antiqua"/>
        </w:rPr>
      </w:pPr>
      <w:r w:rsidRPr="002850AE">
        <w:rPr>
          <w:rFonts w:ascii="Book Antiqua" w:hAnsi="Book Antiqua"/>
          <w:noProof/>
          <w:lang w:eastAsia="zh-CN"/>
        </w:rPr>
        <w:drawing>
          <wp:inline distT="0" distB="0" distL="0" distR="0" wp14:anchorId="39CC568D" wp14:editId="1759E3D6">
            <wp:extent cx="7824856" cy="2472855"/>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49501" cy="2480644"/>
                    </a:xfrm>
                    <a:prstGeom prst="rect">
                      <a:avLst/>
                    </a:prstGeom>
                  </pic:spPr>
                </pic:pic>
              </a:graphicData>
            </a:graphic>
          </wp:inline>
        </w:drawing>
      </w:r>
    </w:p>
    <w:p w14:paraId="79CC595C" w14:textId="77777777" w:rsidR="00A77B3E" w:rsidRPr="002850AE" w:rsidRDefault="00EC02D8" w:rsidP="00AE50D3">
      <w:pPr>
        <w:snapToGrid w:val="0"/>
        <w:spacing w:line="360" w:lineRule="auto"/>
        <w:jc w:val="both"/>
        <w:rPr>
          <w:rFonts w:ascii="Book Antiqua" w:eastAsia="Book Antiqua" w:hAnsi="Book Antiqua" w:cs="Book Antiqua"/>
          <w:color w:val="000000"/>
        </w:rPr>
      </w:pPr>
      <w:r w:rsidRPr="002850AE">
        <w:rPr>
          <w:rFonts w:ascii="Book Antiqua" w:eastAsia="Book Antiqua" w:hAnsi="Book Antiqua" w:cs="Book Antiqua"/>
          <w:b/>
          <w:bCs/>
          <w:color w:val="000000"/>
          <w:shd w:val="clear" w:color="auto" w:fill="FFFFFF"/>
        </w:rPr>
        <w:t xml:space="preserve">Figure 1 Threshold for the decision rule for targeted </w:t>
      </w:r>
      <w:r w:rsidR="00994297" w:rsidRPr="002850AE">
        <w:rPr>
          <w:rFonts w:ascii="Book Antiqua" w:eastAsia="Book Antiqua" w:hAnsi="Book Antiqua" w:cs="Book Antiqua"/>
          <w:b/>
          <w:bCs/>
          <w:color w:val="000000"/>
          <w:shd w:val="clear" w:color="auto" w:fill="FFFFFF"/>
        </w:rPr>
        <w:t xml:space="preserve">hepatitis C virus </w:t>
      </w:r>
      <w:r w:rsidRPr="002850AE">
        <w:rPr>
          <w:rFonts w:ascii="Book Antiqua" w:eastAsia="Book Antiqua" w:hAnsi="Book Antiqua" w:cs="Book Antiqua"/>
          <w:b/>
          <w:bCs/>
          <w:color w:val="000000"/>
          <w:shd w:val="clear" w:color="auto" w:fill="FFFFFF"/>
        </w:rPr>
        <w:t>testing</w:t>
      </w:r>
      <w:r w:rsidR="00994297" w:rsidRPr="002850AE">
        <w:rPr>
          <w:rFonts w:ascii="Book Antiqua" w:eastAsia="Book Antiqua" w:hAnsi="Book Antiqua" w:cs="Book Antiqua"/>
          <w:b/>
          <w:bCs/>
          <w:color w:val="000000"/>
          <w:shd w:val="clear" w:color="auto" w:fill="FFFFFF"/>
        </w:rPr>
        <w:t xml:space="preserve">. </w:t>
      </w:r>
      <w:r w:rsidRPr="002850AE">
        <w:rPr>
          <w:rFonts w:ascii="Book Antiqua" w:eastAsia="Book Antiqua" w:hAnsi="Book Antiqua" w:cs="Book Antiqua"/>
          <w:color w:val="000000"/>
        </w:rPr>
        <w:t xml:space="preserve">HCV: </w:t>
      </w:r>
      <w:r w:rsidRPr="002850AE">
        <w:rPr>
          <w:rFonts w:ascii="Book Antiqua" w:eastAsia="Book Antiqua" w:hAnsi="Book Antiqua" w:cs="Book Antiqua"/>
          <w:caps/>
          <w:color w:val="000000"/>
        </w:rPr>
        <w:t>h</w:t>
      </w:r>
      <w:r w:rsidRPr="002850AE">
        <w:rPr>
          <w:rFonts w:ascii="Book Antiqua" w:eastAsia="Book Antiqua" w:hAnsi="Book Antiqua" w:cs="Book Antiqua"/>
          <w:color w:val="000000"/>
        </w:rPr>
        <w:t xml:space="preserve">epatitis C virus; </w:t>
      </w:r>
      <w:r w:rsidR="00325F03" w:rsidRPr="002850AE">
        <w:rPr>
          <w:rFonts w:ascii="Book Antiqua" w:eastAsia="Book Antiqua" w:hAnsi="Book Antiqua" w:cs="Book Antiqua"/>
          <w:color w:val="000000"/>
        </w:rPr>
        <w:t xml:space="preserve">HIV: </w:t>
      </w:r>
      <w:r w:rsidR="00325F03" w:rsidRPr="002850AE">
        <w:rPr>
          <w:rFonts w:ascii="Book Antiqua" w:eastAsia="Book Antiqua" w:hAnsi="Book Antiqua" w:cs="Book Antiqua"/>
          <w:caps/>
          <w:color w:val="000000"/>
        </w:rPr>
        <w:t>h</w:t>
      </w:r>
      <w:r w:rsidR="00325F03" w:rsidRPr="002850AE">
        <w:rPr>
          <w:rFonts w:ascii="Book Antiqua" w:eastAsia="Book Antiqua" w:hAnsi="Book Antiqua" w:cs="Book Antiqua"/>
          <w:color w:val="000000"/>
        </w:rPr>
        <w:t xml:space="preserve">uman immunodeficiency virus; </w:t>
      </w:r>
      <w:r w:rsidRPr="002850AE">
        <w:rPr>
          <w:rFonts w:ascii="Book Antiqua" w:eastAsia="Book Antiqua" w:hAnsi="Book Antiqua" w:cs="Book Antiqua"/>
          <w:color w:val="000000"/>
        </w:rPr>
        <w:t xml:space="preserve">CPS: </w:t>
      </w:r>
      <w:r w:rsidRPr="002850AE">
        <w:rPr>
          <w:rFonts w:ascii="Book Antiqua" w:eastAsia="Book Antiqua" w:hAnsi="Book Antiqua" w:cs="Book Antiqua"/>
          <w:caps/>
          <w:color w:val="000000"/>
        </w:rPr>
        <w:t>c</w:t>
      </w:r>
      <w:r w:rsidRPr="002850AE">
        <w:rPr>
          <w:rFonts w:ascii="Book Antiqua" w:eastAsia="Book Antiqua" w:hAnsi="Book Antiqua" w:cs="Book Antiqua"/>
          <w:color w:val="000000"/>
        </w:rPr>
        <w:t>linical prediction score</w:t>
      </w:r>
      <w:r w:rsidR="00F10333" w:rsidRPr="002850AE">
        <w:rPr>
          <w:rFonts w:ascii="Book Antiqua" w:eastAsia="Book Antiqua" w:hAnsi="Book Antiqua" w:cs="Book Antiqua"/>
          <w:color w:val="000000"/>
        </w:rPr>
        <w:t>.</w:t>
      </w:r>
    </w:p>
    <w:p w14:paraId="2F8D0A8B" w14:textId="42732D68" w:rsidR="006213F1" w:rsidRPr="002850AE" w:rsidRDefault="006213F1">
      <w:pPr>
        <w:rPr>
          <w:rFonts w:ascii="Book Antiqua" w:eastAsia="Book Antiqua" w:hAnsi="Book Antiqua" w:cs="Book Antiqua"/>
          <w:color w:val="000000"/>
        </w:rPr>
      </w:pPr>
      <w:r w:rsidRPr="002850AE">
        <w:rPr>
          <w:rFonts w:ascii="Book Antiqua" w:eastAsia="Book Antiqua" w:hAnsi="Book Antiqua" w:cs="Book Antiqua"/>
          <w:color w:val="000000"/>
        </w:rPr>
        <w:br w:type="page"/>
      </w:r>
    </w:p>
    <w:p w14:paraId="50DA5488" w14:textId="77777777" w:rsidR="00272E8B" w:rsidRPr="002850AE" w:rsidRDefault="00272E8B" w:rsidP="00AE50D3">
      <w:pPr>
        <w:snapToGrid w:val="0"/>
        <w:spacing w:line="360" w:lineRule="auto"/>
        <w:jc w:val="both"/>
        <w:rPr>
          <w:rFonts w:ascii="Book Antiqua" w:hAnsi="Book Antiqua"/>
        </w:rPr>
      </w:pPr>
      <w:r w:rsidRPr="002850AE">
        <w:rPr>
          <w:rFonts w:ascii="Book Antiqua" w:hAnsi="Book Antiqua"/>
          <w:noProof/>
          <w:lang w:eastAsia="zh-CN"/>
        </w:rPr>
        <w:drawing>
          <wp:inline distT="0" distB="0" distL="0" distR="0" wp14:anchorId="67F5F3B9" wp14:editId="0DA46AAA">
            <wp:extent cx="7735408" cy="4492487"/>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49160" cy="4500474"/>
                    </a:xfrm>
                    <a:prstGeom prst="rect">
                      <a:avLst/>
                    </a:prstGeom>
                  </pic:spPr>
                </pic:pic>
              </a:graphicData>
            </a:graphic>
          </wp:inline>
        </w:drawing>
      </w:r>
    </w:p>
    <w:p w14:paraId="62E9BDAC" w14:textId="77777777" w:rsidR="00325F03" w:rsidRPr="002850AE" w:rsidRDefault="00272E8B" w:rsidP="00AE50D3">
      <w:pPr>
        <w:snapToGrid w:val="0"/>
        <w:spacing w:line="360" w:lineRule="auto"/>
        <w:jc w:val="both"/>
        <w:rPr>
          <w:rFonts w:ascii="Book Antiqua" w:eastAsia="Book Antiqua" w:hAnsi="Book Antiqua" w:cs="Book Antiqua"/>
          <w:b/>
          <w:bCs/>
          <w:color w:val="000000"/>
        </w:rPr>
      </w:pPr>
      <w:r w:rsidRPr="002850AE">
        <w:rPr>
          <w:rFonts w:ascii="Book Antiqua" w:eastAsia="Book Antiqua" w:hAnsi="Book Antiqua" w:cs="Book Antiqua"/>
          <w:b/>
          <w:bCs/>
          <w:color w:val="000000"/>
        </w:rPr>
        <w:t xml:space="preserve">Figure 2 Patient distribution by coinfection status, and probability of </w:t>
      </w:r>
      <w:r w:rsidR="005C79C8" w:rsidRPr="002850AE">
        <w:rPr>
          <w:rFonts w:ascii="Book Antiqua" w:eastAsia="Book Antiqua" w:hAnsi="Book Antiqua" w:cs="Book Antiqua"/>
          <w:b/>
          <w:bCs/>
          <w:color w:val="000000"/>
        </w:rPr>
        <w:t xml:space="preserve">hepatitis C virus </w:t>
      </w:r>
      <w:r w:rsidRPr="002850AE">
        <w:rPr>
          <w:rFonts w:ascii="Book Antiqua" w:eastAsia="Book Antiqua" w:hAnsi="Book Antiqua" w:cs="Book Antiqua"/>
          <w:b/>
          <w:bCs/>
          <w:color w:val="000000"/>
        </w:rPr>
        <w:t xml:space="preserve">coinfection by score of the full </w:t>
      </w:r>
      <w:r w:rsidR="005C79C8" w:rsidRPr="002850AE">
        <w:rPr>
          <w:rFonts w:ascii="Book Antiqua" w:eastAsia="Book Antiqua" w:hAnsi="Book Antiqua" w:cs="Book Antiqua"/>
          <w:b/>
          <w:bCs/>
          <w:color w:val="000000"/>
        </w:rPr>
        <w:t>clinical prediction score</w:t>
      </w:r>
      <w:r w:rsidR="00BB49BB" w:rsidRPr="002850AE">
        <w:rPr>
          <w:rFonts w:ascii="Book Antiqua" w:eastAsia="Book Antiqua" w:hAnsi="Book Antiqua" w:cs="Book Antiqua"/>
          <w:b/>
          <w:bCs/>
          <w:color w:val="000000"/>
        </w:rPr>
        <w:t>.</w:t>
      </w:r>
      <w:r w:rsidR="004B620D" w:rsidRPr="002850AE">
        <w:rPr>
          <w:rFonts w:ascii="Book Antiqua" w:eastAsia="Book Antiqua" w:hAnsi="Book Antiqua" w:cs="Book Antiqua"/>
          <w:b/>
          <w:bCs/>
          <w:color w:val="000000"/>
        </w:rPr>
        <w:t xml:space="preserve"> </w:t>
      </w:r>
      <w:r w:rsidR="004B620D" w:rsidRPr="002850AE">
        <w:rPr>
          <w:rFonts w:ascii="Book Antiqua" w:eastAsia="Book Antiqua" w:hAnsi="Book Antiqua" w:cs="Book Antiqua"/>
          <w:color w:val="000000"/>
        </w:rPr>
        <w:t xml:space="preserve">HCV: </w:t>
      </w:r>
      <w:r w:rsidR="004B620D" w:rsidRPr="002850AE">
        <w:rPr>
          <w:rFonts w:ascii="Book Antiqua" w:eastAsia="Book Antiqua" w:hAnsi="Book Antiqua" w:cs="Book Antiqua"/>
          <w:caps/>
          <w:color w:val="000000"/>
        </w:rPr>
        <w:t>h</w:t>
      </w:r>
      <w:r w:rsidR="004B620D" w:rsidRPr="002850AE">
        <w:rPr>
          <w:rFonts w:ascii="Book Antiqua" w:eastAsia="Book Antiqua" w:hAnsi="Book Antiqua" w:cs="Book Antiqua"/>
          <w:color w:val="000000"/>
        </w:rPr>
        <w:t xml:space="preserve">epatitis C virus; HIV: </w:t>
      </w:r>
      <w:r w:rsidR="004B620D" w:rsidRPr="002850AE">
        <w:rPr>
          <w:rFonts w:ascii="Book Antiqua" w:eastAsia="Book Antiqua" w:hAnsi="Book Antiqua" w:cs="Book Antiqua"/>
          <w:caps/>
          <w:color w:val="000000"/>
        </w:rPr>
        <w:t>h</w:t>
      </w:r>
      <w:r w:rsidR="004B620D" w:rsidRPr="002850AE">
        <w:rPr>
          <w:rFonts w:ascii="Book Antiqua" w:eastAsia="Book Antiqua" w:hAnsi="Book Antiqua" w:cs="Book Antiqua"/>
          <w:color w:val="000000"/>
        </w:rPr>
        <w:t>uman immunodeficiency virus.</w:t>
      </w:r>
    </w:p>
    <w:p w14:paraId="3C1E4846" w14:textId="77777777" w:rsidR="00325F03" w:rsidRPr="002850AE" w:rsidRDefault="00325F03" w:rsidP="00AE50D3">
      <w:pPr>
        <w:snapToGrid w:val="0"/>
        <w:spacing w:line="360" w:lineRule="auto"/>
        <w:jc w:val="both"/>
        <w:rPr>
          <w:rFonts w:ascii="Book Antiqua" w:eastAsia="Book Antiqua" w:hAnsi="Book Antiqua" w:cs="Book Antiqua"/>
          <w:b/>
          <w:bCs/>
          <w:color w:val="000000"/>
        </w:rPr>
      </w:pPr>
      <w:r w:rsidRPr="002850AE">
        <w:rPr>
          <w:rFonts w:ascii="Book Antiqua" w:eastAsia="Book Antiqua" w:hAnsi="Book Antiqua" w:cs="Book Antiqua"/>
          <w:b/>
          <w:bCs/>
          <w:color w:val="000000"/>
        </w:rPr>
        <w:br w:type="page"/>
      </w:r>
      <w:r w:rsidRPr="002850AE">
        <w:rPr>
          <w:rFonts w:ascii="Book Antiqua" w:hAnsi="Book Antiqua"/>
          <w:noProof/>
          <w:lang w:eastAsia="zh-CN"/>
        </w:rPr>
        <w:drawing>
          <wp:inline distT="0" distB="0" distL="0" distR="0" wp14:anchorId="05EC0D4E" wp14:editId="57D43F96">
            <wp:extent cx="7386762" cy="4691699"/>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403748" cy="4702488"/>
                    </a:xfrm>
                    <a:prstGeom prst="rect">
                      <a:avLst/>
                    </a:prstGeom>
                  </pic:spPr>
                </pic:pic>
              </a:graphicData>
            </a:graphic>
          </wp:inline>
        </w:drawing>
      </w:r>
    </w:p>
    <w:p w14:paraId="70C788A2" w14:textId="77777777" w:rsidR="00325F03" w:rsidRPr="002850AE" w:rsidRDefault="00325F03" w:rsidP="00AE50D3">
      <w:pPr>
        <w:snapToGrid w:val="0"/>
        <w:spacing w:line="360" w:lineRule="auto"/>
        <w:jc w:val="both"/>
        <w:rPr>
          <w:rFonts w:ascii="Book Antiqua" w:hAnsi="Book Antiqua"/>
        </w:rPr>
      </w:pPr>
      <w:r w:rsidRPr="002850AE">
        <w:rPr>
          <w:rFonts w:ascii="Book Antiqua" w:eastAsia="Book Antiqua" w:hAnsi="Book Antiqua" w:cs="Book Antiqua"/>
          <w:b/>
          <w:bCs/>
          <w:color w:val="000000"/>
        </w:rPr>
        <w:t>Figure 3 Patient distribution by coinfection status, and probability of hepatitis C virus coinfection by score of the clinical prediction score.</w:t>
      </w:r>
      <w:r w:rsidR="004B620D" w:rsidRPr="002850AE">
        <w:rPr>
          <w:rFonts w:ascii="Book Antiqua" w:eastAsia="Book Antiqua" w:hAnsi="Book Antiqua" w:cs="Book Antiqua"/>
          <w:b/>
          <w:bCs/>
          <w:color w:val="000000"/>
        </w:rPr>
        <w:t xml:space="preserve"> </w:t>
      </w:r>
      <w:r w:rsidR="004B620D" w:rsidRPr="002850AE">
        <w:rPr>
          <w:rFonts w:ascii="Book Antiqua" w:eastAsia="Book Antiqua" w:hAnsi="Book Antiqua" w:cs="Book Antiqua"/>
          <w:color w:val="000000"/>
        </w:rPr>
        <w:t xml:space="preserve">HCV: </w:t>
      </w:r>
      <w:r w:rsidR="004B620D" w:rsidRPr="002850AE">
        <w:rPr>
          <w:rFonts w:ascii="Book Antiqua" w:eastAsia="Book Antiqua" w:hAnsi="Book Antiqua" w:cs="Book Antiqua"/>
          <w:caps/>
          <w:color w:val="000000"/>
        </w:rPr>
        <w:t>h</w:t>
      </w:r>
      <w:r w:rsidR="004B620D" w:rsidRPr="002850AE">
        <w:rPr>
          <w:rFonts w:ascii="Book Antiqua" w:eastAsia="Book Antiqua" w:hAnsi="Book Antiqua" w:cs="Book Antiqua"/>
          <w:color w:val="000000"/>
        </w:rPr>
        <w:t xml:space="preserve">epatitis C virus; HIV: </w:t>
      </w:r>
      <w:r w:rsidR="004B620D" w:rsidRPr="002850AE">
        <w:rPr>
          <w:rFonts w:ascii="Book Antiqua" w:eastAsia="Book Antiqua" w:hAnsi="Book Antiqua" w:cs="Book Antiqua"/>
          <w:caps/>
          <w:color w:val="000000"/>
        </w:rPr>
        <w:t>h</w:t>
      </w:r>
      <w:r w:rsidR="004B620D" w:rsidRPr="002850AE">
        <w:rPr>
          <w:rFonts w:ascii="Book Antiqua" w:eastAsia="Book Antiqua" w:hAnsi="Book Antiqua" w:cs="Book Antiqua"/>
          <w:color w:val="000000"/>
        </w:rPr>
        <w:t>uman immunodeficiency virus.</w:t>
      </w:r>
    </w:p>
    <w:p w14:paraId="31D19B93" w14:textId="77777777" w:rsidR="00A77B3E" w:rsidRPr="002850AE" w:rsidRDefault="00E45AA8" w:rsidP="00AE50D3">
      <w:pPr>
        <w:snapToGrid w:val="0"/>
        <w:spacing w:line="360" w:lineRule="auto"/>
        <w:jc w:val="both"/>
        <w:rPr>
          <w:rFonts w:ascii="Book Antiqua" w:hAnsi="Book Antiqua"/>
        </w:rPr>
      </w:pPr>
      <w:r w:rsidRPr="002850AE">
        <w:rPr>
          <w:rFonts w:ascii="Book Antiqua" w:hAnsi="Book Antiqua"/>
        </w:rPr>
        <w:br w:type="page"/>
      </w:r>
      <w:r w:rsidR="00EC02D8" w:rsidRPr="002850AE">
        <w:rPr>
          <w:rFonts w:ascii="Book Antiqua" w:eastAsia="Book Antiqua" w:hAnsi="Book Antiqua" w:cs="Book Antiqua"/>
          <w:b/>
          <w:bCs/>
          <w:color w:val="000000"/>
          <w:shd w:val="clear" w:color="auto" w:fill="FFFFFF"/>
        </w:rPr>
        <w:t xml:space="preserve">Table 1 Harm and benefit of </w:t>
      </w:r>
      <w:r w:rsidR="009725A8" w:rsidRPr="002850AE">
        <w:rPr>
          <w:rFonts w:ascii="Book Antiqua" w:eastAsia="Book Antiqua" w:hAnsi="Book Antiqua" w:cs="Book Antiqua"/>
          <w:b/>
          <w:bCs/>
          <w:color w:val="000000"/>
        </w:rPr>
        <w:t>hepatitis C virus</w:t>
      </w:r>
      <w:r w:rsidR="00EC02D8" w:rsidRPr="002850AE">
        <w:rPr>
          <w:rFonts w:ascii="Book Antiqua" w:eastAsia="Book Antiqua" w:hAnsi="Book Antiqua" w:cs="Book Antiqua"/>
          <w:b/>
          <w:bCs/>
          <w:color w:val="000000"/>
          <w:shd w:val="clear" w:color="auto" w:fill="FFFFFF"/>
        </w:rPr>
        <w:t xml:space="preserve"> testing and not testing</w:t>
      </w:r>
    </w:p>
    <w:tbl>
      <w:tblPr>
        <w:tblStyle w:val="LightShading1"/>
        <w:tblW w:w="12376" w:type="dxa"/>
        <w:tblLook w:val="0400" w:firstRow="0" w:lastRow="0" w:firstColumn="0" w:lastColumn="0" w:noHBand="0" w:noVBand="1"/>
      </w:tblPr>
      <w:tblGrid>
        <w:gridCol w:w="6188"/>
        <w:gridCol w:w="6188"/>
      </w:tblGrid>
      <w:tr w:rsidR="00CA7F02" w:rsidRPr="002850AE" w14:paraId="25578C0C" w14:textId="77777777" w:rsidTr="00E54619">
        <w:trPr>
          <w:cnfStyle w:val="000000100000" w:firstRow="0" w:lastRow="0" w:firstColumn="0" w:lastColumn="0" w:oddVBand="0" w:evenVBand="0" w:oddHBand="1" w:evenHBand="0" w:firstRowFirstColumn="0" w:firstRowLastColumn="0" w:lastRowFirstColumn="0" w:lastRowLastColumn="0"/>
          <w:trHeight w:val="430"/>
        </w:trPr>
        <w:tc>
          <w:tcPr>
            <w:tcW w:w="6188" w:type="dxa"/>
            <w:tcBorders>
              <w:top w:val="single" w:sz="8" w:space="0" w:color="000000"/>
              <w:bottom w:val="single" w:sz="4" w:space="0" w:color="auto"/>
            </w:tcBorders>
          </w:tcPr>
          <w:p w14:paraId="514A1F75" w14:textId="77777777" w:rsidR="00CA7F02" w:rsidRPr="002850AE" w:rsidRDefault="00CA7F02" w:rsidP="00AE50D3">
            <w:pPr>
              <w:snapToGrid w:val="0"/>
              <w:spacing w:line="360" w:lineRule="auto"/>
              <w:jc w:val="both"/>
              <w:rPr>
                <w:rFonts w:ascii="Book Antiqua" w:eastAsia="Times New Roman" w:hAnsi="Book Antiqua" w:cs="Times New Roman"/>
                <w:b/>
                <w:lang w:val="en-US" w:eastAsia="en-GB"/>
              </w:rPr>
            </w:pPr>
            <w:r w:rsidRPr="002850AE">
              <w:rPr>
                <w:rFonts w:ascii="Book Antiqua" w:eastAsia="Times New Roman" w:hAnsi="Book Antiqua" w:cs="Times New Roman"/>
                <w:b/>
                <w:lang w:val="en-US" w:eastAsia="en-GB"/>
              </w:rPr>
              <w:t xml:space="preserve">Harm of testing </w:t>
            </w:r>
            <w:r w:rsidRPr="002850AE">
              <w:rPr>
                <w:rFonts w:ascii="Book Antiqua" w:eastAsia="Times New Roman" w:hAnsi="Book Antiqua" w:cs="Times New Roman"/>
                <w:b/>
                <w:i/>
                <w:lang w:val="en-US" w:eastAsia="en-GB"/>
              </w:rPr>
              <w:t>(false positives)</w:t>
            </w:r>
          </w:p>
        </w:tc>
        <w:tc>
          <w:tcPr>
            <w:tcW w:w="6188" w:type="dxa"/>
            <w:tcBorders>
              <w:top w:val="single" w:sz="8" w:space="0" w:color="000000"/>
              <w:bottom w:val="single" w:sz="4" w:space="0" w:color="auto"/>
            </w:tcBorders>
          </w:tcPr>
          <w:p w14:paraId="23A5A92B" w14:textId="77777777" w:rsidR="00CA7F02" w:rsidRPr="002850AE" w:rsidRDefault="00CA7F02" w:rsidP="00AE50D3">
            <w:pPr>
              <w:snapToGrid w:val="0"/>
              <w:spacing w:line="360" w:lineRule="auto"/>
              <w:jc w:val="both"/>
              <w:rPr>
                <w:rFonts w:ascii="Book Antiqua" w:eastAsia="Times New Roman" w:hAnsi="Book Antiqua" w:cs="Times New Roman"/>
                <w:b/>
                <w:lang w:val="en-US" w:eastAsia="en-GB"/>
              </w:rPr>
            </w:pPr>
            <w:r w:rsidRPr="002850AE">
              <w:rPr>
                <w:rFonts w:ascii="Book Antiqua" w:eastAsia="Times New Roman" w:hAnsi="Book Antiqua" w:cs="Times New Roman"/>
                <w:b/>
                <w:lang w:val="en-US" w:eastAsia="en-GB"/>
              </w:rPr>
              <w:t xml:space="preserve">Harm of not testing </w:t>
            </w:r>
            <w:r w:rsidRPr="002850AE">
              <w:rPr>
                <w:rFonts w:ascii="Book Antiqua" w:eastAsia="Times New Roman" w:hAnsi="Book Antiqua" w:cs="Times New Roman"/>
                <w:b/>
                <w:i/>
                <w:lang w:val="en-US" w:eastAsia="en-GB"/>
              </w:rPr>
              <w:t>(false negatives)</w:t>
            </w:r>
          </w:p>
        </w:tc>
      </w:tr>
      <w:tr w:rsidR="00CA7F02" w:rsidRPr="002850AE" w14:paraId="4259FBEA" w14:textId="77777777" w:rsidTr="00E54619">
        <w:trPr>
          <w:trHeight w:val="3066"/>
        </w:trPr>
        <w:tc>
          <w:tcPr>
            <w:tcW w:w="6188" w:type="dxa"/>
            <w:tcBorders>
              <w:top w:val="single" w:sz="4" w:space="0" w:color="auto"/>
            </w:tcBorders>
          </w:tcPr>
          <w:p w14:paraId="2AA46F65" w14:textId="77777777" w:rsidR="00CA7F02" w:rsidRPr="002850AE" w:rsidRDefault="00CA7F02" w:rsidP="00AE50D3">
            <w:pPr>
              <w:snapToGrid w:val="0"/>
              <w:spacing w:line="360" w:lineRule="auto"/>
              <w:rPr>
                <w:rFonts w:ascii="Book Antiqua" w:eastAsia="Times New Roman" w:hAnsi="Book Antiqua" w:cs="Times New Roman"/>
                <w:lang w:val="en-US" w:eastAsia="en-GB"/>
              </w:rPr>
            </w:pPr>
            <w:r w:rsidRPr="002850AE">
              <w:rPr>
                <w:rFonts w:ascii="Book Antiqua" w:eastAsia="Times New Roman" w:hAnsi="Book Antiqua" w:cs="Times New Roman"/>
                <w:lang w:val="en-US" w:eastAsia="en-GB"/>
              </w:rPr>
              <w:t>Low, but existing:</w:t>
            </w:r>
          </w:p>
          <w:p w14:paraId="015230AA"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Cost of tests, human resources (lab &amp; counseling)</w:t>
            </w:r>
          </w:p>
          <w:p w14:paraId="49219B5C"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Stress related to waiting for results</w:t>
            </w:r>
          </w:p>
          <w:p w14:paraId="2951FBB4"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Budget allocated to HCV testing not available for other health priorities</w:t>
            </w:r>
          </w:p>
          <w:p w14:paraId="4932012E"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Divert resources /timely access from those most in need (in case of testing all)</w:t>
            </w:r>
          </w:p>
        </w:tc>
        <w:tc>
          <w:tcPr>
            <w:tcW w:w="6188" w:type="dxa"/>
            <w:tcBorders>
              <w:top w:val="single" w:sz="4" w:space="0" w:color="auto"/>
            </w:tcBorders>
          </w:tcPr>
          <w:p w14:paraId="1E6424EB" w14:textId="77777777" w:rsidR="00CA7F02" w:rsidRPr="002850AE" w:rsidRDefault="00CA7F02" w:rsidP="00AE50D3">
            <w:pPr>
              <w:snapToGrid w:val="0"/>
              <w:spacing w:line="360" w:lineRule="auto"/>
              <w:rPr>
                <w:rFonts w:ascii="Book Antiqua" w:eastAsia="Times New Roman" w:hAnsi="Book Antiqua" w:cs="Times New Roman"/>
                <w:lang w:val="en-US" w:eastAsia="en-GB"/>
              </w:rPr>
            </w:pPr>
            <w:r w:rsidRPr="002850AE">
              <w:rPr>
                <w:rFonts w:ascii="Book Antiqua" w:eastAsia="Times New Roman" w:hAnsi="Book Antiqua" w:cs="Times New Roman"/>
                <w:lang w:val="en-US" w:eastAsia="en-GB"/>
              </w:rPr>
              <w:t>High (for some):</w:t>
            </w:r>
          </w:p>
          <w:p w14:paraId="02E911BC"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Denial of live-saving, highly efficacious and affordable treatment</w:t>
            </w:r>
          </w:p>
        </w:tc>
      </w:tr>
      <w:tr w:rsidR="00CA7F02" w:rsidRPr="002850AE" w14:paraId="687C2624" w14:textId="77777777" w:rsidTr="00E54619">
        <w:trPr>
          <w:cnfStyle w:val="000000100000" w:firstRow="0" w:lastRow="0" w:firstColumn="0" w:lastColumn="0" w:oddVBand="0" w:evenVBand="0" w:oddHBand="1" w:evenHBand="0" w:firstRowFirstColumn="0" w:firstRowLastColumn="0" w:lastRowFirstColumn="0" w:lastRowLastColumn="0"/>
          <w:trHeight w:val="454"/>
        </w:trPr>
        <w:tc>
          <w:tcPr>
            <w:tcW w:w="6188" w:type="dxa"/>
          </w:tcPr>
          <w:p w14:paraId="112216B5" w14:textId="77777777" w:rsidR="00CA7F02" w:rsidRPr="002850AE" w:rsidRDefault="00CA7F02" w:rsidP="00AE50D3">
            <w:pPr>
              <w:snapToGrid w:val="0"/>
              <w:spacing w:line="360" w:lineRule="auto"/>
              <w:jc w:val="both"/>
              <w:rPr>
                <w:rFonts w:ascii="Book Antiqua" w:eastAsia="Times New Roman" w:hAnsi="Book Antiqua" w:cs="Times New Roman"/>
                <w:b/>
                <w:lang w:val="en-US" w:eastAsia="en-GB"/>
              </w:rPr>
            </w:pPr>
            <w:r w:rsidRPr="002850AE">
              <w:rPr>
                <w:rFonts w:ascii="Book Antiqua" w:eastAsia="Times New Roman" w:hAnsi="Book Antiqua" w:cs="Times New Roman"/>
                <w:b/>
                <w:lang w:val="en-US" w:eastAsia="en-GB"/>
              </w:rPr>
              <w:t xml:space="preserve">Benefit of testing </w:t>
            </w:r>
          </w:p>
        </w:tc>
        <w:tc>
          <w:tcPr>
            <w:tcW w:w="6188" w:type="dxa"/>
          </w:tcPr>
          <w:p w14:paraId="63CDC7F0" w14:textId="77777777" w:rsidR="00CA7F02" w:rsidRPr="002850AE" w:rsidRDefault="00CA7F02" w:rsidP="00AE50D3">
            <w:pPr>
              <w:snapToGrid w:val="0"/>
              <w:spacing w:line="360" w:lineRule="auto"/>
              <w:jc w:val="both"/>
              <w:rPr>
                <w:rFonts w:ascii="Book Antiqua" w:eastAsia="Times New Roman" w:hAnsi="Book Antiqua" w:cs="Times New Roman"/>
                <w:b/>
                <w:lang w:val="en-US" w:eastAsia="en-GB"/>
              </w:rPr>
            </w:pPr>
            <w:r w:rsidRPr="002850AE">
              <w:rPr>
                <w:rFonts w:ascii="Book Antiqua" w:eastAsia="Times New Roman" w:hAnsi="Book Antiqua" w:cs="Times New Roman"/>
                <w:b/>
                <w:lang w:val="en-US" w:eastAsia="en-GB"/>
              </w:rPr>
              <w:t xml:space="preserve">Benefit of not testing </w:t>
            </w:r>
          </w:p>
        </w:tc>
      </w:tr>
      <w:tr w:rsidR="00CA7F02" w:rsidRPr="002850AE" w14:paraId="424BD548" w14:textId="77777777" w:rsidTr="00E54619">
        <w:trPr>
          <w:trHeight w:val="2601"/>
        </w:trPr>
        <w:tc>
          <w:tcPr>
            <w:tcW w:w="6188" w:type="dxa"/>
          </w:tcPr>
          <w:p w14:paraId="7DD018C1" w14:textId="77777777" w:rsidR="00CA7F02" w:rsidRPr="002850AE" w:rsidRDefault="00CA7F02" w:rsidP="00AE50D3">
            <w:pPr>
              <w:snapToGrid w:val="0"/>
              <w:spacing w:line="360" w:lineRule="auto"/>
              <w:rPr>
                <w:rFonts w:ascii="Book Antiqua" w:eastAsia="Times New Roman" w:hAnsi="Book Antiqua" w:cs="Times New Roman"/>
                <w:lang w:val="en-US" w:eastAsia="en-GB"/>
              </w:rPr>
            </w:pPr>
            <w:r w:rsidRPr="002850AE">
              <w:rPr>
                <w:rFonts w:ascii="Book Antiqua" w:eastAsia="Times New Roman" w:hAnsi="Book Antiqua" w:cs="Times New Roman"/>
                <w:lang w:val="en-US" w:eastAsia="en-GB"/>
              </w:rPr>
              <w:t>High (for some):</w:t>
            </w:r>
          </w:p>
          <w:p w14:paraId="3352909C" w14:textId="77777777" w:rsidR="00CA7F02" w:rsidRPr="002850AE" w:rsidRDefault="00CA7F02" w:rsidP="00AE50D3">
            <w:pPr>
              <w:snapToGrid w:val="0"/>
              <w:spacing w:line="360" w:lineRule="auto"/>
              <w:rPr>
                <w:rFonts w:ascii="Book Antiqua" w:eastAsia="Times New Roman" w:hAnsi="Book Antiqua" w:cs="Times New Roman"/>
                <w:b/>
                <w:lang w:val="en-US"/>
              </w:rPr>
            </w:pPr>
            <w:r w:rsidRPr="002850AE">
              <w:rPr>
                <w:rFonts w:ascii="Book Antiqua" w:eastAsia="Times New Roman" w:hAnsi="Book Antiqua" w:cs="Times New Roman"/>
                <w:lang w:val="en-US"/>
              </w:rPr>
              <w:t>If diagnosed positive: good treatment available (high cure rate, few side effects, short /life-saving for cirrhotic patients/ but treatment often not urgent)</w:t>
            </w:r>
          </w:p>
          <w:p w14:paraId="01828B1D"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Impact on further transmission (but less weight in HCV populations with low risk profile)</w:t>
            </w:r>
          </w:p>
        </w:tc>
        <w:tc>
          <w:tcPr>
            <w:tcW w:w="6188" w:type="dxa"/>
          </w:tcPr>
          <w:p w14:paraId="081F943B" w14:textId="77777777" w:rsidR="00CA7F02" w:rsidRPr="002850AE" w:rsidRDefault="00CA7F02" w:rsidP="00AE50D3">
            <w:pPr>
              <w:snapToGrid w:val="0"/>
              <w:spacing w:line="360" w:lineRule="auto"/>
              <w:rPr>
                <w:rFonts w:ascii="Book Antiqua" w:eastAsia="Times New Roman" w:hAnsi="Book Antiqua" w:cs="Times New Roman"/>
                <w:lang w:val="en-US" w:eastAsia="en-GB"/>
              </w:rPr>
            </w:pPr>
            <w:r w:rsidRPr="002850AE">
              <w:rPr>
                <w:rFonts w:ascii="Book Antiqua" w:eastAsia="Times New Roman" w:hAnsi="Book Antiqua" w:cs="Times New Roman"/>
                <w:lang w:val="en-US" w:eastAsia="en-GB"/>
              </w:rPr>
              <w:t>Important in some contexts:</w:t>
            </w:r>
          </w:p>
          <w:p w14:paraId="3E8653DB" w14:textId="77777777" w:rsidR="00CA7F02" w:rsidRPr="002850AE" w:rsidRDefault="00CA7F02" w:rsidP="00AE50D3">
            <w:pPr>
              <w:snapToGrid w:val="0"/>
              <w:spacing w:line="360" w:lineRule="auto"/>
              <w:rPr>
                <w:rFonts w:ascii="Book Antiqua" w:eastAsia="Times New Roman" w:hAnsi="Book Antiqua" w:cs="Times New Roman"/>
                <w:lang w:val="en-US"/>
              </w:rPr>
            </w:pPr>
            <w:r w:rsidRPr="002850AE">
              <w:rPr>
                <w:rFonts w:ascii="Book Antiqua" w:eastAsia="Times New Roman" w:hAnsi="Book Antiqua" w:cs="Times New Roman"/>
                <w:lang w:val="en-US"/>
              </w:rPr>
              <w:t>Cost-saving in resource-constrained environment with many competing interests</w:t>
            </w:r>
          </w:p>
        </w:tc>
      </w:tr>
    </w:tbl>
    <w:p w14:paraId="6B6189D0" w14:textId="11D1AAFC" w:rsidR="007D08F5" w:rsidRPr="00E54619" w:rsidRDefault="002F0C67"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HCV: </w:t>
      </w:r>
      <w:r w:rsidRPr="002850AE">
        <w:rPr>
          <w:rFonts w:ascii="Book Antiqua" w:eastAsia="Book Antiqua" w:hAnsi="Book Antiqua" w:cs="Book Antiqua"/>
          <w:caps/>
          <w:color w:val="000000"/>
        </w:rPr>
        <w:t>h</w:t>
      </w:r>
      <w:r w:rsidRPr="002850AE">
        <w:rPr>
          <w:rFonts w:ascii="Book Antiqua" w:eastAsia="Book Antiqua" w:hAnsi="Book Antiqua" w:cs="Book Antiqua"/>
          <w:color w:val="000000"/>
        </w:rPr>
        <w:t>epatitis C virus.</w:t>
      </w:r>
    </w:p>
    <w:p w14:paraId="17F0E288" w14:textId="77777777" w:rsidR="00A77B3E" w:rsidRPr="002850AE" w:rsidRDefault="007D08F5"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hAnsi="Book Antiqua"/>
          <w:lang w:val="en-GB"/>
        </w:rPr>
        <w:br w:type="page"/>
      </w:r>
      <w:r w:rsidR="00EC02D8" w:rsidRPr="002850AE">
        <w:rPr>
          <w:rFonts w:ascii="Book Antiqua" w:eastAsia="Book Antiqua" w:hAnsi="Book Antiqua" w:cs="Book Antiqua"/>
          <w:b/>
          <w:bCs/>
          <w:color w:val="000000"/>
          <w:shd w:val="clear" w:color="auto" w:fill="FFFFFF"/>
        </w:rPr>
        <w:t>Table 2 Characteristics of the derivation cohort, including the candidate predictors</w:t>
      </w:r>
    </w:p>
    <w:tbl>
      <w:tblPr>
        <w:tblW w:w="12179" w:type="dxa"/>
        <w:tblBorders>
          <w:top w:val="single" w:sz="8" w:space="0" w:color="000000"/>
          <w:bottom w:val="single" w:sz="8" w:space="0" w:color="000000"/>
        </w:tblBorders>
        <w:tblLook w:val="0620" w:firstRow="1" w:lastRow="0" w:firstColumn="0" w:lastColumn="0" w:noHBand="1" w:noVBand="1"/>
      </w:tblPr>
      <w:tblGrid>
        <w:gridCol w:w="6903"/>
        <w:gridCol w:w="1418"/>
        <w:gridCol w:w="2106"/>
        <w:gridCol w:w="210"/>
        <w:gridCol w:w="1542"/>
      </w:tblGrid>
      <w:tr w:rsidR="007D08F5" w:rsidRPr="002850AE" w14:paraId="2C2DF99B" w14:textId="77777777" w:rsidTr="00E54619">
        <w:trPr>
          <w:trHeight w:val="512"/>
        </w:trPr>
        <w:tc>
          <w:tcPr>
            <w:tcW w:w="6903" w:type="dxa"/>
            <w:tcBorders>
              <w:top w:val="single" w:sz="8" w:space="0" w:color="000000"/>
              <w:bottom w:val="single" w:sz="4" w:space="0" w:color="000000"/>
            </w:tcBorders>
          </w:tcPr>
          <w:p w14:paraId="0F2F3986" w14:textId="77777777" w:rsidR="007D08F5" w:rsidRPr="002850AE" w:rsidRDefault="007D08F5"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eastAsia="Book Antiqua" w:hAnsi="Book Antiqua" w:cs="Book Antiqua"/>
                <w:b/>
                <w:bCs/>
                <w:color w:val="000000"/>
                <w:shd w:val="clear" w:color="auto" w:fill="FFFFFF"/>
              </w:rPr>
              <w:t>Characteristics</w:t>
            </w:r>
          </w:p>
        </w:tc>
        <w:tc>
          <w:tcPr>
            <w:tcW w:w="1418" w:type="dxa"/>
            <w:tcBorders>
              <w:top w:val="single" w:sz="8" w:space="0" w:color="000000"/>
              <w:bottom w:val="single" w:sz="4" w:space="0" w:color="000000"/>
            </w:tcBorders>
          </w:tcPr>
          <w:p w14:paraId="21BE9369" w14:textId="77777777" w:rsidR="007D08F5" w:rsidRPr="002850AE" w:rsidRDefault="007D08F5"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eastAsia="Book Antiqua" w:hAnsi="Book Antiqua" w:cs="Book Antiqua"/>
                <w:b/>
                <w:bCs/>
                <w:color w:val="000000"/>
                <w:shd w:val="clear" w:color="auto" w:fill="FFFFFF"/>
              </w:rPr>
              <w:t>Missing values</w:t>
            </w:r>
          </w:p>
        </w:tc>
        <w:tc>
          <w:tcPr>
            <w:tcW w:w="2106" w:type="dxa"/>
            <w:tcBorders>
              <w:top w:val="single" w:sz="8" w:space="0" w:color="000000"/>
              <w:bottom w:val="single" w:sz="4" w:space="0" w:color="000000"/>
            </w:tcBorders>
          </w:tcPr>
          <w:p w14:paraId="2729F2CC" w14:textId="77777777" w:rsidR="007D08F5" w:rsidRPr="002850AE" w:rsidRDefault="007D08F5"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eastAsia="Book Antiqua" w:hAnsi="Book Antiqua" w:cs="Book Antiqua"/>
                <w:b/>
                <w:bCs/>
                <w:i/>
                <w:color w:val="000000"/>
                <w:shd w:val="clear" w:color="auto" w:fill="FFFFFF"/>
              </w:rPr>
              <w:t>n</w:t>
            </w:r>
            <w:r w:rsidRPr="002850AE">
              <w:rPr>
                <w:rFonts w:ascii="Book Antiqua" w:eastAsia="Book Antiqua" w:hAnsi="Book Antiqua" w:cs="Book Antiqua"/>
                <w:b/>
                <w:bCs/>
                <w:color w:val="000000"/>
                <w:shd w:val="clear" w:color="auto" w:fill="FFFFFF"/>
              </w:rPr>
              <w:t xml:space="preserve"> = 3045</w:t>
            </w:r>
          </w:p>
        </w:tc>
        <w:tc>
          <w:tcPr>
            <w:tcW w:w="1752" w:type="dxa"/>
            <w:gridSpan w:val="2"/>
            <w:tcBorders>
              <w:top w:val="single" w:sz="8" w:space="0" w:color="000000"/>
              <w:bottom w:val="single" w:sz="4" w:space="0" w:color="000000"/>
            </w:tcBorders>
          </w:tcPr>
          <w:p w14:paraId="0F5432CF" w14:textId="77777777" w:rsidR="007D08F5" w:rsidRPr="002850AE" w:rsidRDefault="007D08F5"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eastAsia="Book Antiqua" w:hAnsi="Book Antiqua" w:cs="Book Antiqua"/>
                <w:b/>
                <w:bCs/>
                <w:color w:val="000000"/>
                <w:shd w:val="clear" w:color="auto" w:fill="FFFFFF"/>
              </w:rPr>
              <w:t>Candidate predictor</w:t>
            </w:r>
          </w:p>
        </w:tc>
      </w:tr>
      <w:tr w:rsidR="007D08F5" w:rsidRPr="002850AE" w14:paraId="6D663E93" w14:textId="77777777" w:rsidTr="00E54619">
        <w:trPr>
          <w:trHeight w:val="451"/>
        </w:trPr>
        <w:tc>
          <w:tcPr>
            <w:tcW w:w="6903" w:type="dxa"/>
            <w:tcBorders>
              <w:top w:val="single" w:sz="4" w:space="0" w:color="000000"/>
            </w:tcBorders>
          </w:tcPr>
          <w:p w14:paraId="7ACD70F1"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HIV patients with HCV coinfection, </w:t>
            </w:r>
            <w:r w:rsidR="00B466CD" w:rsidRPr="002850AE">
              <w:rPr>
                <w:rFonts w:ascii="Book Antiqua" w:eastAsia="Book Antiqua" w:hAnsi="Book Antiqua" w:cs="Book Antiqua"/>
                <w:bCs/>
                <w:i/>
                <w:color w:val="000000"/>
                <w:shd w:val="clear" w:color="auto" w:fill="FFFFFF"/>
              </w:rPr>
              <w:t>n</w:t>
            </w:r>
            <w:r w:rsidRPr="002850AE">
              <w:rPr>
                <w:rFonts w:ascii="Book Antiqua" w:eastAsia="Book Antiqua" w:hAnsi="Book Antiqua" w:cs="Book Antiqua"/>
                <w:bCs/>
                <w:color w:val="000000"/>
                <w:shd w:val="clear" w:color="auto" w:fill="FFFFFF"/>
              </w:rPr>
              <w:t xml:space="preserve"> (%)</w:t>
            </w:r>
          </w:p>
        </w:tc>
        <w:tc>
          <w:tcPr>
            <w:tcW w:w="1418" w:type="dxa"/>
            <w:tcBorders>
              <w:top w:val="single" w:sz="4" w:space="0" w:color="000000"/>
            </w:tcBorders>
          </w:tcPr>
          <w:p w14:paraId="3672D24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Borders>
              <w:top w:val="single" w:sz="4" w:space="0" w:color="000000"/>
            </w:tcBorders>
          </w:tcPr>
          <w:p w14:paraId="6DF8AF1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106 (3.5)</w:t>
            </w:r>
          </w:p>
        </w:tc>
        <w:tc>
          <w:tcPr>
            <w:tcW w:w="1542" w:type="dxa"/>
            <w:tcBorders>
              <w:top w:val="single" w:sz="4" w:space="0" w:color="000000"/>
            </w:tcBorders>
          </w:tcPr>
          <w:p w14:paraId="786247B7"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0C8138FC" w14:textId="77777777" w:rsidTr="00E54619">
        <w:trPr>
          <w:trHeight w:val="451"/>
        </w:trPr>
        <w:tc>
          <w:tcPr>
            <w:tcW w:w="6903" w:type="dxa"/>
          </w:tcPr>
          <w:p w14:paraId="067B7A6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Male,</w:t>
            </w:r>
            <w:r w:rsidR="00B466CD" w:rsidRPr="002850AE">
              <w:rPr>
                <w:rFonts w:ascii="Book Antiqua" w:eastAsia="Book Antiqua" w:hAnsi="Book Antiqua" w:cs="Book Antiqua"/>
                <w:bCs/>
                <w:i/>
                <w:color w:val="000000"/>
                <w:shd w:val="clear" w:color="auto" w:fill="FFFFFF"/>
              </w:rPr>
              <w:t xml:space="preserve"> n</w:t>
            </w:r>
            <w:r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ab/>
            </w:r>
          </w:p>
        </w:tc>
        <w:tc>
          <w:tcPr>
            <w:tcW w:w="1418" w:type="dxa"/>
          </w:tcPr>
          <w:p w14:paraId="4A14662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0BA0267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1,307 (42.9)</w:t>
            </w:r>
          </w:p>
        </w:tc>
        <w:tc>
          <w:tcPr>
            <w:tcW w:w="1542" w:type="dxa"/>
          </w:tcPr>
          <w:p w14:paraId="19EF4D9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3E02CD53" w14:textId="77777777" w:rsidTr="00E54619">
        <w:trPr>
          <w:trHeight w:val="436"/>
        </w:trPr>
        <w:tc>
          <w:tcPr>
            <w:tcW w:w="6903" w:type="dxa"/>
          </w:tcPr>
          <w:p w14:paraId="5473D0D2" w14:textId="77777777" w:rsidR="007D08F5" w:rsidRPr="002850AE" w:rsidRDefault="00A20F98"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Age, </w:t>
            </w:r>
            <w:proofErr w:type="spellStart"/>
            <w:r w:rsidRPr="002850AE">
              <w:rPr>
                <w:rFonts w:ascii="Book Antiqua" w:eastAsia="Book Antiqua" w:hAnsi="Book Antiqua" w:cs="Book Antiqua"/>
                <w:bCs/>
                <w:color w:val="000000"/>
                <w:shd w:val="clear" w:color="auto" w:fill="FFFFFF"/>
              </w:rPr>
              <w:t>yr</w:t>
            </w:r>
            <w:proofErr w:type="spellEnd"/>
            <w:r w:rsidR="007D08F5" w:rsidRPr="002850AE">
              <w:rPr>
                <w:rFonts w:ascii="Book Antiqua" w:eastAsia="Book Antiqua" w:hAnsi="Book Antiqua" w:cs="Book Antiqua"/>
                <w:bCs/>
                <w:color w:val="000000"/>
                <w:shd w:val="clear" w:color="auto" w:fill="FFFFFF"/>
              </w:rPr>
              <w:t>, median (IQR)</w:t>
            </w:r>
          </w:p>
        </w:tc>
        <w:tc>
          <w:tcPr>
            <w:tcW w:w="1418" w:type="dxa"/>
          </w:tcPr>
          <w:p w14:paraId="7A1EE7BF"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0EAD73F7"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42.5 (36.3-48.1)</w:t>
            </w:r>
          </w:p>
        </w:tc>
        <w:tc>
          <w:tcPr>
            <w:tcW w:w="1542" w:type="dxa"/>
          </w:tcPr>
          <w:p w14:paraId="2F467BA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0507E62C" w14:textId="77777777" w:rsidTr="00E54619">
        <w:trPr>
          <w:trHeight w:val="451"/>
        </w:trPr>
        <w:tc>
          <w:tcPr>
            <w:tcW w:w="6903" w:type="dxa"/>
          </w:tcPr>
          <w:p w14:paraId="0C8BB535"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Key populations</w:t>
            </w:r>
            <w:r w:rsidR="00AA1BE5" w:rsidRPr="002850AE">
              <w:rPr>
                <w:rFonts w:ascii="Book Antiqua" w:eastAsia="Book Antiqua" w:hAnsi="Book Antiqua" w:cs="Book Antiqua"/>
                <w:color w:val="000000"/>
                <w:vertAlign w:val="superscript"/>
              </w:rPr>
              <w:t>1</w:t>
            </w:r>
            <w:r w:rsidRPr="002850AE">
              <w:rPr>
                <w:rFonts w:ascii="Book Antiqua" w:eastAsia="Book Antiqua" w:hAnsi="Book Antiqua" w:cs="Book Antiqua"/>
                <w:bCs/>
                <w:color w:val="000000"/>
                <w:shd w:val="clear" w:color="auto" w:fill="FFFFFF"/>
              </w:rPr>
              <w:t xml:space="preserve">, </w:t>
            </w:r>
            <w:r w:rsidR="00B466CD" w:rsidRPr="002850AE">
              <w:rPr>
                <w:rFonts w:ascii="Book Antiqua" w:eastAsia="Book Antiqua" w:hAnsi="Book Antiqua" w:cs="Book Antiqua"/>
                <w:bCs/>
                <w:i/>
                <w:color w:val="000000"/>
                <w:shd w:val="clear" w:color="auto" w:fill="FFFFFF"/>
              </w:rPr>
              <w:t>n</w:t>
            </w:r>
            <w:r w:rsidRPr="002850AE">
              <w:rPr>
                <w:rFonts w:ascii="Book Antiqua" w:eastAsia="Book Antiqua" w:hAnsi="Book Antiqua" w:cs="Book Antiqua"/>
                <w:bCs/>
                <w:color w:val="000000"/>
                <w:shd w:val="clear" w:color="auto" w:fill="FFFFFF"/>
              </w:rPr>
              <w:t xml:space="preserve"> (%)</w:t>
            </w:r>
          </w:p>
        </w:tc>
        <w:tc>
          <w:tcPr>
            <w:tcW w:w="1418" w:type="dxa"/>
          </w:tcPr>
          <w:p w14:paraId="66B373B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0D6C106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31 (0.1)</w:t>
            </w:r>
          </w:p>
        </w:tc>
        <w:tc>
          <w:tcPr>
            <w:tcW w:w="1542" w:type="dxa"/>
          </w:tcPr>
          <w:p w14:paraId="05BED542"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3192633A" w14:textId="77777777" w:rsidTr="00E54619">
        <w:trPr>
          <w:trHeight w:val="451"/>
        </w:trPr>
        <w:tc>
          <w:tcPr>
            <w:tcW w:w="6903" w:type="dxa"/>
          </w:tcPr>
          <w:p w14:paraId="1B15EB5F"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Receiving ART, </w:t>
            </w:r>
            <w:r w:rsidR="00B466CD" w:rsidRPr="002850AE">
              <w:rPr>
                <w:rFonts w:ascii="Book Antiqua" w:eastAsia="Book Antiqua" w:hAnsi="Book Antiqua" w:cs="Book Antiqua"/>
                <w:bCs/>
                <w:i/>
                <w:color w:val="000000"/>
                <w:shd w:val="clear" w:color="auto" w:fill="FFFFFF"/>
              </w:rPr>
              <w:t>n</w:t>
            </w:r>
            <w:r w:rsidRPr="002850AE">
              <w:rPr>
                <w:rFonts w:ascii="Book Antiqua" w:eastAsia="Book Antiqua" w:hAnsi="Book Antiqua" w:cs="Book Antiqua"/>
                <w:bCs/>
                <w:color w:val="000000"/>
                <w:shd w:val="clear" w:color="auto" w:fill="FFFFFF"/>
              </w:rPr>
              <w:t xml:space="preserve"> (%)</w:t>
            </w:r>
          </w:p>
        </w:tc>
        <w:tc>
          <w:tcPr>
            <w:tcW w:w="1418" w:type="dxa"/>
          </w:tcPr>
          <w:p w14:paraId="32F356A2"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3C4F4464"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2,972 (97.6)</w:t>
            </w:r>
          </w:p>
        </w:tc>
        <w:tc>
          <w:tcPr>
            <w:tcW w:w="1542" w:type="dxa"/>
          </w:tcPr>
          <w:p w14:paraId="47FF8B5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11B058CA" w14:textId="77777777" w:rsidTr="00E54619">
        <w:trPr>
          <w:trHeight w:val="451"/>
        </w:trPr>
        <w:tc>
          <w:tcPr>
            <w:tcW w:w="6903" w:type="dxa"/>
          </w:tcPr>
          <w:p w14:paraId="57F565E3"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On NNRTI-based ART,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7C5289A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c>
          <w:tcPr>
            <w:tcW w:w="2316" w:type="dxa"/>
            <w:gridSpan w:val="2"/>
          </w:tcPr>
          <w:p w14:paraId="0578DEB6"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2,728 (91.8)</w:t>
            </w:r>
          </w:p>
        </w:tc>
        <w:tc>
          <w:tcPr>
            <w:tcW w:w="1542" w:type="dxa"/>
          </w:tcPr>
          <w:p w14:paraId="0904A165"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62DC21F2" w14:textId="77777777" w:rsidTr="00E54619">
        <w:trPr>
          <w:trHeight w:val="451"/>
        </w:trPr>
        <w:tc>
          <w:tcPr>
            <w:tcW w:w="6903" w:type="dxa"/>
          </w:tcPr>
          <w:p w14:paraId="354B0098"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On PI-based ART,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19629E7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c>
          <w:tcPr>
            <w:tcW w:w="2316" w:type="dxa"/>
            <w:gridSpan w:val="2"/>
          </w:tcPr>
          <w:p w14:paraId="7764F2A5"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232 (7.8)</w:t>
            </w:r>
          </w:p>
        </w:tc>
        <w:tc>
          <w:tcPr>
            <w:tcW w:w="1542" w:type="dxa"/>
          </w:tcPr>
          <w:p w14:paraId="76BD9A7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2EE7A91E" w14:textId="77777777" w:rsidTr="00E54619">
        <w:trPr>
          <w:trHeight w:val="436"/>
        </w:trPr>
        <w:tc>
          <w:tcPr>
            <w:tcW w:w="6903" w:type="dxa"/>
          </w:tcPr>
          <w:p w14:paraId="320F22D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Other,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09B8A1D2"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c>
          <w:tcPr>
            <w:tcW w:w="2316" w:type="dxa"/>
            <w:gridSpan w:val="2"/>
          </w:tcPr>
          <w:p w14:paraId="0B24B79B"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12 (0.4)</w:t>
            </w:r>
          </w:p>
        </w:tc>
        <w:tc>
          <w:tcPr>
            <w:tcW w:w="1542" w:type="dxa"/>
          </w:tcPr>
          <w:p w14:paraId="1AA45F45"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68264042" w14:textId="77777777" w:rsidTr="00E54619">
        <w:trPr>
          <w:trHeight w:val="451"/>
        </w:trPr>
        <w:tc>
          <w:tcPr>
            <w:tcW w:w="6903" w:type="dxa"/>
          </w:tcPr>
          <w:p w14:paraId="084FAF94"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Duration on ART, years, median (IQR)</w:t>
            </w:r>
          </w:p>
        </w:tc>
        <w:tc>
          <w:tcPr>
            <w:tcW w:w="1418" w:type="dxa"/>
          </w:tcPr>
          <w:p w14:paraId="740F85C6"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128BE1F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6.9 (4.4-9.1)</w:t>
            </w:r>
          </w:p>
        </w:tc>
        <w:tc>
          <w:tcPr>
            <w:tcW w:w="1542" w:type="dxa"/>
          </w:tcPr>
          <w:p w14:paraId="1B6761F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264F3C1C" w14:textId="77777777" w:rsidTr="00E54619">
        <w:trPr>
          <w:trHeight w:val="451"/>
        </w:trPr>
        <w:tc>
          <w:tcPr>
            <w:tcW w:w="6903" w:type="dxa"/>
          </w:tcPr>
          <w:p w14:paraId="1E7C03A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HIV viral load &lt; 50 copies/mL,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16A54283"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368</w:t>
            </w:r>
          </w:p>
        </w:tc>
        <w:tc>
          <w:tcPr>
            <w:tcW w:w="2316" w:type="dxa"/>
            <w:gridSpan w:val="2"/>
          </w:tcPr>
          <w:p w14:paraId="5CF56671"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2,517 (96.6)</w:t>
            </w:r>
          </w:p>
        </w:tc>
        <w:tc>
          <w:tcPr>
            <w:tcW w:w="1542" w:type="dxa"/>
          </w:tcPr>
          <w:p w14:paraId="4D67E87F"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6A10A8CE" w14:textId="77777777" w:rsidTr="00E54619">
        <w:trPr>
          <w:trHeight w:val="451"/>
        </w:trPr>
        <w:tc>
          <w:tcPr>
            <w:tcW w:w="6903" w:type="dxa"/>
          </w:tcPr>
          <w:p w14:paraId="48C1CE32"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CD4, cells/µL, median (IQR)</w:t>
            </w:r>
          </w:p>
        </w:tc>
        <w:tc>
          <w:tcPr>
            <w:tcW w:w="1418" w:type="dxa"/>
          </w:tcPr>
          <w:p w14:paraId="4E102DB4"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11</w:t>
            </w:r>
          </w:p>
        </w:tc>
        <w:tc>
          <w:tcPr>
            <w:tcW w:w="2316" w:type="dxa"/>
            <w:gridSpan w:val="2"/>
          </w:tcPr>
          <w:p w14:paraId="5DB62E8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464 (339-609)</w:t>
            </w:r>
          </w:p>
        </w:tc>
        <w:tc>
          <w:tcPr>
            <w:tcW w:w="1542" w:type="dxa"/>
          </w:tcPr>
          <w:p w14:paraId="3124C11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p>
        </w:tc>
      </w:tr>
      <w:tr w:rsidR="007D08F5" w:rsidRPr="002850AE" w14:paraId="68EDF3DC" w14:textId="77777777" w:rsidTr="00E54619">
        <w:trPr>
          <w:trHeight w:val="451"/>
        </w:trPr>
        <w:tc>
          <w:tcPr>
            <w:tcW w:w="6903" w:type="dxa"/>
          </w:tcPr>
          <w:p w14:paraId="1C28E70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Poor CD4 recovery on ART</w:t>
            </w:r>
            <w:r w:rsidR="00EC6F22" w:rsidRPr="002850AE">
              <w:rPr>
                <w:rFonts w:ascii="Book Antiqua" w:eastAsia="Book Antiqua" w:hAnsi="Book Antiqua" w:cs="Book Antiqua"/>
                <w:bCs/>
                <w:color w:val="000000"/>
                <w:shd w:val="clear" w:color="auto" w:fill="FFFFFF"/>
                <w:vertAlign w:val="superscript"/>
              </w:rPr>
              <w:t>2</w:t>
            </w:r>
            <w:r w:rsidRPr="002850AE">
              <w:rPr>
                <w:rFonts w:ascii="Book Antiqua" w:eastAsia="Book Antiqua" w:hAnsi="Book Antiqua" w:cs="Book Antiqua"/>
                <w:bCs/>
                <w:color w:val="000000"/>
                <w:shd w:val="clear" w:color="auto" w:fill="FFFFFF"/>
              </w:rPr>
              <w:t xml:space="preserve">,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68343C4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13</w:t>
            </w:r>
          </w:p>
        </w:tc>
        <w:tc>
          <w:tcPr>
            <w:tcW w:w="2316" w:type="dxa"/>
            <w:gridSpan w:val="2"/>
          </w:tcPr>
          <w:p w14:paraId="36FA55B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117 (4.0)</w:t>
            </w:r>
          </w:p>
        </w:tc>
        <w:tc>
          <w:tcPr>
            <w:tcW w:w="1542" w:type="dxa"/>
          </w:tcPr>
          <w:p w14:paraId="3CB78ECC"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2633148F" w14:textId="77777777" w:rsidTr="00E54619">
        <w:trPr>
          <w:trHeight w:val="451"/>
        </w:trPr>
        <w:tc>
          <w:tcPr>
            <w:tcW w:w="6903" w:type="dxa"/>
          </w:tcPr>
          <w:p w14:paraId="0BB13144"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ALT, IU/L, median (IQR)</w:t>
            </w:r>
          </w:p>
        </w:tc>
        <w:tc>
          <w:tcPr>
            <w:tcW w:w="1418" w:type="dxa"/>
          </w:tcPr>
          <w:p w14:paraId="27BBB83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6797373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28 (20-43)</w:t>
            </w:r>
          </w:p>
        </w:tc>
        <w:tc>
          <w:tcPr>
            <w:tcW w:w="1542" w:type="dxa"/>
          </w:tcPr>
          <w:p w14:paraId="2F2E81B7"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65AE637F" w14:textId="77777777" w:rsidTr="00E54619">
        <w:trPr>
          <w:trHeight w:val="436"/>
        </w:trPr>
        <w:tc>
          <w:tcPr>
            <w:tcW w:w="6903" w:type="dxa"/>
          </w:tcPr>
          <w:p w14:paraId="10A88BF1"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AST,</w:t>
            </w:r>
            <w:r w:rsidRPr="002850AE" w:rsidDel="00936680">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IU/L, median (IQR)</w:t>
            </w:r>
          </w:p>
        </w:tc>
        <w:tc>
          <w:tcPr>
            <w:tcW w:w="1418" w:type="dxa"/>
          </w:tcPr>
          <w:p w14:paraId="2D0D55CC"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73A14441"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26 (21-36)</w:t>
            </w:r>
          </w:p>
        </w:tc>
        <w:tc>
          <w:tcPr>
            <w:tcW w:w="1542" w:type="dxa"/>
          </w:tcPr>
          <w:p w14:paraId="0CC466F4"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7D630EF6" w14:textId="77777777" w:rsidTr="00E54619">
        <w:trPr>
          <w:trHeight w:val="451"/>
        </w:trPr>
        <w:tc>
          <w:tcPr>
            <w:tcW w:w="6903" w:type="dxa"/>
          </w:tcPr>
          <w:p w14:paraId="6E2BFC9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Platelets, ×</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10</w:t>
            </w:r>
            <w:r w:rsidRPr="002850AE">
              <w:rPr>
                <w:rFonts w:ascii="Book Antiqua" w:eastAsia="Book Antiqua" w:hAnsi="Book Antiqua" w:cs="Book Antiqua"/>
                <w:bCs/>
                <w:color w:val="000000"/>
                <w:shd w:val="clear" w:color="auto" w:fill="FFFFFF"/>
                <w:vertAlign w:val="superscript"/>
              </w:rPr>
              <w:t>9</w:t>
            </w:r>
            <w:r w:rsidRPr="002850AE">
              <w:rPr>
                <w:rFonts w:ascii="Book Antiqua" w:eastAsia="Book Antiqua" w:hAnsi="Book Antiqua" w:cs="Book Antiqua"/>
                <w:bCs/>
                <w:color w:val="000000"/>
                <w:shd w:val="clear" w:color="auto" w:fill="FFFFFF"/>
              </w:rPr>
              <w:t xml:space="preserve"> cells/L, median (IQR)</w:t>
            </w:r>
          </w:p>
        </w:tc>
        <w:tc>
          <w:tcPr>
            <w:tcW w:w="1418" w:type="dxa"/>
          </w:tcPr>
          <w:p w14:paraId="2885231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169EF54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266 (221-312)</w:t>
            </w:r>
          </w:p>
        </w:tc>
        <w:tc>
          <w:tcPr>
            <w:tcW w:w="1542" w:type="dxa"/>
          </w:tcPr>
          <w:p w14:paraId="6B3578A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186AF123" w14:textId="77777777" w:rsidTr="00E54619">
        <w:trPr>
          <w:trHeight w:val="466"/>
        </w:trPr>
        <w:tc>
          <w:tcPr>
            <w:tcW w:w="6903" w:type="dxa"/>
          </w:tcPr>
          <w:p w14:paraId="5C41E14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APRI, median (IQR)</w:t>
            </w:r>
          </w:p>
        </w:tc>
        <w:tc>
          <w:tcPr>
            <w:tcW w:w="1418" w:type="dxa"/>
          </w:tcPr>
          <w:p w14:paraId="666C9957"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6F43870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0.29 (0.21-0.41)</w:t>
            </w:r>
          </w:p>
        </w:tc>
        <w:tc>
          <w:tcPr>
            <w:tcW w:w="1542" w:type="dxa"/>
          </w:tcPr>
          <w:p w14:paraId="0CA105DF"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3CFB37AB" w14:textId="77777777" w:rsidTr="00E54619">
        <w:trPr>
          <w:trHeight w:val="426"/>
        </w:trPr>
        <w:tc>
          <w:tcPr>
            <w:tcW w:w="6903" w:type="dxa"/>
          </w:tcPr>
          <w:p w14:paraId="59B19D3C"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Fatigue, myalgia/arthralgia, or anorexia/weight loss, </w:t>
            </w:r>
            <w:r w:rsidRPr="002850AE">
              <w:rPr>
                <w:rFonts w:ascii="Book Antiqua" w:eastAsia="Book Antiqua" w:hAnsi="Book Antiqua" w:cs="Book Antiqua"/>
                <w:bCs/>
                <w:i/>
                <w:color w:val="000000"/>
                <w:shd w:val="clear" w:color="auto" w:fill="FFFFFF"/>
              </w:rPr>
              <w:t>n</w:t>
            </w:r>
            <w:r w:rsidRPr="002850AE">
              <w:rPr>
                <w:rFonts w:ascii="Book Antiqua" w:eastAsia="Book Antiqua" w:hAnsi="Book Antiqua" w:cs="Book Antiqua"/>
                <w:bCs/>
                <w:color w:val="000000"/>
                <w:shd w:val="clear" w:color="auto" w:fill="FFFFFF"/>
              </w:rPr>
              <w:t xml:space="preserve"> (%)</w:t>
            </w:r>
          </w:p>
        </w:tc>
        <w:tc>
          <w:tcPr>
            <w:tcW w:w="1418" w:type="dxa"/>
          </w:tcPr>
          <w:p w14:paraId="0DE9F89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63F37580"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301 (9.9)</w:t>
            </w:r>
          </w:p>
        </w:tc>
        <w:tc>
          <w:tcPr>
            <w:tcW w:w="1542" w:type="dxa"/>
          </w:tcPr>
          <w:p w14:paraId="0DEFA0DF"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4D74D23E" w14:textId="77777777" w:rsidTr="00E54619">
        <w:trPr>
          <w:trHeight w:val="451"/>
        </w:trPr>
        <w:tc>
          <w:tcPr>
            <w:tcW w:w="6903" w:type="dxa"/>
          </w:tcPr>
          <w:p w14:paraId="0C937EDB"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Diffuse pruritus,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117641F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0</w:t>
            </w:r>
          </w:p>
        </w:tc>
        <w:tc>
          <w:tcPr>
            <w:tcW w:w="2316" w:type="dxa"/>
            <w:gridSpan w:val="2"/>
          </w:tcPr>
          <w:p w14:paraId="00CD9998"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120 (3.9)</w:t>
            </w:r>
          </w:p>
        </w:tc>
        <w:tc>
          <w:tcPr>
            <w:tcW w:w="1542" w:type="dxa"/>
          </w:tcPr>
          <w:p w14:paraId="6A8A0F2B"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581B86DF" w14:textId="77777777" w:rsidTr="00E54619">
        <w:trPr>
          <w:trHeight w:val="451"/>
        </w:trPr>
        <w:tc>
          <w:tcPr>
            <w:tcW w:w="6903" w:type="dxa"/>
          </w:tcPr>
          <w:p w14:paraId="15B26FDD"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Diabetes mellitus,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797A34D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6</w:t>
            </w:r>
          </w:p>
        </w:tc>
        <w:tc>
          <w:tcPr>
            <w:tcW w:w="2316" w:type="dxa"/>
            <w:gridSpan w:val="2"/>
          </w:tcPr>
          <w:p w14:paraId="604B22B4"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113 (3.7)</w:t>
            </w:r>
          </w:p>
        </w:tc>
        <w:tc>
          <w:tcPr>
            <w:tcW w:w="1542" w:type="dxa"/>
          </w:tcPr>
          <w:p w14:paraId="3D7F4F8C"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r w:rsidR="007D08F5" w:rsidRPr="002850AE" w14:paraId="38C529C0" w14:textId="77777777" w:rsidTr="00E54619">
        <w:trPr>
          <w:trHeight w:val="436"/>
        </w:trPr>
        <w:tc>
          <w:tcPr>
            <w:tcW w:w="6903" w:type="dxa"/>
          </w:tcPr>
          <w:p w14:paraId="3312111F"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lang w:val="fr-FR"/>
              </w:rPr>
            </w:pPr>
            <w:r w:rsidRPr="002850AE">
              <w:rPr>
                <w:rFonts w:ascii="Book Antiqua" w:eastAsia="Book Antiqua" w:hAnsi="Book Antiqua" w:cs="Book Antiqua"/>
                <w:bCs/>
                <w:color w:val="000000"/>
                <w:shd w:val="clear" w:color="auto" w:fill="FFFFFF"/>
                <w:lang w:val="fr-FR"/>
              </w:rPr>
              <w:t xml:space="preserve">Hepatitis B surface antigen positive, </w:t>
            </w:r>
            <w:r w:rsidR="00B466CD" w:rsidRPr="002850AE">
              <w:rPr>
                <w:rFonts w:ascii="Book Antiqua" w:eastAsia="Book Antiqua" w:hAnsi="Book Antiqua" w:cs="Book Antiqua"/>
                <w:bCs/>
                <w:i/>
                <w:color w:val="000000"/>
                <w:shd w:val="clear" w:color="auto" w:fill="FFFFFF"/>
                <w:lang w:val="fr-BE"/>
              </w:rPr>
              <w:t>n</w:t>
            </w:r>
            <w:r w:rsidR="00B466CD" w:rsidRPr="002850AE">
              <w:rPr>
                <w:rFonts w:ascii="Book Antiqua" w:eastAsia="Book Antiqua" w:hAnsi="Book Antiqua" w:cs="Book Antiqua"/>
                <w:bCs/>
                <w:color w:val="000000"/>
                <w:shd w:val="clear" w:color="auto" w:fill="FFFFFF"/>
                <w:lang w:val="fr-FR"/>
              </w:rPr>
              <w:t xml:space="preserve"> </w:t>
            </w:r>
            <w:r w:rsidRPr="002850AE">
              <w:rPr>
                <w:rFonts w:ascii="Book Antiqua" w:eastAsia="Book Antiqua" w:hAnsi="Book Antiqua" w:cs="Book Antiqua"/>
                <w:bCs/>
                <w:color w:val="000000"/>
                <w:shd w:val="clear" w:color="auto" w:fill="FFFFFF"/>
                <w:lang w:val="fr-FR"/>
              </w:rPr>
              <w:t>(%)</w:t>
            </w:r>
          </w:p>
        </w:tc>
        <w:tc>
          <w:tcPr>
            <w:tcW w:w="1418" w:type="dxa"/>
          </w:tcPr>
          <w:p w14:paraId="5727B29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lang w:val="fr-FR"/>
              </w:rPr>
            </w:pPr>
            <w:r w:rsidRPr="002850AE">
              <w:rPr>
                <w:rFonts w:ascii="Book Antiqua" w:eastAsia="Book Antiqua" w:hAnsi="Book Antiqua" w:cs="Book Antiqua"/>
                <w:bCs/>
                <w:color w:val="000000"/>
                <w:shd w:val="clear" w:color="auto" w:fill="FFFFFF"/>
                <w:lang w:val="fr-FR"/>
              </w:rPr>
              <w:t>0</w:t>
            </w:r>
          </w:p>
        </w:tc>
        <w:tc>
          <w:tcPr>
            <w:tcW w:w="2316" w:type="dxa"/>
            <w:gridSpan w:val="2"/>
          </w:tcPr>
          <w:p w14:paraId="28FC47D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lang w:val="fr-FR"/>
              </w:rPr>
            </w:pPr>
            <w:r w:rsidRPr="002850AE">
              <w:rPr>
                <w:rFonts w:ascii="Book Antiqua" w:eastAsia="Book Antiqua" w:hAnsi="Book Antiqua" w:cs="Book Antiqua"/>
                <w:bCs/>
                <w:color w:val="000000"/>
                <w:shd w:val="clear" w:color="auto" w:fill="FFFFFF"/>
                <w:lang w:val="fr-FR"/>
              </w:rPr>
              <w:t>311 (10.2)</w:t>
            </w:r>
          </w:p>
        </w:tc>
        <w:tc>
          <w:tcPr>
            <w:tcW w:w="1542" w:type="dxa"/>
          </w:tcPr>
          <w:p w14:paraId="715DDBC6"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lang w:val="fr-FR"/>
              </w:rPr>
            </w:pPr>
          </w:p>
        </w:tc>
      </w:tr>
      <w:tr w:rsidR="007D08F5" w:rsidRPr="002850AE" w14:paraId="5CFDB456" w14:textId="77777777" w:rsidTr="00E54619">
        <w:trPr>
          <w:trHeight w:val="331"/>
        </w:trPr>
        <w:tc>
          <w:tcPr>
            <w:tcW w:w="6903" w:type="dxa"/>
          </w:tcPr>
          <w:p w14:paraId="7EDF7719"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 xml:space="preserve">Partner or household member with liver disease, </w:t>
            </w:r>
            <w:r w:rsidR="00B466CD" w:rsidRPr="002850AE">
              <w:rPr>
                <w:rFonts w:ascii="Book Antiqua" w:eastAsia="Book Antiqua" w:hAnsi="Book Antiqua" w:cs="Book Antiqua"/>
                <w:bCs/>
                <w:i/>
                <w:color w:val="000000"/>
                <w:shd w:val="clear" w:color="auto" w:fill="FFFFFF"/>
              </w:rPr>
              <w:t>n</w:t>
            </w:r>
            <w:r w:rsidR="00B466CD" w:rsidRPr="002850AE">
              <w:rPr>
                <w:rFonts w:ascii="Book Antiqua" w:eastAsia="Book Antiqua" w:hAnsi="Book Antiqua" w:cs="Book Antiqua"/>
                <w:bCs/>
                <w:color w:val="000000"/>
                <w:shd w:val="clear" w:color="auto" w:fill="FFFFFF"/>
              </w:rPr>
              <w:t xml:space="preserve"> </w:t>
            </w:r>
            <w:r w:rsidRPr="002850AE">
              <w:rPr>
                <w:rFonts w:ascii="Book Antiqua" w:eastAsia="Book Antiqua" w:hAnsi="Book Antiqua" w:cs="Book Antiqua"/>
                <w:bCs/>
                <w:color w:val="000000"/>
                <w:shd w:val="clear" w:color="auto" w:fill="FFFFFF"/>
              </w:rPr>
              <w:t>(%)</w:t>
            </w:r>
          </w:p>
        </w:tc>
        <w:tc>
          <w:tcPr>
            <w:tcW w:w="1418" w:type="dxa"/>
          </w:tcPr>
          <w:p w14:paraId="5DE8FDCE"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10</w:t>
            </w:r>
          </w:p>
        </w:tc>
        <w:tc>
          <w:tcPr>
            <w:tcW w:w="2316" w:type="dxa"/>
            <w:gridSpan w:val="2"/>
          </w:tcPr>
          <w:p w14:paraId="4E5DAE43"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185 (6.1)</w:t>
            </w:r>
          </w:p>
        </w:tc>
        <w:tc>
          <w:tcPr>
            <w:tcW w:w="1542" w:type="dxa"/>
          </w:tcPr>
          <w:p w14:paraId="7AF325CA" w14:textId="77777777" w:rsidR="007D08F5" w:rsidRPr="002850AE" w:rsidRDefault="007D08F5" w:rsidP="00AE50D3">
            <w:pPr>
              <w:snapToGrid w:val="0"/>
              <w:spacing w:line="360" w:lineRule="auto"/>
              <w:jc w:val="both"/>
              <w:rPr>
                <w:rFonts w:ascii="Book Antiqua" w:eastAsia="Book Antiqua" w:hAnsi="Book Antiqua" w:cs="Book Antiqua"/>
                <w:bCs/>
                <w:color w:val="000000"/>
                <w:shd w:val="clear" w:color="auto" w:fill="FFFFFF"/>
              </w:rPr>
            </w:pPr>
            <w:r w:rsidRPr="002850AE">
              <w:rPr>
                <w:rFonts w:ascii="Book Antiqua" w:eastAsia="Book Antiqua" w:hAnsi="Book Antiqua" w:cs="Book Antiqua"/>
                <w:bCs/>
                <w:color w:val="000000"/>
                <w:shd w:val="clear" w:color="auto" w:fill="FFFFFF"/>
              </w:rPr>
              <w:t>√</w:t>
            </w:r>
          </w:p>
        </w:tc>
      </w:tr>
    </w:tbl>
    <w:p w14:paraId="0BFC2E1F" w14:textId="77777777" w:rsidR="00A77B3E" w:rsidRPr="002850AE" w:rsidRDefault="00A32AF8" w:rsidP="00AE50D3">
      <w:pPr>
        <w:snapToGrid w:val="0"/>
        <w:spacing w:line="360" w:lineRule="auto"/>
        <w:jc w:val="both"/>
        <w:rPr>
          <w:rFonts w:ascii="Book Antiqua" w:hAnsi="Book Antiqua"/>
        </w:rPr>
      </w:pPr>
      <w:r w:rsidRPr="002850AE">
        <w:rPr>
          <w:rFonts w:ascii="Book Antiqua" w:eastAsia="Book Antiqua" w:hAnsi="Book Antiqua" w:cs="Book Antiqua"/>
          <w:color w:val="000000"/>
          <w:vertAlign w:val="superscript"/>
        </w:rPr>
        <w:t>1</w:t>
      </w:r>
      <w:r w:rsidRPr="002850AE">
        <w:rPr>
          <w:rFonts w:ascii="Book Antiqua" w:eastAsia="Book Antiqua" w:hAnsi="Book Antiqua" w:cs="Book Antiqua"/>
          <w:color w:val="000000"/>
        </w:rPr>
        <w:t>homosexual, history or current injecting drug user, or history or currently engaged in sex work;</w:t>
      </w:r>
      <w:r w:rsidRPr="002850AE">
        <w:rPr>
          <w:rFonts w:ascii="Book Antiqua" w:eastAsia="Book Antiqua" w:hAnsi="Book Antiqua" w:cs="Book Antiqua"/>
          <w:color w:val="000000"/>
          <w:vertAlign w:val="superscript"/>
        </w:rPr>
        <w:t xml:space="preserve"> 2</w:t>
      </w:r>
      <w:r w:rsidRPr="002850AE">
        <w:rPr>
          <w:rFonts w:ascii="Book Antiqua" w:eastAsia="Book Antiqua" w:hAnsi="Book Antiqua" w:cs="Book Antiqua"/>
          <w:color w:val="000000"/>
        </w:rPr>
        <w:t>CD4 below200 after 3 years or more on ART.</w:t>
      </w:r>
      <w:r w:rsidRPr="002850AE">
        <w:rPr>
          <w:rFonts w:ascii="Book Antiqua" w:hAnsi="Book Antiqua"/>
          <w:lang w:eastAsia="zh-CN"/>
        </w:rPr>
        <w:t xml:space="preserve"> </w:t>
      </w:r>
      <w:r w:rsidR="00EC02D8" w:rsidRPr="002850AE">
        <w:rPr>
          <w:rFonts w:ascii="Book Antiqua" w:eastAsia="Book Antiqua" w:hAnsi="Book Antiqua" w:cs="Book Antiqua"/>
          <w:color w:val="000000"/>
        </w:rPr>
        <w:t xml:space="preserve">ART: </w:t>
      </w:r>
      <w:r w:rsidR="00EC02D8" w:rsidRPr="002850AE">
        <w:rPr>
          <w:rFonts w:ascii="Book Antiqua" w:eastAsia="Book Antiqua" w:hAnsi="Book Antiqua" w:cs="Book Antiqua"/>
          <w:caps/>
          <w:color w:val="000000"/>
        </w:rPr>
        <w:t>a</w:t>
      </w:r>
      <w:r w:rsidR="00EC02D8" w:rsidRPr="002850AE">
        <w:rPr>
          <w:rFonts w:ascii="Book Antiqua" w:eastAsia="Book Antiqua" w:hAnsi="Book Antiqua" w:cs="Book Antiqua"/>
          <w:color w:val="000000"/>
        </w:rPr>
        <w:t xml:space="preserve">ntiretroviral therapy; NNRTI: </w:t>
      </w:r>
      <w:r w:rsidR="00EC02D8" w:rsidRPr="002850AE">
        <w:rPr>
          <w:rFonts w:ascii="Book Antiqua" w:eastAsia="Book Antiqua" w:hAnsi="Book Antiqua" w:cs="Book Antiqua"/>
          <w:caps/>
          <w:color w:val="000000"/>
        </w:rPr>
        <w:t>n</w:t>
      </w:r>
      <w:r w:rsidR="00EC02D8" w:rsidRPr="002850AE">
        <w:rPr>
          <w:rFonts w:ascii="Book Antiqua" w:eastAsia="Book Antiqua" w:hAnsi="Book Antiqua" w:cs="Book Antiqua"/>
          <w:color w:val="000000"/>
        </w:rPr>
        <w:t xml:space="preserve">on-nucleoside reverse transcriptase inhibitor; PI: </w:t>
      </w:r>
      <w:r w:rsidR="00EC02D8" w:rsidRPr="002850AE">
        <w:rPr>
          <w:rFonts w:ascii="Book Antiqua" w:eastAsia="Book Antiqua" w:hAnsi="Book Antiqua" w:cs="Book Antiqua"/>
          <w:caps/>
          <w:color w:val="000000"/>
        </w:rPr>
        <w:t>p</w:t>
      </w:r>
      <w:r w:rsidR="00EC02D8" w:rsidRPr="002850AE">
        <w:rPr>
          <w:rFonts w:ascii="Book Antiqua" w:eastAsia="Book Antiqua" w:hAnsi="Book Antiqua" w:cs="Book Antiqua"/>
          <w:color w:val="000000"/>
        </w:rPr>
        <w:t xml:space="preserve">rotease inhibitor; ALT: </w:t>
      </w:r>
      <w:r w:rsidR="00EC02D8" w:rsidRPr="002850AE">
        <w:rPr>
          <w:rFonts w:ascii="Book Antiqua" w:eastAsia="Book Antiqua" w:hAnsi="Book Antiqua" w:cs="Book Antiqua"/>
          <w:caps/>
          <w:color w:val="000000"/>
        </w:rPr>
        <w:t>a</w:t>
      </w:r>
      <w:r w:rsidR="00EC02D8" w:rsidRPr="002850AE">
        <w:rPr>
          <w:rFonts w:ascii="Book Antiqua" w:eastAsia="Book Antiqua" w:hAnsi="Book Antiqua" w:cs="Book Antiqua"/>
          <w:color w:val="000000"/>
        </w:rPr>
        <w:t xml:space="preserve">lanine aminotransferase; AST: </w:t>
      </w:r>
      <w:r w:rsidR="00EC02D8" w:rsidRPr="002850AE">
        <w:rPr>
          <w:rFonts w:ascii="Book Antiqua" w:eastAsia="Book Antiqua" w:hAnsi="Book Antiqua" w:cs="Book Antiqua"/>
          <w:caps/>
          <w:color w:val="000000"/>
        </w:rPr>
        <w:t>a</w:t>
      </w:r>
      <w:r w:rsidR="00EC02D8" w:rsidRPr="002850AE">
        <w:rPr>
          <w:rFonts w:ascii="Book Antiqua" w:eastAsia="Book Antiqua" w:hAnsi="Book Antiqua" w:cs="Book Antiqua"/>
          <w:color w:val="000000"/>
        </w:rPr>
        <w:t>spartate aminotransferase; APRI: AST-to-platelet ratio index</w:t>
      </w:r>
      <w:r w:rsidR="0036576B" w:rsidRPr="002850AE">
        <w:rPr>
          <w:rFonts w:ascii="Book Antiqua" w:eastAsia="Book Antiqua" w:hAnsi="Book Antiqua" w:cs="Book Antiqua"/>
          <w:color w:val="000000"/>
        </w:rPr>
        <w:t xml:space="preserve">; HCV: </w:t>
      </w:r>
      <w:r w:rsidR="0036576B" w:rsidRPr="002850AE">
        <w:rPr>
          <w:rFonts w:ascii="Book Antiqua" w:eastAsia="Book Antiqua" w:hAnsi="Book Antiqua" w:cs="Book Antiqua"/>
          <w:caps/>
          <w:color w:val="000000"/>
        </w:rPr>
        <w:t>h</w:t>
      </w:r>
      <w:r w:rsidR="0036576B" w:rsidRPr="002850AE">
        <w:rPr>
          <w:rFonts w:ascii="Book Antiqua" w:eastAsia="Book Antiqua" w:hAnsi="Book Antiqua" w:cs="Book Antiqua"/>
          <w:color w:val="000000"/>
        </w:rPr>
        <w:t xml:space="preserve">epatitis C virus; HIV: </w:t>
      </w:r>
      <w:r w:rsidR="0036576B" w:rsidRPr="002850AE">
        <w:rPr>
          <w:rFonts w:ascii="Book Antiqua" w:eastAsia="Book Antiqua" w:hAnsi="Book Antiqua" w:cs="Book Antiqua"/>
          <w:caps/>
          <w:color w:val="000000"/>
        </w:rPr>
        <w:t>h</w:t>
      </w:r>
      <w:r w:rsidR="0036576B" w:rsidRPr="002850AE">
        <w:rPr>
          <w:rFonts w:ascii="Book Antiqua" w:eastAsia="Book Antiqua" w:hAnsi="Book Antiqua" w:cs="Book Antiqua"/>
          <w:color w:val="000000"/>
        </w:rPr>
        <w:t>uman immunodeficiency virus.</w:t>
      </w:r>
    </w:p>
    <w:p w14:paraId="64821DCC" w14:textId="7632ABF8" w:rsidR="00E54619" w:rsidRDefault="00E54619">
      <w:pPr>
        <w:rPr>
          <w:rFonts w:ascii="Book Antiqua" w:hAnsi="Book Antiqua"/>
        </w:rPr>
      </w:pPr>
      <w:r>
        <w:rPr>
          <w:rFonts w:ascii="Book Antiqua" w:hAnsi="Book Antiqua"/>
        </w:rPr>
        <w:br w:type="page"/>
      </w:r>
    </w:p>
    <w:p w14:paraId="6EBE0056" w14:textId="77777777" w:rsidR="00A77B3E" w:rsidRPr="002850AE" w:rsidRDefault="00EC02D8"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eastAsia="Book Antiqua" w:hAnsi="Book Antiqua" w:cs="Book Antiqua"/>
          <w:b/>
          <w:bCs/>
          <w:color w:val="000000"/>
          <w:shd w:val="clear" w:color="auto" w:fill="FFFFFF"/>
        </w:rPr>
        <w:t xml:space="preserve">Table 3 Crude and adjusted likelihood ratios of the candidate predictors for </w:t>
      </w:r>
      <w:r w:rsidR="00FD1D06" w:rsidRPr="002850AE">
        <w:rPr>
          <w:rFonts w:ascii="Book Antiqua" w:eastAsia="Book Antiqua" w:hAnsi="Book Antiqua" w:cs="Book Antiqua"/>
          <w:b/>
          <w:bCs/>
          <w:color w:val="000000"/>
          <w:shd w:val="clear" w:color="auto" w:fill="FFFFFF"/>
        </w:rPr>
        <w:t xml:space="preserve">hepatitis C virus </w:t>
      </w:r>
      <w:r w:rsidRPr="002850AE">
        <w:rPr>
          <w:rFonts w:ascii="Book Antiqua" w:eastAsia="Book Antiqua" w:hAnsi="Book Antiqua" w:cs="Book Antiqua"/>
          <w:b/>
          <w:bCs/>
          <w:color w:val="000000"/>
          <w:shd w:val="clear" w:color="auto" w:fill="FFFFFF"/>
        </w:rPr>
        <w:t xml:space="preserve">coinfection </w:t>
      </w:r>
    </w:p>
    <w:tbl>
      <w:tblPr>
        <w:tblW w:w="12561" w:type="dxa"/>
        <w:tblBorders>
          <w:top w:val="single" w:sz="8" w:space="0" w:color="000000"/>
          <w:bottom w:val="single" w:sz="8" w:space="0" w:color="000000"/>
        </w:tblBorders>
        <w:tblLook w:val="06A0" w:firstRow="1" w:lastRow="0" w:firstColumn="1" w:lastColumn="0" w:noHBand="1" w:noVBand="1"/>
      </w:tblPr>
      <w:tblGrid>
        <w:gridCol w:w="3080"/>
        <w:gridCol w:w="1575"/>
        <w:gridCol w:w="1738"/>
        <w:gridCol w:w="1476"/>
        <w:gridCol w:w="1608"/>
        <w:gridCol w:w="1476"/>
        <w:gridCol w:w="1608"/>
      </w:tblGrid>
      <w:tr w:rsidR="00006C33" w:rsidRPr="002850AE" w14:paraId="5CF16657" w14:textId="77777777" w:rsidTr="00E54619">
        <w:trPr>
          <w:trHeight w:val="472"/>
        </w:trPr>
        <w:tc>
          <w:tcPr>
            <w:tcW w:w="3080" w:type="dxa"/>
            <w:vMerge w:val="restart"/>
            <w:tcBorders>
              <w:top w:val="single" w:sz="8" w:space="0" w:color="000000"/>
              <w:bottom w:val="single" w:sz="4" w:space="0" w:color="000000"/>
            </w:tcBorders>
          </w:tcPr>
          <w:p w14:paraId="0A1FCC4C" w14:textId="77777777" w:rsidR="00FD1D06" w:rsidRPr="002850AE" w:rsidRDefault="00FD1D06" w:rsidP="00AE50D3">
            <w:pPr>
              <w:snapToGrid w:val="0"/>
              <w:spacing w:line="360" w:lineRule="auto"/>
              <w:jc w:val="both"/>
              <w:rPr>
                <w:rFonts w:ascii="Book Antiqua" w:hAnsi="Book Antiqua"/>
                <w:b/>
                <w:bCs/>
              </w:rPr>
            </w:pPr>
            <w:r w:rsidRPr="002850AE">
              <w:rPr>
                <w:rFonts w:ascii="Book Antiqua" w:hAnsi="Book Antiqua"/>
                <w:b/>
                <w:bCs/>
              </w:rPr>
              <w:t>Predictor variables after dichotomization</w:t>
            </w:r>
          </w:p>
        </w:tc>
        <w:tc>
          <w:tcPr>
            <w:tcW w:w="1575" w:type="dxa"/>
            <w:vMerge w:val="restart"/>
            <w:tcBorders>
              <w:top w:val="single" w:sz="8" w:space="0" w:color="000000"/>
              <w:bottom w:val="single" w:sz="4" w:space="0" w:color="000000"/>
            </w:tcBorders>
          </w:tcPr>
          <w:p w14:paraId="00ED2634" w14:textId="77777777" w:rsidR="00FD1D06" w:rsidRPr="002850AE" w:rsidRDefault="00FD1D06" w:rsidP="00AE50D3">
            <w:pPr>
              <w:snapToGrid w:val="0"/>
              <w:spacing w:line="360" w:lineRule="auto"/>
              <w:jc w:val="both"/>
              <w:rPr>
                <w:rFonts w:ascii="Book Antiqua" w:hAnsi="Book Antiqua"/>
                <w:b/>
                <w:bCs/>
              </w:rPr>
            </w:pPr>
            <w:r w:rsidRPr="002850AE">
              <w:rPr>
                <w:rFonts w:ascii="Book Antiqua" w:hAnsi="Book Antiqua"/>
                <w:b/>
                <w:bCs/>
              </w:rPr>
              <w:t>Number of HIV patients</w:t>
            </w:r>
          </w:p>
        </w:tc>
        <w:tc>
          <w:tcPr>
            <w:tcW w:w="1738" w:type="dxa"/>
            <w:vMerge w:val="restart"/>
            <w:tcBorders>
              <w:top w:val="single" w:sz="8" w:space="0" w:color="000000"/>
              <w:bottom w:val="single" w:sz="4" w:space="0" w:color="000000"/>
            </w:tcBorders>
          </w:tcPr>
          <w:p w14:paraId="24DF3AE9" w14:textId="77777777" w:rsidR="00FD1D06" w:rsidRPr="002850AE" w:rsidRDefault="00FD1D06" w:rsidP="00AE50D3">
            <w:pPr>
              <w:snapToGrid w:val="0"/>
              <w:spacing w:line="360" w:lineRule="auto"/>
              <w:jc w:val="both"/>
              <w:rPr>
                <w:rFonts w:ascii="Book Antiqua" w:hAnsi="Book Antiqua"/>
                <w:b/>
                <w:bCs/>
              </w:rPr>
            </w:pPr>
            <w:r w:rsidRPr="002850AE">
              <w:rPr>
                <w:rFonts w:ascii="Book Antiqua" w:hAnsi="Book Antiqua"/>
                <w:b/>
                <w:bCs/>
              </w:rPr>
              <w:t>Outcome events</w:t>
            </w:r>
            <w:r w:rsidRPr="002850AE">
              <w:rPr>
                <w:rFonts w:ascii="Book Antiqua" w:hAnsi="Book Antiqua"/>
                <w:b/>
                <w:bCs/>
                <w:lang w:eastAsia="zh-CN"/>
              </w:rPr>
              <w:t xml:space="preserve">, </w:t>
            </w:r>
            <w:r w:rsidRPr="002850AE">
              <w:rPr>
                <w:rFonts w:ascii="Book Antiqua" w:hAnsi="Book Antiqua"/>
                <w:b/>
                <w:bCs/>
                <w:i/>
              </w:rPr>
              <w:t>n</w:t>
            </w:r>
            <w:r w:rsidRPr="002850AE">
              <w:rPr>
                <w:rFonts w:ascii="Book Antiqua" w:hAnsi="Book Antiqua"/>
                <w:b/>
                <w:bCs/>
              </w:rPr>
              <w:t xml:space="preserve"> (%)</w:t>
            </w:r>
          </w:p>
        </w:tc>
        <w:tc>
          <w:tcPr>
            <w:tcW w:w="3084" w:type="dxa"/>
            <w:gridSpan w:val="2"/>
            <w:tcBorders>
              <w:top w:val="single" w:sz="8" w:space="0" w:color="000000"/>
              <w:bottom w:val="single" w:sz="4" w:space="0" w:color="000000"/>
            </w:tcBorders>
          </w:tcPr>
          <w:p w14:paraId="22E3C1F5" w14:textId="77777777" w:rsidR="00FD1D06" w:rsidRPr="002850AE" w:rsidRDefault="00FD1D06" w:rsidP="00AE50D3">
            <w:pPr>
              <w:snapToGrid w:val="0"/>
              <w:spacing w:line="360" w:lineRule="auto"/>
              <w:jc w:val="both"/>
              <w:rPr>
                <w:rFonts w:ascii="Book Antiqua" w:hAnsi="Book Antiqua"/>
                <w:b/>
                <w:bCs/>
              </w:rPr>
            </w:pPr>
            <w:r w:rsidRPr="002850AE">
              <w:rPr>
                <w:rFonts w:ascii="Book Antiqua" w:hAnsi="Book Antiqua"/>
                <w:b/>
                <w:bCs/>
              </w:rPr>
              <w:t>Crude likelihood ratios (LHR)</w:t>
            </w:r>
          </w:p>
        </w:tc>
        <w:tc>
          <w:tcPr>
            <w:tcW w:w="3084" w:type="dxa"/>
            <w:gridSpan w:val="2"/>
            <w:tcBorders>
              <w:top w:val="single" w:sz="8" w:space="0" w:color="000000"/>
              <w:bottom w:val="single" w:sz="4" w:space="0" w:color="000000"/>
            </w:tcBorders>
          </w:tcPr>
          <w:p w14:paraId="169493A9" w14:textId="77777777" w:rsidR="00FD1D06" w:rsidRPr="002850AE" w:rsidRDefault="00FD1D06" w:rsidP="00AE50D3">
            <w:pPr>
              <w:snapToGrid w:val="0"/>
              <w:spacing w:line="360" w:lineRule="auto"/>
              <w:jc w:val="both"/>
              <w:rPr>
                <w:rFonts w:ascii="Book Antiqua" w:hAnsi="Book Antiqua"/>
                <w:b/>
                <w:bCs/>
              </w:rPr>
            </w:pPr>
            <w:r w:rsidRPr="002850AE">
              <w:rPr>
                <w:rFonts w:ascii="Book Antiqua" w:hAnsi="Book Antiqua"/>
                <w:b/>
                <w:bCs/>
              </w:rPr>
              <w:t>Adjusted likelihood ratios (</w:t>
            </w:r>
            <w:proofErr w:type="spellStart"/>
            <w:r w:rsidRPr="002850AE">
              <w:rPr>
                <w:rFonts w:ascii="Book Antiqua" w:hAnsi="Book Antiqua"/>
                <w:b/>
                <w:bCs/>
              </w:rPr>
              <w:t>aLHR</w:t>
            </w:r>
            <w:proofErr w:type="spellEnd"/>
            <w:r w:rsidRPr="002850AE">
              <w:rPr>
                <w:rFonts w:ascii="Book Antiqua" w:hAnsi="Book Antiqua"/>
                <w:b/>
                <w:bCs/>
              </w:rPr>
              <w:t>)</w:t>
            </w:r>
          </w:p>
        </w:tc>
      </w:tr>
      <w:tr w:rsidR="00FD1D06" w:rsidRPr="002850AE" w14:paraId="7C196EE8" w14:textId="77777777" w:rsidTr="00E54619">
        <w:trPr>
          <w:trHeight w:val="471"/>
        </w:trPr>
        <w:tc>
          <w:tcPr>
            <w:tcW w:w="3080" w:type="dxa"/>
            <w:vMerge/>
            <w:tcBorders>
              <w:top w:val="single" w:sz="4" w:space="0" w:color="000000"/>
              <w:bottom w:val="single" w:sz="4" w:space="0" w:color="000000"/>
            </w:tcBorders>
          </w:tcPr>
          <w:p w14:paraId="33EFF2AF" w14:textId="77777777" w:rsidR="00FD1D06" w:rsidRPr="002850AE" w:rsidRDefault="00FD1D06" w:rsidP="00AE50D3">
            <w:pPr>
              <w:snapToGrid w:val="0"/>
              <w:spacing w:line="360" w:lineRule="auto"/>
              <w:jc w:val="both"/>
              <w:rPr>
                <w:rFonts w:ascii="Book Antiqua" w:hAnsi="Book Antiqua"/>
                <w:b/>
                <w:bCs/>
              </w:rPr>
            </w:pPr>
          </w:p>
        </w:tc>
        <w:tc>
          <w:tcPr>
            <w:tcW w:w="1575" w:type="dxa"/>
            <w:vMerge/>
            <w:tcBorders>
              <w:top w:val="single" w:sz="4" w:space="0" w:color="000000"/>
              <w:bottom w:val="single" w:sz="4" w:space="0" w:color="000000"/>
            </w:tcBorders>
          </w:tcPr>
          <w:p w14:paraId="173DE1EB" w14:textId="77777777" w:rsidR="00FD1D06" w:rsidRPr="002850AE" w:rsidRDefault="00FD1D06" w:rsidP="00AE50D3">
            <w:pPr>
              <w:snapToGrid w:val="0"/>
              <w:spacing w:line="360" w:lineRule="auto"/>
              <w:jc w:val="both"/>
              <w:rPr>
                <w:rFonts w:ascii="Book Antiqua" w:hAnsi="Book Antiqua"/>
              </w:rPr>
            </w:pPr>
          </w:p>
        </w:tc>
        <w:tc>
          <w:tcPr>
            <w:tcW w:w="1738" w:type="dxa"/>
            <w:vMerge/>
            <w:tcBorders>
              <w:top w:val="single" w:sz="4" w:space="0" w:color="000000"/>
              <w:bottom w:val="single" w:sz="4" w:space="0" w:color="000000"/>
            </w:tcBorders>
          </w:tcPr>
          <w:p w14:paraId="3C10ACA5" w14:textId="77777777" w:rsidR="00FD1D06" w:rsidRPr="002850AE" w:rsidRDefault="00FD1D06" w:rsidP="00AE50D3">
            <w:pPr>
              <w:snapToGrid w:val="0"/>
              <w:spacing w:line="360" w:lineRule="auto"/>
              <w:jc w:val="both"/>
              <w:rPr>
                <w:rFonts w:ascii="Book Antiqua" w:hAnsi="Book Antiqua"/>
              </w:rPr>
            </w:pPr>
          </w:p>
        </w:tc>
        <w:tc>
          <w:tcPr>
            <w:tcW w:w="1476" w:type="dxa"/>
            <w:tcBorders>
              <w:top w:val="single" w:sz="4" w:space="0" w:color="000000"/>
              <w:bottom w:val="single" w:sz="4" w:space="0" w:color="000000"/>
            </w:tcBorders>
          </w:tcPr>
          <w:p w14:paraId="66BBF93A" w14:textId="77777777" w:rsidR="00FD1D06" w:rsidRPr="00745FD6" w:rsidRDefault="00FD1D06" w:rsidP="00AE50D3">
            <w:pPr>
              <w:snapToGrid w:val="0"/>
              <w:spacing w:line="360" w:lineRule="auto"/>
              <w:jc w:val="both"/>
              <w:rPr>
                <w:rFonts w:ascii="Book Antiqua" w:hAnsi="Book Antiqua"/>
                <w:b/>
              </w:rPr>
            </w:pPr>
            <w:r w:rsidRPr="00745FD6">
              <w:rPr>
                <w:rFonts w:ascii="Book Antiqua" w:hAnsi="Book Antiqua"/>
                <w:b/>
              </w:rPr>
              <w:t>Positive LHR</w:t>
            </w:r>
          </w:p>
        </w:tc>
        <w:tc>
          <w:tcPr>
            <w:tcW w:w="1608" w:type="dxa"/>
            <w:tcBorders>
              <w:top w:val="single" w:sz="4" w:space="0" w:color="000000"/>
              <w:bottom w:val="single" w:sz="4" w:space="0" w:color="000000"/>
            </w:tcBorders>
          </w:tcPr>
          <w:p w14:paraId="54550441" w14:textId="77777777" w:rsidR="00FD1D06" w:rsidRPr="00745FD6" w:rsidRDefault="00FD1D06" w:rsidP="00AE50D3">
            <w:pPr>
              <w:snapToGrid w:val="0"/>
              <w:spacing w:line="360" w:lineRule="auto"/>
              <w:jc w:val="both"/>
              <w:rPr>
                <w:rFonts w:ascii="Book Antiqua" w:hAnsi="Book Antiqua"/>
                <w:b/>
              </w:rPr>
            </w:pPr>
            <w:r w:rsidRPr="00745FD6">
              <w:rPr>
                <w:rFonts w:ascii="Book Antiqua" w:hAnsi="Book Antiqua"/>
                <w:b/>
              </w:rPr>
              <w:t>Negative LHR</w:t>
            </w:r>
          </w:p>
        </w:tc>
        <w:tc>
          <w:tcPr>
            <w:tcW w:w="1476" w:type="dxa"/>
            <w:tcBorders>
              <w:top w:val="single" w:sz="4" w:space="0" w:color="000000"/>
              <w:bottom w:val="single" w:sz="4" w:space="0" w:color="000000"/>
            </w:tcBorders>
          </w:tcPr>
          <w:p w14:paraId="5C9117D0" w14:textId="77777777" w:rsidR="00FD1D06" w:rsidRPr="00745FD6" w:rsidRDefault="00FD1D06" w:rsidP="00AE50D3">
            <w:pPr>
              <w:snapToGrid w:val="0"/>
              <w:spacing w:line="360" w:lineRule="auto"/>
              <w:jc w:val="both"/>
              <w:rPr>
                <w:rFonts w:ascii="Book Antiqua" w:hAnsi="Book Antiqua"/>
                <w:b/>
              </w:rPr>
            </w:pPr>
            <w:r w:rsidRPr="00745FD6">
              <w:rPr>
                <w:rFonts w:ascii="Book Antiqua" w:hAnsi="Book Antiqua"/>
                <w:b/>
              </w:rPr>
              <w:t xml:space="preserve">Positive </w:t>
            </w:r>
            <w:proofErr w:type="spellStart"/>
            <w:r w:rsidRPr="00745FD6">
              <w:rPr>
                <w:rFonts w:ascii="Book Antiqua" w:hAnsi="Book Antiqua"/>
                <w:b/>
              </w:rPr>
              <w:t>aLHR</w:t>
            </w:r>
            <w:proofErr w:type="spellEnd"/>
          </w:p>
        </w:tc>
        <w:tc>
          <w:tcPr>
            <w:tcW w:w="1608" w:type="dxa"/>
            <w:tcBorders>
              <w:top w:val="single" w:sz="4" w:space="0" w:color="000000"/>
              <w:bottom w:val="single" w:sz="4" w:space="0" w:color="000000"/>
            </w:tcBorders>
          </w:tcPr>
          <w:p w14:paraId="454B7D79" w14:textId="77777777" w:rsidR="00FD1D06" w:rsidRPr="00745FD6" w:rsidRDefault="00FD1D06" w:rsidP="00AE50D3">
            <w:pPr>
              <w:snapToGrid w:val="0"/>
              <w:spacing w:line="360" w:lineRule="auto"/>
              <w:jc w:val="both"/>
              <w:rPr>
                <w:rFonts w:ascii="Book Antiqua" w:hAnsi="Book Antiqua"/>
                <w:b/>
              </w:rPr>
            </w:pPr>
            <w:r w:rsidRPr="00745FD6">
              <w:rPr>
                <w:rFonts w:ascii="Book Antiqua" w:hAnsi="Book Antiqua"/>
                <w:b/>
              </w:rPr>
              <w:t xml:space="preserve">Negative </w:t>
            </w:r>
            <w:proofErr w:type="spellStart"/>
            <w:r w:rsidRPr="00745FD6">
              <w:rPr>
                <w:rFonts w:ascii="Book Antiqua" w:hAnsi="Book Antiqua"/>
                <w:b/>
              </w:rPr>
              <w:t>aLHR</w:t>
            </w:r>
            <w:proofErr w:type="spellEnd"/>
          </w:p>
        </w:tc>
      </w:tr>
      <w:tr w:rsidR="00FD1D06" w:rsidRPr="002850AE" w14:paraId="42737A7D" w14:textId="77777777" w:rsidTr="00E54619">
        <w:trPr>
          <w:trHeight w:val="437"/>
        </w:trPr>
        <w:tc>
          <w:tcPr>
            <w:tcW w:w="3080" w:type="dxa"/>
            <w:tcBorders>
              <w:top w:val="single" w:sz="4" w:space="0" w:color="000000"/>
            </w:tcBorders>
          </w:tcPr>
          <w:p w14:paraId="76C0C652"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Male gender</w:t>
            </w:r>
          </w:p>
        </w:tc>
        <w:tc>
          <w:tcPr>
            <w:tcW w:w="1575" w:type="dxa"/>
            <w:tcBorders>
              <w:top w:val="single" w:sz="4" w:space="0" w:color="000000"/>
            </w:tcBorders>
          </w:tcPr>
          <w:p w14:paraId="5C85245C" w14:textId="77777777" w:rsidR="00FD1D06" w:rsidRPr="002850AE" w:rsidRDefault="00867381" w:rsidP="00AE50D3">
            <w:pPr>
              <w:snapToGrid w:val="0"/>
              <w:spacing w:line="360" w:lineRule="auto"/>
              <w:jc w:val="both"/>
              <w:rPr>
                <w:rFonts w:ascii="Book Antiqua" w:hAnsi="Book Antiqua"/>
              </w:rPr>
            </w:pPr>
            <w:r w:rsidRPr="002850AE">
              <w:rPr>
                <w:rFonts w:ascii="Book Antiqua" w:hAnsi="Book Antiqua"/>
              </w:rPr>
              <w:t>1</w:t>
            </w:r>
            <w:r w:rsidR="00FD1D06" w:rsidRPr="002850AE">
              <w:rPr>
                <w:rFonts w:ascii="Book Antiqua" w:hAnsi="Book Antiqua"/>
              </w:rPr>
              <w:t>307</w:t>
            </w:r>
          </w:p>
        </w:tc>
        <w:tc>
          <w:tcPr>
            <w:tcW w:w="1738" w:type="dxa"/>
            <w:tcBorders>
              <w:top w:val="single" w:sz="4" w:space="0" w:color="000000"/>
            </w:tcBorders>
          </w:tcPr>
          <w:p w14:paraId="7AD0BEE6"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45 (3.4)</w:t>
            </w:r>
          </w:p>
        </w:tc>
        <w:tc>
          <w:tcPr>
            <w:tcW w:w="1476" w:type="dxa"/>
            <w:tcBorders>
              <w:top w:val="single" w:sz="4" w:space="0" w:color="000000"/>
            </w:tcBorders>
          </w:tcPr>
          <w:p w14:paraId="353889D2"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0.99</w:t>
            </w:r>
          </w:p>
        </w:tc>
        <w:tc>
          <w:tcPr>
            <w:tcW w:w="1608" w:type="dxa"/>
            <w:tcBorders>
              <w:top w:val="single" w:sz="4" w:space="0" w:color="000000"/>
            </w:tcBorders>
          </w:tcPr>
          <w:p w14:paraId="550C1853"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1.01</w:t>
            </w:r>
          </w:p>
        </w:tc>
        <w:tc>
          <w:tcPr>
            <w:tcW w:w="1476" w:type="dxa"/>
            <w:tcBorders>
              <w:top w:val="single" w:sz="4" w:space="0" w:color="000000"/>
            </w:tcBorders>
          </w:tcPr>
          <w:p w14:paraId="4C0E1C97"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c>
          <w:tcPr>
            <w:tcW w:w="1608" w:type="dxa"/>
            <w:tcBorders>
              <w:top w:val="single" w:sz="4" w:space="0" w:color="000000"/>
            </w:tcBorders>
          </w:tcPr>
          <w:p w14:paraId="546BB109"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r>
      <w:tr w:rsidR="00867381" w:rsidRPr="002850AE" w14:paraId="774AA332" w14:textId="77777777" w:rsidTr="00E54619">
        <w:trPr>
          <w:trHeight w:val="437"/>
        </w:trPr>
        <w:tc>
          <w:tcPr>
            <w:tcW w:w="3080" w:type="dxa"/>
          </w:tcPr>
          <w:p w14:paraId="632EED8B"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Age ≥ 50 years</w:t>
            </w:r>
          </w:p>
        </w:tc>
        <w:tc>
          <w:tcPr>
            <w:tcW w:w="1575" w:type="dxa"/>
          </w:tcPr>
          <w:p w14:paraId="1A5BC910"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601</w:t>
            </w:r>
          </w:p>
        </w:tc>
        <w:tc>
          <w:tcPr>
            <w:tcW w:w="1738" w:type="dxa"/>
          </w:tcPr>
          <w:p w14:paraId="4E3D1CF0"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45 (7.5)</w:t>
            </w:r>
          </w:p>
        </w:tc>
        <w:tc>
          <w:tcPr>
            <w:tcW w:w="1476" w:type="dxa"/>
          </w:tcPr>
          <w:p w14:paraId="198C10E3"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2.55</w:t>
            </w:r>
          </w:p>
        </w:tc>
        <w:tc>
          <w:tcPr>
            <w:tcW w:w="1608" w:type="dxa"/>
          </w:tcPr>
          <w:p w14:paraId="2D7084F2"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0.71</w:t>
            </w:r>
          </w:p>
        </w:tc>
        <w:tc>
          <w:tcPr>
            <w:tcW w:w="1476" w:type="dxa"/>
          </w:tcPr>
          <w:p w14:paraId="50A8FF65"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2.18</w:t>
            </w:r>
          </w:p>
        </w:tc>
        <w:tc>
          <w:tcPr>
            <w:tcW w:w="1608" w:type="dxa"/>
          </w:tcPr>
          <w:p w14:paraId="7E5AAA77"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0.72</w:t>
            </w:r>
          </w:p>
        </w:tc>
      </w:tr>
      <w:tr w:rsidR="00867381" w:rsidRPr="002850AE" w14:paraId="69AAA7D9" w14:textId="77777777" w:rsidTr="00E54619">
        <w:trPr>
          <w:trHeight w:val="271"/>
        </w:trPr>
        <w:tc>
          <w:tcPr>
            <w:tcW w:w="3080" w:type="dxa"/>
          </w:tcPr>
          <w:p w14:paraId="05639AB2"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Platelets &lt; 200</w:t>
            </w:r>
            <w:r w:rsidR="00867381" w:rsidRPr="002850AE">
              <w:rPr>
                <w:rFonts w:ascii="Book Antiqua" w:hAnsi="Book Antiqua"/>
                <w:bCs/>
              </w:rPr>
              <w:t xml:space="preserve"> </w:t>
            </w:r>
            <w:r w:rsidRPr="002850AE">
              <w:rPr>
                <w:rFonts w:ascii="Book Antiqua" w:hAnsi="Book Antiqua"/>
                <w:bCs/>
              </w:rPr>
              <w:t>×10</w:t>
            </w:r>
            <w:r w:rsidRPr="002850AE">
              <w:rPr>
                <w:rFonts w:ascii="Book Antiqua" w:hAnsi="Book Antiqua"/>
                <w:bCs/>
                <w:vertAlign w:val="superscript"/>
              </w:rPr>
              <w:t>9</w:t>
            </w:r>
            <w:r w:rsidRPr="002850AE">
              <w:rPr>
                <w:rFonts w:ascii="Book Antiqua" w:hAnsi="Book Antiqua"/>
                <w:bCs/>
              </w:rPr>
              <w:t xml:space="preserve"> cells/L</w:t>
            </w:r>
          </w:p>
        </w:tc>
        <w:tc>
          <w:tcPr>
            <w:tcW w:w="1575" w:type="dxa"/>
          </w:tcPr>
          <w:p w14:paraId="593256EF"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442</w:t>
            </w:r>
          </w:p>
        </w:tc>
        <w:tc>
          <w:tcPr>
            <w:tcW w:w="1738" w:type="dxa"/>
          </w:tcPr>
          <w:p w14:paraId="7B3DF878"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49 (11.1)</w:t>
            </w:r>
          </w:p>
        </w:tc>
        <w:tc>
          <w:tcPr>
            <w:tcW w:w="1476" w:type="dxa"/>
          </w:tcPr>
          <w:p w14:paraId="13721825"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3.46</w:t>
            </w:r>
          </w:p>
        </w:tc>
        <w:tc>
          <w:tcPr>
            <w:tcW w:w="1608" w:type="dxa"/>
          </w:tcPr>
          <w:p w14:paraId="1B15035C"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0.62</w:t>
            </w:r>
          </w:p>
        </w:tc>
        <w:tc>
          <w:tcPr>
            <w:tcW w:w="1476" w:type="dxa"/>
          </w:tcPr>
          <w:p w14:paraId="102E9194"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1.69</w:t>
            </w:r>
          </w:p>
        </w:tc>
        <w:tc>
          <w:tcPr>
            <w:tcW w:w="1608" w:type="dxa"/>
          </w:tcPr>
          <w:p w14:paraId="6593943C"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0.82</w:t>
            </w:r>
          </w:p>
        </w:tc>
      </w:tr>
      <w:tr w:rsidR="00867381" w:rsidRPr="002850AE" w14:paraId="31797EFC" w14:textId="77777777" w:rsidTr="00E54619">
        <w:trPr>
          <w:trHeight w:val="437"/>
        </w:trPr>
        <w:tc>
          <w:tcPr>
            <w:tcW w:w="3080" w:type="dxa"/>
          </w:tcPr>
          <w:p w14:paraId="52F618CE"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AST ≥ 30 IU/L</w:t>
            </w:r>
          </w:p>
        </w:tc>
        <w:tc>
          <w:tcPr>
            <w:tcW w:w="1575" w:type="dxa"/>
          </w:tcPr>
          <w:p w14:paraId="46228308" w14:textId="77777777" w:rsidR="00FD1D06" w:rsidRPr="002850AE" w:rsidRDefault="00867381" w:rsidP="00AE50D3">
            <w:pPr>
              <w:snapToGrid w:val="0"/>
              <w:spacing w:line="360" w:lineRule="auto"/>
              <w:jc w:val="both"/>
              <w:rPr>
                <w:rFonts w:ascii="Book Antiqua" w:hAnsi="Book Antiqua"/>
              </w:rPr>
            </w:pPr>
            <w:r w:rsidRPr="002850AE">
              <w:rPr>
                <w:rFonts w:ascii="Book Antiqua" w:hAnsi="Book Antiqua"/>
              </w:rPr>
              <w:t>1</w:t>
            </w:r>
            <w:r w:rsidR="00FD1D06" w:rsidRPr="002850AE">
              <w:rPr>
                <w:rFonts w:ascii="Book Antiqua" w:hAnsi="Book Antiqua"/>
              </w:rPr>
              <w:t>190</w:t>
            </w:r>
          </w:p>
        </w:tc>
        <w:tc>
          <w:tcPr>
            <w:tcW w:w="1738" w:type="dxa"/>
          </w:tcPr>
          <w:p w14:paraId="3509AED6"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88 (7.4)</w:t>
            </w:r>
          </w:p>
        </w:tc>
        <w:tc>
          <w:tcPr>
            <w:tcW w:w="1476" w:type="dxa"/>
          </w:tcPr>
          <w:p w14:paraId="4F8514EB"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2.21</w:t>
            </w:r>
          </w:p>
        </w:tc>
        <w:tc>
          <w:tcPr>
            <w:tcW w:w="1608" w:type="dxa"/>
          </w:tcPr>
          <w:p w14:paraId="3F8058A8"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0.28</w:t>
            </w:r>
          </w:p>
        </w:tc>
        <w:tc>
          <w:tcPr>
            <w:tcW w:w="1476" w:type="dxa"/>
          </w:tcPr>
          <w:p w14:paraId="39D60457"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1.48</w:t>
            </w:r>
          </w:p>
        </w:tc>
        <w:tc>
          <w:tcPr>
            <w:tcW w:w="1608" w:type="dxa"/>
          </w:tcPr>
          <w:p w14:paraId="6271593E"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0.53</w:t>
            </w:r>
          </w:p>
        </w:tc>
      </w:tr>
      <w:tr w:rsidR="00867381" w:rsidRPr="002850AE" w14:paraId="2162E2D4" w14:textId="77777777" w:rsidTr="00E54619">
        <w:trPr>
          <w:trHeight w:val="113"/>
        </w:trPr>
        <w:tc>
          <w:tcPr>
            <w:tcW w:w="3080" w:type="dxa"/>
          </w:tcPr>
          <w:p w14:paraId="1D094CC3"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ALT ≥ 40 IU/L</w:t>
            </w:r>
          </w:p>
        </w:tc>
        <w:tc>
          <w:tcPr>
            <w:tcW w:w="1575" w:type="dxa"/>
          </w:tcPr>
          <w:p w14:paraId="08D285B2"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887</w:t>
            </w:r>
          </w:p>
        </w:tc>
        <w:tc>
          <w:tcPr>
            <w:tcW w:w="1738" w:type="dxa"/>
          </w:tcPr>
          <w:p w14:paraId="0F5FC1A1"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69 (7.8)</w:t>
            </w:r>
          </w:p>
        </w:tc>
        <w:tc>
          <w:tcPr>
            <w:tcW w:w="1476" w:type="dxa"/>
          </w:tcPr>
          <w:p w14:paraId="6793E74C"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2.33</w:t>
            </w:r>
          </w:p>
        </w:tc>
        <w:tc>
          <w:tcPr>
            <w:tcW w:w="1608" w:type="dxa"/>
          </w:tcPr>
          <w:p w14:paraId="301D3616"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0.49</w:t>
            </w:r>
          </w:p>
        </w:tc>
        <w:tc>
          <w:tcPr>
            <w:tcW w:w="1476" w:type="dxa"/>
          </w:tcPr>
          <w:p w14:paraId="6BB0BDE9"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c>
          <w:tcPr>
            <w:tcW w:w="1608" w:type="dxa"/>
          </w:tcPr>
          <w:p w14:paraId="76727E44"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r>
      <w:tr w:rsidR="00867381" w:rsidRPr="002850AE" w14:paraId="2612E783" w14:textId="77777777" w:rsidTr="00E54619">
        <w:trPr>
          <w:trHeight w:val="437"/>
        </w:trPr>
        <w:tc>
          <w:tcPr>
            <w:tcW w:w="3080" w:type="dxa"/>
          </w:tcPr>
          <w:p w14:paraId="69A496AF"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APRI ≥ 0.45</w:t>
            </w:r>
          </w:p>
        </w:tc>
        <w:tc>
          <w:tcPr>
            <w:tcW w:w="1575" w:type="dxa"/>
          </w:tcPr>
          <w:p w14:paraId="6A35B633"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633</w:t>
            </w:r>
          </w:p>
        </w:tc>
        <w:tc>
          <w:tcPr>
            <w:tcW w:w="1738" w:type="dxa"/>
          </w:tcPr>
          <w:p w14:paraId="299BC1AF"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78 (12.3)</w:t>
            </w:r>
          </w:p>
        </w:tc>
        <w:tc>
          <w:tcPr>
            <w:tcW w:w="1476" w:type="dxa"/>
          </w:tcPr>
          <w:p w14:paraId="5762136A"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3.88</w:t>
            </w:r>
          </w:p>
        </w:tc>
        <w:tc>
          <w:tcPr>
            <w:tcW w:w="1608" w:type="dxa"/>
          </w:tcPr>
          <w:p w14:paraId="688FB63A"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0.33</w:t>
            </w:r>
          </w:p>
        </w:tc>
        <w:tc>
          <w:tcPr>
            <w:tcW w:w="1476" w:type="dxa"/>
          </w:tcPr>
          <w:p w14:paraId="6C4EBE69"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2.42</w:t>
            </w:r>
          </w:p>
        </w:tc>
        <w:tc>
          <w:tcPr>
            <w:tcW w:w="1608" w:type="dxa"/>
          </w:tcPr>
          <w:p w14:paraId="23EBBF34"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0.48</w:t>
            </w:r>
          </w:p>
        </w:tc>
      </w:tr>
      <w:tr w:rsidR="00867381" w:rsidRPr="002850AE" w14:paraId="64C31AB4" w14:textId="77777777" w:rsidTr="00E54619">
        <w:trPr>
          <w:trHeight w:val="437"/>
        </w:trPr>
        <w:tc>
          <w:tcPr>
            <w:tcW w:w="3080" w:type="dxa"/>
          </w:tcPr>
          <w:p w14:paraId="3E485A37"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Having diabetes</w:t>
            </w:r>
          </w:p>
        </w:tc>
        <w:tc>
          <w:tcPr>
            <w:tcW w:w="1575" w:type="dxa"/>
          </w:tcPr>
          <w:p w14:paraId="78B9D0B6"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113</w:t>
            </w:r>
          </w:p>
        </w:tc>
        <w:tc>
          <w:tcPr>
            <w:tcW w:w="1738" w:type="dxa"/>
          </w:tcPr>
          <w:p w14:paraId="0B88C311"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13 (11.5)</w:t>
            </w:r>
          </w:p>
        </w:tc>
        <w:tc>
          <w:tcPr>
            <w:tcW w:w="1476" w:type="dxa"/>
          </w:tcPr>
          <w:p w14:paraId="18B01ADA"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3.76</w:t>
            </w:r>
          </w:p>
        </w:tc>
        <w:tc>
          <w:tcPr>
            <w:tcW w:w="1608" w:type="dxa"/>
          </w:tcPr>
          <w:p w14:paraId="3702CF19"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0.90</w:t>
            </w:r>
          </w:p>
        </w:tc>
        <w:tc>
          <w:tcPr>
            <w:tcW w:w="1476" w:type="dxa"/>
          </w:tcPr>
          <w:p w14:paraId="01CFCAE0"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2.14</w:t>
            </w:r>
          </w:p>
        </w:tc>
        <w:tc>
          <w:tcPr>
            <w:tcW w:w="1608" w:type="dxa"/>
          </w:tcPr>
          <w:p w14:paraId="1BA6B038"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0.94</w:t>
            </w:r>
          </w:p>
        </w:tc>
      </w:tr>
      <w:tr w:rsidR="00867381" w:rsidRPr="002850AE" w14:paraId="0A799B84" w14:textId="77777777" w:rsidTr="00E54619">
        <w:trPr>
          <w:trHeight w:val="444"/>
        </w:trPr>
        <w:tc>
          <w:tcPr>
            <w:tcW w:w="3080" w:type="dxa"/>
          </w:tcPr>
          <w:p w14:paraId="2BE44B60"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Presenting fatigue OR myalgia/arthralgia OR anorexia/weight loss</w:t>
            </w:r>
          </w:p>
        </w:tc>
        <w:tc>
          <w:tcPr>
            <w:tcW w:w="1575" w:type="dxa"/>
          </w:tcPr>
          <w:p w14:paraId="702C6F80"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301</w:t>
            </w:r>
          </w:p>
        </w:tc>
        <w:tc>
          <w:tcPr>
            <w:tcW w:w="1738" w:type="dxa"/>
          </w:tcPr>
          <w:p w14:paraId="73BE623B"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21 (7.0)</w:t>
            </w:r>
          </w:p>
        </w:tc>
        <w:tc>
          <w:tcPr>
            <w:tcW w:w="1476" w:type="dxa"/>
          </w:tcPr>
          <w:p w14:paraId="69CB5E74"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2.11</w:t>
            </w:r>
          </w:p>
        </w:tc>
        <w:tc>
          <w:tcPr>
            <w:tcW w:w="1608" w:type="dxa"/>
          </w:tcPr>
          <w:p w14:paraId="39F36D12"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0.88</w:t>
            </w:r>
          </w:p>
        </w:tc>
        <w:tc>
          <w:tcPr>
            <w:tcW w:w="1476" w:type="dxa"/>
          </w:tcPr>
          <w:p w14:paraId="4AAC18B7"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c>
          <w:tcPr>
            <w:tcW w:w="1608" w:type="dxa"/>
          </w:tcPr>
          <w:p w14:paraId="473D01C4"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r>
      <w:tr w:rsidR="00867381" w:rsidRPr="002850AE" w14:paraId="23D94DC5" w14:textId="77777777" w:rsidTr="00E54619">
        <w:trPr>
          <w:trHeight w:val="80"/>
        </w:trPr>
        <w:tc>
          <w:tcPr>
            <w:tcW w:w="3080" w:type="dxa"/>
          </w:tcPr>
          <w:p w14:paraId="764FCC39"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Generalized pruritus</w:t>
            </w:r>
          </w:p>
        </w:tc>
        <w:tc>
          <w:tcPr>
            <w:tcW w:w="1575" w:type="dxa"/>
          </w:tcPr>
          <w:p w14:paraId="6E5AAC87"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120</w:t>
            </w:r>
          </w:p>
        </w:tc>
        <w:tc>
          <w:tcPr>
            <w:tcW w:w="1738" w:type="dxa"/>
          </w:tcPr>
          <w:p w14:paraId="2799A0C5"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10 (8.3)</w:t>
            </w:r>
          </w:p>
        </w:tc>
        <w:tc>
          <w:tcPr>
            <w:tcW w:w="1476" w:type="dxa"/>
          </w:tcPr>
          <w:p w14:paraId="4BB9646E"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2.61</w:t>
            </w:r>
          </w:p>
        </w:tc>
        <w:tc>
          <w:tcPr>
            <w:tcW w:w="1608" w:type="dxa"/>
          </w:tcPr>
          <w:p w14:paraId="224EB903"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0.94</w:t>
            </w:r>
          </w:p>
        </w:tc>
        <w:tc>
          <w:tcPr>
            <w:tcW w:w="1476" w:type="dxa"/>
          </w:tcPr>
          <w:p w14:paraId="411C74E4"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2.04</w:t>
            </w:r>
          </w:p>
        </w:tc>
        <w:tc>
          <w:tcPr>
            <w:tcW w:w="1608" w:type="dxa"/>
          </w:tcPr>
          <w:p w14:paraId="7BBD2FA2"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0.95</w:t>
            </w:r>
          </w:p>
        </w:tc>
      </w:tr>
      <w:tr w:rsidR="00867381" w:rsidRPr="002850AE" w14:paraId="0E22AD50" w14:textId="77777777" w:rsidTr="00E54619">
        <w:trPr>
          <w:trHeight w:val="1735"/>
        </w:trPr>
        <w:tc>
          <w:tcPr>
            <w:tcW w:w="3080" w:type="dxa"/>
          </w:tcPr>
          <w:p w14:paraId="6289320A"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Having a partner OR household member with liver disease</w:t>
            </w:r>
          </w:p>
        </w:tc>
        <w:tc>
          <w:tcPr>
            <w:tcW w:w="1575" w:type="dxa"/>
          </w:tcPr>
          <w:p w14:paraId="4451A1AB"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185</w:t>
            </w:r>
          </w:p>
        </w:tc>
        <w:tc>
          <w:tcPr>
            <w:tcW w:w="1738" w:type="dxa"/>
          </w:tcPr>
          <w:p w14:paraId="0AB3F684"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10 (10.3)</w:t>
            </w:r>
          </w:p>
        </w:tc>
        <w:tc>
          <w:tcPr>
            <w:tcW w:w="1476" w:type="dxa"/>
          </w:tcPr>
          <w:p w14:paraId="3504CDD1"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3.21</w:t>
            </w:r>
          </w:p>
        </w:tc>
        <w:tc>
          <w:tcPr>
            <w:tcW w:w="1608" w:type="dxa"/>
          </w:tcPr>
          <w:p w14:paraId="145896AE"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0.87</w:t>
            </w:r>
          </w:p>
        </w:tc>
        <w:tc>
          <w:tcPr>
            <w:tcW w:w="1476" w:type="dxa"/>
          </w:tcPr>
          <w:p w14:paraId="25995D31" w14:textId="77777777" w:rsidR="00FD1D06" w:rsidRPr="002850AE" w:rsidRDefault="00FD1D06" w:rsidP="00AE50D3">
            <w:pPr>
              <w:snapToGrid w:val="0"/>
              <w:spacing w:line="360" w:lineRule="auto"/>
              <w:jc w:val="both"/>
              <w:rPr>
                <w:rFonts w:ascii="Book Antiqua" w:hAnsi="Book Antiqua"/>
                <w:b/>
              </w:rPr>
            </w:pPr>
            <w:r w:rsidRPr="002850AE">
              <w:rPr>
                <w:rFonts w:ascii="Book Antiqua" w:hAnsi="Book Antiqua"/>
                <w:b/>
              </w:rPr>
              <w:t>3.62</w:t>
            </w:r>
          </w:p>
        </w:tc>
        <w:tc>
          <w:tcPr>
            <w:tcW w:w="1608" w:type="dxa"/>
          </w:tcPr>
          <w:p w14:paraId="0798DB53"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0.85</w:t>
            </w:r>
          </w:p>
        </w:tc>
      </w:tr>
      <w:tr w:rsidR="00867381" w:rsidRPr="002850AE" w14:paraId="6FCA3808" w14:textId="77777777" w:rsidTr="00E54619">
        <w:trPr>
          <w:trHeight w:val="80"/>
        </w:trPr>
        <w:tc>
          <w:tcPr>
            <w:tcW w:w="3080" w:type="dxa"/>
          </w:tcPr>
          <w:p w14:paraId="635F8557" w14:textId="77777777" w:rsidR="00FD1D06" w:rsidRPr="002850AE" w:rsidRDefault="00FD1D06" w:rsidP="00AE50D3">
            <w:pPr>
              <w:snapToGrid w:val="0"/>
              <w:spacing w:line="360" w:lineRule="auto"/>
              <w:jc w:val="both"/>
              <w:rPr>
                <w:rFonts w:ascii="Book Antiqua" w:hAnsi="Book Antiqua"/>
                <w:bCs/>
              </w:rPr>
            </w:pPr>
            <w:r w:rsidRPr="002850AE">
              <w:rPr>
                <w:rFonts w:ascii="Book Antiqua" w:hAnsi="Book Antiqua"/>
                <w:bCs/>
              </w:rPr>
              <w:t>Poor CD4 recovery on ART</w:t>
            </w:r>
          </w:p>
        </w:tc>
        <w:tc>
          <w:tcPr>
            <w:tcW w:w="1575" w:type="dxa"/>
          </w:tcPr>
          <w:p w14:paraId="628B4C0C"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117</w:t>
            </w:r>
          </w:p>
        </w:tc>
        <w:tc>
          <w:tcPr>
            <w:tcW w:w="1738" w:type="dxa"/>
          </w:tcPr>
          <w:p w14:paraId="14F1425A"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5 (4.3)</w:t>
            </w:r>
          </w:p>
        </w:tc>
        <w:tc>
          <w:tcPr>
            <w:tcW w:w="1476" w:type="dxa"/>
          </w:tcPr>
          <w:p w14:paraId="068B2FF2"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1.34</w:t>
            </w:r>
          </w:p>
        </w:tc>
        <w:tc>
          <w:tcPr>
            <w:tcW w:w="1608" w:type="dxa"/>
          </w:tcPr>
          <w:p w14:paraId="24BB01B3"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0.99</w:t>
            </w:r>
          </w:p>
        </w:tc>
        <w:tc>
          <w:tcPr>
            <w:tcW w:w="1476" w:type="dxa"/>
          </w:tcPr>
          <w:p w14:paraId="353CFF01"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c>
          <w:tcPr>
            <w:tcW w:w="1608" w:type="dxa"/>
          </w:tcPr>
          <w:p w14:paraId="000F8E14" w14:textId="77777777" w:rsidR="00FD1D06" w:rsidRPr="002850AE" w:rsidRDefault="00FD1D06" w:rsidP="00AE50D3">
            <w:pPr>
              <w:snapToGrid w:val="0"/>
              <w:spacing w:line="360" w:lineRule="auto"/>
              <w:jc w:val="both"/>
              <w:rPr>
                <w:rFonts w:ascii="Book Antiqua" w:hAnsi="Book Antiqua"/>
              </w:rPr>
            </w:pPr>
            <w:r w:rsidRPr="002850AE">
              <w:rPr>
                <w:rFonts w:ascii="Book Antiqua" w:hAnsi="Book Antiqua"/>
              </w:rPr>
              <w:t>-</w:t>
            </w:r>
          </w:p>
        </w:tc>
      </w:tr>
    </w:tbl>
    <w:p w14:paraId="3BD46F89" w14:textId="77777777" w:rsidR="00FD1D06" w:rsidRPr="002850AE" w:rsidRDefault="00867381" w:rsidP="00AE50D3">
      <w:pPr>
        <w:snapToGrid w:val="0"/>
        <w:spacing w:line="360" w:lineRule="auto"/>
        <w:jc w:val="both"/>
        <w:rPr>
          <w:rFonts w:ascii="Book Antiqua" w:eastAsia="Book Antiqua" w:hAnsi="Book Antiqua" w:cs="Book Antiqua"/>
          <w:color w:val="000000"/>
        </w:rPr>
      </w:pPr>
      <w:r w:rsidRPr="002850AE">
        <w:rPr>
          <w:rFonts w:ascii="Book Antiqua" w:eastAsia="Book Antiqua" w:hAnsi="Book Antiqua" w:cs="Book Antiqua"/>
          <w:color w:val="000000"/>
        </w:rPr>
        <w:t xml:space="preserve">In </w:t>
      </w:r>
      <w:r w:rsidRPr="002850AE">
        <w:rPr>
          <w:rFonts w:ascii="Book Antiqua" w:eastAsia="Book Antiqua" w:hAnsi="Book Antiqua" w:cs="Book Antiqua"/>
          <w:b/>
          <w:bCs/>
          <w:color w:val="000000"/>
        </w:rPr>
        <w:t>bold</w:t>
      </w:r>
      <w:r w:rsidRPr="002850AE">
        <w:rPr>
          <w:rFonts w:ascii="Book Antiqua" w:eastAsia="Book Antiqua" w:hAnsi="Book Antiqua" w:cs="Book Antiqua"/>
          <w:color w:val="000000"/>
        </w:rPr>
        <w:t xml:space="preserve"> the adjusted likelihood ratios ≥ 1.5 or ≤ 0.67.</w:t>
      </w:r>
      <w:r w:rsidRPr="002850AE">
        <w:rPr>
          <w:rFonts w:ascii="Book Antiqua" w:hAnsi="Book Antiqua"/>
          <w:lang w:eastAsia="zh-CN"/>
        </w:rPr>
        <w:t xml:space="preserve"> </w:t>
      </w:r>
      <w:r w:rsidR="00EC02D8" w:rsidRPr="002850AE">
        <w:rPr>
          <w:rFonts w:ascii="Book Antiqua" w:eastAsia="Book Antiqua" w:hAnsi="Book Antiqua" w:cs="Book Antiqua"/>
          <w:color w:val="000000"/>
        </w:rPr>
        <w:t xml:space="preserve">AST: </w:t>
      </w:r>
      <w:r w:rsidR="00EC02D8" w:rsidRPr="002850AE">
        <w:rPr>
          <w:rFonts w:ascii="Book Antiqua" w:eastAsia="Book Antiqua" w:hAnsi="Book Antiqua" w:cs="Book Antiqua"/>
          <w:caps/>
          <w:color w:val="000000"/>
        </w:rPr>
        <w:t>a</w:t>
      </w:r>
      <w:r w:rsidR="00EC02D8" w:rsidRPr="002850AE">
        <w:rPr>
          <w:rFonts w:ascii="Book Antiqua" w:eastAsia="Book Antiqua" w:hAnsi="Book Antiqua" w:cs="Book Antiqua"/>
          <w:color w:val="000000"/>
        </w:rPr>
        <w:t xml:space="preserve">spartate aminotransferase; ALT: </w:t>
      </w:r>
      <w:r w:rsidR="00EC02D8" w:rsidRPr="002850AE">
        <w:rPr>
          <w:rFonts w:ascii="Book Antiqua" w:eastAsia="Book Antiqua" w:hAnsi="Book Antiqua" w:cs="Book Antiqua"/>
          <w:caps/>
          <w:color w:val="000000"/>
        </w:rPr>
        <w:t>a</w:t>
      </w:r>
      <w:r w:rsidR="00EC02D8" w:rsidRPr="002850AE">
        <w:rPr>
          <w:rFonts w:ascii="Book Antiqua" w:eastAsia="Book Antiqua" w:hAnsi="Book Antiqua" w:cs="Book Antiqua"/>
          <w:color w:val="000000"/>
        </w:rPr>
        <w:t xml:space="preserve">lanine aminotransferase; APRI: AST-to-platelet ratio index; ART: </w:t>
      </w:r>
      <w:r w:rsidR="00EC02D8" w:rsidRPr="002850AE">
        <w:rPr>
          <w:rFonts w:ascii="Book Antiqua" w:eastAsia="Book Antiqua" w:hAnsi="Book Antiqua" w:cs="Book Antiqua"/>
          <w:caps/>
          <w:color w:val="000000"/>
        </w:rPr>
        <w:t>a</w:t>
      </w:r>
      <w:r w:rsidR="00EC02D8" w:rsidRPr="002850AE">
        <w:rPr>
          <w:rFonts w:ascii="Book Antiqua" w:eastAsia="Book Antiqua" w:hAnsi="Book Antiqua" w:cs="Book Antiqua"/>
          <w:color w:val="000000"/>
        </w:rPr>
        <w:t>ntiretroviral therapy</w:t>
      </w:r>
      <w:r w:rsidR="00FD1D06" w:rsidRPr="002850AE">
        <w:rPr>
          <w:rFonts w:ascii="Book Antiqua" w:eastAsia="Book Antiqua" w:hAnsi="Book Antiqua" w:cs="Book Antiqua"/>
          <w:color w:val="000000"/>
        </w:rPr>
        <w:t xml:space="preserve">; HCV: </w:t>
      </w:r>
      <w:r w:rsidR="00FD1D06" w:rsidRPr="002850AE">
        <w:rPr>
          <w:rFonts w:ascii="Book Antiqua" w:eastAsia="Book Antiqua" w:hAnsi="Book Antiqua" w:cs="Book Antiqua"/>
          <w:caps/>
          <w:color w:val="000000"/>
        </w:rPr>
        <w:t>h</w:t>
      </w:r>
      <w:r w:rsidR="00FD1D06" w:rsidRPr="002850AE">
        <w:rPr>
          <w:rFonts w:ascii="Book Antiqua" w:eastAsia="Book Antiqua" w:hAnsi="Book Antiqua" w:cs="Book Antiqua"/>
          <w:color w:val="000000"/>
        </w:rPr>
        <w:t xml:space="preserve">epatitis C virus; HIV: </w:t>
      </w:r>
      <w:r w:rsidR="00FD1D06" w:rsidRPr="002850AE">
        <w:rPr>
          <w:rFonts w:ascii="Book Antiqua" w:eastAsia="Book Antiqua" w:hAnsi="Book Antiqua" w:cs="Book Antiqua"/>
          <w:caps/>
          <w:color w:val="000000"/>
        </w:rPr>
        <w:t>h</w:t>
      </w:r>
      <w:r w:rsidR="00FD1D06" w:rsidRPr="002850AE">
        <w:rPr>
          <w:rFonts w:ascii="Book Antiqua" w:eastAsia="Book Antiqua" w:hAnsi="Book Antiqua" w:cs="Book Antiqua"/>
          <w:color w:val="000000"/>
        </w:rPr>
        <w:t>uman immunodeficiency virus.</w:t>
      </w:r>
    </w:p>
    <w:p w14:paraId="5FC7C025" w14:textId="77777777" w:rsidR="00006C33" w:rsidRPr="002850AE" w:rsidRDefault="00006C33" w:rsidP="00AE50D3">
      <w:pPr>
        <w:snapToGrid w:val="0"/>
        <w:spacing w:line="360" w:lineRule="auto"/>
        <w:jc w:val="both"/>
        <w:rPr>
          <w:rFonts w:ascii="Book Antiqua" w:eastAsia="Book Antiqua" w:hAnsi="Book Antiqua" w:cs="Book Antiqua"/>
          <w:color w:val="000000"/>
        </w:rPr>
      </w:pPr>
    </w:p>
    <w:p w14:paraId="0D23426E" w14:textId="73D577C6" w:rsidR="00A77B3E" w:rsidRPr="002850AE" w:rsidRDefault="00EC02D8" w:rsidP="00AE50D3">
      <w:pPr>
        <w:snapToGrid w:val="0"/>
        <w:spacing w:line="360" w:lineRule="auto"/>
        <w:jc w:val="both"/>
        <w:rPr>
          <w:rFonts w:ascii="Book Antiqua" w:eastAsia="Book Antiqua" w:hAnsi="Book Antiqua" w:cs="Book Antiqua"/>
          <w:b/>
          <w:bCs/>
          <w:color w:val="000000"/>
          <w:shd w:val="clear" w:color="auto" w:fill="FFFFFF"/>
        </w:rPr>
      </w:pPr>
      <w:r w:rsidRPr="002850AE">
        <w:rPr>
          <w:rFonts w:ascii="Book Antiqua" w:eastAsia="Book Antiqua" w:hAnsi="Book Antiqua" w:cs="Book Antiqua"/>
          <w:b/>
          <w:bCs/>
          <w:color w:val="000000"/>
          <w:shd w:val="clear" w:color="auto" w:fill="FFFFFF"/>
        </w:rPr>
        <w:t>Table 4 Predictors and their weight in the clinical prediction score</w:t>
      </w:r>
    </w:p>
    <w:tbl>
      <w:tblPr>
        <w:tblStyle w:val="a9"/>
        <w:tblW w:w="11396" w:type="dxa"/>
        <w:tblLook w:val="06A0" w:firstRow="1" w:lastRow="0" w:firstColumn="1" w:lastColumn="0" w:noHBand="1" w:noVBand="1"/>
      </w:tblPr>
      <w:tblGrid>
        <w:gridCol w:w="9506"/>
        <w:gridCol w:w="1890"/>
      </w:tblGrid>
      <w:tr w:rsidR="00006C33" w:rsidRPr="002850AE" w14:paraId="2A4B14E2" w14:textId="77777777" w:rsidTr="00E54619">
        <w:trPr>
          <w:trHeight w:val="385"/>
        </w:trPr>
        <w:tc>
          <w:tcPr>
            <w:tcW w:w="9506" w:type="dxa"/>
            <w:tcBorders>
              <w:top w:val="single" w:sz="8" w:space="0" w:color="auto"/>
              <w:left w:val="nil"/>
              <w:bottom w:val="single" w:sz="8" w:space="0" w:color="auto"/>
              <w:right w:val="nil"/>
            </w:tcBorders>
          </w:tcPr>
          <w:p w14:paraId="1CB83A86"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
                <w:bCs/>
                <w:lang w:val="en-US"/>
              </w:rPr>
              <w:t>Predictor</w:t>
            </w:r>
          </w:p>
        </w:tc>
        <w:tc>
          <w:tcPr>
            <w:tcW w:w="1890" w:type="dxa"/>
            <w:tcBorders>
              <w:top w:val="single" w:sz="8" w:space="0" w:color="auto"/>
              <w:left w:val="nil"/>
              <w:bottom w:val="single" w:sz="8" w:space="0" w:color="auto"/>
              <w:right w:val="nil"/>
            </w:tcBorders>
          </w:tcPr>
          <w:p w14:paraId="62A9E1DF"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b/>
                <w:bCs/>
                <w:lang w:val="en-US"/>
              </w:rPr>
              <w:t>Score</w:t>
            </w:r>
          </w:p>
        </w:tc>
      </w:tr>
      <w:tr w:rsidR="00006C33" w:rsidRPr="002850AE" w14:paraId="477C285C" w14:textId="77777777" w:rsidTr="00E54619">
        <w:trPr>
          <w:trHeight w:val="410"/>
        </w:trPr>
        <w:tc>
          <w:tcPr>
            <w:tcW w:w="9506" w:type="dxa"/>
            <w:tcBorders>
              <w:top w:val="single" w:sz="8" w:space="0" w:color="auto"/>
              <w:left w:val="nil"/>
              <w:bottom w:val="nil"/>
              <w:right w:val="nil"/>
            </w:tcBorders>
          </w:tcPr>
          <w:p w14:paraId="1D6CF905"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 xml:space="preserve">Age ≥ 50 </w:t>
            </w:r>
            <w:proofErr w:type="spellStart"/>
            <w:r w:rsidRPr="002850AE">
              <w:rPr>
                <w:rFonts w:ascii="Book Antiqua" w:eastAsia="Calibri" w:hAnsi="Book Antiqua"/>
                <w:bCs/>
                <w:lang w:val="en-US"/>
              </w:rPr>
              <w:t>yr</w:t>
            </w:r>
            <w:proofErr w:type="spellEnd"/>
          </w:p>
        </w:tc>
        <w:tc>
          <w:tcPr>
            <w:tcW w:w="1890" w:type="dxa"/>
            <w:tcBorders>
              <w:top w:val="single" w:sz="8" w:space="0" w:color="auto"/>
              <w:left w:val="nil"/>
              <w:bottom w:val="nil"/>
              <w:right w:val="nil"/>
            </w:tcBorders>
          </w:tcPr>
          <w:p w14:paraId="789A0343"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680CD18C" w14:textId="77777777" w:rsidTr="00E54619">
        <w:trPr>
          <w:trHeight w:val="397"/>
        </w:trPr>
        <w:tc>
          <w:tcPr>
            <w:tcW w:w="9506" w:type="dxa"/>
            <w:tcBorders>
              <w:top w:val="nil"/>
              <w:left w:val="nil"/>
              <w:bottom w:val="nil"/>
              <w:right w:val="nil"/>
            </w:tcBorders>
          </w:tcPr>
          <w:p w14:paraId="0125378E"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Having diabetes mellitus</w:t>
            </w:r>
          </w:p>
        </w:tc>
        <w:tc>
          <w:tcPr>
            <w:tcW w:w="1890" w:type="dxa"/>
            <w:tcBorders>
              <w:top w:val="nil"/>
              <w:left w:val="nil"/>
              <w:bottom w:val="nil"/>
              <w:right w:val="nil"/>
            </w:tcBorders>
          </w:tcPr>
          <w:p w14:paraId="0BD0E5CE"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23CE20F9" w14:textId="77777777" w:rsidTr="00E54619">
        <w:trPr>
          <w:trHeight w:val="73"/>
        </w:trPr>
        <w:tc>
          <w:tcPr>
            <w:tcW w:w="9506" w:type="dxa"/>
            <w:tcBorders>
              <w:top w:val="nil"/>
              <w:left w:val="nil"/>
              <w:bottom w:val="nil"/>
              <w:right w:val="nil"/>
            </w:tcBorders>
          </w:tcPr>
          <w:p w14:paraId="4ECFD8AA"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Having a partner and/or household member with liver disease</w:t>
            </w:r>
          </w:p>
        </w:tc>
        <w:tc>
          <w:tcPr>
            <w:tcW w:w="1890" w:type="dxa"/>
            <w:tcBorders>
              <w:top w:val="nil"/>
              <w:left w:val="nil"/>
              <w:bottom w:val="nil"/>
              <w:right w:val="nil"/>
            </w:tcBorders>
          </w:tcPr>
          <w:p w14:paraId="16B7CA07"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2BBA6ADC" w14:textId="77777777" w:rsidTr="00E54619">
        <w:trPr>
          <w:trHeight w:val="385"/>
        </w:trPr>
        <w:tc>
          <w:tcPr>
            <w:tcW w:w="9506" w:type="dxa"/>
            <w:tcBorders>
              <w:top w:val="nil"/>
              <w:left w:val="nil"/>
              <w:bottom w:val="nil"/>
              <w:right w:val="nil"/>
            </w:tcBorders>
          </w:tcPr>
          <w:p w14:paraId="35D3AD4D"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Presenting generalized pruritus</w:t>
            </w:r>
          </w:p>
        </w:tc>
        <w:tc>
          <w:tcPr>
            <w:tcW w:w="1890" w:type="dxa"/>
            <w:tcBorders>
              <w:top w:val="nil"/>
              <w:left w:val="nil"/>
              <w:bottom w:val="nil"/>
              <w:right w:val="nil"/>
            </w:tcBorders>
          </w:tcPr>
          <w:p w14:paraId="14AC2955"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140EE893" w14:textId="77777777" w:rsidTr="00E54619">
        <w:trPr>
          <w:trHeight w:val="397"/>
        </w:trPr>
        <w:tc>
          <w:tcPr>
            <w:tcW w:w="9506" w:type="dxa"/>
            <w:tcBorders>
              <w:top w:val="nil"/>
              <w:left w:val="nil"/>
              <w:bottom w:val="nil"/>
              <w:right w:val="nil"/>
            </w:tcBorders>
          </w:tcPr>
          <w:p w14:paraId="29A2509E"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Platelets &lt; 200 ×10</w:t>
            </w:r>
            <w:r w:rsidRPr="002850AE">
              <w:rPr>
                <w:rFonts w:ascii="Book Antiqua" w:eastAsia="Calibri" w:hAnsi="Book Antiqua"/>
                <w:bCs/>
                <w:vertAlign w:val="superscript"/>
                <w:lang w:val="en-US"/>
              </w:rPr>
              <w:t>9</w:t>
            </w:r>
            <w:r w:rsidRPr="002850AE">
              <w:rPr>
                <w:rFonts w:ascii="Book Antiqua" w:eastAsia="Calibri" w:hAnsi="Book Antiqua"/>
                <w:bCs/>
                <w:lang w:val="en-US"/>
              </w:rPr>
              <w:t xml:space="preserve"> cells/L</w:t>
            </w:r>
          </w:p>
        </w:tc>
        <w:tc>
          <w:tcPr>
            <w:tcW w:w="1890" w:type="dxa"/>
            <w:tcBorders>
              <w:top w:val="nil"/>
              <w:left w:val="nil"/>
              <w:bottom w:val="nil"/>
              <w:right w:val="nil"/>
            </w:tcBorders>
          </w:tcPr>
          <w:p w14:paraId="52FB76F1"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2EE9BA76" w14:textId="77777777" w:rsidTr="00E54619">
        <w:trPr>
          <w:trHeight w:val="397"/>
        </w:trPr>
        <w:tc>
          <w:tcPr>
            <w:tcW w:w="9506" w:type="dxa"/>
            <w:tcBorders>
              <w:top w:val="nil"/>
              <w:left w:val="nil"/>
              <w:bottom w:val="nil"/>
              <w:right w:val="nil"/>
            </w:tcBorders>
          </w:tcPr>
          <w:p w14:paraId="1AFD0DE5"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APRI ≥ 0.45</w:t>
            </w:r>
          </w:p>
        </w:tc>
        <w:tc>
          <w:tcPr>
            <w:tcW w:w="1890" w:type="dxa"/>
            <w:tcBorders>
              <w:top w:val="nil"/>
              <w:left w:val="nil"/>
              <w:bottom w:val="nil"/>
              <w:right w:val="nil"/>
            </w:tcBorders>
          </w:tcPr>
          <w:p w14:paraId="790AD065"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505B468D" w14:textId="77777777" w:rsidTr="00E54619">
        <w:trPr>
          <w:trHeight w:val="397"/>
        </w:trPr>
        <w:tc>
          <w:tcPr>
            <w:tcW w:w="9506" w:type="dxa"/>
            <w:tcBorders>
              <w:top w:val="nil"/>
              <w:left w:val="nil"/>
              <w:bottom w:val="nil"/>
              <w:right w:val="nil"/>
            </w:tcBorders>
          </w:tcPr>
          <w:p w14:paraId="57A31FCD" w14:textId="77777777" w:rsidR="00006C33" w:rsidRPr="002850AE" w:rsidRDefault="00006C33" w:rsidP="00AE50D3">
            <w:pPr>
              <w:tabs>
                <w:tab w:val="left" w:pos="1770"/>
              </w:tabs>
              <w:snapToGrid w:val="0"/>
              <w:spacing w:line="360" w:lineRule="auto"/>
              <w:rPr>
                <w:rFonts w:ascii="Book Antiqua" w:eastAsia="Calibri" w:hAnsi="Book Antiqua"/>
                <w:b/>
                <w:lang w:val="en-US"/>
              </w:rPr>
            </w:pPr>
            <w:r w:rsidRPr="002850AE">
              <w:rPr>
                <w:rFonts w:ascii="Book Antiqua" w:eastAsia="Calibri" w:hAnsi="Book Antiqua"/>
                <w:bCs/>
                <w:lang w:val="en-US"/>
              </w:rPr>
              <w:t>APRI &lt; 0.45</w:t>
            </w:r>
          </w:p>
        </w:tc>
        <w:tc>
          <w:tcPr>
            <w:tcW w:w="1890" w:type="dxa"/>
            <w:tcBorders>
              <w:top w:val="nil"/>
              <w:left w:val="nil"/>
              <w:bottom w:val="nil"/>
              <w:right w:val="nil"/>
            </w:tcBorders>
          </w:tcPr>
          <w:p w14:paraId="2807DAA2"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1E286036" w14:textId="77777777" w:rsidTr="00E54619">
        <w:trPr>
          <w:trHeight w:val="397"/>
        </w:trPr>
        <w:tc>
          <w:tcPr>
            <w:tcW w:w="9506" w:type="dxa"/>
            <w:tcBorders>
              <w:top w:val="nil"/>
              <w:left w:val="nil"/>
              <w:bottom w:val="nil"/>
              <w:right w:val="nil"/>
            </w:tcBorders>
          </w:tcPr>
          <w:p w14:paraId="58AE76EC" w14:textId="77777777" w:rsidR="00006C33" w:rsidRPr="002850AE" w:rsidRDefault="00006C33" w:rsidP="00AE50D3">
            <w:pPr>
              <w:tabs>
                <w:tab w:val="left" w:pos="1770"/>
              </w:tabs>
              <w:snapToGrid w:val="0"/>
              <w:spacing w:line="360" w:lineRule="auto"/>
              <w:rPr>
                <w:rFonts w:ascii="Book Antiqua" w:eastAsia="Calibri" w:hAnsi="Book Antiqua"/>
                <w:bCs/>
                <w:lang w:val="en-US"/>
              </w:rPr>
            </w:pPr>
            <w:r w:rsidRPr="002850AE">
              <w:rPr>
                <w:rFonts w:ascii="Book Antiqua" w:eastAsia="Calibri" w:hAnsi="Book Antiqua"/>
                <w:bCs/>
                <w:lang w:val="en-US"/>
              </w:rPr>
              <w:t>AST &lt; 30 IU/L</w:t>
            </w:r>
          </w:p>
        </w:tc>
        <w:tc>
          <w:tcPr>
            <w:tcW w:w="1890" w:type="dxa"/>
            <w:tcBorders>
              <w:top w:val="nil"/>
              <w:left w:val="nil"/>
              <w:bottom w:val="nil"/>
              <w:right w:val="nil"/>
            </w:tcBorders>
          </w:tcPr>
          <w:p w14:paraId="3815248F" w14:textId="77777777" w:rsidR="00006C33" w:rsidRPr="002850AE" w:rsidRDefault="00006C33" w:rsidP="00AE50D3">
            <w:pPr>
              <w:tabs>
                <w:tab w:val="left" w:pos="1770"/>
              </w:tabs>
              <w:snapToGrid w:val="0"/>
              <w:spacing w:line="360" w:lineRule="auto"/>
              <w:jc w:val="center"/>
              <w:rPr>
                <w:rFonts w:ascii="Book Antiqua" w:eastAsia="Calibri" w:hAnsi="Book Antiqua"/>
                <w:b/>
                <w:lang w:val="en-US"/>
              </w:rPr>
            </w:pPr>
            <w:r w:rsidRPr="002850AE">
              <w:rPr>
                <w:rFonts w:ascii="Book Antiqua" w:eastAsia="Calibri" w:hAnsi="Book Antiqua"/>
                <w:lang w:val="en-US"/>
              </w:rPr>
              <w:t>-1</w:t>
            </w:r>
          </w:p>
        </w:tc>
      </w:tr>
      <w:tr w:rsidR="00006C33" w:rsidRPr="002850AE" w14:paraId="56C15282" w14:textId="77777777" w:rsidTr="00E54619">
        <w:trPr>
          <w:trHeight w:val="103"/>
        </w:trPr>
        <w:tc>
          <w:tcPr>
            <w:tcW w:w="9506" w:type="dxa"/>
            <w:tcBorders>
              <w:top w:val="nil"/>
              <w:left w:val="nil"/>
              <w:bottom w:val="single" w:sz="8" w:space="0" w:color="auto"/>
              <w:right w:val="nil"/>
            </w:tcBorders>
          </w:tcPr>
          <w:p w14:paraId="0DFFBE6E" w14:textId="77777777" w:rsidR="00006C33" w:rsidRPr="002850AE" w:rsidRDefault="00006C33" w:rsidP="00AE50D3">
            <w:pPr>
              <w:tabs>
                <w:tab w:val="left" w:pos="1770"/>
              </w:tabs>
              <w:snapToGrid w:val="0"/>
              <w:spacing w:line="360" w:lineRule="auto"/>
              <w:rPr>
                <w:rFonts w:ascii="Book Antiqua" w:eastAsia="Calibri" w:hAnsi="Book Antiqua"/>
                <w:lang w:val="en-US"/>
              </w:rPr>
            </w:pPr>
            <w:r w:rsidRPr="002850AE">
              <w:rPr>
                <w:rFonts w:ascii="Book Antiqua" w:eastAsia="Calibri" w:hAnsi="Book Antiqua"/>
                <w:lang w:val="en-US"/>
              </w:rPr>
              <w:t>Possible range of the score</w:t>
            </w:r>
          </w:p>
        </w:tc>
        <w:tc>
          <w:tcPr>
            <w:tcW w:w="1890" w:type="dxa"/>
            <w:tcBorders>
              <w:top w:val="nil"/>
              <w:left w:val="nil"/>
              <w:bottom w:val="single" w:sz="8" w:space="0" w:color="auto"/>
              <w:right w:val="nil"/>
            </w:tcBorders>
          </w:tcPr>
          <w:p w14:paraId="27392807" w14:textId="77777777" w:rsidR="00006C33" w:rsidRPr="002850AE" w:rsidRDefault="00006C33" w:rsidP="00AE50D3">
            <w:pPr>
              <w:tabs>
                <w:tab w:val="left" w:pos="1770"/>
              </w:tabs>
              <w:snapToGrid w:val="0"/>
              <w:spacing w:line="360" w:lineRule="auto"/>
              <w:jc w:val="center"/>
              <w:rPr>
                <w:rFonts w:ascii="Book Antiqua" w:eastAsia="Calibri" w:hAnsi="Book Antiqua"/>
                <w:lang w:val="en-US"/>
              </w:rPr>
            </w:pPr>
            <w:r w:rsidRPr="002850AE">
              <w:rPr>
                <w:rFonts w:ascii="Book Antiqua" w:eastAsia="Calibri" w:hAnsi="Book Antiqua"/>
                <w:lang w:val="en-US"/>
              </w:rPr>
              <w:t>- 2 to + 6</w:t>
            </w:r>
          </w:p>
        </w:tc>
      </w:tr>
    </w:tbl>
    <w:p w14:paraId="51872762" w14:textId="7777777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APRI: AST-to-platelet ratio index; AST: </w:t>
      </w:r>
      <w:r w:rsidRPr="002850AE">
        <w:rPr>
          <w:rFonts w:ascii="Book Antiqua" w:eastAsia="Book Antiqua" w:hAnsi="Book Antiqua" w:cs="Book Antiqua"/>
          <w:caps/>
          <w:color w:val="000000"/>
        </w:rPr>
        <w:t>a</w:t>
      </w:r>
      <w:r w:rsidRPr="002850AE">
        <w:rPr>
          <w:rFonts w:ascii="Book Antiqua" w:eastAsia="Book Antiqua" w:hAnsi="Book Antiqua" w:cs="Book Antiqua"/>
          <w:color w:val="000000"/>
        </w:rPr>
        <w:t>spartate aminotransferase</w:t>
      </w:r>
      <w:r w:rsidR="00006C33" w:rsidRPr="002850AE">
        <w:rPr>
          <w:rFonts w:ascii="Book Antiqua" w:eastAsia="Book Antiqua" w:hAnsi="Book Antiqua" w:cs="Book Antiqua"/>
          <w:color w:val="000000"/>
        </w:rPr>
        <w:t>.</w:t>
      </w:r>
    </w:p>
    <w:p w14:paraId="12A6004D" w14:textId="77777777" w:rsidR="0093390F" w:rsidRPr="002850AE" w:rsidRDefault="00006C33" w:rsidP="00AE50D3">
      <w:pPr>
        <w:snapToGrid w:val="0"/>
        <w:spacing w:line="360" w:lineRule="auto"/>
        <w:jc w:val="both"/>
        <w:rPr>
          <w:rFonts w:ascii="Book Antiqua" w:eastAsia="Book Antiqua" w:hAnsi="Book Antiqua" w:cs="Book Antiqua"/>
          <w:b/>
          <w:bCs/>
          <w:color w:val="000000"/>
        </w:rPr>
      </w:pPr>
      <w:r w:rsidRPr="002850AE">
        <w:rPr>
          <w:rFonts w:ascii="Book Antiqua" w:hAnsi="Book Antiqua"/>
        </w:rPr>
        <w:br w:type="page"/>
      </w:r>
    </w:p>
    <w:tbl>
      <w:tblPr>
        <w:tblpPr w:leftFromText="141" w:rightFromText="141" w:vertAnchor="text" w:horzAnchor="margin" w:tblpY="463"/>
        <w:tblW w:w="12333" w:type="dxa"/>
        <w:tblBorders>
          <w:top w:val="single" w:sz="4" w:space="0" w:color="auto"/>
          <w:bottom w:val="single" w:sz="4" w:space="0" w:color="auto"/>
        </w:tblBorders>
        <w:tblLook w:val="06A0" w:firstRow="1" w:lastRow="0" w:firstColumn="1" w:lastColumn="0" w:noHBand="1" w:noVBand="1"/>
      </w:tblPr>
      <w:tblGrid>
        <w:gridCol w:w="1518"/>
        <w:gridCol w:w="2149"/>
        <w:gridCol w:w="2223"/>
        <w:gridCol w:w="2223"/>
        <w:gridCol w:w="2093"/>
        <w:gridCol w:w="2127"/>
      </w:tblGrid>
      <w:tr w:rsidR="0093390F" w:rsidRPr="002850AE" w14:paraId="46D53CF5" w14:textId="77777777" w:rsidTr="0093390F">
        <w:trPr>
          <w:trHeight w:val="597"/>
        </w:trPr>
        <w:tc>
          <w:tcPr>
            <w:tcW w:w="1518" w:type="dxa"/>
            <w:tcBorders>
              <w:top w:val="single" w:sz="4" w:space="0" w:color="auto"/>
              <w:bottom w:val="single" w:sz="4" w:space="0" w:color="auto"/>
            </w:tcBorders>
          </w:tcPr>
          <w:p w14:paraId="05663FA0" w14:textId="77777777" w:rsidR="0093390F" w:rsidRPr="002850AE" w:rsidRDefault="0093390F" w:rsidP="0093390F">
            <w:pPr>
              <w:snapToGrid w:val="0"/>
              <w:spacing w:line="360" w:lineRule="auto"/>
              <w:jc w:val="both"/>
              <w:rPr>
                <w:rFonts w:ascii="Book Antiqua" w:hAnsi="Book Antiqua"/>
                <w:b/>
                <w:bCs/>
              </w:rPr>
            </w:pPr>
            <w:r w:rsidRPr="002850AE">
              <w:rPr>
                <w:rFonts w:ascii="Book Antiqua" w:hAnsi="Book Antiqua"/>
                <w:b/>
                <w:bCs/>
              </w:rPr>
              <w:t>Cut-off</w:t>
            </w:r>
          </w:p>
        </w:tc>
        <w:tc>
          <w:tcPr>
            <w:tcW w:w="2149" w:type="dxa"/>
            <w:tcBorders>
              <w:top w:val="single" w:sz="4" w:space="0" w:color="auto"/>
              <w:bottom w:val="single" w:sz="4" w:space="0" w:color="auto"/>
            </w:tcBorders>
          </w:tcPr>
          <w:p w14:paraId="3EA392B3" w14:textId="77777777" w:rsidR="0093390F" w:rsidRPr="002850AE" w:rsidRDefault="0093390F" w:rsidP="0093390F">
            <w:pPr>
              <w:snapToGrid w:val="0"/>
              <w:spacing w:line="360" w:lineRule="auto"/>
              <w:jc w:val="both"/>
              <w:rPr>
                <w:rFonts w:ascii="Book Antiqua" w:hAnsi="Book Antiqua"/>
                <w:b/>
                <w:bCs/>
              </w:rPr>
            </w:pPr>
            <w:r w:rsidRPr="002850AE">
              <w:rPr>
                <w:rFonts w:ascii="Book Antiqua" w:hAnsi="Book Antiqua"/>
                <w:b/>
                <w:bCs/>
              </w:rPr>
              <w:t>HIV patients</w:t>
            </w:r>
            <w:r w:rsidRPr="002850AE">
              <w:rPr>
                <w:rFonts w:ascii="Book Antiqua" w:hAnsi="Book Antiqua"/>
                <w:b/>
                <w:bCs/>
                <w:lang w:eastAsia="zh-CN"/>
              </w:rPr>
              <w:t xml:space="preserve">, </w:t>
            </w:r>
            <w:r w:rsidRPr="002850AE">
              <w:rPr>
                <w:rFonts w:ascii="Book Antiqua" w:hAnsi="Book Antiqua"/>
                <w:b/>
                <w:bCs/>
                <w:i/>
              </w:rPr>
              <w:t>n</w:t>
            </w:r>
            <w:r w:rsidRPr="002850AE">
              <w:rPr>
                <w:rFonts w:ascii="Book Antiqua" w:hAnsi="Book Antiqua"/>
                <w:b/>
                <w:bCs/>
              </w:rPr>
              <w:t xml:space="preserve"> (%)</w:t>
            </w:r>
          </w:p>
        </w:tc>
        <w:tc>
          <w:tcPr>
            <w:tcW w:w="2223" w:type="dxa"/>
            <w:tcBorders>
              <w:top w:val="single" w:sz="4" w:space="0" w:color="auto"/>
              <w:bottom w:val="single" w:sz="4" w:space="0" w:color="auto"/>
            </w:tcBorders>
          </w:tcPr>
          <w:p w14:paraId="243FB200" w14:textId="77777777" w:rsidR="0093390F" w:rsidRPr="002850AE" w:rsidRDefault="0093390F" w:rsidP="0093390F">
            <w:pPr>
              <w:snapToGrid w:val="0"/>
              <w:spacing w:line="360" w:lineRule="auto"/>
              <w:jc w:val="both"/>
              <w:rPr>
                <w:rFonts w:ascii="Book Antiqua" w:hAnsi="Book Antiqua"/>
                <w:b/>
                <w:bCs/>
              </w:rPr>
            </w:pPr>
            <w:r w:rsidRPr="002850AE">
              <w:rPr>
                <w:rFonts w:ascii="Book Antiqua" w:hAnsi="Book Antiqua"/>
                <w:b/>
                <w:bCs/>
              </w:rPr>
              <w:t>Sensitivity</w:t>
            </w:r>
            <w:r w:rsidRPr="002850AE">
              <w:rPr>
                <w:rFonts w:ascii="Book Antiqua" w:hAnsi="Book Antiqua"/>
                <w:b/>
                <w:bCs/>
                <w:lang w:eastAsia="zh-CN"/>
              </w:rPr>
              <w:t xml:space="preserve">, </w:t>
            </w:r>
            <w:r w:rsidRPr="002850AE">
              <w:rPr>
                <w:rFonts w:ascii="Book Antiqua" w:hAnsi="Book Antiqua"/>
                <w:b/>
                <w:bCs/>
              </w:rPr>
              <w:t>% (95%CI)</w:t>
            </w:r>
          </w:p>
        </w:tc>
        <w:tc>
          <w:tcPr>
            <w:tcW w:w="2223" w:type="dxa"/>
            <w:tcBorders>
              <w:top w:val="single" w:sz="4" w:space="0" w:color="auto"/>
              <w:bottom w:val="single" w:sz="4" w:space="0" w:color="auto"/>
            </w:tcBorders>
          </w:tcPr>
          <w:p w14:paraId="3A9C5CBA" w14:textId="77777777" w:rsidR="0093390F" w:rsidRPr="002850AE" w:rsidRDefault="0093390F" w:rsidP="0093390F">
            <w:pPr>
              <w:snapToGrid w:val="0"/>
              <w:spacing w:line="360" w:lineRule="auto"/>
              <w:jc w:val="both"/>
              <w:rPr>
                <w:rFonts w:ascii="Book Antiqua" w:hAnsi="Book Antiqua"/>
                <w:b/>
                <w:bCs/>
              </w:rPr>
            </w:pPr>
            <w:r w:rsidRPr="002850AE">
              <w:rPr>
                <w:rFonts w:ascii="Book Antiqua" w:hAnsi="Book Antiqua"/>
                <w:b/>
                <w:bCs/>
              </w:rPr>
              <w:t>Specificity</w:t>
            </w:r>
            <w:r w:rsidRPr="002850AE">
              <w:rPr>
                <w:rFonts w:ascii="Book Antiqua" w:hAnsi="Book Antiqua"/>
                <w:b/>
                <w:bCs/>
                <w:lang w:eastAsia="zh-CN"/>
              </w:rPr>
              <w:t xml:space="preserve">, </w:t>
            </w:r>
            <w:r w:rsidRPr="002850AE">
              <w:rPr>
                <w:rFonts w:ascii="Book Antiqua" w:hAnsi="Book Antiqua"/>
                <w:b/>
                <w:bCs/>
              </w:rPr>
              <w:t>% (95%CI)</w:t>
            </w:r>
          </w:p>
        </w:tc>
        <w:tc>
          <w:tcPr>
            <w:tcW w:w="2093" w:type="dxa"/>
            <w:tcBorders>
              <w:top w:val="single" w:sz="4" w:space="0" w:color="auto"/>
              <w:bottom w:val="single" w:sz="4" w:space="0" w:color="auto"/>
            </w:tcBorders>
          </w:tcPr>
          <w:p w14:paraId="1B9E244A" w14:textId="77777777" w:rsidR="0093390F" w:rsidRPr="002850AE" w:rsidRDefault="0093390F" w:rsidP="0093390F">
            <w:pPr>
              <w:snapToGrid w:val="0"/>
              <w:spacing w:line="360" w:lineRule="auto"/>
              <w:jc w:val="both"/>
              <w:rPr>
                <w:rFonts w:ascii="Book Antiqua" w:hAnsi="Book Antiqua"/>
                <w:b/>
                <w:bCs/>
              </w:rPr>
            </w:pPr>
            <w:r w:rsidRPr="002850AE">
              <w:rPr>
                <w:rFonts w:ascii="Book Antiqua" w:hAnsi="Book Antiqua"/>
                <w:b/>
                <w:bCs/>
              </w:rPr>
              <w:t>PPV</w:t>
            </w:r>
            <w:r w:rsidRPr="002850AE">
              <w:rPr>
                <w:rFonts w:ascii="Book Antiqua" w:hAnsi="Book Antiqua"/>
                <w:b/>
                <w:bCs/>
                <w:lang w:eastAsia="zh-CN"/>
              </w:rPr>
              <w:t xml:space="preserve">, </w:t>
            </w:r>
            <w:r w:rsidRPr="002850AE">
              <w:rPr>
                <w:rFonts w:ascii="Book Antiqua" w:hAnsi="Book Antiqua"/>
                <w:b/>
                <w:bCs/>
              </w:rPr>
              <w:t>% (95%CI)</w:t>
            </w:r>
          </w:p>
        </w:tc>
        <w:tc>
          <w:tcPr>
            <w:tcW w:w="2127" w:type="dxa"/>
            <w:tcBorders>
              <w:top w:val="single" w:sz="4" w:space="0" w:color="auto"/>
              <w:bottom w:val="single" w:sz="4" w:space="0" w:color="auto"/>
            </w:tcBorders>
          </w:tcPr>
          <w:p w14:paraId="1CE2E0C2" w14:textId="77777777" w:rsidR="0093390F" w:rsidRPr="002850AE" w:rsidRDefault="0093390F" w:rsidP="0093390F">
            <w:pPr>
              <w:snapToGrid w:val="0"/>
              <w:spacing w:line="360" w:lineRule="auto"/>
              <w:jc w:val="both"/>
              <w:rPr>
                <w:rFonts w:ascii="Book Antiqua" w:hAnsi="Book Antiqua"/>
                <w:b/>
                <w:bCs/>
              </w:rPr>
            </w:pPr>
            <w:r w:rsidRPr="002850AE">
              <w:rPr>
                <w:rFonts w:ascii="Book Antiqua" w:hAnsi="Book Antiqua"/>
                <w:b/>
                <w:bCs/>
              </w:rPr>
              <w:t>NPV</w:t>
            </w:r>
            <w:r w:rsidRPr="002850AE">
              <w:rPr>
                <w:rFonts w:ascii="Book Antiqua" w:hAnsi="Book Antiqua"/>
                <w:b/>
                <w:bCs/>
                <w:lang w:eastAsia="zh-CN"/>
              </w:rPr>
              <w:t xml:space="preserve">, </w:t>
            </w:r>
            <w:r w:rsidRPr="002850AE">
              <w:rPr>
                <w:rFonts w:ascii="Book Antiqua" w:hAnsi="Book Antiqua"/>
                <w:b/>
                <w:bCs/>
              </w:rPr>
              <w:t>% (95%CI)</w:t>
            </w:r>
          </w:p>
        </w:tc>
      </w:tr>
      <w:tr w:rsidR="0093390F" w:rsidRPr="002850AE" w14:paraId="01EEF5D1" w14:textId="77777777" w:rsidTr="0093390F">
        <w:trPr>
          <w:trHeight w:val="408"/>
        </w:trPr>
        <w:tc>
          <w:tcPr>
            <w:tcW w:w="1518" w:type="dxa"/>
            <w:tcBorders>
              <w:top w:val="single" w:sz="4" w:space="0" w:color="auto"/>
            </w:tcBorders>
          </w:tcPr>
          <w:p w14:paraId="7D904B9B"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-1</w:t>
            </w:r>
          </w:p>
        </w:tc>
        <w:tc>
          <w:tcPr>
            <w:tcW w:w="2149" w:type="dxa"/>
            <w:tcBorders>
              <w:top w:val="single" w:sz="4" w:space="0" w:color="auto"/>
            </w:tcBorders>
          </w:tcPr>
          <w:p w14:paraId="23B179E3"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1,871 (61.4)</w:t>
            </w:r>
          </w:p>
        </w:tc>
        <w:tc>
          <w:tcPr>
            <w:tcW w:w="2223" w:type="dxa"/>
            <w:tcBorders>
              <w:top w:val="single" w:sz="4" w:space="0" w:color="auto"/>
            </w:tcBorders>
          </w:tcPr>
          <w:p w14:paraId="6A9DC79D"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93.4 (86.9-97.3)</w:t>
            </w:r>
          </w:p>
        </w:tc>
        <w:tc>
          <w:tcPr>
            <w:tcW w:w="2223" w:type="dxa"/>
            <w:tcBorders>
              <w:top w:val="single" w:sz="4" w:space="0" w:color="auto"/>
            </w:tcBorders>
          </w:tcPr>
          <w:p w14:paraId="41FFBD2F"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39.7 (37.9-41.5)</w:t>
            </w:r>
          </w:p>
        </w:tc>
        <w:tc>
          <w:tcPr>
            <w:tcW w:w="2093" w:type="dxa"/>
            <w:tcBorders>
              <w:top w:val="single" w:sz="4" w:space="0" w:color="auto"/>
            </w:tcBorders>
          </w:tcPr>
          <w:p w14:paraId="0B09842D"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5.3 (4.3-6.4)</w:t>
            </w:r>
          </w:p>
        </w:tc>
        <w:tc>
          <w:tcPr>
            <w:tcW w:w="2127" w:type="dxa"/>
            <w:tcBorders>
              <w:top w:val="single" w:sz="4" w:space="0" w:color="auto"/>
            </w:tcBorders>
          </w:tcPr>
          <w:p w14:paraId="07206C7F"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99.4 (98.8-99.8)</w:t>
            </w:r>
          </w:p>
        </w:tc>
      </w:tr>
      <w:tr w:rsidR="0093390F" w:rsidRPr="002850AE" w14:paraId="1DDE006A" w14:textId="77777777" w:rsidTr="0093390F">
        <w:trPr>
          <w:trHeight w:val="228"/>
        </w:trPr>
        <w:tc>
          <w:tcPr>
            <w:tcW w:w="1518" w:type="dxa"/>
          </w:tcPr>
          <w:p w14:paraId="475916D0"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0</w:t>
            </w:r>
          </w:p>
        </w:tc>
        <w:tc>
          <w:tcPr>
            <w:tcW w:w="2149" w:type="dxa"/>
          </w:tcPr>
          <w:p w14:paraId="3FCCF2C5" w14:textId="77777777" w:rsidR="0093390F" w:rsidRPr="002850AE" w:rsidRDefault="0093390F" w:rsidP="0093390F">
            <w:pPr>
              <w:snapToGrid w:val="0"/>
              <w:spacing w:line="360" w:lineRule="auto"/>
              <w:jc w:val="both"/>
              <w:rPr>
                <w:rFonts w:ascii="Book Antiqua" w:hAnsi="Book Antiqua"/>
                <w:b/>
              </w:rPr>
            </w:pPr>
            <w:r w:rsidRPr="002850AE">
              <w:rPr>
                <w:rFonts w:ascii="Book Antiqua" w:hAnsi="Book Antiqua"/>
                <w:b/>
              </w:rPr>
              <w:t>926 (30.0)</w:t>
            </w:r>
          </w:p>
        </w:tc>
        <w:tc>
          <w:tcPr>
            <w:tcW w:w="2223" w:type="dxa"/>
          </w:tcPr>
          <w:p w14:paraId="348A4BCE" w14:textId="77777777" w:rsidR="0093390F" w:rsidRPr="002850AE" w:rsidRDefault="0093390F" w:rsidP="0093390F">
            <w:pPr>
              <w:snapToGrid w:val="0"/>
              <w:spacing w:line="360" w:lineRule="auto"/>
              <w:jc w:val="both"/>
              <w:rPr>
                <w:rFonts w:ascii="Book Antiqua" w:hAnsi="Book Antiqua"/>
                <w:b/>
              </w:rPr>
            </w:pPr>
            <w:r w:rsidRPr="002850AE">
              <w:rPr>
                <w:rFonts w:ascii="Book Antiqua" w:hAnsi="Book Antiqua"/>
                <w:b/>
              </w:rPr>
              <w:t>84.9 (76.6-91.1)</w:t>
            </w:r>
          </w:p>
        </w:tc>
        <w:tc>
          <w:tcPr>
            <w:tcW w:w="2223" w:type="dxa"/>
          </w:tcPr>
          <w:p w14:paraId="388AE851" w14:textId="77777777" w:rsidR="0093390F" w:rsidRPr="002850AE" w:rsidRDefault="0093390F" w:rsidP="0093390F">
            <w:pPr>
              <w:snapToGrid w:val="0"/>
              <w:spacing w:line="360" w:lineRule="auto"/>
              <w:jc w:val="both"/>
              <w:rPr>
                <w:rFonts w:ascii="Book Antiqua" w:hAnsi="Book Antiqua"/>
                <w:b/>
              </w:rPr>
            </w:pPr>
            <w:r w:rsidRPr="002850AE">
              <w:rPr>
                <w:rFonts w:ascii="Book Antiqua" w:hAnsi="Book Antiqua"/>
                <w:b/>
              </w:rPr>
              <w:t>71.6 (69.9-73.2)</w:t>
            </w:r>
          </w:p>
        </w:tc>
        <w:tc>
          <w:tcPr>
            <w:tcW w:w="2093" w:type="dxa"/>
          </w:tcPr>
          <w:p w14:paraId="43FF3408" w14:textId="77777777" w:rsidR="0093390F" w:rsidRPr="002850AE" w:rsidRDefault="0093390F" w:rsidP="0093390F">
            <w:pPr>
              <w:snapToGrid w:val="0"/>
              <w:spacing w:line="360" w:lineRule="auto"/>
              <w:jc w:val="both"/>
              <w:rPr>
                <w:rFonts w:ascii="Book Antiqua" w:hAnsi="Book Antiqua"/>
                <w:b/>
              </w:rPr>
            </w:pPr>
            <w:r w:rsidRPr="002850AE">
              <w:rPr>
                <w:rFonts w:ascii="Book Antiqua" w:hAnsi="Book Antiqua"/>
                <w:b/>
              </w:rPr>
              <w:t>9.7 (7.9-11.8)</w:t>
            </w:r>
          </w:p>
        </w:tc>
        <w:tc>
          <w:tcPr>
            <w:tcW w:w="2127" w:type="dxa"/>
          </w:tcPr>
          <w:p w14:paraId="307BF11F" w14:textId="77777777" w:rsidR="0093390F" w:rsidRPr="002850AE" w:rsidRDefault="0093390F" w:rsidP="0093390F">
            <w:pPr>
              <w:snapToGrid w:val="0"/>
              <w:spacing w:line="360" w:lineRule="auto"/>
              <w:jc w:val="both"/>
              <w:rPr>
                <w:rFonts w:ascii="Book Antiqua" w:hAnsi="Book Antiqua"/>
                <w:b/>
              </w:rPr>
            </w:pPr>
            <w:r w:rsidRPr="002850AE">
              <w:rPr>
                <w:rFonts w:ascii="Book Antiqua" w:hAnsi="Book Antiqua"/>
                <w:b/>
              </w:rPr>
              <w:t>99.2 (98.8-99.6)</w:t>
            </w:r>
          </w:p>
        </w:tc>
      </w:tr>
      <w:tr w:rsidR="0093390F" w:rsidRPr="002850AE" w14:paraId="4C55D189" w14:textId="77777777" w:rsidTr="0093390F">
        <w:trPr>
          <w:trHeight w:val="355"/>
        </w:trPr>
        <w:tc>
          <w:tcPr>
            <w:tcW w:w="1518" w:type="dxa"/>
          </w:tcPr>
          <w:p w14:paraId="68C2A74A"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1</w:t>
            </w:r>
          </w:p>
        </w:tc>
        <w:tc>
          <w:tcPr>
            <w:tcW w:w="2149" w:type="dxa"/>
          </w:tcPr>
          <w:p w14:paraId="0E98B859"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670 (22.0)</w:t>
            </w:r>
          </w:p>
        </w:tc>
        <w:tc>
          <w:tcPr>
            <w:tcW w:w="2223" w:type="dxa"/>
          </w:tcPr>
          <w:p w14:paraId="13E4E87B"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74.5 (65.1-82.5)</w:t>
            </w:r>
          </w:p>
        </w:tc>
        <w:tc>
          <w:tcPr>
            <w:tcW w:w="2223" w:type="dxa"/>
          </w:tcPr>
          <w:p w14:paraId="4FB7685C"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79.9 (78.4-81.3)</w:t>
            </w:r>
          </w:p>
        </w:tc>
        <w:tc>
          <w:tcPr>
            <w:tcW w:w="2093" w:type="dxa"/>
          </w:tcPr>
          <w:p w14:paraId="4A2B7BAB"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11.8 (9.5-14.5)</w:t>
            </w:r>
          </w:p>
        </w:tc>
        <w:tc>
          <w:tcPr>
            <w:tcW w:w="2127" w:type="dxa"/>
          </w:tcPr>
          <w:p w14:paraId="01343EB2"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98.9 (98.4-99.2)</w:t>
            </w:r>
          </w:p>
        </w:tc>
      </w:tr>
      <w:tr w:rsidR="0093390F" w:rsidRPr="002850AE" w14:paraId="18487C32" w14:textId="77777777" w:rsidTr="0093390F">
        <w:trPr>
          <w:trHeight w:val="484"/>
        </w:trPr>
        <w:tc>
          <w:tcPr>
            <w:tcW w:w="1518" w:type="dxa"/>
          </w:tcPr>
          <w:p w14:paraId="13544852"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2</w:t>
            </w:r>
          </w:p>
        </w:tc>
        <w:tc>
          <w:tcPr>
            <w:tcW w:w="2149" w:type="dxa"/>
          </w:tcPr>
          <w:p w14:paraId="23671EAC"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325 (10.7)</w:t>
            </w:r>
          </w:p>
        </w:tc>
        <w:tc>
          <w:tcPr>
            <w:tcW w:w="2223" w:type="dxa"/>
          </w:tcPr>
          <w:p w14:paraId="46107EC1"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59.4 (49.5-68.9)</w:t>
            </w:r>
          </w:p>
        </w:tc>
        <w:tc>
          <w:tcPr>
            <w:tcW w:w="2223" w:type="dxa"/>
          </w:tcPr>
          <w:p w14:paraId="01DB9CE4"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91.1 (90.0-92.1)</w:t>
            </w:r>
          </w:p>
        </w:tc>
        <w:tc>
          <w:tcPr>
            <w:tcW w:w="2093" w:type="dxa"/>
          </w:tcPr>
          <w:p w14:paraId="611E8415"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19.4 (15.2-24.1)</w:t>
            </w:r>
          </w:p>
        </w:tc>
        <w:tc>
          <w:tcPr>
            <w:tcW w:w="2127" w:type="dxa"/>
          </w:tcPr>
          <w:p w14:paraId="6ABE0EBE"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98.4 (97.9-98.9)</w:t>
            </w:r>
          </w:p>
        </w:tc>
      </w:tr>
      <w:tr w:rsidR="0093390F" w:rsidRPr="002850AE" w14:paraId="17CFAA97" w14:textId="77777777" w:rsidTr="0093390F">
        <w:trPr>
          <w:trHeight w:val="445"/>
        </w:trPr>
        <w:tc>
          <w:tcPr>
            <w:tcW w:w="1518" w:type="dxa"/>
          </w:tcPr>
          <w:p w14:paraId="2FD15698"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3</w:t>
            </w:r>
          </w:p>
        </w:tc>
        <w:tc>
          <w:tcPr>
            <w:tcW w:w="2149" w:type="dxa"/>
          </w:tcPr>
          <w:p w14:paraId="0CF3C330"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103 (3.4)</w:t>
            </w:r>
          </w:p>
        </w:tc>
        <w:tc>
          <w:tcPr>
            <w:tcW w:w="2223" w:type="dxa"/>
          </w:tcPr>
          <w:p w14:paraId="7E93C43A"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33.0 (24.2-42.8)</w:t>
            </w:r>
          </w:p>
        </w:tc>
        <w:tc>
          <w:tcPr>
            <w:tcW w:w="2223" w:type="dxa"/>
          </w:tcPr>
          <w:p w14:paraId="05DBE354"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97.7 (97.1-98.2)</w:t>
            </w:r>
          </w:p>
        </w:tc>
        <w:tc>
          <w:tcPr>
            <w:tcW w:w="2093" w:type="dxa"/>
          </w:tcPr>
          <w:p w14:paraId="5FACC38A"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34 (24.9-44.0)</w:t>
            </w:r>
          </w:p>
        </w:tc>
        <w:tc>
          <w:tcPr>
            <w:tcW w:w="2127" w:type="dxa"/>
          </w:tcPr>
          <w:p w14:paraId="01D65D8D"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97.6 (97.0-98.1)</w:t>
            </w:r>
          </w:p>
        </w:tc>
      </w:tr>
      <w:tr w:rsidR="0093390F" w:rsidRPr="002850AE" w14:paraId="254CC524" w14:textId="77777777" w:rsidTr="0093390F">
        <w:trPr>
          <w:trHeight w:val="421"/>
        </w:trPr>
        <w:tc>
          <w:tcPr>
            <w:tcW w:w="1518" w:type="dxa"/>
          </w:tcPr>
          <w:p w14:paraId="14D01776"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4</w:t>
            </w:r>
          </w:p>
        </w:tc>
        <w:tc>
          <w:tcPr>
            <w:tcW w:w="2149" w:type="dxa"/>
          </w:tcPr>
          <w:p w14:paraId="0E20C19E"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18 (0.6)</w:t>
            </w:r>
          </w:p>
        </w:tc>
        <w:tc>
          <w:tcPr>
            <w:tcW w:w="2223" w:type="dxa"/>
          </w:tcPr>
          <w:p w14:paraId="19B08346"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10.4 (5.3-17.8)</w:t>
            </w:r>
          </w:p>
        </w:tc>
        <w:tc>
          <w:tcPr>
            <w:tcW w:w="2223" w:type="dxa"/>
          </w:tcPr>
          <w:p w14:paraId="23A8C2BD"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99.8 (99.5-99.9)</w:t>
            </w:r>
          </w:p>
        </w:tc>
        <w:tc>
          <w:tcPr>
            <w:tcW w:w="2093" w:type="dxa"/>
          </w:tcPr>
          <w:p w14:paraId="1C4389E1"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61.1 (35.7-82.7)</w:t>
            </w:r>
          </w:p>
        </w:tc>
        <w:tc>
          <w:tcPr>
            <w:tcW w:w="2127" w:type="dxa"/>
          </w:tcPr>
          <w:p w14:paraId="660D3F93"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96.9 (96.2-97.5)</w:t>
            </w:r>
          </w:p>
        </w:tc>
      </w:tr>
      <w:tr w:rsidR="0093390F" w:rsidRPr="002850AE" w14:paraId="2B878392" w14:textId="77777777" w:rsidTr="0093390F">
        <w:trPr>
          <w:trHeight w:val="413"/>
        </w:trPr>
        <w:tc>
          <w:tcPr>
            <w:tcW w:w="1518" w:type="dxa"/>
          </w:tcPr>
          <w:p w14:paraId="0D33CEA6" w14:textId="77777777" w:rsidR="0093390F" w:rsidRPr="002850AE" w:rsidRDefault="0093390F" w:rsidP="0093390F">
            <w:pPr>
              <w:snapToGrid w:val="0"/>
              <w:spacing w:line="360" w:lineRule="auto"/>
              <w:jc w:val="both"/>
              <w:rPr>
                <w:rFonts w:ascii="Book Antiqua" w:hAnsi="Book Antiqua"/>
                <w:bCs/>
              </w:rPr>
            </w:pPr>
            <w:r w:rsidRPr="002850AE">
              <w:rPr>
                <w:rFonts w:ascii="Book Antiqua" w:hAnsi="Book Antiqua"/>
                <w:bCs/>
              </w:rPr>
              <w:t>Score ≥ 5</w:t>
            </w:r>
          </w:p>
        </w:tc>
        <w:tc>
          <w:tcPr>
            <w:tcW w:w="2149" w:type="dxa"/>
          </w:tcPr>
          <w:p w14:paraId="178B5E3F"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4 (0.1)</w:t>
            </w:r>
          </w:p>
        </w:tc>
        <w:tc>
          <w:tcPr>
            <w:tcW w:w="2223" w:type="dxa"/>
          </w:tcPr>
          <w:p w14:paraId="58AB433E"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2.8 (0.6-8.1)</w:t>
            </w:r>
          </w:p>
        </w:tc>
        <w:tc>
          <w:tcPr>
            <w:tcW w:w="2223" w:type="dxa"/>
          </w:tcPr>
          <w:p w14:paraId="3D3F8FBE"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99.97 (99.8-100)</w:t>
            </w:r>
          </w:p>
        </w:tc>
        <w:tc>
          <w:tcPr>
            <w:tcW w:w="2093" w:type="dxa"/>
          </w:tcPr>
          <w:p w14:paraId="4A7A4D48"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75 (19.4-99.4)</w:t>
            </w:r>
          </w:p>
        </w:tc>
        <w:tc>
          <w:tcPr>
            <w:tcW w:w="2127" w:type="dxa"/>
          </w:tcPr>
          <w:p w14:paraId="50F39427" w14:textId="77777777" w:rsidR="0093390F" w:rsidRPr="002850AE" w:rsidRDefault="0093390F" w:rsidP="0093390F">
            <w:pPr>
              <w:snapToGrid w:val="0"/>
              <w:spacing w:line="360" w:lineRule="auto"/>
              <w:jc w:val="both"/>
              <w:rPr>
                <w:rFonts w:ascii="Book Antiqua" w:hAnsi="Book Antiqua"/>
              </w:rPr>
            </w:pPr>
            <w:r w:rsidRPr="002850AE">
              <w:rPr>
                <w:rFonts w:ascii="Book Antiqua" w:hAnsi="Book Antiqua"/>
              </w:rPr>
              <w:t>96.6 (95.9-97.2)</w:t>
            </w:r>
          </w:p>
        </w:tc>
      </w:tr>
    </w:tbl>
    <w:p w14:paraId="48FEB27E" w14:textId="5C35AFCC" w:rsidR="00A77B3E" w:rsidRPr="002850AE" w:rsidRDefault="00EC02D8" w:rsidP="00AE50D3">
      <w:pPr>
        <w:snapToGrid w:val="0"/>
        <w:spacing w:line="360" w:lineRule="auto"/>
        <w:jc w:val="both"/>
        <w:rPr>
          <w:rFonts w:ascii="Book Antiqua" w:eastAsia="Book Antiqua" w:hAnsi="Book Antiqua" w:cs="Book Antiqua"/>
          <w:b/>
          <w:bCs/>
          <w:color w:val="000000"/>
        </w:rPr>
      </w:pPr>
      <w:r w:rsidRPr="002850AE">
        <w:rPr>
          <w:rFonts w:ascii="Book Antiqua" w:eastAsia="Book Antiqua" w:hAnsi="Book Antiqua" w:cs="Book Antiqua"/>
          <w:b/>
          <w:bCs/>
          <w:color w:val="000000"/>
        </w:rPr>
        <w:t>Table 5 Diagnostic accuracy at different cut-offs of the clinical prediction score</w:t>
      </w:r>
    </w:p>
    <w:p w14:paraId="3E4999B3" w14:textId="7772FE57" w:rsidR="00A77B3E" w:rsidRPr="002850AE" w:rsidRDefault="00EC02D8" w:rsidP="00AE50D3">
      <w:pPr>
        <w:snapToGrid w:val="0"/>
        <w:spacing w:line="360" w:lineRule="auto"/>
        <w:jc w:val="both"/>
        <w:rPr>
          <w:rFonts w:ascii="Book Antiqua" w:hAnsi="Book Antiqua"/>
        </w:rPr>
      </w:pPr>
      <w:r w:rsidRPr="002850AE">
        <w:rPr>
          <w:rFonts w:ascii="Book Antiqua" w:eastAsia="Book Antiqua" w:hAnsi="Book Antiqua" w:cs="Book Antiqua"/>
          <w:color w:val="000000"/>
        </w:rPr>
        <w:t xml:space="preserve">In </w:t>
      </w:r>
      <w:r w:rsidRPr="002850AE">
        <w:rPr>
          <w:rFonts w:ascii="Book Antiqua" w:eastAsia="Book Antiqua" w:hAnsi="Book Antiqua" w:cs="Book Antiqua"/>
          <w:b/>
          <w:bCs/>
          <w:color w:val="000000"/>
        </w:rPr>
        <w:t>bold</w:t>
      </w:r>
      <w:r w:rsidRPr="002850AE">
        <w:rPr>
          <w:rFonts w:ascii="Book Antiqua" w:eastAsia="Book Antiqua" w:hAnsi="Book Antiqua" w:cs="Book Antiqua"/>
          <w:color w:val="000000"/>
        </w:rPr>
        <w:t xml:space="preserve"> the diagnostic accuracy results (number of HIV patients, sensitivity, specificity, </w:t>
      </w:r>
      <w:r w:rsidR="00006C33" w:rsidRPr="002850AE">
        <w:rPr>
          <w:rFonts w:ascii="Book Antiqua" w:eastAsia="Book Antiqua" w:hAnsi="Book Antiqua" w:cs="Book Antiqua"/>
          <w:color w:val="000000"/>
        </w:rPr>
        <w:t>PPV</w:t>
      </w:r>
      <w:r w:rsidRPr="002850AE">
        <w:rPr>
          <w:rFonts w:ascii="Book Antiqua" w:eastAsia="Book Antiqua" w:hAnsi="Book Antiqua" w:cs="Book Antiqua"/>
          <w:color w:val="000000"/>
        </w:rPr>
        <w:t xml:space="preserve">, and </w:t>
      </w:r>
      <w:r w:rsidR="00006C33" w:rsidRPr="002850AE">
        <w:rPr>
          <w:rFonts w:ascii="Book Antiqua" w:eastAsia="Book Antiqua" w:hAnsi="Book Antiqua" w:cs="Book Antiqua"/>
          <w:color w:val="000000"/>
        </w:rPr>
        <w:t>NPV</w:t>
      </w:r>
      <w:r w:rsidRPr="002850AE">
        <w:rPr>
          <w:rFonts w:ascii="Book Antiqua" w:eastAsia="Book Antiqua" w:hAnsi="Book Antiqua" w:cs="Book Antiqua"/>
          <w:color w:val="000000"/>
        </w:rPr>
        <w:t>) for the cut-off at score ≥ 0. This is the cut-off best fitting as threshold-to-test.</w:t>
      </w:r>
      <w:r w:rsidR="00006C33" w:rsidRPr="002850AE">
        <w:rPr>
          <w:rFonts w:ascii="Book Antiqua" w:eastAsia="Book Antiqua" w:hAnsi="Book Antiqua" w:cs="Book Antiqua"/>
          <w:color w:val="000000"/>
        </w:rPr>
        <w:t xml:space="preserve"> PPV: </w:t>
      </w:r>
      <w:r w:rsidR="00006C33" w:rsidRPr="002850AE">
        <w:rPr>
          <w:rFonts w:ascii="Book Antiqua" w:eastAsia="Book Antiqua" w:hAnsi="Book Antiqua" w:cs="Book Antiqua"/>
          <w:caps/>
          <w:color w:val="000000"/>
        </w:rPr>
        <w:t>p</w:t>
      </w:r>
      <w:r w:rsidR="00006C33" w:rsidRPr="002850AE">
        <w:rPr>
          <w:rFonts w:ascii="Book Antiqua" w:eastAsia="Book Antiqua" w:hAnsi="Book Antiqua" w:cs="Book Antiqua"/>
          <w:color w:val="000000"/>
        </w:rPr>
        <w:t xml:space="preserve">ositive predictive value; NPV: </w:t>
      </w:r>
      <w:r w:rsidR="00006C33" w:rsidRPr="002850AE">
        <w:rPr>
          <w:rFonts w:ascii="Book Antiqua" w:eastAsia="Book Antiqua" w:hAnsi="Book Antiqua" w:cs="Book Antiqua"/>
          <w:caps/>
          <w:color w:val="000000"/>
        </w:rPr>
        <w:t>n</w:t>
      </w:r>
      <w:r w:rsidR="00006C33" w:rsidRPr="002850AE">
        <w:rPr>
          <w:rFonts w:ascii="Book Antiqua" w:eastAsia="Book Antiqua" w:hAnsi="Book Antiqua" w:cs="Book Antiqua"/>
          <w:color w:val="000000"/>
        </w:rPr>
        <w:t xml:space="preserve">egative predictive value; HIV: </w:t>
      </w:r>
      <w:r w:rsidR="00006C33" w:rsidRPr="002850AE">
        <w:rPr>
          <w:rFonts w:ascii="Book Antiqua" w:eastAsia="Book Antiqua" w:hAnsi="Book Antiqua" w:cs="Book Antiqua"/>
          <w:caps/>
          <w:color w:val="000000"/>
        </w:rPr>
        <w:t>h</w:t>
      </w:r>
      <w:r w:rsidR="00006C33" w:rsidRPr="002850AE">
        <w:rPr>
          <w:rFonts w:ascii="Book Antiqua" w:eastAsia="Book Antiqua" w:hAnsi="Book Antiqua" w:cs="Book Antiqua"/>
          <w:color w:val="000000"/>
        </w:rPr>
        <w:t>uman immunodeficiency virus.</w:t>
      </w:r>
    </w:p>
    <w:sectPr w:rsidR="00A77B3E" w:rsidRPr="002850AE" w:rsidSect="00F00437">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0868" w14:textId="77777777" w:rsidR="00FB5EEB" w:rsidRDefault="00FB5EEB" w:rsidP="004279E2">
      <w:r>
        <w:separator/>
      </w:r>
    </w:p>
  </w:endnote>
  <w:endnote w:type="continuationSeparator" w:id="0">
    <w:p w14:paraId="6871CC4D" w14:textId="77777777" w:rsidR="00FB5EEB" w:rsidRDefault="00FB5EEB" w:rsidP="0042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98565"/>
      <w:docPartObj>
        <w:docPartGallery w:val="Page Numbers (Bottom of Page)"/>
        <w:docPartUnique/>
      </w:docPartObj>
    </w:sdtPr>
    <w:sdtEndPr/>
    <w:sdtContent>
      <w:sdt>
        <w:sdtPr>
          <w:id w:val="-1705238520"/>
          <w:docPartObj>
            <w:docPartGallery w:val="Page Numbers (Top of Page)"/>
            <w:docPartUnique/>
          </w:docPartObj>
        </w:sdtPr>
        <w:sdtEndPr/>
        <w:sdtContent>
          <w:p w14:paraId="30B2E3DE" w14:textId="77777777" w:rsidR="00522072" w:rsidRDefault="00522072" w:rsidP="004279E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5899">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5899">
              <w:rPr>
                <w:b/>
                <w:bCs/>
                <w:noProof/>
              </w:rPr>
              <w:t>33</w:t>
            </w:r>
            <w:r>
              <w:rPr>
                <w:b/>
                <w:bCs/>
                <w:sz w:val="24"/>
                <w:szCs w:val="24"/>
              </w:rPr>
              <w:fldChar w:fldCharType="end"/>
            </w:r>
          </w:p>
        </w:sdtContent>
      </w:sdt>
    </w:sdtContent>
  </w:sdt>
  <w:p w14:paraId="59DC7FD5" w14:textId="77777777" w:rsidR="00522072" w:rsidRDefault="00522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A64F" w14:textId="77777777" w:rsidR="00FB5EEB" w:rsidRDefault="00FB5EEB" w:rsidP="004279E2">
      <w:r>
        <w:separator/>
      </w:r>
    </w:p>
  </w:footnote>
  <w:footnote w:type="continuationSeparator" w:id="0">
    <w:p w14:paraId="2A4DDD8C" w14:textId="77777777" w:rsidR="00FB5EEB" w:rsidRDefault="00FB5EEB" w:rsidP="00427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F202B"/>
    <w:multiLevelType w:val="hybridMultilevel"/>
    <w:tmpl w:val="B6124FF2"/>
    <w:lvl w:ilvl="0" w:tplc="0762B1C8">
      <w:start w:val="300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BF5379A"/>
    <w:multiLevelType w:val="hybridMultilevel"/>
    <w:tmpl w:val="7C3CA65E"/>
    <w:lvl w:ilvl="0" w:tplc="0762B1C8">
      <w:start w:val="3000"/>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1D"/>
    <w:rsid w:val="00006C33"/>
    <w:rsid w:val="00056124"/>
    <w:rsid w:val="00065E90"/>
    <w:rsid w:val="00085D76"/>
    <w:rsid w:val="00086180"/>
    <w:rsid w:val="0009629D"/>
    <w:rsid w:val="000962F6"/>
    <w:rsid w:val="00096D6A"/>
    <w:rsid w:val="000A7F8A"/>
    <w:rsid w:val="000E5BEC"/>
    <w:rsid w:val="00135172"/>
    <w:rsid w:val="0014362A"/>
    <w:rsid w:val="001447E8"/>
    <w:rsid w:val="00162330"/>
    <w:rsid w:val="00174F95"/>
    <w:rsid w:val="00193372"/>
    <w:rsid w:val="00195A1B"/>
    <w:rsid w:val="001B392E"/>
    <w:rsid w:val="001C6378"/>
    <w:rsid w:val="001E414C"/>
    <w:rsid w:val="002300ED"/>
    <w:rsid w:val="00272E8B"/>
    <w:rsid w:val="002850AE"/>
    <w:rsid w:val="002928E1"/>
    <w:rsid w:val="002A23BB"/>
    <w:rsid w:val="002A4CB2"/>
    <w:rsid w:val="002A7A8D"/>
    <w:rsid w:val="002D00FA"/>
    <w:rsid w:val="002F0C67"/>
    <w:rsid w:val="00325F03"/>
    <w:rsid w:val="003363FA"/>
    <w:rsid w:val="00357863"/>
    <w:rsid w:val="0036576B"/>
    <w:rsid w:val="003754CE"/>
    <w:rsid w:val="00387D59"/>
    <w:rsid w:val="003A4058"/>
    <w:rsid w:val="003F669B"/>
    <w:rsid w:val="0040411E"/>
    <w:rsid w:val="004262A8"/>
    <w:rsid w:val="004279E2"/>
    <w:rsid w:val="0043069F"/>
    <w:rsid w:val="004601BF"/>
    <w:rsid w:val="004617B9"/>
    <w:rsid w:val="004979E1"/>
    <w:rsid w:val="004A2E51"/>
    <w:rsid w:val="004B620D"/>
    <w:rsid w:val="00522072"/>
    <w:rsid w:val="0056553E"/>
    <w:rsid w:val="00566657"/>
    <w:rsid w:val="00567205"/>
    <w:rsid w:val="005B4BF4"/>
    <w:rsid w:val="005C79C8"/>
    <w:rsid w:val="006213F1"/>
    <w:rsid w:val="006338A0"/>
    <w:rsid w:val="00655C05"/>
    <w:rsid w:val="006B0BE7"/>
    <w:rsid w:val="006B5C05"/>
    <w:rsid w:val="006E1DCE"/>
    <w:rsid w:val="00726A3C"/>
    <w:rsid w:val="0073380E"/>
    <w:rsid w:val="00745FD6"/>
    <w:rsid w:val="00763151"/>
    <w:rsid w:val="007D08F5"/>
    <w:rsid w:val="007E0D6B"/>
    <w:rsid w:val="00861C3F"/>
    <w:rsid w:val="00867381"/>
    <w:rsid w:val="00870145"/>
    <w:rsid w:val="008773E2"/>
    <w:rsid w:val="008A2FC5"/>
    <w:rsid w:val="008A63A2"/>
    <w:rsid w:val="008D1386"/>
    <w:rsid w:val="008F7E33"/>
    <w:rsid w:val="00915CB0"/>
    <w:rsid w:val="009211C5"/>
    <w:rsid w:val="00925624"/>
    <w:rsid w:val="00927D37"/>
    <w:rsid w:val="00932566"/>
    <w:rsid w:val="00932702"/>
    <w:rsid w:val="0093390F"/>
    <w:rsid w:val="00944493"/>
    <w:rsid w:val="009725A8"/>
    <w:rsid w:val="00982430"/>
    <w:rsid w:val="00994297"/>
    <w:rsid w:val="009C2B6D"/>
    <w:rsid w:val="00A20F98"/>
    <w:rsid w:val="00A3014A"/>
    <w:rsid w:val="00A32AF8"/>
    <w:rsid w:val="00A643EC"/>
    <w:rsid w:val="00A77B3E"/>
    <w:rsid w:val="00A872D8"/>
    <w:rsid w:val="00A94F25"/>
    <w:rsid w:val="00AA1BE5"/>
    <w:rsid w:val="00AB40B6"/>
    <w:rsid w:val="00AE3A08"/>
    <w:rsid w:val="00AE50D3"/>
    <w:rsid w:val="00AF4C31"/>
    <w:rsid w:val="00B14985"/>
    <w:rsid w:val="00B34DC2"/>
    <w:rsid w:val="00B466CD"/>
    <w:rsid w:val="00B60597"/>
    <w:rsid w:val="00B63428"/>
    <w:rsid w:val="00B76EBF"/>
    <w:rsid w:val="00B90AFC"/>
    <w:rsid w:val="00BB3F20"/>
    <w:rsid w:val="00BB49BB"/>
    <w:rsid w:val="00BB6654"/>
    <w:rsid w:val="00BE2D05"/>
    <w:rsid w:val="00C7041C"/>
    <w:rsid w:val="00CA2A55"/>
    <w:rsid w:val="00CA7F02"/>
    <w:rsid w:val="00CC26DB"/>
    <w:rsid w:val="00CD64C5"/>
    <w:rsid w:val="00CF0DD5"/>
    <w:rsid w:val="00D6020E"/>
    <w:rsid w:val="00DA794A"/>
    <w:rsid w:val="00E07D90"/>
    <w:rsid w:val="00E267A4"/>
    <w:rsid w:val="00E37C79"/>
    <w:rsid w:val="00E45AA8"/>
    <w:rsid w:val="00E54619"/>
    <w:rsid w:val="00E75299"/>
    <w:rsid w:val="00EA4B24"/>
    <w:rsid w:val="00EC02D8"/>
    <w:rsid w:val="00EC4A9B"/>
    <w:rsid w:val="00EC6F22"/>
    <w:rsid w:val="00EE5899"/>
    <w:rsid w:val="00EF5CA2"/>
    <w:rsid w:val="00F00437"/>
    <w:rsid w:val="00F10333"/>
    <w:rsid w:val="00F25FF2"/>
    <w:rsid w:val="00F26460"/>
    <w:rsid w:val="00F65357"/>
    <w:rsid w:val="00F80BAD"/>
    <w:rsid w:val="00F83572"/>
    <w:rsid w:val="00F92396"/>
    <w:rsid w:val="00FB3DC8"/>
    <w:rsid w:val="00FB5EEB"/>
    <w:rsid w:val="00FD1C12"/>
    <w:rsid w:val="00FD1D06"/>
    <w:rsid w:val="00FF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7BD48B"/>
  <w15:docId w15:val="{B3BAD2F6-4C64-4098-A882-525555B4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79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79E2"/>
    <w:rPr>
      <w:sz w:val="18"/>
      <w:szCs w:val="18"/>
    </w:rPr>
  </w:style>
  <w:style w:type="paragraph" w:styleId="a5">
    <w:name w:val="footer"/>
    <w:basedOn w:val="a"/>
    <w:link w:val="a6"/>
    <w:uiPriority w:val="99"/>
    <w:unhideWhenUsed/>
    <w:rsid w:val="004279E2"/>
    <w:pPr>
      <w:tabs>
        <w:tab w:val="center" w:pos="4153"/>
        <w:tab w:val="right" w:pos="8306"/>
      </w:tabs>
      <w:snapToGrid w:val="0"/>
    </w:pPr>
    <w:rPr>
      <w:sz w:val="18"/>
      <w:szCs w:val="18"/>
    </w:rPr>
  </w:style>
  <w:style w:type="character" w:customStyle="1" w:styleId="a6">
    <w:name w:val="页脚 字符"/>
    <w:basedOn w:val="a0"/>
    <w:link w:val="a5"/>
    <w:uiPriority w:val="99"/>
    <w:rsid w:val="004279E2"/>
    <w:rPr>
      <w:sz w:val="18"/>
      <w:szCs w:val="18"/>
    </w:rPr>
  </w:style>
  <w:style w:type="character" w:styleId="a7">
    <w:name w:val="Hyperlink"/>
    <w:basedOn w:val="a0"/>
    <w:unhideWhenUsed/>
    <w:rsid w:val="0000011D"/>
    <w:rPr>
      <w:color w:val="0000FF" w:themeColor="hyperlink"/>
      <w:u w:val="single"/>
    </w:rPr>
  </w:style>
  <w:style w:type="table" w:customStyle="1" w:styleId="LightShading1">
    <w:name w:val="Light Shading1"/>
    <w:basedOn w:val="a1"/>
    <w:next w:val="a8"/>
    <w:uiPriority w:val="60"/>
    <w:rsid w:val="00CA7F02"/>
    <w:rPr>
      <w:rFonts w:cstheme="minorBidi"/>
      <w:color w:val="000000"/>
      <w:sz w:val="22"/>
      <w:szCs w:val="22"/>
      <w:lang w:val="nl-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8">
    <w:name w:val="Light Shading"/>
    <w:basedOn w:val="a1"/>
    <w:uiPriority w:val="60"/>
    <w:rsid w:val="00CA7F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Table Grid"/>
    <w:basedOn w:val="a1"/>
    <w:uiPriority w:val="39"/>
    <w:rsid w:val="00006C33"/>
    <w:rPr>
      <w:rFonts w:eastAsia="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b">
    <w:name w:val="ffb"/>
    <w:basedOn w:val="a0"/>
    <w:rsid w:val="00FB3DC8"/>
  </w:style>
  <w:style w:type="character" w:styleId="aa">
    <w:name w:val="annotation reference"/>
    <w:basedOn w:val="a0"/>
    <w:semiHidden/>
    <w:unhideWhenUsed/>
    <w:rsid w:val="00D6020E"/>
    <w:rPr>
      <w:sz w:val="21"/>
      <w:szCs w:val="21"/>
    </w:rPr>
  </w:style>
  <w:style w:type="paragraph" w:styleId="ab">
    <w:name w:val="annotation text"/>
    <w:basedOn w:val="a"/>
    <w:link w:val="ac"/>
    <w:semiHidden/>
    <w:unhideWhenUsed/>
    <w:rsid w:val="00D6020E"/>
  </w:style>
  <w:style w:type="character" w:customStyle="1" w:styleId="ac">
    <w:name w:val="批注文字 字符"/>
    <w:basedOn w:val="a0"/>
    <w:link w:val="ab"/>
    <w:semiHidden/>
    <w:rsid w:val="00D6020E"/>
    <w:rPr>
      <w:sz w:val="24"/>
      <w:szCs w:val="24"/>
    </w:rPr>
  </w:style>
  <w:style w:type="paragraph" w:styleId="ad">
    <w:name w:val="annotation subject"/>
    <w:basedOn w:val="ab"/>
    <w:next w:val="ab"/>
    <w:link w:val="ae"/>
    <w:semiHidden/>
    <w:unhideWhenUsed/>
    <w:rsid w:val="00D6020E"/>
    <w:rPr>
      <w:b/>
      <w:bCs/>
    </w:rPr>
  </w:style>
  <w:style w:type="character" w:customStyle="1" w:styleId="ae">
    <w:name w:val="批注主题 字符"/>
    <w:basedOn w:val="ac"/>
    <w:link w:val="ad"/>
    <w:semiHidden/>
    <w:rsid w:val="00D6020E"/>
    <w:rPr>
      <w:b/>
      <w:bCs/>
      <w:sz w:val="24"/>
      <w:szCs w:val="24"/>
    </w:rPr>
  </w:style>
  <w:style w:type="paragraph" w:styleId="af">
    <w:name w:val="Balloon Text"/>
    <w:basedOn w:val="a"/>
    <w:link w:val="af0"/>
    <w:semiHidden/>
    <w:unhideWhenUsed/>
    <w:rsid w:val="00D6020E"/>
    <w:rPr>
      <w:sz w:val="18"/>
      <w:szCs w:val="18"/>
    </w:rPr>
  </w:style>
  <w:style w:type="character" w:customStyle="1" w:styleId="af0">
    <w:name w:val="批注框文本 字符"/>
    <w:basedOn w:val="a0"/>
    <w:link w:val="af"/>
    <w:semiHidden/>
    <w:rsid w:val="00D602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4049">
      <w:bodyDiv w:val="1"/>
      <w:marLeft w:val="0"/>
      <w:marRight w:val="0"/>
      <w:marTop w:val="0"/>
      <w:marBottom w:val="0"/>
      <w:divBdr>
        <w:top w:val="none" w:sz="0" w:space="0" w:color="auto"/>
        <w:left w:val="none" w:sz="0" w:space="0" w:color="auto"/>
        <w:bottom w:val="none" w:sz="0" w:space="0" w:color="auto"/>
        <w:right w:val="none" w:sz="0" w:space="0" w:color="auto"/>
      </w:divBdr>
    </w:div>
    <w:div w:id="294801873">
      <w:bodyDiv w:val="1"/>
      <w:marLeft w:val="0"/>
      <w:marRight w:val="0"/>
      <w:marTop w:val="0"/>
      <w:marBottom w:val="0"/>
      <w:divBdr>
        <w:top w:val="none" w:sz="0" w:space="0" w:color="auto"/>
        <w:left w:val="none" w:sz="0" w:space="0" w:color="auto"/>
        <w:bottom w:val="none" w:sz="0" w:space="0" w:color="auto"/>
        <w:right w:val="none" w:sz="0" w:space="0" w:color="auto"/>
      </w:divBdr>
    </w:div>
    <w:div w:id="733166347">
      <w:bodyDiv w:val="1"/>
      <w:marLeft w:val="0"/>
      <w:marRight w:val="0"/>
      <w:marTop w:val="0"/>
      <w:marBottom w:val="0"/>
      <w:divBdr>
        <w:top w:val="none" w:sz="0" w:space="0" w:color="auto"/>
        <w:left w:val="none" w:sz="0" w:space="0" w:color="auto"/>
        <w:bottom w:val="none" w:sz="0" w:space="0" w:color="auto"/>
        <w:right w:val="none" w:sz="0" w:space="0" w:color="auto"/>
      </w:divBdr>
    </w:div>
    <w:div w:id="875460742">
      <w:bodyDiv w:val="1"/>
      <w:marLeft w:val="0"/>
      <w:marRight w:val="0"/>
      <w:marTop w:val="0"/>
      <w:marBottom w:val="0"/>
      <w:divBdr>
        <w:top w:val="none" w:sz="0" w:space="0" w:color="auto"/>
        <w:left w:val="none" w:sz="0" w:space="0" w:color="auto"/>
        <w:bottom w:val="none" w:sz="0" w:space="0" w:color="auto"/>
        <w:right w:val="none" w:sz="0" w:space="0" w:color="auto"/>
      </w:divBdr>
    </w:div>
    <w:div w:id="1061252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246177/1/WHO-HIV-2016.06-eng.pdf?ua=1"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ps.who.int/iris/bitstream/10665/205035/1/9789241549615_eng.pdf?ua=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f.org/sites/msf.org/files/putting_hiv_and_hcv_to_the_test.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apps.who.int/iris/bitstream/10665/254621/1/9789241549981-eng.pdf?ua=1" TargetMode="External"/><Relationship Id="rId4" Type="http://schemas.openxmlformats.org/officeDocument/2006/relationships/webSettings" Target="webSettings.xml"/><Relationship Id="rId9" Type="http://schemas.openxmlformats.org/officeDocument/2006/relationships/hyperlink" Target="http://apps.who.int/iris/bitstream/10665/255016/1/9789241565455-eng.pdf?ua=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7630</Words>
  <Characters>43953</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De Weggheleire</dc:creator>
  <cp:lastModifiedBy>Jin-Lei Wang</cp:lastModifiedBy>
  <cp:revision>30</cp:revision>
  <cp:lastPrinted>2021-08-19T20:41:00Z</cp:lastPrinted>
  <dcterms:created xsi:type="dcterms:W3CDTF">2021-08-21T20:48:00Z</dcterms:created>
  <dcterms:modified xsi:type="dcterms:W3CDTF">2021-08-24T09:52:00Z</dcterms:modified>
</cp:coreProperties>
</file>