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D145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Name of Journal: </w:t>
      </w:r>
      <w:r w:rsidRPr="00682C4E">
        <w:rPr>
          <w:rFonts w:ascii="Book Antiqua" w:eastAsia="Book Antiqua" w:hAnsi="Book Antiqua" w:cs="Book Antiqua"/>
          <w:i/>
          <w:color w:val="000000"/>
        </w:rPr>
        <w:t>World Journal of Meta-Analysis</w:t>
      </w:r>
    </w:p>
    <w:p w14:paraId="72126DE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Manuscript NO: </w:t>
      </w:r>
      <w:r w:rsidRPr="00682C4E">
        <w:rPr>
          <w:rFonts w:ascii="Book Antiqua" w:eastAsia="Book Antiqua" w:hAnsi="Book Antiqua" w:cs="Book Antiqua"/>
          <w:color w:val="000000"/>
        </w:rPr>
        <w:t>67420</w:t>
      </w:r>
    </w:p>
    <w:p w14:paraId="480E188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Manuscript Type: </w:t>
      </w:r>
      <w:r w:rsidRPr="00682C4E">
        <w:rPr>
          <w:rFonts w:ascii="Book Antiqua" w:eastAsia="Book Antiqua" w:hAnsi="Book Antiqua" w:cs="Book Antiqua"/>
          <w:color w:val="000000"/>
        </w:rPr>
        <w:t>META-ANALYSIS</w:t>
      </w:r>
    </w:p>
    <w:p w14:paraId="5FCF80C1" w14:textId="77777777" w:rsidR="00510012" w:rsidRPr="00682C4E" w:rsidRDefault="00510012" w:rsidP="00FC1600">
      <w:pPr>
        <w:snapToGrid w:val="0"/>
        <w:spacing w:line="360" w:lineRule="auto"/>
        <w:jc w:val="both"/>
        <w:rPr>
          <w:rFonts w:ascii="Book Antiqua" w:hAnsi="Book Antiqua"/>
        </w:rPr>
      </w:pPr>
    </w:p>
    <w:p w14:paraId="368B4F2B" w14:textId="0AE781A9"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Extraintestinal infection of </w:t>
      </w:r>
      <w:r w:rsidR="00682C4E" w:rsidRPr="00FC1600">
        <w:rPr>
          <w:rFonts w:ascii="Book Antiqua" w:eastAsia="Book Antiqua" w:hAnsi="Book Antiqua" w:cs="Book Antiqua"/>
          <w:b/>
          <w:i/>
          <w:iCs/>
          <w:color w:val="000000"/>
        </w:rPr>
        <w:t>L</w:t>
      </w:r>
      <w:r w:rsidRPr="00FC1600">
        <w:rPr>
          <w:rFonts w:ascii="Book Antiqua" w:eastAsia="Book Antiqua" w:hAnsi="Book Antiqua" w:cs="Book Antiqua"/>
          <w:b/>
          <w:i/>
          <w:iCs/>
          <w:color w:val="000000"/>
        </w:rPr>
        <w:t>isteria monocytogenes</w:t>
      </w:r>
      <w:r w:rsidRPr="00682C4E">
        <w:rPr>
          <w:rFonts w:ascii="Book Antiqua" w:eastAsia="Book Antiqua" w:hAnsi="Book Antiqua" w:cs="Book Antiqua"/>
          <w:b/>
          <w:color w:val="000000"/>
        </w:rPr>
        <w:t xml:space="preserve"> and susceptibility to spontaneous abortion during pregnancy: A systematic review and meta-analysis</w:t>
      </w:r>
    </w:p>
    <w:p w14:paraId="19690368" w14:textId="77777777" w:rsidR="00510012" w:rsidRPr="00682C4E" w:rsidRDefault="00510012" w:rsidP="00FC1600">
      <w:pPr>
        <w:snapToGrid w:val="0"/>
        <w:spacing w:line="360" w:lineRule="auto"/>
        <w:jc w:val="both"/>
        <w:rPr>
          <w:rFonts w:ascii="Book Antiqua" w:hAnsi="Book Antiqua"/>
        </w:rPr>
      </w:pPr>
    </w:p>
    <w:p w14:paraId="6CB47E0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Yousefi A </w:t>
      </w:r>
      <w:r w:rsidRPr="00682C4E">
        <w:rPr>
          <w:rFonts w:ascii="Book Antiqua" w:eastAsia="Book Antiqua" w:hAnsi="Book Antiqua" w:cs="Book Antiqua"/>
          <w:i/>
          <w:iCs/>
          <w:color w:val="000000"/>
        </w:rPr>
        <w:t>et al</w:t>
      </w:r>
      <w:r w:rsidRPr="00682C4E">
        <w:rPr>
          <w:rFonts w:ascii="Book Antiqua" w:eastAsia="Book Antiqua" w:hAnsi="Book Antiqua" w:cs="Book Antiqua"/>
          <w:color w:val="000000"/>
        </w:rPr>
        <w:t xml:space="preserve">. </w:t>
      </w:r>
      <w:r w:rsidRPr="00FC1600">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and spontaneous abortion</w:t>
      </w:r>
    </w:p>
    <w:p w14:paraId="6352C24E" w14:textId="77777777" w:rsidR="00510012" w:rsidRPr="00682C4E" w:rsidRDefault="00510012" w:rsidP="00FC1600">
      <w:pPr>
        <w:snapToGrid w:val="0"/>
        <w:spacing w:line="360" w:lineRule="auto"/>
        <w:jc w:val="both"/>
        <w:rPr>
          <w:rFonts w:ascii="Book Antiqua" w:hAnsi="Book Antiqua"/>
        </w:rPr>
      </w:pPr>
    </w:p>
    <w:p w14:paraId="78F5115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Amir Yousefi, Mohsen Karbalaei, Masoud Keikha</w:t>
      </w:r>
    </w:p>
    <w:p w14:paraId="6CA7ED41" w14:textId="77777777" w:rsidR="00510012" w:rsidRPr="00682C4E" w:rsidRDefault="00510012" w:rsidP="00FC1600">
      <w:pPr>
        <w:snapToGrid w:val="0"/>
        <w:spacing w:line="360" w:lineRule="auto"/>
        <w:jc w:val="both"/>
        <w:rPr>
          <w:rFonts w:ascii="Book Antiqua" w:hAnsi="Book Antiqua"/>
        </w:rPr>
      </w:pPr>
    </w:p>
    <w:p w14:paraId="0145DA1E"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Amir Yousefi, Masoud Keikha, </w:t>
      </w:r>
      <w:r w:rsidRPr="00682C4E">
        <w:rPr>
          <w:rFonts w:ascii="Book Antiqua" w:eastAsia="Book Antiqua" w:hAnsi="Book Antiqua" w:cs="Book Antiqua"/>
          <w:color w:val="000000"/>
        </w:rPr>
        <w:t>Department of Microbiology and Virology, Faculty of Medicine, Mashhad University of Medical Sciences, Mashhad 1313199137, Iran</w:t>
      </w:r>
    </w:p>
    <w:p w14:paraId="6FCD5BFB" w14:textId="77777777" w:rsidR="00510012" w:rsidRPr="00682C4E" w:rsidRDefault="00510012" w:rsidP="00FC1600">
      <w:pPr>
        <w:snapToGrid w:val="0"/>
        <w:spacing w:line="360" w:lineRule="auto"/>
        <w:jc w:val="both"/>
        <w:rPr>
          <w:rFonts w:ascii="Book Antiqua" w:hAnsi="Book Antiqua"/>
        </w:rPr>
      </w:pPr>
    </w:p>
    <w:p w14:paraId="344E970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Mohsen Karbalaei, </w:t>
      </w:r>
      <w:r w:rsidRPr="00682C4E">
        <w:rPr>
          <w:rFonts w:ascii="Book Antiqua" w:eastAsia="Book Antiqua" w:hAnsi="Book Antiqua" w:cs="Book Antiqua"/>
          <w:color w:val="000000"/>
        </w:rPr>
        <w:t>Department of Microbiology and Virology, School of Medicine, Jiroft University of Medical Sciences, Jiroft 1313199137, Iran</w:t>
      </w:r>
    </w:p>
    <w:p w14:paraId="4604F409" w14:textId="77777777" w:rsidR="00510012" w:rsidRPr="00682C4E" w:rsidRDefault="00510012" w:rsidP="00FC1600">
      <w:pPr>
        <w:snapToGrid w:val="0"/>
        <w:spacing w:line="360" w:lineRule="auto"/>
        <w:jc w:val="both"/>
        <w:rPr>
          <w:rFonts w:ascii="Book Antiqua" w:hAnsi="Book Antiqua"/>
        </w:rPr>
      </w:pPr>
    </w:p>
    <w:p w14:paraId="4712C6D9" w14:textId="6E65EE6F"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Author contributions: </w:t>
      </w:r>
      <w:r w:rsidRPr="00682C4E">
        <w:rPr>
          <w:rFonts w:ascii="Book Antiqua" w:eastAsia="Book Antiqua" w:hAnsi="Book Antiqua" w:cs="Book Antiqua"/>
          <w:color w:val="000000"/>
        </w:rPr>
        <w:t xml:space="preserve">The study was conceived by Keikha M; Keikha M and Karbalaei M analyzed the data; Yousefi A and Karbalaei M wrote the draft; Keikha M provided critical analysis and revision the draft; </w:t>
      </w:r>
      <w:r w:rsidR="00B444FE">
        <w:rPr>
          <w:rFonts w:ascii="Book Antiqua" w:eastAsia="Book Antiqua" w:hAnsi="Book Antiqua" w:cs="Book Antiqua"/>
          <w:color w:val="000000"/>
        </w:rPr>
        <w:t>A</w:t>
      </w:r>
      <w:r w:rsidRPr="00682C4E">
        <w:rPr>
          <w:rFonts w:ascii="Book Antiqua" w:eastAsia="Book Antiqua" w:hAnsi="Book Antiqua" w:cs="Book Antiqua"/>
          <w:color w:val="000000"/>
        </w:rPr>
        <w:t xml:space="preserve">ll authors read and approved the final manuscript. </w:t>
      </w:r>
    </w:p>
    <w:p w14:paraId="36635AE9" w14:textId="77777777" w:rsidR="00510012" w:rsidRPr="00682C4E" w:rsidRDefault="00510012" w:rsidP="00FC1600">
      <w:pPr>
        <w:snapToGrid w:val="0"/>
        <w:spacing w:line="360" w:lineRule="auto"/>
        <w:jc w:val="both"/>
        <w:rPr>
          <w:rFonts w:ascii="Book Antiqua" w:hAnsi="Book Antiqua"/>
        </w:rPr>
      </w:pPr>
    </w:p>
    <w:p w14:paraId="1CA35B9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Corresponding author: Masoud Keikha, PhD, Doctor, Instructor, Teaching Assistant, </w:t>
      </w:r>
      <w:r w:rsidRPr="00682C4E">
        <w:rPr>
          <w:rFonts w:ascii="Book Antiqua" w:eastAsia="Book Antiqua" w:hAnsi="Book Antiqua" w:cs="Book Antiqua"/>
          <w:color w:val="000000"/>
        </w:rPr>
        <w:t xml:space="preserve">Department of Microbiology and Virology, Faculty of Medicine, Mashhad University of Medical Sciences, Qoreishi Center, Daneshgah </w:t>
      </w:r>
      <w:r w:rsidRPr="00682C4E">
        <w:rPr>
          <w:rFonts w:ascii="Book Antiqua" w:eastAsia="Book Antiqua" w:hAnsi="Book Antiqua" w:cs="Book Antiqua"/>
          <w:caps/>
          <w:color w:val="000000"/>
        </w:rPr>
        <w:t>s</w:t>
      </w:r>
      <w:r w:rsidRPr="00682C4E">
        <w:rPr>
          <w:rFonts w:ascii="Book Antiqua" w:eastAsia="Book Antiqua" w:hAnsi="Book Antiqua" w:cs="Book Antiqua"/>
          <w:color w:val="000000"/>
        </w:rPr>
        <w:t>t</w:t>
      </w:r>
      <w:r w:rsidR="00E35EB6" w:rsidRPr="00682C4E">
        <w:rPr>
          <w:rFonts w:ascii="Book Antiqua" w:eastAsia="Book Antiqua" w:hAnsi="Book Antiqua" w:cs="Book Antiqua"/>
          <w:color w:val="000000"/>
        </w:rPr>
        <w:t>reet</w:t>
      </w:r>
      <w:r w:rsidRPr="00682C4E">
        <w:rPr>
          <w:rFonts w:ascii="Book Antiqua" w:eastAsia="Book Antiqua" w:hAnsi="Book Antiqua" w:cs="Book Antiqua"/>
          <w:color w:val="000000"/>
        </w:rPr>
        <w:t>, Mashhad 1313199137, Iran</w:t>
      </w:r>
      <w:r w:rsidRPr="00682C4E">
        <w:rPr>
          <w:rFonts w:ascii="Book Antiqua" w:eastAsia="宋体" w:hAnsi="Book Antiqua" w:cs="Book Antiqua"/>
          <w:color w:val="000000"/>
          <w:lang w:eastAsia="zh-CN"/>
        </w:rPr>
        <w:t>.</w:t>
      </w:r>
      <w:r w:rsidRPr="00682C4E">
        <w:rPr>
          <w:rFonts w:ascii="Book Antiqua" w:eastAsia="Book Antiqua" w:hAnsi="Book Antiqua" w:cs="Book Antiqua"/>
          <w:color w:val="000000"/>
        </w:rPr>
        <w:t xml:space="preserve"> </w:t>
      </w:r>
      <w:hyperlink r:id="rId7" w:history="1">
        <w:r w:rsidRPr="00682C4E">
          <w:rPr>
            <w:rStyle w:val="ad"/>
            <w:rFonts w:ascii="Book Antiqua" w:eastAsia="Book Antiqua" w:hAnsi="Book Antiqua" w:cs="Book Antiqua"/>
            <w:color w:val="auto"/>
            <w:u w:val="none"/>
          </w:rPr>
          <w:t>masoud.keykha90@gmail.com</w:t>
        </w:r>
      </w:hyperlink>
    </w:p>
    <w:p w14:paraId="41FD5326" w14:textId="77777777" w:rsidR="00510012" w:rsidRPr="00682C4E" w:rsidRDefault="00510012" w:rsidP="00FC1600">
      <w:pPr>
        <w:snapToGrid w:val="0"/>
        <w:spacing w:line="360" w:lineRule="auto"/>
        <w:jc w:val="both"/>
        <w:rPr>
          <w:rFonts w:ascii="Book Antiqua" w:hAnsi="Book Antiqua"/>
        </w:rPr>
      </w:pPr>
    </w:p>
    <w:p w14:paraId="2E6BA17D"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Received: </w:t>
      </w:r>
      <w:r w:rsidRPr="00682C4E">
        <w:rPr>
          <w:rFonts w:ascii="Book Antiqua" w:eastAsia="Book Antiqua" w:hAnsi="Book Antiqua" w:cs="Book Antiqua"/>
          <w:color w:val="000000"/>
        </w:rPr>
        <w:t>April 23, 2021</w:t>
      </w:r>
    </w:p>
    <w:p w14:paraId="721EF33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Revised: </w:t>
      </w:r>
      <w:r w:rsidRPr="00682C4E">
        <w:rPr>
          <w:rFonts w:ascii="Book Antiqua" w:hAnsi="Book Antiqua"/>
        </w:rPr>
        <w:t>June 13, 2021</w:t>
      </w:r>
    </w:p>
    <w:p w14:paraId="2865E877"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lastRenderedPageBreak/>
        <w:t xml:space="preserve">Accepted: </w:t>
      </w:r>
      <w:r w:rsidR="00244E05" w:rsidRPr="00682C4E">
        <w:rPr>
          <w:rFonts w:ascii="Book Antiqua" w:eastAsia="Book Antiqua" w:hAnsi="Book Antiqua" w:cs="Book Antiqua"/>
          <w:bCs/>
          <w:color w:val="000000"/>
        </w:rPr>
        <w:t>June 16, 2021</w:t>
      </w:r>
    </w:p>
    <w:p w14:paraId="2030E82D" w14:textId="3D963137" w:rsidR="00682C4E" w:rsidRDefault="001B61A7" w:rsidP="00FC1600">
      <w:pPr>
        <w:snapToGrid w:val="0"/>
        <w:spacing w:line="360" w:lineRule="auto"/>
        <w:jc w:val="both"/>
        <w:rPr>
          <w:rFonts w:ascii="Book Antiqua" w:eastAsia="Book Antiqua" w:hAnsi="Book Antiqua" w:cs="Book Antiqua"/>
          <w:b/>
          <w:color w:val="000000"/>
        </w:rPr>
      </w:pPr>
      <w:r w:rsidRPr="00682C4E">
        <w:rPr>
          <w:rFonts w:ascii="Book Antiqua" w:eastAsia="Book Antiqua" w:hAnsi="Book Antiqua" w:cs="Book Antiqua"/>
          <w:b/>
          <w:bCs/>
          <w:color w:val="000000"/>
        </w:rPr>
        <w:t xml:space="preserve">Published online: </w:t>
      </w:r>
      <w:r w:rsidR="00F3606A" w:rsidRPr="00682C4E">
        <w:rPr>
          <w:rFonts w:ascii="Book Antiqua" w:eastAsia="Book Antiqua" w:hAnsi="Book Antiqua" w:cs="Book Antiqua"/>
          <w:bCs/>
          <w:color w:val="000000"/>
        </w:rPr>
        <w:t xml:space="preserve">June </w:t>
      </w:r>
      <w:r w:rsidR="00F3606A">
        <w:rPr>
          <w:rFonts w:ascii="Book Antiqua" w:eastAsia="Book Antiqua" w:hAnsi="Book Antiqua" w:cs="Book Antiqua"/>
          <w:bCs/>
          <w:color w:val="000000"/>
        </w:rPr>
        <w:t>28</w:t>
      </w:r>
      <w:r w:rsidR="00F3606A" w:rsidRPr="00682C4E">
        <w:rPr>
          <w:rFonts w:ascii="Book Antiqua" w:eastAsia="Book Antiqua" w:hAnsi="Book Antiqua" w:cs="Book Antiqua"/>
          <w:bCs/>
          <w:color w:val="000000"/>
        </w:rPr>
        <w:t>, 2021</w:t>
      </w:r>
      <w:r w:rsidR="00682C4E">
        <w:rPr>
          <w:rFonts w:ascii="Book Antiqua" w:eastAsia="Book Antiqua" w:hAnsi="Book Antiqua" w:cs="Book Antiqua"/>
          <w:b/>
          <w:color w:val="000000"/>
        </w:rPr>
        <w:br w:type="page"/>
      </w:r>
    </w:p>
    <w:p w14:paraId="7BEDAA2E" w14:textId="713BDA41"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lastRenderedPageBreak/>
        <w:t>Abstract</w:t>
      </w:r>
    </w:p>
    <w:p w14:paraId="67A6A6F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BACKGROUND</w:t>
      </w:r>
    </w:p>
    <w:p w14:paraId="7F61108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is one of the most important zoonotic bacteria that is transmitted to humans through infected animal products and is the cause of human listeriosis. Pregnant women and immunocompromised patients are more susceptible to the bacterium than healthy people. Recent studies have reported extensive evidence on the role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and the risk of spontaneous abortion. </w:t>
      </w:r>
    </w:p>
    <w:p w14:paraId="49C4C67E" w14:textId="77777777" w:rsidR="00510012" w:rsidRPr="00682C4E" w:rsidRDefault="00510012" w:rsidP="00FC1600">
      <w:pPr>
        <w:snapToGrid w:val="0"/>
        <w:spacing w:line="360" w:lineRule="auto"/>
        <w:jc w:val="both"/>
        <w:rPr>
          <w:rFonts w:ascii="Book Antiqua" w:hAnsi="Book Antiqua"/>
        </w:rPr>
      </w:pPr>
    </w:p>
    <w:p w14:paraId="1CFF9E87"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AIM</w:t>
      </w:r>
    </w:p>
    <w:p w14:paraId="157150DA" w14:textId="77777777"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To evaluate the possible connection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the risk of spontaneous abortion in pregnancy.</w:t>
      </w:r>
    </w:p>
    <w:p w14:paraId="37376A53" w14:textId="77777777" w:rsidR="00510012" w:rsidRPr="00682C4E" w:rsidRDefault="00510012" w:rsidP="00FC1600">
      <w:pPr>
        <w:snapToGrid w:val="0"/>
        <w:spacing w:line="360" w:lineRule="auto"/>
        <w:jc w:val="both"/>
        <w:rPr>
          <w:rFonts w:ascii="Book Antiqua" w:hAnsi="Book Antiqua"/>
        </w:rPr>
      </w:pPr>
    </w:p>
    <w:p w14:paraId="63F6D5A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METHODS</w:t>
      </w:r>
    </w:p>
    <w:p w14:paraId="0F6F7044"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We conducted a systematic literature review using several databases to search the relevant case-control studies on the association between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and spontaneous abortion. Finally, the impact of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risk of spontaneous abortion was assessed </w:t>
      </w:r>
      <w:r w:rsidRPr="00682C4E">
        <w:rPr>
          <w:rFonts w:ascii="Book Antiqua" w:eastAsia="Book Antiqua" w:hAnsi="Book Antiqua" w:cs="Book Antiqua"/>
          <w:i/>
          <w:iCs/>
          <w:color w:val="000000"/>
        </w:rPr>
        <w:t>via</w:t>
      </w:r>
      <w:r w:rsidRPr="00682C4E">
        <w:rPr>
          <w:rFonts w:ascii="Book Antiqua" w:eastAsia="Book Antiqua" w:hAnsi="Book Antiqua" w:cs="Book Antiqua"/>
          <w:color w:val="000000"/>
        </w:rPr>
        <w:t xml:space="preserve"> odds ratio at corresponding 95% confidence intervals.</w:t>
      </w:r>
    </w:p>
    <w:p w14:paraId="41329933" w14:textId="77777777" w:rsidR="00510012" w:rsidRPr="00682C4E" w:rsidRDefault="00510012" w:rsidP="00FC1600">
      <w:pPr>
        <w:snapToGrid w:val="0"/>
        <w:spacing w:line="360" w:lineRule="auto"/>
        <w:jc w:val="both"/>
        <w:rPr>
          <w:rFonts w:ascii="Book Antiqua" w:hAnsi="Book Antiqua"/>
        </w:rPr>
      </w:pPr>
    </w:p>
    <w:p w14:paraId="4D2C11B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RESULTS</w:t>
      </w:r>
    </w:p>
    <w:p w14:paraId="2EB091AB" w14:textId="286F19AD"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In the present study, we evaluated the data of 4059 pregnant women who had a spontaneous abortion, and interestingly their colonization rate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was about 20.5%. </w:t>
      </w:r>
    </w:p>
    <w:p w14:paraId="46D10E15" w14:textId="77777777" w:rsidR="00510012" w:rsidRPr="00682C4E" w:rsidRDefault="00510012" w:rsidP="00FC1600">
      <w:pPr>
        <w:snapToGrid w:val="0"/>
        <w:spacing w:line="360" w:lineRule="auto"/>
        <w:jc w:val="both"/>
        <w:rPr>
          <w:rFonts w:ascii="Book Antiqua" w:hAnsi="Book Antiqua"/>
        </w:rPr>
      </w:pPr>
    </w:p>
    <w:p w14:paraId="5D1627F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CONCLUSION</w:t>
      </w:r>
    </w:p>
    <w:p w14:paraId="36086E53"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Therefore, based on statistical analysis, we found that there is a significant relationship between the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spontaneous abortion.</w:t>
      </w:r>
    </w:p>
    <w:p w14:paraId="7C7D2B15" w14:textId="77777777" w:rsidR="00510012" w:rsidRPr="00682C4E" w:rsidRDefault="00510012" w:rsidP="00FC1600">
      <w:pPr>
        <w:snapToGrid w:val="0"/>
        <w:spacing w:line="360" w:lineRule="auto"/>
        <w:jc w:val="both"/>
        <w:rPr>
          <w:rFonts w:ascii="Book Antiqua" w:hAnsi="Book Antiqua"/>
        </w:rPr>
      </w:pPr>
    </w:p>
    <w:p w14:paraId="68EAC90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lastRenderedPageBreak/>
        <w:t xml:space="preserve">Key Words: </w:t>
      </w: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Meta-analysis; Pregnancy; Spontaneous abortion; Women</w:t>
      </w:r>
    </w:p>
    <w:p w14:paraId="6D03626D" w14:textId="77777777" w:rsidR="000A1BC3" w:rsidRDefault="000A1BC3" w:rsidP="000A1BC3">
      <w:pPr>
        <w:spacing w:line="360" w:lineRule="auto"/>
        <w:jc w:val="both"/>
        <w:rPr>
          <w:lang w:eastAsia="zh-CN"/>
        </w:rPr>
      </w:pPr>
    </w:p>
    <w:p w14:paraId="35E3D188" w14:textId="77777777" w:rsidR="000A1BC3" w:rsidRDefault="000A1BC3" w:rsidP="000A1BC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7FEA1177" w14:textId="77777777" w:rsidR="000A1BC3" w:rsidRDefault="000A1BC3" w:rsidP="000A1BC3">
      <w:pPr>
        <w:spacing w:line="360" w:lineRule="auto"/>
        <w:jc w:val="both"/>
        <w:rPr>
          <w:lang w:eastAsia="zh-CN"/>
        </w:rPr>
      </w:pPr>
    </w:p>
    <w:p w14:paraId="5D2A8883" w14:textId="02A85BD4" w:rsidR="00AD4AAA" w:rsidRDefault="000A1BC3" w:rsidP="000A1BC3">
      <w:pPr>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B61A7" w:rsidRPr="00682C4E">
        <w:rPr>
          <w:rFonts w:ascii="Book Antiqua" w:eastAsia="Book Antiqua" w:hAnsi="Book Antiqua" w:cs="Book Antiqua"/>
          <w:color w:val="000000"/>
        </w:rPr>
        <w:t xml:space="preserve">Yousefi A, Karbalaei M, Keikha M. Extraintestinal infection of </w:t>
      </w:r>
      <w:r w:rsidR="00682C4E" w:rsidRPr="00FC1600">
        <w:rPr>
          <w:rFonts w:ascii="Book Antiqua" w:eastAsia="Book Antiqua" w:hAnsi="Book Antiqua" w:cs="Book Antiqua"/>
          <w:i/>
          <w:iCs/>
          <w:color w:val="000000"/>
        </w:rPr>
        <w:t>L</w:t>
      </w:r>
      <w:r w:rsidR="001B61A7" w:rsidRPr="00FC1600">
        <w:rPr>
          <w:rFonts w:ascii="Book Antiqua" w:eastAsia="Book Antiqua" w:hAnsi="Book Antiqua" w:cs="Book Antiqua"/>
          <w:i/>
          <w:iCs/>
          <w:color w:val="000000"/>
        </w:rPr>
        <w:t>isteria monocytogenes</w:t>
      </w:r>
      <w:r w:rsidR="001B61A7" w:rsidRPr="00682C4E">
        <w:rPr>
          <w:rFonts w:ascii="Book Antiqua" w:eastAsia="Book Antiqua" w:hAnsi="Book Antiqua" w:cs="Book Antiqua"/>
          <w:color w:val="000000"/>
        </w:rPr>
        <w:t xml:space="preserve"> and susceptibility to spontaneous abortion during pregnancy: A systematic review and meta-analysis. </w:t>
      </w:r>
      <w:r w:rsidR="001B61A7" w:rsidRPr="00682C4E">
        <w:rPr>
          <w:rFonts w:ascii="Book Antiqua" w:eastAsia="Book Antiqua" w:hAnsi="Book Antiqua" w:cs="Book Antiqua"/>
          <w:i/>
          <w:iCs/>
          <w:color w:val="000000"/>
        </w:rPr>
        <w:t>World J Meta-Anal</w:t>
      </w:r>
      <w:r w:rsidR="001B61A7" w:rsidRPr="00682C4E">
        <w:rPr>
          <w:rFonts w:ascii="Book Antiqua" w:eastAsia="Book Antiqua" w:hAnsi="Book Antiqua" w:cs="Book Antiqua"/>
          <w:color w:val="000000"/>
        </w:rPr>
        <w:t xml:space="preserve"> 2021; </w:t>
      </w:r>
      <w:r w:rsidR="004F136D" w:rsidRPr="004F136D">
        <w:rPr>
          <w:rFonts w:ascii="Book Antiqua" w:eastAsia="Book Antiqua" w:hAnsi="Book Antiqua" w:cs="Book Antiqua"/>
          <w:color w:val="000000"/>
        </w:rPr>
        <w:t xml:space="preserve">9(3): </w:t>
      </w:r>
      <w:r w:rsidR="00AD4AAA" w:rsidRPr="00AD4AAA">
        <w:rPr>
          <w:rFonts w:ascii="Book Antiqua" w:eastAsia="Book Antiqua" w:hAnsi="Book Antiqua" w:cs="Book Antiqua"/>
          <w:color w:val="000000"/>
        </w:rPr>
        <w:t>317-326</w:t>
      </w:r>
      <w:r w:rsidR="004F136D" w:rsidRPr="004F136D">
        <w:rPr>
          <w:rFonts w:ascii="Book Antiqua" w:eastAsia="Book Antiqua" w:hAnsi="Book Antiqua" w:cs="Book Antiqua"/>
          <w:color w:val="000000"/>
        </w:rPr>
        <w:t xml:space="preserve">  </w:t>
      </w:r>
    </w:p>
    <w:p w14:paraId="4E90F245" w14:textId="576FE424" w:rsidR="00AD4AAA" w:rsidRDefault="004F136D" w:rsidP="000A1BC3">
      <w:pPr>
        <w:snapToGrid w:val="0"/>
        <w:spacing w:line="360" w:lineRule="auto"/>
        <w:jc w:val="both"/>
        <w:rPr>
          <w:rFonts w:ascii="Book Antiqua" w:eastAsia="Book Antiqua" w:hAnsi="Book Antiqua" w:cs="Book Antiqua"/>
          <w:color w:val="000000"/>
        </w:rPr>
      </w:pPr>
      <w:r w:rsidRPr="004F136D">
        <w:rPr>
          <w:rFonts w:ascii="Book Antiqua" w:eastAsia="Book Antiqua" w:hAnsi="Book Antiqua" w:cs="Book Antiqua"/>
          <w:color w:val="000000"/>
        </w:rPr>
        <w:t>URL: https://www.wjgnet.com/2308-3840/full/v9/i3/</w:t>
      </w:r>
      <w:r w:rsidR="00AD4AAA" w:rsidRPr="00AD4AAA">
        <w:rPr>
          <w:rFonts w:ascii="Book Antiqua" w:eastAsia="Book Antiqua" w:hAnsi="Book Antiqua" w:cs="Book Antiqua"/>
          <w:color w:val="000000"/>
        </w:rPr>
        <w:t>317</w:t>
      </w:r>
      <w:r w:rsidRPr="004F136D">
        <w:rPr>
          <w:rFonts w:ascii="Book Antiqua" w:eastAsia="Book Antiqua" w:hAnsi="Book Antiqua" w:cs="Book Antiqua"/>
          <w:color w:val="000000"/>
        </w:rPr>
        <w:t xml:space="preserve">.htm  </w:t>
      </w:r>
    </w:p>
    <w:p w14:paraId="2CCF62DD" w14:textId="46FBEFCB" w:rsidR="00510012" w:rsidRPr="00682C4E" w:rsidRDefault="004F136D" w:rsidP="000A1BC3">
      <w:pPr>
        <w:snapToGrid w:val="0"/>
        <w:spacing w:line="360" w:lineRule="auto"/>
        <w:jc w:val="both"/>
        <w:rPr>
          <w:rFonts w:ascii="Book Antiqua" w:hAnsi="Book Antiqua"/>
        </w:rPr>
      </w:pPr>
      <w:r w:rsidRPr="004F136D">
        <w:rPr>
          <w:rFonts w:ascii="Book Antiqua" w:eastAsia="Book Antiqua" w:hAnsi="Book Antiqua" w:cs="Book Antiqua"/>
          <w:color w:val="000000"/>
        </w:rPr>
        <w:t>DOI: https://dx.doi.org/10.13105/wjma.v9.i3.</w:t>
      </w:r>
      <w:r w:rsidR="00AD4AAA" w:rsidRPr="00AD4AAA">
        <w:rPr>
          <w:rFonts w:ascii="Book Antiqua" w:eastAsia="Book Antiqua" w:hAnsi="Book Antiqua" w:cs="Book Antiqua"/>
          <w:color w:val="000000"/>
        </w:rPr>
        <w:t>317</w:t>
      </w:r>
    </w:p>
    <w:p w14:paraId="2B107102" w14:textId="77777777" w:rsidR="00510012" w:rsidRPr="00682C4E" w:rsidRDefault="00510012" w:rsidP="00FC1600">
      <w:pPr>
        <w:snapToGrid w:val="0"/>
        <w:spacing w:line="360" w:lineRule="auto"/>
        <w:jc w:val="both"/>
        <w:rPr>
          <w:rFonts w:ascii="Book Antiqua" w:hAnsi="Book Antiqua"/>
        </w:rPr>
      </w:pPr>
    </w:p>
    <w:p w14:paraId="30CC2076" w14:textId="40C759F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Core Tip: </w:t>
      </w: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is one of the most </w:t>
      </w:r>
      <w:r w:rsidR="00682C4E">
        <w:rPr>
          <w:rFonts w:ascii="Book Antiqua" w:eastAsia="Book Antiqua" w:hAnsi="Book Antiqua" w:cs="Book Antiqua"/>
          <w:color w:val="000000"/>
        </w:rPr>
        <w:t xml:space="preserve">common </w:t>
      </w:r>
      <w:r w:rsidRPr="00682C4E">
        <w:rPr>
          <w:rFonts w:ascii="Book Antiqua" w:eastAsia="Book Antiqua" w:hAnsi="Book Antiqua" w:cs="Book Antiqua"/>
          <w:color w:val="000000"/>
        </w:rPr>
        <w:t>bacterial infection</w:t>
      </w:r>
      <w:r w:rsidR="00682C4E">
        <w:rPr>
          <w:rFonts w:ascii="Book Antiqua" w:eastAsia="Book Antiqua" w:hAnsi="Book Antiqua" w:cs="Book Antiqua"/>
          <w:color w:val="000000"/>
        </w:rPr>
        <w:t>s</w:t>
      </w:r>
      <w:r w:rsidRPr="00682C4E">
        <w:rPr>
          <w:rFonts w:ascii="Book Antiqua" w:eastAsia="Book Antiqua" w:hAnsi="Book Antiqua" w:cs="Book Antiqua"/>
          <w:color w:val="000000"/>
        </w:rPr>
        <w:t xml:space="preserve"> among developing countries. Acquisition of this bacterium during pregnancy is dangerous for </w:t>
      </w:r>
      <w:r w:rsidR="00682C4E">
        <w:rPr>
          <w:rFonts w:ascii="Book Antiqua" w:eastAsia="Book Antiqua" w:hAnsi="Book Antiqua" w:cs="Book Antiqua"/>
          <w:color w:val="000000"/>
        </w:rPr>
        <w:t xml:space="preserve">the </w:t>
      </w:r>
      <w:r w:rsidRPr="00682C4E">
        <w:rPr>
          <w:rFonts w:ascii="Book Antiqua" w:eastAsia="Book Antiqua" w:hAnsi="Book Antiqua" w:cs="Book Antiqua"/>
          <w:color w:val="000000"/>
        </w:rPr>
        <w:t>health of neonates. Our results suggested that</w:t>
      </w:r>
      <w:r w:rsidRPr="00682C4E">
        <w:rPr>
          <w:rFonts w:ascii="Book Antiqua" w:eastAsia="Book Antiqua" w:hAnsi="Book Antiqua" w:cs="Book Antiqua"/>
          <w:i/>
          <w:iCs/>
          <w:color w:val="000000"/>
        </w:rPr>
        <w:t xml:space="preserve"> L</w:t>
      </w:r>
      <w:r w:rsidR="00682C4E">
        <w:rPr>
          <w:rFonts w:ascii="Book Antiqua" w:eastAsia="Book Antiqua" w:hAnsi="Book Antiqua" w:cs="Book Antiqua"/>
          <w:i/>
          <w:iCs/>
          <w:color w:val="000000"/>
        </w:rPr>
        <w:t>isteria</w:t>
      </w:r>
      <w:r w:rsidRPr="00682C4E">
        <w:rPr>
          <w:rFonts w:ascii="Book Antiqua" w:eastAsia="Book Antiqua" w:hAnsi="Book Antiqua" w:cs="Book Antiqua"/>
          <w:i/>
          <w:iCs/>
          <w:color w:val="000000"/>
        </w:rPr>
        <w:t xml:space="preserve"> monocytogenes</w:t>
      </w:r>
      <w:r w:rsidRPr="00682C4E">
        <w:rPr>
          <w:rFonts w:ascii="Book Antiqua" w:eastAsia="Book Antiqua" w:hAnsi="Book Antiqua" w:cs="Book Antiqua"/>
          <w:color w:val="000000"/>
        </w:rPr>
        <w:t xml:space="preserve"> can significantly increas</w:t>
      </w:r>
      <w:r w:rsidR="00682C4E">
        <w:rPr>
          <w:rFonts w:ascii="Book Antiqua" w:eastAsia="Book Antiqua" w:hAnsi="Book Antiqua" w:cs="Book Antiqua"/>
          <w:color w:val="000000"/>
        </w:rPr>
        <w:t>e the</w:t>
      </w:r>
      <w:r w:rsidRPr="00682C4E">
        <w:rPr>
          <w:rFonts w:ascii="Book Antiqua" w:eastAsia="Book Antiqua" w:hAnsi="Book Antiqua" w:cs="Book Antiqua"/>
          <w:color w:val="000000"/>
        </w:rPr>
        <w:t xml:space="preserve"> risk of spontaneous abortion during pregnancy.</w:t>
      </w:r>
    </w:p>
    <w:p w14:paraId="22061454" w14:textId="77777777" w:rsidR="00510012" w:rsidRPr="00682C4E" w:rsidRDefault="00510012" w:rsidP="00FC1600">
      <w:pPr>
        <w:snapToGrid w:val="0"/>
        <w:spacing w:line="360" w:lineRule="auto"/>
        <w:jc w:val="both"/>
        <w:rPr>
          <w:rFonts w:ascii="Book Antiqua" w:hAnsi="Book Antiqua"/>
        </w:rPr>
      </w:pPr>
    </w:p>
    <w:p w14:paraId="5E469C9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br w:type="page"/>
      </w:r>
      <w:r w:rsidRPr="00682C4E">
        <w:rPr>
          <w:rFonts w:ascii="Book Antiqua" w:eastAsia="Book Antiqua" w:hAnsi="Book Antiqua" w:cs="Book Antiqua"/>
          <w:b/>
          <w:caps/>
          <w:color w:val="000000"/>
          <w:u w:val="single"/>
        </w:rPr>
        <w:lastRenderedPageBreak/>
        <w:t>INTRODUCTION</w:t>
      </w:r>
    </w:p>
    <w:p w14:paraId="4FCA59F6" w14:textId="53C65705" w:rsid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Spontaneous abortion is one of the biggest health challenges that has increased in recent decades, especially due to </w:t>
      </w:r>
      <w:r w:rsidRPr="00682C4E">
        <w:rPr>
          <w:rFonts w:ascii="Book Antiqua" w:eastAsia="Book Antiqua" w:hAnsi="Book Antiqua" w:cs="Book Antiqua"/>
          <w:i/>
          <w:iCs/>
          <w:color w:val="000000"/>
        </w:rPr>
        <w:t>in vitro</w:t>
      </w:r>
      <w:r w:rsidRPr="00682C4E">
        <w:rPr>
          <w:rFonts w:ascii="Book Antiqua" w:eastAsia="Book Antiqua" w:hAnsi="Book Antiqua" w:cs="Book Antiqua"/>
          <w:color w:val="000000"/>
        </w:rPr>
        <w:t xml:space="preserve"> fertilization methods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such as </w:t>
      </w:r>
      <w:r w:rsidR="00682C4E" w:rsidRPr="00682C4E">
        <w:rPr>
          <w:rFonts w:ascii="Book Antiqua" w:eastAsia="Book Antiqua" w:hAnsi="Book Antiqua" w:cs="Book Antiqua"/>
          <w:i/>
          <w:iCs/>
          <w:color w:val="000000"/>
        </w:rPr>
        <w:t>in vitro</w:t>
      </w:r>
      <w:r w:rsidR="00682C4E" w:rsidRPr="00682C4E">
        <w:rPr>
          <w:rFonts w:ascii="Book Antiqua" w:eastAsia="Book Antiqua" w:hAnsi="Book Antiqua" w:cs="Book Antiqua"/>
          <w:color w:val="000000"/>
        </w:rPr>
        <w:t xml:space="preserve"> fertilization</w:t>
      </w:r>
      <w:r w:rsidRPr="00682C4E">
        <w:rPr>
          <w:rFonts w:ascii="Book Antiqua" w:eastAsia="Book Antiqua" w:hAnsi="Book Antiqua" w:cs="Book Antiqua"/>
          <w:color w:val="000000"/>
        </w:rPr>
        <w:t>, gamete intrafallopian transfer, and intracytoplasmic sperm injection</w:t>
      </w:r>
      <w:r w:rsidRPr="00682C4E">
        <w:rPr>
          <w:rFonts w:ascii="Book Antiqua" w:eastAsia="Book Antiqua" w:hAnsi="Book Antiqua" w:cs="Book Antiqua"/>
          <w:color w:val="000000"/>
          <w:vertAlign w:val="superscript"/>
        </w:rPr>
        <w:t>[1]</w:t>
      </w:r>
      <w:r w:rsidRPr="00682C4E">
        <w:rPr>
          <w:rFonts w:ascii="Book Antiqua" w:eastAsia="Book Antiqua" w:hAnsi="Book Antiqua" w:cs="Book Antiqua"/>
          <w:color w:val="000000"/>
        </w:rPr>
        <w:t>. About 1% of women suffer from recurrent miscarriage, so this phenomenon can be considered a serious threat to population decline</w:t>
      </w:r>
      <w:r w:rsidRPr="00682C4E">
        <w:rPr>
          <w:rFonts w:ascii="Book Antiqua" w:eastAsia="Book Antiqua" w:hAnsi="Book Antiqua" w:cs="Book Antiqua"/>
          <w:color w:val="000000"/>
          <w:vertAlign w:val="superscript"/>
        </w:rPr>
        <w:t>[1,2]</w:t>
      </w:r>
      <w:r w:rsidRPr="00682C4E">
        <w:rPr>
          <w:rFonts w:ascii="Book Antiqua" w:eastAsia="Book Antiqua" w:hAnsi="Book Antiqua" w:cs="Book Antiqua"/>
          <w:color w:val="000000"/>
        </w:rPr>
        <w:t>. The prevalence of spontaneous abortion in the world is reported to be 10%-20%, and many factors such as blood type, ectopic pregnancy, smoking, obesity, history of cesarean section, fertility treatment</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infectious pathogens are involved in its occurrence</w:t>
      </w:r>
      <w:r w:rsidRPr="00682C4E">
        <w:rPr>
          <w:rFonts w:ascii="Book Antiqua" w:eastAsia="Book Antiqua" w:hAnsi="Book Antiqua" w:cs="Book Antiqua"/>
          <w:color w:val="000000"/>
          <w:vertAlign w:val="superscript"/>
        </w:rPr>
        <w:t>[3,4]</w:t>
      </w:r>
      <w:r w:rsidRPr="00682C4E">
        <w:rPr>
          <w:rFonts w:ascii="Book Antiqua" w:eastAsia="Book Antiqua" w:hAnsi="Book Antiqua" w:cs="Book Antiqua"/>
          <w:color w:val="000000"/>
        </w:rPr>
        <w:t xml:space="preserve">. According to the literature, several infectious microorganisms such as </w:t>
      </w:r>
      <w:r w:rsidRPr="00682C4E">
        <w:rPr>
          <w:rFonts w:ascii="Book Antiqua" w:eastAsia="Book Antiqua" w:hAnsi="Book Antiqua" w:cs="Book Antiqua"/>
          <w:i/>
          <w:iCs/>
          <w:color w:val="000000"/>
        </w:rPr>
        <w:t>Chlamydia trachomatis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Ureaplasma urealyticum</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Mycoplasma hominis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herpes simplex viruses, adenoviruses, human polyomaviruses, and cytomegalovirus play an important role in individual susceptibility to spontaneous abortion</w:t>
      </w:r>
      <w:r w:rsidRPr="00682C4E">
        <w:rPr>
          <w:rFonts w:ascii="Book Antiqua" w:eastAsia="Book Antiqua" w:hAnsi="Book Antiqua" w:cs="Book Antiqua"/>
          <w:color w:val="000000"/>
          <w:vertAlign w:val="superscript"/>
        </w:rPr>
        <w:t>[5,6]</w:t>
      </w:r>
      <w:r w:rsidRPr="00682C4E">
        <w:rPr>
          <w:rFonts w:ascii="Book Antiqua" w:eastAsia="Book Antiqua" w:hAnsi="Book Antiqua" w:cs="Book Antiqua"/>
          <w:color w:val="000000"/>
        </w:rPr>
        <w:t xml:space="preserve">. </w:t>
      </w:r>
    </w:p>
    <w:p w14:paraId="55F2A1BA" w14:textId="26AE42C5" w:rsidR="00510012" w:rsidRPr="00682C4E" w:rsidRDefault="001B61A7" w:rsidP="00FC1600">
      <w:pPr>
        <w:snapToGrid w:val="0"/>
        <w:spacing w:line="360" w:lineRule="auto"/>
        <w:ind w:firstLine="450"/>
        <w:jc w:val="both"/>
        <w:rPr>
          <w:rFonts w:ascii="Book Antiqua" w:hAnsi="Book Antiqua"/>
        </w:rPr>
      </w:pP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is a gram-positive, non-spore forming, facultative anaerobe, and motile bacterium that naturally resides in sources such as water, soil, vegetables, dairy products, and processed food</w:t>
      </w:r>
      <w:r w:rsidRPr="00682C4E">
        <w:rPr>
          <w:rFonts w:ascii="Book Antiqua" w:eastAsia="Book Antiqua" w:hAnsi="Book Antiqua" w:cs="Book Antiqua"/>
          <w:color w:val="000000"/>
          <w:vertAlign w:val="superscript"/>
        </w:rPr>
        <w:t>[7]</w:t>
      </w:r>
      <w:r w:rsidRPr="00682C4E">
        <w:rPr>
          <w:rFonts w:ascii="Book Antiqua" w:eastAsia="Book Antiqua" w:hAnsi="Book Antiqua" w:cs="Book Antiqua"/>
          <w:color w:val="000000"/>
        </w:rPr>
        <w:t>. These bacteria enter the human body through the fecal-oral route and can withstand harsh environmental conditions such as acidic pH, high salt concentration, and low temperature</w:t>
      </w:r>
      <w:r w:rsidRPr="00682C4E">
        <w:rPr>
          <w:rFonts w:ascii="Book Antiqua" w:eastAsia="Book Antiqua" w:hAnsi="Book Antiqua" w:cs="Book Antiqua"/>
          <w:color w:val="000000"/>
          <w:vertAlign w:val="superscript"/>
        </w:rPr>
        <w:t>[8]</w:t>
      </w:r>
      <w:r w:rsidRPr="00682C4E">
        <w:rPr>
          <w:rFonts w:ascii="Book Antiqua" w:eastAsia="Book Antiqua" w:hAnsi="Book Antiqua" w:cs="Book Antiqua"/>
          <w:color w:val="000000"/>
        </w:rPr>
        <w:t>. This bacterium can cross the intestinal barrier and enter various tissues through hematogenous dissemination, particularly the placenta-fetal unit and the cerebrospinal fluid</w:t>
      </w:r>
      <w:r w:rsidRPr="00682C4E">
        <w:rPr>
          <w:rFonts w:ascii="Book Antiqua" w:eastAsia="Book Antiqua" w:hAnsi="Book Antiqua" w:cs="Book Antiqua"/>
          <w:color w:val="000000"/>
          <w:vertAlign w:val="superscript"/>
        </w:rPr>
        <w:t>[9,10]</w:t>
      </w:r>
      <w:r w:rsidRPr="00682C4E">
        <w:rPr>
          <w:rFonts w:ascii="Book Antiqua" w:eastAsia="Book Antiqua" w:hAnsi="Book Antiqua" w:cs="Book Antiqua"/>
          <w:color w:val="000000"/>
        </w:rPr>
        <w:t xml:space="preserve">. Studies show that pregnant women are about 17 times more likely to be infected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than the general population</w:t>
      </w:r>
      <w:r w:rsidRPr="00682C4E">
        <w:rPr>
          <w:rFonts w:ascii="Book Antiqua" w:eastAsia="Book Antiqua" w:hAnsi="Book Antiqua" w:cs="Book Antiqua"/>
          <w:color w:val="000000"/>
          <w:vertAlign w:val="superscript"/>
        </w:rPr>
        <w:t>[11]</w:t>
      </w:r>
      <w:r w:rsidRPr="00682C4E">
        <w:rPr>
          <w:rFonts w:ascii="Book Antiqua" w:eastAsia="Book Antiqua" w:hAnsi="Book Antiqua" w:cs="Book Antiqua"/>
          <w:color w:val="000000"/>
        </w:rPr>
        <w:t>. Numerous studies have been performed on the effects of infection</w:t>
      </w:r>
      <w:r w:rsidR="00682C4E" w:rsidRPr="00682C4E">
        <w:rPr>
          <w:rFonts w:ascii="Book Antiqua" w:eastAsia="Book Antiqua" w:hAnsi="Book Antiqua" w:cs="Book Antiqua"/>
          <w:color w:val="000000"/>
        </w:rPr>
        <w:t xml:space="preserve"> of </w:t>
      </w:r>
      <w:r w:rsidR="00682C4E"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abortion in humans and animals</w:t>
      </w:r>
      <w:r w:rsidRPr="00682C4E">
        <w:rPr>
          <w:rFonts w:ascii="Book Antiqua" w:eastAsia="Book Antiqua" w:hAnsi="Book Antiqua" w:cs="Book Antiqua"/>
          <w:color w:val="000000"/>
          <w:vertAlign w:val="superscript"/>
        </w:rPr>
        <w:t>[12]</w:t>
      </w:r>
      <w:r w:rsidRPr="00682C4E">
        <w:rPr>
          <w:rFonts w:ascii="Book Antiqua" w:eastAsia="Book Antiqua" w:hAnsi="Book Antiqua" w:cs="Book Antiqua"/>
          <w:color w:val="000000"/>
        </w:rPr>
        <w:t>. The aim of this study was to investigate the effects of extraintestinal infection with this pathogen and susceptibility to spontaneous abortion</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82C4E">
        <w:rPr>
          <w:rFonts w:ascii="Book Antiqua" w:eastAsia="Book Antiqua" w:hAnsi="Book Antiqua" w:cs="Book Antiqua"/>
          <w:color w:val="000000"/>
        </w:rPr>
        <w:t>W</w:t>
      </w:r>
      <w:r w:rsidRPr="00682C4E">
        <w:rPr>
          <w:rFonts w:ascii="Book Antiqua" w:eastAsia="Book Antiqua" w:hAnsi="Book Antiqua" w:cs="Book Antiqua"/>
          <w:color w:val="000000"/>
        </w:rPr>
        <w:t xml:space="preserve">e estimated the frequency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colonization in the women who had a spontaneous miscarriage.</w:t>
      </w:r>
    </w:p>
    <w:p w14:paraId="583337FB" w14:textId="77777777" w:rsidR="00510012" w:rsidRPr="00682C4E" w:rsidRDefault="00510012" w:rsidP="00FC1600">
      <w:pPr>
        <w:snapToGrid w:val="0"/>
        <w:spacing w:line="360" w:lineRule="auto"/>
        <w:jc w:val="both"/>
        <w:rPr>
          <w:rFonts w:ascii="Book Antiqua" w:hAnsi="Book Antiqua"/>
        </w:rPr>
      </w:pPr>
    </w:p>
    <w:p w14:paraId="3FF7891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MATERIALS AND METHODS</w:t>
      </w:r>
    </w:p>
    <w:p w14:paraId="16537A06"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Search strategy and study selection</w:t>
      </w:r>
    </w:p>
    <w:p w14:paraId="1B7CE7E9" w14:textId="38BADFDE"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lastRenderedPageBreak/>
        <w:t xml:space="preserve">Initially, a systematic search of global databases such as PubMed, Scopus, Google Scholar, and SID was conducted to collect all articles on the effects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on spontaneous abortion, regardless of publication date or language restrictions. Search terms were selected based on Medical Subject Headings browser including “</w:t>
      </w:r>
      <w:r w:rsidRPr="00682C4E">
        <w:rPr>
          <w:rFonts w:ascii="Book Antiqua" w:eastAsia="Book Antiqua" w:hAnsi="Book Antiqua" w:cs="Book Antiqua"/>
          <w:i/>
          <w:iCs/>
          <w:color w:val="000000"/>
        </w:rPr>
        <w:t>Listeria monocytogenes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“Spontaneous abortion</w:t>
      </w:r>
      <w:r w:rsidR="00682C4E">
        <w:rPr>
          <w:rFonts w:ascii="Book Antiqua" w:eastAsia="Book Antiqua" w:hAnsi="Book Antiqua" w:cs="Book Antiqua"/>
          <w:color w:val="000000"/>
        </w:rPr>
        <w:t>,</w:t>
      </w:r>
      <w:r w:rsidRPr="00682C4E">
        <w:rPr>
          <w:rFonts w:ascii="Book Antiqua" w:eastAsia="Book Antiqua" w:hAnsi="Book Antiqua" w:cs="Book Antiqua"/>
          <w:color w:val="000000"/>
        </w:rPr>
        <w:t>” “Pregnant women</w:t>
      </w:r>
      <w:r w:rsidR="00682C4E">
        <w:rPr>
          <w:rFonts w:ascii="Book Antiqua" w:eastAsia="Book Antiqua" w:hAnsi="Book Antiqua" w:cs="Book Antiqua"/>
          <w:color w:val="000000"/>
        </w:rPr>
        <w:t>,</w:t>
      </w:r>
      <w:r w:rsidRPr="00682C4E">
        <w:rPr>
          <w:rFonts w:ascii="Book Antiqua" w:eastAsia="Book Antiqua" w:hAnsi="Book Antiqua" w:cs="Book Antiqua"/>
          <w:color w:val="000000"/>
        </w:rPr>
        <w:t>” and “Pregnancy</w:t>
      </w:r>
      <w:r w:rsidR="00682C4E">
        <w:rPr>
          <w:rFonts w:ascii="Book Antiqua" w:eastAsia="Book Antiqua" w:hAnsi="Book Antiqua" w:cs="Book Antiqua"/>
          <w:color w:val="000000"/>
        </w:rPr>
        <w:t>.</w:t>
      </w:r>
      <w:r w:rsidRPr="00682C4E">
        <w:rPr>
          <w:rFonts w:ascii="Book Antiqua" w:eastAsia="Book Antiqua" w:hAnsi="Book Antiqua" w:cs="Book Antiqua"/>
          <w:color w:val="000000"/>
        </w:rPr>
        <w:t>” Articles published in Persian, Arabic</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English were the only articles evaluated. After reviewing the titles and abstracts of eligible original articles (case-control studies, cross-sectional</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longitudinal studies), we selected those studies that were related to the effect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on spontaneous abortion. The process of searching and evaluating articles was done by two authors independently</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the discrepancies were examined by the third author. Duplicate articles, insufficient and vague information, case reports,</w:t>
      </w:r>
      <w:r w:rsidR="00682C4E">
        <w:rPr>
          <w:rFonts w:ascii="Book Antiqua" w:eastAsia="Book Antiqua" w:hAnsi="Book Antiqua" w:cs="Book Antiqua"/>
          <w:color w:val="000000"/>
        </w:rPr>
        <w:t xml:space="preserve"> and</w:t>
      </w:r>
      <w:r w:rsidRPr="00682C4E">
        <w:rPr>
          <w:rFonts w:ascii="Book Antiqua" w:eastAsia="Book Antiqua" w:hAnsi="Book Antiqua" w:cs="Book Antiqua"/>
          <w:color w:val="000000"/>
        </w:rPr>
        <w:t xml:space="preserve"> review articles were excluded from the study (Figure 1).</w:t>
      </w:r>
    </w:p>
    <w:p w14:paraId="21D9A42C" w14:textId="77777777" w:rsidR="00510012" w:rsidRPr="00682C4E" w:rsidRDefault="00510012" w:rsidP="00FC1600">
      <w:pPr>
        <w:snapToGrid w:val="0"/>
        <w:spacing w:line="360" w:lineRule="auto"/>
        <w:jc w:val="both"/>
        <w:rPr>
          <w:rFonts w:ascii="Book Antiqua" w:hAnsi="Book Antiqua"/>
        </w:rPr>
      </w:pPr>
    </w:p>
    <w:p w14:paraId="357BED3F"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Data extraction and quality assessment</w:t>
      </w:r>
    </w:p>
    <w:p w14:paraId="6E496BBE" w14:textId="742B17E5"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The required information such as first author, publication year, country, number of cases with at least one spontaneous abortion, number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frequency of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gene, frequency of serotypes, diagnostic methods, and the reference number were extracted from the eligible studies and are presented in Table 1. An important evaluation checklist of the Joanna Briggs Institute was used to evaluate the quality of the studies in the present meta-analysis.</w:t>
      </w:r>
    </w:p>
    <w:p w14:paraId="11B73A68" w14:textId="77777777" w:rsidR="00510012" w:rsidRPr="00682C4E" w:rsidRDefault="00510012" w:rsidP="00FC1600">
      <w:pPr>
        <w:snapToGrid w:val="0"/>
        <w:spacing w:line="360" w:lineRule="auto"/>
        <w:jc w:val="both"/>
        <w:rPr>
          <w:rFonts w:ascii="Book Antiqua" w:hAnsi="Book Antiqua"/>
        </w:rPr>
      </w:pPr>
    </w:p>
    <w:p w14:paraId="3D486E4A"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 xml:space="preserve">Statistical analysis </w:t>
      </w:r>
    </w:p>
    <w:p w14:paraId="1EBBE3CD" w14:textId="2D792F2A"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The comprehensive meta-analysis software ver 2.0 (Biostat, Englewood, NJ</w:t>
      </w:r>
      <w:r w:rsidR="00EC7F7F" w:rsidRPr="00682C4E">
        <w:rPr>
          <w:rFonts w:ascii="Book Antiqua" w:eastAsia="Book Antiqua" w:hAnsi="Book Antiqua" w:cs="Book Antiqua"/>
          <w:color w:val="000000"/>
        </w:rPr>
        <w:t>, United States</w:t>
      </w:r>
      <w:r w:rsidRPr="00682C4E">
        <w:rPr>
          <w:rFonts w:ascii="Book Antiqua" w:eastAsia="Book Antiqua" w:hAnsi="Book Antiqua" w:cs="Book Antiqua"/>
          <w:color w:val="000000"/>
        </w:rPr>
        <w:t xml:space="preserve">) was used for data pooling as well as statistical analysis of the extracted data. The frequency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in women with spontaneous abortion was measured as the incidence rate (event rate) with 95% confidence intervals (CIs) using cross-sectional</w:t>
      </w:r>
      <w:r w:rsidR="00682C4E">
        <w:rPr>
          <w:rFonts w:ascii="Book Antiqua" w:eastAsia="Book Antiqua" w:hAnsi="Book Antiqua" w:cs="Book Antiqua"/>
          <w:color w:val="000000"/>
        </w:rPr>
        <w:t xml:space="preserve"> and</w:t>
      </w:r>
      <w:r w:rsidRPr="00682C4E">
        <w:rPr>
          <w:rFonts w:ascii="Book Antiqua" w:eastAsia="Book Antiqua" w:hAnsi="Book Antiqua" w:cs="Book Antiqua"/>
          <w:color w:val="000000"/>
        </w:rPr>
        <w:t xml:space="preserve"> case-control studies. In addition, the frequency of</w:t>
      </w:r>
      <w:r w:rsidR="00682C4E">
        <w:rPr>
          <w:rFonts w:ascii="Book Antiqua" w:eastAsia="Book Antiqua" w:hAnsi="Book Antiqua" w:cs="Book Antiqua"/>
          <w:color w:val="000000"/>
        </w:rPr>
        <w:t xml:space="preserve"> the</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gene as well as common serotypes isolated from women with spontaneous abortion were also examined as the incidence rate. The effect of infection with this bacterium on the </w:t>
      </w:r>
      <w:r w:rsidRPr="00682C4E">
        <w:rPr>
          <w:rFonts w:ascii="Book Antiqua" w:eastAsia="Book Antiqua" w:hAnsi="Book Antiqua" w:cs="Book Antiqua"/>
          <w:color w:val="000000"/>
        </w:rPr>
        <w:lastRenderedPageBreak/>
        <w:t xml:space="preserve">susceptibility to spontaneous abortion was assessed according to odds ratio with the 95%CIs using eligible case-control studies. Finally, the frequency of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to different antibiotics was calculated and reported as the incidence rate and heterogeneity between studies was determined using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index and Cochran’s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-test. In cases with high heterogeneity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 xml:space="preserve">2 </w:t>
      </w:r>
      <w:r w:rsidRPr="00682C4E">
        <w:rPr>
          <w:rFonts w:ascii="Book Antiqua" w:eastAsia="Book Antiqua" w:hAnsi="Book Antiqua" w:cs="Book Antiqua"/>
          <w:color w:val="000000"/>
        </w:rPr>
        <w:t xml:space="preserve">&gt; 25% and Cochran’s </w:t>
      </w:r>
      <w:r w:rsidRPr="00682C4E">
        <w:rPr>
          <w:rFonts w:ascii="Book Antiqua" w:eastAsia="Book Antiqua" w:hAnsi="Book Antiqua" w:cs="Book Antiqua"/>
          <w:i/>
          <w:color w:val="000000"/>
        </w:rPr>
        <w:t>Q</w:t>
      </w:r>
      <w:r w:rsidRPr="00682C4E">
        <w:rPr>
          <w:rFonts w:ascii="Book Antiqua" w:eastAsia="Book Antiqua" w:hAnsi="Book Antiqua" w:cs="Book Antiqua"/>
          <w:color w:val="000000"/>
        </w:rPr>
        <w:t xml:space="preserve">-test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&gt; 0.05), the analysis was done using the random-effects model. The publication bias was also determined using Egger’s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value, Begg’s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value, and asymmetry of funnel plots.</w:t>
      </w:r>
    </w:p>
    <w:p w14:paraId="291EFDED" w14:textId="77777777" w:rsidR="00510012" w:rsidRPr="00682C4E" w:rsidRDefault="00510012" w:rsidP="00FC1600">
      <w:pPr>
        <w:snapToGrid w:val="0"/>
        <w:spacing w:line="360" w:lineRule="auto"/>
        <w:jc w:val="both"/>
        <w:rPr>
          <w:rFonts w:ascii="Book Antiqua" w:hAnsi="Book Antiqua"/>
        </w:rPr>
      </w:pPr>
    </w:p>
    <w:p w14:paraId="2500276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RESULTS</w:t>
      </w:r>
    </w:p>
    <w:p w14:paraId="11F40D4F"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Characteristics of eligible studies</w:t>
      </w:r>
      <w:r w:rsidRPr="00682C4E">
        <w:rPr>
          <w:rFonts w:ascii="Book Antiqua" w:eastAsia="Book Antiqua" w:hAnsi="Book Antiqua" w:cs="Book Antiqua"/>
          <w:b/>
          <w:bCs/>
          <w:color w:val="000000"/>
        </w:rPr>
        <w:t xml:space="preserve"> </w:t>
      </w:r>
    </w:p>
    <w:p w14:paraId="5AAF4B57" w14:textId="4765D8DC"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Of the 732 initial studies collected, 24 studies were eligible and entered in our meta-analysis (Figure 1)</w:t>
      </w:r>
      <w:r w:rsidR="005B3717" w:rsidRPr="00682C4E">
        <w:rPr>
          <w:rFonts w:ascii="Book Antiqua" w:hAnsi="Book Antiqua" w:cs="Book Antiqua"/>
          <w:color w:val="000000"/>
          <w:vertAlign w:val="superscript"/>
          <w:lang w:eastAsia="zh-CN"/>
        </w:rPr>
        <w:t>[</w:t>
      </w:r>
      <w:r w:rsidRPr="00682C4E">
        <w:rPr>
          <w:rFonts w:ascii="Book Antiqua" w:eastAsia="Book Antiqua" w:hAnsi="Book Antiqua" w:cs="Book Antiqua"/>
          <w:color w:val="000000"/>
          <w:vertAlign w:val="superscript"/>
        </w:rPr>
        <w:t>13-36</w:t>
      </w:r>
      <w:r w:rsidR="005B3717" w:rsidRPr="00682C4E">
        <w:rPr>
          <w:rFonts w:ascii="Book Antiqua" w:hAnsi="Book Antiqua" w:cs="Book Antiqua"/>
          <w:color w:val="000000"/>
          <w:vertAlign w:val="superscript"/>
          <w:lang w:eastAsia="zh-CN"/>
        </w:rPr>
        <w:t>]</w:t>
      </w:r>
      <w:r w:rsidRPr="00682C4E">
        <w:rPr>
          <w:rFonts w:ascii="Book Antiqua" w:eastAsia="Book Antiqua" w:hAnsi="Book Antiqua" w:cs="Book Antiqua"/>
          <w:color w:val="000000"/>
        </w:rPr>
        <w:t xml:space="preserve">. Of these, 17 studies were conducted in Iran, </w:t>
      </w:r>
      <w:r w:rsidR="00682C4E">
        <w:rPr>
          <w:rFonts w:ascii="Book Antiqua" w:eastAsia="Book Antiqua" w:hAnsi="Book Antiqua" w:cs="Book Antiqua"/>
          <w:color w:val="000000"/>
        </w:rPr>
        <w:t>2 studies</w:t>
      </w:r>
      <w:r w:rsidR="00682C4E" w:rsidRPr="00682C4E">
        <w:rPr>
          <w:rFonts w:ascii="Book Antiqua" w:eastAsia="Book Antiqua" w:hAnsi="Book Antiqua" w:cs="Book Antiqua"/>
          <w:color w:val="000000"/>
        </w:rPr>
        <w:t xml:space="preserve"> </w:t>
      </w:r>
      <w:r w:rsidRPr="00682C4E">
        <w:rPr>
          <w:rFonts w:ascii="Book Antiqua" w:eastAsia="Book Antiqua" w:hAnsi="Book Antiqua" w:cs="Book Antiqua"/>
          <w:color w:val="000000"/>
        </w:rPr>
        <w:t xml:space="preserve">in India, </w:t>
      </w:r>
      <w:r w:rsidR="00682C4E">
        <w:rPr>
          <w:rFonts w:ascii="Book Antiqua" w:eastAsia="Book Antiqua" w:hAnsi="Book Antiqua" w:cs="Book Antiqua"/>
          <w:color w:val="000000"/>
        </w:rPr>
        <w:t>2 studies</w:t>
      </w:r>
      <w:r w:rsidRPr="00682C4E">
        <w:rPr>
          <w:rFonts w:ascii="Book Antiqua" w:eastAsia="Book Antiqua" w:hAnsi="Book Antiqua" w:cs="Book Antiqua"/>
          <w:color w:val="000000"/>
        </w:rPr>
        <w:t xml:space="preserve"> in Iraq,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Bosnia and Herzegovina,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Nigeria,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Nagpur, and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Senegal. Overall, in selected studies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were isolated from urine, blood, placenta, vaginal swabs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cervix swabs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In general, microbiological methods such as cold-enrichment, culture on PALCAM agar, culture on blood agar, as well as Gram-staining, oxidase, catalase, carbohydrates fermentation, methyl red/Voges-Proskauer, and motility at 25 °C were used to isolate and identify </w:t>
      </w:r>
      <w:r w:rsidRPr="00682C4E">
        <w:rPr>
          <w:rFonts w:ascii="Book Antiqua" w:eastAsia="Book Antiqua" w:hAnsi="Book Antiqua" w:cs="Book Antiqua"/>
          <w:i/>
          <w:iCs/>
          <w:color w:val="000000"/>
        </w:rPr>
        <w:t xml:space="preserve">L. monocytogenes </w:t>
      </w:r>
      <w:r w:rsidRPr="00682C4E">
        <w:rPr>
          <w:rFonts w:ascii="Book Antiqua" w:eastAsia="Book Antiqua" w:hAnsi="Book Antiqua" w:cs="Book Antiqua"/>
          <w:color w:val="000000"/>
        </w:rPr>
        <w:t xml:space="preserve">strains. In addition, the authors had used </w:t>
      </w:r>
      <w:r w:rsidRPr="00682C4E">
        <w:rPr>
          <w:rFonts w:ascii="Book Antiqua" w:hAnsi="Book Antiqua"/>
          <w:lang w:eastAsia="zh-CN"/>
        </w:rPr>
        <w:t>polymerase chain reaction</w:t>
      </w:r>
      <w:r w:rsidRPr="00682C4E">
        <w:rPr>
          <w:rFonts w:ascii="Book Antiqua" w:eastAsia="Book Antiqua" w:hAnsi="Book Antiqua" w:cs="Book Antiqua"/>
          <w:color w:val="000000"/>
        </w:rPr>
        <w:t xml:space="preserve"> technique (for genes such as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InlA</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InlB</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actA</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iap</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plcA</w:t>
      </w:r>
      <w:r w:rsidRPr="00682C4E">
        <w:rPr>
          <w:rFonts w:ascii="Book Antiqua" w:eastAsia="Book Antiqua" w:hAnsi="Book Antiqua" w:cs="Book Antiqua"/>
          <w:color w:val="000000"/>
        </w:rPr>
        <w:t xml:space="preserve">, and </w:t>
      </w:r>
      <w:r w:rsidRPr="00682C4E">
        <w:rPr>
          <w:rFonts w:ascii="Book Antiqua" w:eastAsia="Book Antiqua" w:hAnsi="Book Antiqua" w:cs="Book Antiqua"/>
          <w:i/>
          <w:iCs/>
          <w:color w:val="000000"/>
        </w:rPr>
        <w:t>PrfA</w:t>
      </w:r>
      <w:r w:rsidRPr="00682C4E">
        <w:rPr>
          <w:rFonts w:ascii="Book Antiqua" w:eastAsia="Book Antiqua" w:hAnsi="Book Antiqua" w:cs="Book Antiqua"/>
          <w:color w:val="000000"/>
        </w:rPr>
        <w:t>) and serological tests on blood samples in their studies (Table 1).</w:t>
      </w:r>
    </w:p>
    <w:p w14:paraId="11EA38ED" w14:textId="77777777" w:rsidR="00510012" w:rsidRPr="00682C4E" w:rsidRDefault="00510012" w:rsidP="00FC1600">
      <w:pPr>
        <w:snapToGrid w:val="0"/>
        <w:spacing w:line="360" w:lineRule="auto"/>
        <w:jc w:val="both"/>
        <w:rPr>
          <w:rFonts w:ascii="Book Antiqua" w:hAnsi="Book Antiqua"/>
        </w:rPr>
      </w:pPr>
    </w:p>
    <w:p w14:paraId="61969A49"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Statistical analysis of spontaneous abortion</w:t>
      </w:r>
    </w:p>
    <w:p w14:paraId="69A9D994" w14:textId="31ECD0DD"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 prevalence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in women undergoing spontaneous abortion was approximately 20.5% (18.9-22.3 with 95%CIs;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93.85;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w:t>
      </w:r>
      <w:r w:rsidR="00FA6387" w:rsidRPr="00682C4E">
        <w:rPr>
          <w:rFonts w:ascii="Book Antiqua" w:eastAsia="Book Antiqua" w:hAnsi="Book Antiqua" w:cs="Book Antiqua"/>
          <w:color w:val="000000"/>
        </w:rPr>
        <w:t>v</w:t>
      </w:r>
      <w:r w:rsidRPr="00682C4E">
        <w:rPr>
          <w:rFonts w:ascii="Book Antiqua" w:eastAsia="Book Antiqua" w:hAnsi="Book Antiqua" w:cs="Book Antiqua"/>
          <w:color w:val="000000"/>
        </w:rPr>
        <w:t xml:space="preserve">alue: 374.16;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 0.001; Egger</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0.05; Begg</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0.01) was estimated (Figure 2).</w:t>
      </w:r>
    </w:p>
    <w:p w14:paraId="340CF4A8" w14:textId="7D09878C"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The frequency of</w:t>
      </w:r>
      <w:r w:rsidR="00682C4E">
        <w:rPr>
          <w:rFonts w:ascii="Book Antiqua" w:eastAsia="Book Antiqua" w:hAnsi="Book Antiqua" w:cs="Book Antiqua"/>
          <w:color w:val="000000"/>
        </w:rPr>
        <w:t xml:space="preserve"> the</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gene in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patients was estimated to be about 28</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(21</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%-36.3% with 95%CI;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0.001;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87.34;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w:t>
      </w:r>
      <w:r w:rsidR="00467400" w:rsidRPr="00682C4E">
        <w:rPr>
          <w:rFonts w:ascii="Book Antiqua" w:eastAsia="Book Antiqua" w:hAnsi="Book Antiqua" w:cs="Book Antiqua"/>
          <w:color w:val="000000"/>
        </w:rPr>
        <w:t>v</w:t>
      </w:r>
      <w:r w:rsidRPr="00682C4E">
        <w:rPr>
          <w:rFonts w:ascii="Book Antiqua" w:eastAsia="Book Antiqua" w:hAnsi="Book Antiqua" w:cs="Book Antiqua"/>
          <w:color w:val="000000"/>
        </w:rPr>
        <w:t xml:space="preserve">alue: 94.84;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Begg’s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0.03; Egger’s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Also, abundance of serotypes 1/2a, 12/b, </w:t>
      </w:r>
      <w:r w:rsidRPr="00682C4E">
        <w:rPr>
          <w:rFonts w:ascii="Book Antiqua" w:eastAsia="Book Antiqua" w:hAnsi="Book Antiqua" w:cs="Book Antiqua"/>
          <w:color w:val="000000"/>
        </w:rPr>
        <w:lastRenderedPageBreak/>
        <w:t xml:space="preserve">and 4b were measured </w:t>
      </w:r>
      <w:r w:rsidR="00682C4E">
        <w:rPr>
          <w:rFonts w:ascii="Book Antiqua" w:eastAsia="Book Antiqua" w:hAnsi="Book Antiqua" w:cs="Book Antiqua"/>
          <w:color w:val="000000"/>
        </w:rPr>
        <w:t xml:space="preserve">to be </w:t>
      </w:r>
      <w:r w:rsidRPr="00682C4E">
        <w:rPr>
          <w:rFonts w:ascii="Book Antiqua" w:eastAsia="Book Antiqua" w:hAnsi="Book Antiqua" w:cs="Book Antiqua"/>
          <w:color w:val="000000"/>
        </w:rPr>
        <w:t>about 38.7% (26.8%-52.2% with 95%CIs), 26.5% (13.1%-46.3% with 95%CIs), and 49.5% (32.8%-59.5% with 95%CIs), respectively.</w:t>
      </w:r>
    </w:p>
    <w:p w14:paraId="7012AE77" w14:textId="78D25E59"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 xml:space="preserve">Furthermore, it was revealed that the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significantly increases the risk of spontaneous abortion in pregnant women (</w:t>
      </w:r>
      <w:r w:rsidR="00682C4E">
        <w:rPr>
          <w:rFonts w:ascii="Book Antiqua" w:eastAsia="Book Antiqua" w:hAnsi="Book Antiqua" w:cs="Book Antiqua"/>
          <w:color w:val="000000"/>
        </w:rPr>
        <w:t>odds ratio</w:t>
      </w:r>
      <w:r w:rsidRPr="00682C4E">
        <w:rPr>
          <w:rFonts w:ascii="Book Antiqua" w:eastAsia="Book Antiqua" w:hAnsi="Book Antiqua" w:cs="Book Antiqua"/>
          <w:color w:val="000000"/>
        </w:rPr>
        <w:t xml:space="preserve">: 2.778; 2.130-3.623 with 95%CIs;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76.30;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21.01;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Egger</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0.38; Begg</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0.51) (Figure 3).</w:t>
      </w:r>
    </w:p>
    <w:p w14:paraId="17BBF87B" w14:textId="77777777" w:rsidR="00510012" w:rsidRPr="00682C4E" w:rsidRDefault="00510012" w:rsidP="00FC1600">
      <w:pPr>
        <w:snapToGrid w:val="0"/>
        <w:spacing w:line="360" w:lineRule="auto"/>
        <w:jc w:val="both"/>
        <w:rPr>
          <w:rFonts w:ascii="Book Antiqua" w:eastAsia="Book Antiqua" w:hAnsi="Book Antiqua" w:cs="Book Antiqua"/>
          <w:color w:val="000000"/>
        </w:rPr>
      </w:pPr>
    </w:p>
    <w:p w14:paraId="213833DE"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 xml:space="preserve">Statistical analysis of antibiotic resistance </w:t>
      </w:r>
    </w:p>
    <w:p w14:paraId="042A936F" w14:textId="51E4D809"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 current analysis showed that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spontaneous abortion cases were resistant to various antibiotics. The resistance to different antibiotics was as follows: </w:t>
      </w:r>
      <w:r w:rsidR="00682C4E">
        <w:rPr>
          <w:rFonts w:ascii="Book Antiqua" w:eastAsia="Book Antiqua" w:hAnsi="Book Antiqua" w:cs="Book Antiqua"/>
          <w:color w:val="000000"/>
        </w:rPr>
        <w:t>a</w:t>
      </w:r>
      <w:r w:rsidRPr="00682C4E">
        <w:rPr>
          <w:rFonts w:ascii="Book Antiqua" w:eastAsia="Book Antiqua" w:hAnsi="Book Antiqua" w:cs="Book Antiqua"/>
          <w:color w:val="000000"/>
        </w:rPr>
        <w:t xml:space="preserve">mpicillin 31.8% (25.5-38.9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92.96;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56.84;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penicillin G 56.8% (51.4-62</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94.64; Q-Value: 74.67;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cotrimoxazole 33</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(24.5-42.8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 cephalothin 50</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(40.3-59.7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1.00), tetracycline 29.2% (23.2-36.1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91.75;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36.37;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erythromycin 15</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(9.5-22.8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91.96;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37.31 ;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cefotaxime 77</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(70.7-82.3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 chloramphenicol 11</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(7.4-16.1 with 95 % 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1.00), trimethoprim 38.3% (30.5-46.8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95.47;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66.26;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0.01), ciprofloxacin 11.1% (6.8-17.7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82.1;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11.18;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0.04), gentamycin 28</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(20</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-37.6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w:t>
      </w:r>
      <w:r w:rsidR="00682C4E">
        <w:rPr>
          <w:rFonts w:ascii="Book Antiqua" w:eastAsia="Book Antiqua" w:hAnsi="Book Antiqua" w:cs="Book Antiqua"/>
          <w:color w:val="000000"/>
        </w:rPr>
        <w:t xml:space="preserve"> and</w:t>
      </w:r>
      <w:r w:rsidRPr="00682C4E">
        <w:rPr>
          <w:rFonts w:ascii="Book Antiqua" w:eastAsia="Book Antiqua" w:hAnsi="Book Antiqua" w:cs="Book Antiqua"/>
          <w:color w:val="000000"/>
        </w:rPr>
        <w:t xml:space="preserve"> streptomycin 11</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(7.4-16.1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82C4E">
        <w:rPr>
          <w:rFonts w:ascii="Book Antiqua" w:eastAsia="Book Antiqua" w:hAnsi="Book Antiqua" w:cs="Book Antiqua"/>
          <w:color w:val="000000"/>
        </w:rPr>
        <w:t>N</w:t>
      </w:r>
      <w:r w:rsidRPr="00682C4E">
        <w:rPr>
          <w:rFonts w:ascii="Book Antiqua" w:eastAsia="Book Antiqua" w:hAnsi="Book Antiqua" w:cs="Book Antiqua"/>
          <w:color w:val="000000"/>
        </w:rPr>
        <w:t>o resistance has been reported to the three antibiotics amikacin, meropenem, and norfloxacin.</w:t>
      </w:r>
    </w:p>
    <w:p w14:paraId="7066BD3F" w14:textId="77777777" w:rsidR="00510012" w:rsidRPr="00682C4E" w:rsidRDefault="00510012" w:rsidP="00FC1600">
      <w:pPr>
        <w:snapToGrid w:val="0"/>
        <w:spacing w:line="360" w:lineRule="auto"/>
        <w:jc w:val="both"/>
        <w:rPr>
          <w:rFonts w:ascii="Book Antiqua" w:hAnsi="Book Antiqua"/>
        </w:rPr>
      </w:pPr>
    </w:p>
    <w:p w14:paraId="3077155F"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DISCUSSION</w:t>
      </w:r>
    </w:p>
    <w:p w14:paraId="599D0443" w14:textId="5340BDC4" w:rsidR="006A4CE9"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Listeriosis is one of the most well-known foodborne diseases that is transmitted to humans through the consumption of contaminated animal products. Several outbreaks of listeriosis have been reported worldwide, with children being the main victims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37</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According to studies, the prevalence of listeriosis </w:t>
      </w:r>
      <w:r w:rsidRPr="00682C4E">
        <w:rPr>
          <w:rFonts w:ascii="Book Antiqua" w:eastAsia="Book Antiqua" w:hAnsi="Book Antiqua" w:cs="Book Antiqua"/>
          <w:i/>
          <w:iCs/>
          <w:color w:val="000000"/>
        </w:rPr>
        <w:t>per</w:t>
      </w:r>
      <w:r w:rsidRPr="00682C4E">
        <w:rPr>
          <w:rFonts w:ascii="Book Antiqua" w:eastAsia="Book Antiqua" w:hAnsi="Book Antiqua" w:cs="Book Antiqua"/>
          <w:color w:val="000000"/>
        </w:rPr>
        <w:t xml:space="preserve"> 100000 people in children, the elderly, and pregnant women is estimated at 3.4, 10</w:t>
      </w:r>
      <w:r w:rsidR="006A4CE9">
        <w:rPr>
          <w:rFonts w:ascii="Book Antiqua" w:eastAsia="Book Antiqua" w:hAnsi="Book Antiqua" w:cs="Book Antiqua"/>
          <w:color w:val="000000"/>
        </w:rPr>
        <w:t>.0,</w:t>
      </w:r>
      <w:r w:rsidRPr="00682C4E">
        <w:rPr>
          <w:rFonts w:ascii="Book Antiqua" w:eastAsia="Book Antiqua" w:hAnsi="Book Antiqua" w:cs="Book Antiqua"/>
          <w:color w:val="000000"/>
        </w:rPr>
        <w:t xml:space="preserve"> and 12</w:t>
      </w:r>
      <w:r w:rsidR="006A4CE9">
        <w:rPr>
          <w:rFonts w:ascii="Book Antiqua" w:eastAsia="Book Antiqua" w:hAnsi="Book Antiqua" w:cs="Book Antiqua"/>
          <w:color w:val="000000"/>
        </w:rPr>
        <w:t>.0</w:t>
      </w:r>
      <w:r w:rsidRPr="00682C4E">
        <w:rPr>
          <w:rFonts w:ascii="Book Antiqua" w:eastAsia="Book Antiqua" w:hAnsi="Book Antiqua" w:cs="Book Antiqua"/>
          <w:color w:val="000000"/>
        </w:rPr>
        <w:t xml:space="preserve">, respectively. Pregnant </w:t>
      </w:r>
      <w:r w:rsidRPr="00682C4E">
        <w:rPr>
          <w:rFonts w:ascii="Book Antiqua" w:eastAsia="Book Antiqua" w:hAnsi="Book Antiqua" w:cs="Book Antiqua"/>
          <w:color w:val="000000"/>
        </w:rPr>
        <w:lastRenderedPageBreak/>
        <w:t>women can pass listeriosis to their baby in the womb or at birth</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38</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Latent listeriosis in pregnant women can have fatal effects on the fetus such as granulomatosis infantiseptica, spontaneous abortion, stillbirth, premature birth, and meningitis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39</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According to the Centers for Disease Control and Prevention, about 14% of human listeriosis occurs in pregnant women. Therefore, the diagnosis of listeriosis during pregnancy is essential, especially in developing areas (</w:t>
      </w:r>
      <w:r w:rsidRPr="00682C4E">
        <w:rPr>
          <w:rFonts w:ascii="Book Antiqua" w:eastAsia="Book Antiqua" w:hAnsi="Book Antiqua" w:cs="Book Antiqua"/>
          <w:i/>
          <w:iCs/>
          <w:color w:val="000000"/>
        </w:rPr>
        <w:t>Listeria</w:t>
      </w:r>
      <w:r w:rsidRPr="00682C4E">
        <w:rPr>
          <w:rFonts w:ascii="Book Antiqua" w:eastAsia="Book Antiqua" w:hAnsi="Book Antiqua" w:cs="Book Antiqua"/>
          <w:color w:val="000000"/>
        </w:rPr>
        <w:t xml:space="preserve"> spp. are more likely to be contaminat</w:t>
      </w:r>
      <w:r w:rsidR="006A4CE9">
        <w:rPr>
          <w:rFonts w:ascii="Book Antiqua" w:eastAsia="Book Antiqua" w:hAnsi="Book Antiqua" w:cs="Book Antiqua"/>
          <w:color w:val="000000"/>
        </w:rPr>
        <w:t>ing</w:t>
      </w:r>
      <w:r w:rsidRPr="00682C4E">
        <w:rPr>
          <w:rFonts w:ascii="Book Antiqua" w:eastAsia="Book Antiqua" w:hAnsi="Book Antiqua" w:cs="Book Antiqua"/>
          <w:color w:val="000000"/>
        </w:rPr>
        <w:t xml:space="preserve"> food in these areas)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40</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w:t>
      </w:r>
    </w:p>
    <w:p w14:paraId="637B9E2C" w14:textId="75BCE2A3" w:rsidR="00510012" w:rsidRPr="00682C4E" w:rsidRDefault="001B61A7" w:rsidP="00FC1600">
      <w:pPr>
        <w:snapToGrid w:val="0"/>
        <w:spacing w:line="360" w:lineRule="auto"/>
        <w:ind w:firstLine="450"/>
        <w:jc w:val="both"/>
        <w:rPr>
          <w:rFonts w:ascii="Book Antiqua" w:hAnsi="Book Antiqua"/>
        </w:rPr>
      </w:pPr>
      <w:r w:rsidRPr="00682C4E">
        <w:rPr>
          <w:rFonts w:ascii="Book Antiqua" w:eastAsia="Book Antiqua" w:hAnsi="Book Antiqua" w:cs="Book Antiqua"/>
          <w:color w:val="000000"/>
        </w:rPr>
        <w:t xml:space="preserve">Based on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 xml:space="preserve">current analysis, it was shown that the rate of colonization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women who had spontaneous abortions was about 20.5%, although in some studies, </w:t>
      </w:r>
      <w:r w:rsidRPr="00682C4E">
        <w:rPr>
          <w:rFonts w:ascii="Book Antiqua" w:eastAsia="Book Antiqua" w:hAnsi="Book Antiqua" w:cs="Book Antiqua"/>
          <w:i/>
          <w:iCs/>
          <w:color w:val="000000"/>
        </w:rPr>
        <w:t>L. ivanovii</w:t>
      </w:r>
      <w:r w:rsidRPr="00682C4E">
        <w:rPr>
          <w:rFonts w:ascii="Book Antiqua" w:eastAsia="Book Antiqua" w:hAnsi="Book Antiqua" w:cs="Book Antiqua"/>
          <w:color w:val="000000"/>
        </w:rPr>
        <w:t xml:space="preserve"> and </w:t>
      </w:r>
      <w:r w:rsidRPr="00682C4E">
        <w:rPr>
          <w:rFonts w:ascii="Book Antiqua" w:eastAsia="Book Antiqua" w:hAnsi="Book Antiqua" w:cs="Book Antiqua"/>
          <w:i/>
          <w:iCs/>
          <w:color w:val="000000"/>
        </w:rPr>
        <w:t>L. seeligeri</w:t>
      </w:r>
      <w:r w:rsidRPr="00682C4E">
        <w:rPr>
          <w:rFonts w:ascii="Book Antiqua" w:eastAsia="Book Antiqua" w:hAnsi="Book Antiqua" w:cs="Book Antiqua"/>
          <w:color w:val="000000"/>
        </w:rPr>
        <w:t xml:space="preserve"> were the cause of infection and abortion. For the first time, in the current meta-analysis, we evaluated the association of colonization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pregnant women with spontaneous abortion, and most of the studies considered in the current analysis were related to Iran. Iran as a developing country has a high rate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which in turn is related to working conditions, lifestyle, and geographical location. In another meta-analysis study from Iran, the rate of colonization with </w:t>
      </w:r>
      <w:r w:rsidRPr="00682C4E">
        <w:rPr>
          <w:rFonts w:ascii="Book Antiqua" w:eastAsia="Book Antiqua" w:hAnsi="Book Antiqua" w:cs="Book Antiqua"/>
          <w:i/>
          <w:iCs/>
          <w:color w:val="000000"/>
        </w:rPr>
        <w:t>L</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monocytogenes</w:t>
      </w:r>
      <w:r w:rsidRPr="00682C4E">
        <w:rPr>
          <w:rFonts w:ascii="Book Antiqua" w:eastAsia="Book Antiqua" w:hAnsi="Book Antiqua" w:cs="Book Antiqua"/>
          <w:color w:val="000000"/>
        </w:rPr>
        <w:t xml:space="preserve"> in humans, animals</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and food products was estimated at 10%, 7%</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and 4%, respectively</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41</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w:t>
      </w:r>
    </w:p>
    <w:p w14:paraId="186FF4D3" w14:textId="20EF7F2E"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Cell-mediated immunity is somewhat suppressed during pregnancy, while humoral immunity is as active as ever</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Therefore,</w:t>
      </w:r>
      <w:r w:rsidRPr="00682C4E">
        <w:rPr>
          <w:rFonts w:ascii="Book Antiqua" w:eastAsia="Book Antiqua" w:hAnsi="Book Antiqua" w:cs="Book Antiqua"/>
          <w:color w:val="000000"/>
        </w:rPr>
        <w:t xml:space="preserve"> pregnancy increases the risk of infection with facultative intracellular bacteria such as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Meanwhile, the human placenta also provides a protective niche for the growth and proliferation of this bacterium, which in turn increases the risk of spontaneous abortion</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42</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We found that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can significantly increase the risk of miscarriage during pregnancy (</w:t>
      </w:r>
      <w:r w:rsidR="00682C4E">
        <w:rPr>
          <w:rFonts w:ascii="Book Antiqua" w:eastAsia="Book Antiqua" w:hAnsi="Book Antiqua" w:cs="Book Antiqua"/>
          <w:color w:val="000000"/>
        </w:rPr>
        <w:t>odds ratio</w:t>
      </w:r>
      <w:r w:rsidRPr="00682C4E">
        <w:rPr>
          <w:rFonts w:ascii="Book Antiqua" w:eastAsia="Book Antiqua" w:hAnsi="Book Antiqua" w:cs="Book Antiqua"/>
          <w:color w:val="000000"/>
        </w:rPr>
        <w:t xml:space="preserve">: 2.7; 2.1-3.6 with 95%CI;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 0.01).</w:t>
      </w:r>
    </w:p>
    <w:p w14:paraId="1A0FF947" w14:textId="7C71E408"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 xml:space="preserve">So far, four lineages have been identified from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and it should be noted that lineages I (serotypes 1/2b and 4b) and II (1/2a) are responsible for most human infections. In this study, the frequencies of serotypes 1/2a, 1/2b, and 4b were reported</w:t>
      </w:r>
      <w:r w:rsidR="006A4CE9">
        <w:rPr>
          <w:rFonts w:ascii="Book Antiqua" w:eastAsia="Book Antiqua" w:hAnsi="Book Antiqua" w:cs="Book Antiqua"/>
          <w:color w:val="000000"/>
        </w:rPr>
        <w:t xml:space="preserve"> as</w:t>
      </w:r>
      <w:r w:rsidRPr="00682C4E">
        <w:rPr>
          <w:rFonts w:ascii="Book Antiqua" w:eastAsia="Book Antiqua" w:hAnsi="Book Antiqua" w:cs="Book Antiqua"/>
          <w:color w:val="000000"/>
        </w:rPr>
        <w:t xml:space="preserve"> 38.7%, 26.5%, and 49.5%, respectively, which were similar to the distribution of serotypes in other human listeriosis infections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27</w:t>
      </w:r>
      <w:r w:rsidRPr="00682C4E">
        <w:rPr>
          <w:rFonts w:ascii="Book Antiqua" w:eastAsia="Book Antiqua" w:hAnsi="Book Antiqua" w:cs="Book Antiqua"/>
          <w:color w:val="000000"/>
          <w:vertAlign w:val="superscript"/>
        </w:rPr>
        <w:t>,2</w:t>
      </w:r>
      <w:r w:rsidR="005B3717" w:rsidRPr="00682C4E">
        <w:rPr>
          <w:rFonts w:ascii="Book Antiqua" w:hAnsi="Book Antiqua" w:cs="Book Antiqua"/>
          <w:color w:val="000000"/>
          <w:vertAlign w:val="superscript"/>
          <w:lang w:eastAsia="zh-CN"/>
        </w:rPr>
        <w:t>9</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In pathogenic strains, numerous </w:t>
      </w:r>
      <w:r w:rsidRPr="00682C4E">
        <w:rPr>
          <w:rFonts w:ascii="Book Antiqua" w:eastAsia="Book Antiqua" w:hAnsi="Book Antiqua" w:cs="Book Antiqua"/>
          <w:color w:val="000000"/>
        </w:rPr>
        <w:lastRenderedPageBreak/>
        <w:t>virulence factors</w:t>
      </w:r>
      <w:r w:rsidR="006A4CE9">
        <w:rPr>
          <w:rFonts w:ascii="Book Antiqua" w:eastAsia="Book Antiqua" w:hAnsi="Book Antiqua" w:cs="Book Antiqua"/>
          <w:color w:val="000000"/>
        </w:rPr>
        <w:t xml:space="preserve"> are</w:t>
      </w:r>
      <w:r w:rsidRPr="00682C4E">
        <w:rPr>
          <w:rFonts w:ascii="Book Antiqua" w:eastAsia="Book Antiqua" w:hAnsi="Book Antiqua" w:cs="Book Antiqua"/>
          <w:color w:val="000000"/>
        </w:rPr>
        <w:t xml:space="preserve"> encode</w:t>
      </w:r>
      <w:r w:rsidR="006A4CE9">
        <w:rPr>
          <w:rFonts w:ascii="Book Antiqua" w:eastAsia="Book Antiqua" w:hAnsi="Book Antiqua" w:cs="Book Antiqua"/>
          <w:color w:val="000000"/>
        </w:rPr>
        <w:t>d</w:t>
      </w:r>
      <w:r w:rsidRPr="00682C4E">
        <w:rPr>
          <w:rFonts w:ascii="Book Antiqua" w:eastAsia="Book Antiqua" w:hAnsi="Book Antiqua" w:cs="Book Antiqua"/>
          <w:color w:val="000000"/>
        </w:rPr>
        <w:t xml:space="preserve"> by</w:t>
      </w:r>
      <w:r w:rsidRPr="00682C4E">
        <w:rPr>
          <w:rFonts w:ascii="Book Antiqua" w:eastAsia="Book Antiqua" w:hAnsi="Book Antiqua" w:cs="Book Antiqua"/>
          <w:i/>
          <w:iCs/>
          <w:color w:val="000000"/>
        </w:rPr>
        <w:t xml:space="preserve"> </w:t>
      </w:r>
      <w:r w:rsidRPr="00682C4E">
        <w:rPr>
          <w:rFonts w:ascii="Book Antiqua" w:eastAsia="Book Antiqua" w:hAnsi="Book Antiqua" w:cs="Book Antiqua"/>
          <w:color w:val="000000"/>
        </w:rPr>
        <w:t>pathogenicity island 1</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T</w:t>
      </w:r>
      <w:r w:rsidRPr="00682C4E">
        <w:rPr>
          <w:rFonts w:ascii="Book Antiqua" w:eastAsia="Book Antiqua" w:hAnsi="Book Antiqua" w:cs="Book Antiqua"/>
          <w:color w:val="000000"/>
        </w:rPr>
        <w:t xml:space="preserve">he </w:t>
      </w:r>
      <w:r w:rsidRPr="00682C4E">
        <w:rPr>
          <w:rFonts w:ascii="Book Antiqua" w:eastAsia="Book Antiqua" w:hAnsi="Book Antiqua" w:cs="Book Antiqua"/>
          <w:i/>
          <w:iCs/>
          <w:color w:val="000000"/>
        </w:rPr>
        <w:t>hly</w:t>
      </w:r>
      <w:r w:rsidRPr="00FC1600">
        <w:rPr>
          <w:rFonts w:ascii="Book Antiqua" w:eastAsia="Book Antiqua" w:hAnsi="Book Antiqua" w:cs="Book Antiqua"/>
          <w:i/>
          <w:iCs/>
          <w:color w:val="000000"/>
        </w:rPr>
        <w:t>A</w:t>
      </w:r>
      <w:r w:rsidRPr="00682C4E">
        <w:rPr>
          <w:rFonts w:ascii="Book Antiqua" w:eastAsia="Book Antiqua" w:hAnsi="Book Antiqua" w:cs="Book Antiqua"/>
          <w:color w:val="000000"/>
        </w:rPr>
        <w:t xml:space="preserve"> gene encodes hemolysin (listeriolysin-O)</w:t>
      </w:r>
      <w:r w:rsidR="006A4CE9">
        <w:rPr>
          <w:rFonts w:ascii="Book Antiqua" w:eastAsia="Book Antiqua" w:hAnsi="Book Antiqua" w:cs="Book Antiqua"/>
          <w:color w:val="000000"/>
        </w:rPr>
        <w:t>, which</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i</w:t>
      </w:r>
      <w:r w:rsidRPr="00682C4E">
        <w:rPr>
          <w:rFonts w:ascii="Book Antiqua" w:eastAsia="Book Antiqua" w:hAnsi="Book Antiqua" w:cs="Book Antiqua"/>
          <w:color w:val="000000"/>
        </w:rPr>
        <w:t xml:space="preserve">s one of the most important virulence factors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43</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According to our analysis, only 28% of strains isolated from women with spontaneous miscarriage had this gene, indicating the low diagnostic value of this gene for diagnosis</w:t>
      </w:r>
      <w:r w:rsidR="006A4CE9">
        <w:rPr>
          <w:rFonts w:ascii="Book Antiqua" w:eastAsia="Book Antiqua" w:hAnsi="Book Antiqua" w:cs="Book Antiqua"/>
          <w:color w:val="000000"/>
        </w:rPr>
        <w:t xml:space="preserve"> of</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in pregnant women.</w:t>
      </w:r>
    </w:p>
    <w:p w14:paraId="71DADC3A" w14:textId="7463E4F1"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Based on the evidence, β-lactam antibiotics alone or in combination with aminoglycosides as well as cotrimoxazole are recommended treatment options for severe listeriosis infections</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A</w:t>
      </w:r>
      <w:r w:rsidRPr="00682C4E">
        <w:rPr>
          <w:rFonts w:ascii="Book Antiqua" w:eastAsia="Book Antiqua" w:hAnsi="Book Antiqua" w:cs="Book Antiqua"/>
          <w:color w:val="000000"/>
        </w:rPr>
        <w:t xml:space="preserve">lthough, nowadays, the resistance of </w:t>
      </w:r>
      <w:r w:rsidRPr="00682C4E">
        <w:rPr>
          <w:rFonts w:ascii="Book Antiqua" w:eastAsia="Book Antiqua" w:hAnsi="Book Antiqua" w:cs="Book Antiqua"/>
          <w:i/>
          <w:iCs/>
          <w:color w:val="000000"/>
        </w:rPr>
        <w:t>Listeria</w:t>
      </w:r>
      <w:r w:rsidRPr="00682C4E">
        <w:rPr>
          <w:rFonts w:ascii="Book Antiqua" w:eastAsia="Book Antiqua" w:hAnsi="Book Antiqua" w:cs="Book Antiqua"/>
          <w:color w:val="000000"/>
        </w:rPr>
        <w:t xml:space="preserve"> spp. to β-lactams and aminoglycosides is increasing</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45</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Some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are also resistant to other antibiotics such as fluoroquinolones, macrolides, and tetracyclines, and the emergence and spread of the drug-resistant strains in pregnant women can be life-threatening for both mother and child</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Our results showed that the antibiotic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the women with spontaneous abortion was high. The highest resistance was related to cefotaxime (77%)</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and the lowest was related to chloramphenicol and streptomycin (both 11%); all strains were sensitive to norfloxacin, meropenem, and amikacin. In </w:t>
      </w:r>
      <w:r w:rsidR="006A4CE9">
        <w:rPr>
          <w:rFonts w:ascii="Book Antiqua" w:eastAsia="Book Antiqua" w:hAnsi="Book Antiqua" w:cs="Book Antiqua"/>
          <w:color w:val="000000"/>
        </w:rPr>
        <w:t xml:space="preserve">a </w:t>
      </w:r>
      <w:r w:rsidRPr="00682C4E">
        <w:rPr>
          <w:rFonts w:ascii="Book Antiqua" w:eastAsia="Book Antiqua" w:hAnsi="Book Antiqua" w:cs="Book Antiqua"/>
          <w:color w:val="000000"/>
        </w:rPr>
        <w:t xml:space="preserve">recent meta-analysis study by Khademi </w:t>
      </w:r>
      <w:r w:rsidR="00D55FA6" w:rsidRPr="00682C4E">
        <w:rPr>
          <w:rFonts w:ascii="Book Antiqua" w:hAnsi="Book Antiqua" w:cs="Book Antiqua"/>
          <w:iCs/>
          <w:color w:val="000000"/>
          <w:lang w:eastAsia="zh-CN"/>
        </w:rPr>
        <w:t xml:space="preserve">and </w:t>
      </w:r>
      <w:r w:rsidR="00D55FA6" w:rsidRPr="00682C4E">
        <w:rPr>
          <w:rFonts w:ascii="Book Antiqua" w:hAnsi="Book Antiqua"/>
        </w:rPr>
        <w:t>Sahebkar</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Iranian patients to penicillin, ampicillin, and gentamicin was reported to be 56.8%, 29.5%, and 32.4%, respectively, which was close to the results of our study</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Quentin </w:t>
      </w:r>
      <w:r w:rsidRPr="00682C4E">
        <w:rPr>
          <w:rFonts w:ascii="Book Antiqua" w:eastAsia="Book Antiqua" w:hAnsi="Book Antiqua" w:cs="Book Antiqua"/>
          <w:i/>
          <w:iCs/>
          <w:color w:val="000000"/>
        </w:rPr>
        <w:t>et al</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46</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also identified a multi-resistant strain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a septic abortion</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46</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It is important to note that increasing drug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to β-lactams and aminoglycosides in the coming years will lead to the ineffectiveness of these antibiotics in the treatment of human listeriosis. </w:t>
      </w:r>
    </w:p>
    <w:p w14:paraId="743F8930" w14:textId="03F76C1A" w:rsidR="00510012" w:rsidRPr="00682C4E" w:rsidRDefault="001B61A7" w:rsidP="00FC1600">
      <w:pPr>
        <w:snapToGrid w:val="0"/>
        <w:spacing w:line="360" w:lineRule="auto"/>
        <w:ind w:firstLineChars="200" w:firstLine="480"/>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Our meta-analysis has several limitations as following: (1) The population sample size was low; (2) Heterogeneity was significant; (3) There is a slight publication bias; and (4) We included only available articles in Persian, Arabic, and English. Overall, our results showed that there is a significant relationship between </w:t>
      </w:r>
      <w:r w:rsidRPr="00682C4E">
        <w:rPr>
          <w:rFonts w:ascii="Book Antiqua" w:eastAsia="Book Antiqua" w:hAnsi="Book Antiqua" w:cs="Book Antiqua"/>
          <w:i/>
          <w:iCs/>
          <w:color w:val="000000"/>
        </w:rPr>
        <w:t xml:space="preserve">L. monocytogenes </w:t>
      </w:r>
      <w:r w:rsidRPr="00682C4E">
        <w:rPr>
          <w:rFonts w:ascii="Book Antiqua" w:eastAsia="Book Antiqua" w:hAnsi="Book Antiqua" w:cs="Book Antiqua"/>
          <w:color w:val="000000"/>
        </w:rPr>
        <w:t xml:space="preserve">infection and the increased risk of miscarriage during pregnancy. The results of the present analysis also showed that drug resistance is increasing among </w:t>
      </w:r>
      <w:r w:rsidRPr="00682C4E">
        <w:rPr>
          <w:rFonts w:ascii="Book Antiqua" w:eastAsia="Book Antiqua" w:hAnsi="Book Antiqua" w:cs="Book Antiqua"/>
          <w:i/>
          <w:iCs/>
          <w:color w:val="000000"/>
        </w:rPr>
        <w:t xml:space="preserve">L. monocytogenes </w:t>
      </w:r>
      <w:r w:rsidRPr="00682C4E">
        <w:rPr>
          <w:rFonts w:ascii="Book Antiqua" w:eastAsia="Book Antiqua" w:hAnsi="Book Antiqua" w:cs="Book Antiqua"/>
          <w:color w:val="000000"/>
        </w:rPr>
        <w:t xml:space="preserve">strains, </w:t>
      </w:r>
      <w:r w:rsidRPr="00682C4E">
        <w:rPr>
          <w:rFonts w:ascii="Book Antiqua" w:eastAsia="Book Antiqua" w:hAnsi="Book Antiqua" w:cs="Book Antiqua"/>
          <w:color w:val="000000"/>
        </w:rPr>
        <w:lastRenderedPageBreak/>
        <w:t>which needs to be re-evaluate</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I</w:t>
      </w:r>
      <w:r w:rsidRPr="00682C4E">
        <w:rPr>
          <w:rFonts w:ascii="Book Antiqua" w:eastAsia="Book Antiqua" w:hAnsi="Book Antiqua" w:cs="Book Antiqua"/>
          <w:color w:val="000000"/>
        </w:rPr>
        <w:t>f necessary, treatment guidelines should be updated to reduce the incidence of human listeriosis.</w:t>
      </w:r>
    </w:p>
    <w:p w14:paraId="447EFAD6" w14:textId="77777777" w:rsidR="00510012" w:rsidRPr="00682C4E" w:rsidRDefault="00510012" w:rsidP="00FC1600">
      <w:pPr>
        <w:snapToGrid w:val="0"/>
        <w:spacing w:line="360" w:lineRule="auto"/>
        <w:jc w:val="both"/>
        <w:rPr>
          <w:rFonts w:ascii="Book Antiqua" w:hAnsi="Book Antiqua"/>
        </w:rPr>
      </w:pPr>
    </w:p>
    <w:p w14:paraId="5669BC1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CONCLUSION</w:t>
      </w:r>
    </w:p>
    <w:p w14:paraId="31615163" w14:textId="3B79890F"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Overall, regarding the importance of microorganisms such as </w:t>
      </w:r>
      <w:r w:rsidRPr="00682C4E">
        <w:rPr>
          <w:rFonts w:ascii="Book Antiqua" w:eastAsia="Book Antiqua" w:hAnsi="Book Antiqua" w:cs="Book Antiqua"/>
          <w:i/>
          <w:iCs/>
          <w:color w:val="000000"/>
        </w:rPr>
        <w:t>Chlamydia trachomatis, Ureaplasma urealyticum, Mycoplasma hominis, L. monocytogenes</w:t>
      </w:r>
      <w:r w:rsidRPr="00682C4E">
        <w:rPr>
          <w:rFonts w:ascii="Book Antiqua" w:eastAsia="Book Antiqua" w:hAnsi="Book Antiqua" w:cs="Book Antiqua"/>
          <w:color w:val="000000"/>
        </w:rPr>
        <w:t xml:space="preserve">, herpes simplex viruses, adenoviruses, human polyomaviruses, and cytomegalovirus in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induction of spontaneous abortion, it is important that all aspects of these pathogens</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such as diagnosis, treatment, control, and vaccination, be considered by all researchers around the world.</w:t>
      </w:r>
    </w:p>
    <w:p w14:paraId="7D7C220C" w14:textId="77777777" w:rsidR="00510012" w:rsidRPr="00682C4E" w:rsidRDefault="00510012" w:rsidP="00FC1600">
      <w:pPr>
        <w:snapToGrid w:val="0"/>
        <w:spacing w:line="360" w:lineRule="auto"/>
        <w:jc w:val="both"/>
        <w:rPr>
          <w:rFonts w:ascii="Book Antiqua" w:hAnsi="Book Antiqua"/>
        </w:rPr>
      </w:pPr>
    </w:p>
    <w:p w14:paraId="1E33137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ARTICLE HIGHLIGHTS</w:t>
      </w:r>
    </w:p>
    <w:p w14:paraId="287E34F7"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background</w:t>
      </w:r>
    </w:p>
    <w:p w14:paraId="0CC2A9D2" w14:textId="114AA7EA"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Spontaneous abortion is one of the most important concerning issue</w:t>
      </w:r>
      <w:r w:rsidR="006A4CE9">
        <w:rPr>
          <w:rFonts w:ascii="Book Antiqua" w:eastAsia="Book Antiqua" w:hAnsi="Book Antiqua" w:cs="Book Antiqua"/>
          <w:color w:val="000000"/>
        </w:rPr>
        <w:t>s</w:t>
      </w:r>
      <w:r w:rsidRPr="00682C4E">
        <w:rPr>
          <w:rFonts w:ascii="Book Antiqua" w:eastAsia="Book Antiqua" w:hAnsi="Book Antiqua" w:cs="Book Antiqua"/>
          <w:color w:val="000000"/>
        </w:rPr>
        <w:t xml:space="preserve"> in pregnant women, and it has been suggested that </w:t>
      </w:r>
      <w:r w:rsidRPr="00FC1600">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w:t>
      </w:r>
      <w:r w:rsidR="006A4CE9">
        <w:rPr>
          <w:rFonts w:ascii="Book Antiqua" w:eastAsia="Book Antiqua" w:hAnsi="Book Antiqua" w:cs="Book Antiqua"/>
          <w:i/>
          <w:iCs/>
          <w:color w:val="000000"/>
        </w:rPr>
        <w:t xml:space="preserve">L. </w:t>
      </w:r>
      <w:r w:rsidR="006A4CE9" w:rsidRPr="006A4CE9">
        <w:rPr>
          <w:rFonts w:ascii="Book Antiqua" w:eastAsia="Book Antiqua" w:hAnsi="Book Antiqua" w:cs="Book Antiqua"/>
          <w:i/>
          <w:iCs/>
          <w:color w:val="000000"/>
        </w:rPr>
        <w:t>monocy</w:t>
      </w:r>
      <w:r w:rsidR="006A4CE9">
        <w:rPr>
          <w:rFonts w:ascii="Book Antiqua" w:eastAsia="Book Antiqua" w:hAnsi="Book Antiqua" w:cs="Book Antiqua"/>
          <w:i/>
          <w:iCs/>
          <w:color w:val="000000"/>
        </w:rPr>
        <w:t>t</w:t>
      </w:r>
      <w:r w:rsidR="006A4CE9" w:rsidRPr="006A4CE9">
        <w:rPr>
          <w:rFonts w:ascii="Book Antiqua" w:eastAsia="Book Antiqua" w:hAnsi="Book Antiqua" w:cs="Book Antiqua"/>
          <w:i/>
          <w:iCs/>
          <w:color w:val="000000"/>
        </w:rPr>
        <w:t>ogenes</w:t>
      </w:r>
      <w:r w:rsidR="006A4CE9">
        <w:rPr>
          <w:rFonts w:ascii="Book Antiqua" w:eastAsia="Book Antiqua" w:hAnsi="Book Antiqua" w:cs="Book Antiqua"/>
          <w:color w:val="000000"/>
        </w:rPr>
        <w:t xml:space="preserve">) </w:t>
      </w:r>
      <w:r w:rsidRPr="006A4CE9">
        <w:rPr>
          <w:rFonts w:ascii="Book Antiqua" w:eastAsia="Book Antiqua" w:hAnsi="Book Antiqua" w:cs="Book Antiqua"/>
          <w:color w:val="000000"/>
        </w:rPr>
        <w:t>infection</w:t>
      </w:r>
      <w:r w:rsidRPr="00682C4E">
        <w:rPr>
          <w:rFonts w:ascii="Book Antiqua" w:eastAsia="Book Antiqua" w:hAnsi="Book Antiqua" w:cs="Book Antiqua"/>
          <w:color w:val="000000"/>
        </w:rPr>
        <w:t xml:space="preserve"> can play</w:t>
      </w:r>
      <w:r w:rsidR="006A4CE9">
        <w:rPr>
          <w:rFonts w:ascii="Book Antiqua" w:eastAsia="Book Antiqua" w:hAnsi="Book Antiqua" w:cs="Book Antiqua"/>
          <w:color w:val="000000"/>
        </w:rPr>
        <w:t xml:space="preserve"> a</w:t>
      </w:r>
      <w:r w:rsidRPr="00682C4E">
        <w:rPr>
          <w:rFonts w:ascii="Book Antiqua" w:eastAsia="Book Antiqua" w:hAnsi="Book Antiqua" w:cs="Book Antiqua"/>
          <w:color w:val="000000"/>
        </w:rPr>
        <w:t xml:space="preserve"> key role in pathogenesis of this disease.</w:t>
      </w:r>
    </w:p>
    <w:p w14:paraId="22F998B6" w14:textId="77777777" w:rsidR="00510012" w:rsidRPr="00682C4E" w:rsidRDefault="00510012" w:rsidP="00FC1600">
      <w:pPr>
        <w:snapToGrid w:val="0"/>
        <w:spacing w:line="360" w:lineRule="auto"/>
        <w:jc w:val="both"/>
        <w:rPr>
          <w:rFonts w:ascii="Book Antiqua" w:hAnsi="Book Antiqua"/>
        </w:rPr>
      </w:pPr>
    </w:p>
    <w:p w14:paraId="5C64332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motivation</w:t>
      </w:r>
    </w:p>
    <w:p w14:paraId="0B0BC32E" w14:textId="25E1625A"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We conducted the present study to estimate the risk of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development of spontaneous abortion during pregnancy.</w:t>
      </w:r>
    </w:p>
    <w:p w14:paraId="5D4B64EC" w14:textId="77777777" w:rsidR="00510012" w:rsidRPr="00682C4E" w:rsidRDefault="00510012" w:rsidP="00FC1600">
      <w:pPr>
        <w:snapToGrid w:val="0"/>
        <w:spacing w:line="360" w:lineRule="auto"/>
        <w:jc w:val="both"/>
        <w:rPr>
          <w:rFonts w:ascii="Book Antiqua" w:hAnsi="Book Antiqua"/>
        </w:rPr>
      </w:pPr>
    </w:p>
    <w:p w14:paraId="306B87D4"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objectives</w:t>
      </w:r>
    </w:p>
    <w:p w14:paraId="28469E8B"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 aim of this study was evaluation of the probable connection between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risk of spontaneous abortion in pregnancy.</w:t>
      </w:r>
    </w:p>
    <w:p w14:paraId="383CFBC2" w14:textId="77777777" w:rsidR="00510012" w:rsidRPr="00682C4E" w:rsidRDefault="00510012" w:rsidP="00FC1600">
      <w:pPr>
        <w:snapToGrid w:val="0"/>
        <w:spacing w:line="360" w:lineRule="auto"/>
        <w:jc w:val="both"/>
        <w:rPr>
          <w:rFonts w:ascii="Book Antiqua" w:hAnsi="Book Antiqua"/>
        </w:rPr>
      </w:pPr>
    </w:p>
    <w:p w14:paraId="1693235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methods</w:t>
      </w:r>
    </w:p>
    <w:p w14:paraId="25BF5643" w14:textId="19B03885"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We conducted a systematic literature review using several databases to search the relevant case-control studies on the association between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and spontaneous abortion. Finally, the impact of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risk of </w:t>
      </w:r>
      <w:r w:rsidRPr="00682C4E">
        <w:rPr>
          <w:rFonts w:ascii="Book Antiqua" w:eastAsia="Book Antiqua" w:hAnsi="Book Antiqua" w:cs="Book Antiqua"/>
          <w:color w:val="000000"/>
        </w:rPr>
        <w:lastRenderedPageBreak/>
        <w:t xml:space="preserve">spontaneous abortion was assessed </w:t>
      </w:r>
      <w:r w:rsidRPr="00682C4E">
        <w:rPr>
          <w:rFonts w:ascii="Book Antiqua" w:eastAsia="Book Antiqua" w:hAnsi="Book Antiqua" w:cs="Book Antiqua"/>
          <w:i/>
          <w:iCs/>
          <w:color w:val="000000"/>
        </w:rPr>
        <w:t>via</w:t>
      </w:r>
      <w:r w:rsidRPr="00682C4E">
        <w:rPr>
          <w:rFonts w:ascii="Book Antiqua" w:eastAsia="Book Antiqua" w:hAnsi="Book Antiqua" w:cs="Book Antiqua"/>
          <w:color w:val="000000"/>
        </w:rPr>
        <w:t xml:space="preserve"> odds ratio at corresponding 95% confidence intervals.</w:t>
      </w:r>
    </w:p>
    <w:p w14:paraId="385D0EC6" w14:textId="77777777" w:rsidR="00510012" w:rsidRPr="00682C4E" w:rsidRDefault="00510012" w:rsidP="00FC1600">
      <w:pPr>
        <w:snapToGrid w:val="0"/>
        <w:spacing w:line="360" w:lineRule="auto"/>
        <w:jc w:val="both"/>
        <w:rPr>
          <w:rFonts w:ascii="Book Antiqua" w:hAnsi="Book Antiqua"/>
        </w:rPr>
      </w:pPr>
    </w:p>
    <w:p w14:paraId="650C91E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results</w:t>
      </w:r>
    </w:p>
    <w:p w14:paraId="2E453750" w14:textId="0C33933C"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 frequency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was significantly increased in pregnant women with spontaneous abortion in comparison with healthy subjects. There is significant association between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development of spontaneous abortion in pregnant women (</w:t>
      </w:r>
      <w:r w:rsidR="00682C4E">
        <w:rPr>
          <w:rFonts w:ascii="Book Antiqua" w:eastAsia="Book Antiqua" w:hAnsi="Book Antiqua" w:cs="Book Antiqua"/>
          <w:color w:val="000000"/>
        </w:rPr>
        <w:t>odds ratio</w:t>
      </w:r>
      <w:r w:rsidRPr="00682C4E">
        <w:rPr>
          <w:rFonts w:ascii="Book Antiqua" w:eastAsia="Book Antiqua" w:hAnsi="Book Antiqua" w:cs="Book Antiqua"/>
          <w:color w:val="000000"/>
        </w:rPr>
        <w:t>: 2.778; 2.130-3.623 with 95%</w:t>
      </w:r>
      <w:r w:rsidR="006A4CE9">
        <w:rPr>
          <w:rFonts w:ascii="Book Antiqua" w:eastAsia="Book Antiqua" w:hAnsi="Book Antiqua" w:cs="Book Antiqua"/>
          <w:color w:val="000000"/>
        </w:rPr>
        <w:t xml:space="preserve"> confidence interval</w:t>
      </w:r>
      <w:r w:rsidRPr="00682C4E">
        <w:rPr>
          <w:rFonts w:ascii="Book Antiqua" w:eastAsia="Book Antiqua" w:hAnsi="Book Antiqua" w:cs="Book Antiqua"/>
          <w:color w:val="000000"/>
        </w:rPr>
        <w:t>).</w:t>
      </w:r>
    </w:p>
    <w:p w14:paraId="3067B1FC" w14:textId="77777777" w:rsidR="00510012" w:rsidRPr="00682C4E" w:rsidRDefault="00510012" w:rsidP="00FC1600">
      <w:pPr>
        <w:snapToGrid w:val="0"/>
        <w:spacing w:line="360" w:lineRule="auto"/>
        <w:jc w:val="both"/>
        <w:rPr>
          <w:rFonts w:ascii="Book Antiqua" w:hAnsi="Book Antiqua"/>
        </w:rPr>
      </w:pPr>
    </w:p>
    <w:p w14:paraId="1523D3B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conclusions</w:t>
      </w:r>
    </w:p>
    <w:p w14:paraId="1A7CB0D3" w14:textId="31A41DE5"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Our results suggested the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is a marker for prediction of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risk of develop</w:t>
      </w:r>
      <w:r w:rsidR="006A4CE9">
        <w:rPr>
          <w:rFonts w:ascii="Book Antiqua" w:eastAsia="Book Antiqua" w:hAnsi="Book Antiqua" w:cs="Book Antiqua"/>
          <w:color w:val="000000"/>
        </w:rPr>
        <w:t>ment</w:t>
      </w:r>
      <w:r w:rsidRPr="00682C4E">
        <w:rPr>
          <w:rFonts w:ascii="Book Antiqua" w:eastAsia="Book Antiqua" w:hAnsi="Book Antiqua" w:cs="Book Antiqua"/>
          <w:color w:val="000000"/>
        </w:rPr>
        <w:t xml:space="preserve"> o</w:t>
      </w:r>
      <w:r w:rsidR="006A4CE9">
        <w:rPr>
          <w:rFonts w:ascii="Book Antiqua" w:eastAsia="Book Antiqua" w:hAnsi="Book Antiqua" w:cs="Book Antiqua"/>
          <w:color w:val="000000"/>
        </w:rPr>
        <w:t>f</w:t>
      </w:r>
      <w:r w:rsidRPr="00682C4E">
        <w:rPr>
          <w:rFonts w:ascii="Book Antiqua" w:eastAsia="Book Antiqua" w:hAnsi="Book Antiqua" w:cs="Book Antiqua"/>
          <w:color w:val="000000"/>
        </w:rPr>
        <w:t xml:space="preserve"> spontaneous abortion during pregnancy.</w:t>
      </w:r>
    </w:p>
    <w:p w14:paraId="3C9856BC" w14:textId="77777777" w:rsidR="00510012" w:rsidRPr="00682C4E" w:rsidRDefault="00510012" w:rsidP="00FC1600">
      <w:pPr>
        <w:snapToGrid w:val="0"/>
        <w:spacing w:line="360" w:lineRule="auto"/>
        <w:jc w:val="both"/>
        <w:rPr>
          <w:rFonts w:ascii="Book Antiqua" w:hAnsi="Book Antiqua"/>
        </w:rPr>
      </w:pPr>
    </w:p>
    <w:p w14:paraId="3B443A1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perspectives</w:t>
      </w:r>
    </w:p>
    <w:p w14:paraId="437595B7" w14:textId="4265E42D"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Regarding the importance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the initiation and development of spontaneous abortion, it is important that all aspects of th</w:t>
      </w:r>
      <w:r w:rsidR="006A4CE9">
        <w:rPr>
          <w:rFonts w:ascii="Book Antiqua" w:eastAsia="Book Antiqua" w:hAnsi="Book Antiqua" w:cs="Book Antiqua"/>
          <w:color w:val="000000"/>
        </w:rPr>
        <w:t>i</w:t>
      </w:r>
      <w:r w:rsidRPr="00682C4E">
        <w:rPr>
          <w:rFonts w:ascii="Book Antiqua" w:eastAsia="Book Antiqua" w:hAnsi="Book Antiqua" w:cs="Book Antiqua"/>
          <w:color w:val="000000"/>
        </w:rPr>
        <w:t>s pathogen</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such as diagnosis, treatment, control, and vaccination, be considered by all researchers around the world.</w:t>
      </w:r>
    </w:p>
    <w:p w14:paraId="10FD7602" w14:textId="77777777" w:rsidR="00510012" w:rsidRPr="00682C4E" w:rsidRDefault="00510012" w:rsidP="00FC1600">
      <w:pPr>
        <w:snapToGrid w:val="0"/>
        <w:spacing w:line="360" w:lineRule="auto"/>
        <w:jc w:val="both"/>
        <w:rPr>
          <w:rFonts w:ascii="Book Antiqua" w:hAnsi="Book Antiqua"/>
        </w:rPr>
      </w:pPr>
    </w:p>
    <w:p w14:paraId="66A4ED1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REFERENCES</w:t>
      </w:r>
    </w:p>
    <w:p w14:paraId="602948D3"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1 </w:t>
      </w:r>
      <w:r w:rsidRPr="00EC5A3F">
        <w:rPr>
          <w:rFonts w:ascii="Book Antiqua" w:hAnsi="Book Antiqua"/>
          <w:b/>
          <w:bCs/>
        </w:rPr>
        <w:t>Wang JX</w:t>
      </w:r>
      <w:r w:rsidRPr="00EC5A3F">
        <w:rPr>
          <w:rFonts w:ascii="Book Antiqua" w:hAnsi="Book Antiqua"/>
        </w:rPr>
        <w:t xml:space="preserve">, Norman RJ, Wilcox AJ. Incidence of spontaneous abortion among pregnancies produced by assisted reproductive technology. </w:t>
      </w:r>
      <w:r w:rsidRPr="00EC5A3F">
        <w:rPr>
          <w:rFonts w:ascii="Book Antiqua" w:hAnsi="Book Antiqua"/>
          <w:i/>
          <w:iCs/>
        </w:rPr>
        <w:t>Hum Reprod</w:t>
      </w:r>
      <w:r w:rsidRPr="00EC5A3F">
        <w:rPr>
          <w:rFonts w:ascii="Book Antiqua" w:hAnsi="Book Antiqua"/>
        </w:rPr>
        <w:t xml:space="preserve"> 2004; </w:t>
      </w:r>
      <w:r w:rsidRPr="00EC5A3F">
        <w:rPr>
          <w:rFonts w:ascii="Book Antiqua" w:hAnsi="Book Antiqua"/>
          <w:b/>
          <w:bCs/>
        </w:rPr>
        <w:t>19</w:t>
      </w:r>
      <w:r w:rsidRPr="00EC5A3F">
        <w:rPr>
          <w:rFonts w:ascii="Book Antiqua" w:hAnsi="Book Antiqua"/>
        </w:rPr>
        <w:t>: 272-277 [PMID: 14747166 DOI: 10.1093/humrep/deh078]</w:t>
      </w:r>
    </w:p>
    <w:p w14:paraId="2ADBB7F2"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2 Cohain JS, Buxbaum RE, Mankuta D. Spontaneous first trimester miscarriage rates per woman among parous women with 1 or more pregnancies of 24 weeks or more. </w:t>
      </w:r>
      <w:r w:rsidRPr="00EC5A3F">
        <w:rPr>
          <w:rFonts w:ascii="Book Antiqua" w:hAnsi="Book Antiqua"/>
          <w:i/>
          <w:iCs/>
        </w:rPr>
        <w:t>BMC Pregnancy Childbirth</w:t>
      </w:r>
      <w:r w:rsidRPr="00EC5A3F">
        <w:rPr>
          <w:rFonts w:ascii="Book Antiqua" w:hAnsi="Book Antiqua"/>
        </w:rPr>
        <w:t xml:space="preserve"> 2017; 17: 437 [PMID: 29272996 DOI: 10.1186/s12884-017-1620-1] </w:t>
      </w:r>
    </w:p>
    <w:p w14:paraId="4A2C8AF7"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3 </w:t>
      </w:r>
      <w:r w:rsidRPr="00EC5A3F">
        <w:rPr>
          <w:rFonts w:ascii="Book Antiqua" w:hAnsi="Book Antiqua"/>
          <w:b/>
          <w:bCs/>
        </w:rPr>
        <w:t xml:space="preserve">Alberman E. </w:t>
      </w:r>
      <w:r w:rsidRPr="00EC5A3F">
        <w:rPr>
          <w:rFonts w:ascii="Book Antiqua" w:hAnsi="Book Antiqua"/>
        </w:rPr>
        <w:t>Spontaneous abortions: epidemiology. Spontaneous Abortion: Springer; 1992: 9-20</w:t>
      </w:r>
    </w:p>
    <w:p w14:paraId="29DC0D95"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lastRenderedPageBreak/>
        <w:t xml:space="preserve">4 </w:t>
      </w:r>
      <w:r w:rsidRPr="00EC5A3F">
        <w:rPr>
          <w:rFonts w:ascii="Book Antiqua" w:hAnsi="Book Antiqua"/>
          <w:b/>
          <w:bCs/>
        </w:rPr>
        <w:t>Moradinazar M</w:t>
      </w:r>
      <w:r w:rsidRPr="00EC5A3F">
        <w:rPr>
          <w:rFonts w:ascii="Book Antiqua" w:hAnsi="Book Antiqua"/>
        </w:rPr>
        <w:t xml:space="preserve">, Najafi F, Nazar ZM, Hamzeh B, Pasdar Y, Shakiba E. Lifetime Prevalence of Abortion and Risk Factors in Women: Evidence from a Cohort Study. </w:t>
      </w:r>
      <w:r w:rsidRPr="00EC5A3F">
        <w:rPr>
          <w:rFonts w:ascii="Book Antiqua" w:hAnsi="Book Antiqua"/>
          <w:i/>
          <w:iCs/>
        </w:rPr>
        <w:t>J Pregnancy</w:t>
      </w:r>
      <w:r w:rsidRPr="00EC5A3F">
        <w:rPr>
          <w:rFonts w:ascii="Book Antiqua" w:hAnsi="Book Antiqua"/>
        </w:rPr>
        <w:t xml:space="preserve"> 2020; </w:t>
      </w:r>
      <w:r w:rsidRPr="00EC5A3F">
        <w:rPr>
          <w:rFonts w:ascii="Book Antiqua" w:hAnsi="Book Antiqua"/>
          <w:b/>
          <w:bCs/>
        </w:rPr>
        <w:t>2020</w:t>
      </w:r>
      <w:r w:rsidRPr="00EC5A3F">
        <w:rPr>
          <w:rFonts w:ascii="Book Antiqua" w:hAnsi="Book Antiqua"/>
        </w:rPr>
        <w:t>: 4871494 [PMID: 32395342 DOI: 10.1155/2020/4871494]</w:t>
      </w:r>
    </w:p>
    <w:p w14:paraId="7A01DD86"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5 </w:t>
      </w:r>
      <w:r w:rsidRPr="00EC5A3F">
        <w:rPr>
          <w:rFonts w:ascii="Book Antiqua" w:hAnsi="Book Antiqua"/>
          <w:b/>
          <w:bCs/>
        </w:rPr>
        <w:t>Otgonjargala B</w:t>
      </w:r>
      <w:r w:rsidRPr="00EC5A3F">
        <w:rPr>
          <w:rFonts w:ascii="Book Antiqua" w:hAnsi="Book Antiqua"/>
        </w:rPr>
        <w:t xml:space="preserve">, Becker K, Batbaatar G, Tsogtsaikhan S, Enkhtsetseg J, Enkhjargal A, Pfeffer K, Adams O, Battogtokh C, Henrich B. Effect of Mycoplasma hominis and cytomegalovirus infection on pregnancy outcome: A prospective study of 200 Mongolian women and their newborns. </w:t>
      </w:r>
      <w:r w:rsidRPr="00EC5A3F">
        <w:rPr>
          <w:rFonts w:ascii="Book Antiqua" w:hAnsi="Book Antiqua"/>
          <w:i/>
          <w:iCs/>
        </w:rPr>
        <w:t>PLoS One</w:t>
      </w:r>
      <w:r w:rsidRPr="00EC5A3F">
        <w:rPr>
          <w:rFonts w:ascii="Book Antiqua" w:hAnsi="Book Antiqua"/>
        </w:rPr>
        <w:t xml:space="preserve"> 2017; </w:t>
      </w:r>
      <w:r w:rsidRPr="00EC5A3F">
        <w:rPr>
          <w:rFonts w:ascii="Book Antiqua" w:hAnsi="Book Antiqua"/>
          <w:b/>
          <w:bCs/>
        </w:rPr>
        <w:t>12</w:t>
      </w:r>
      <w:r w:rsidRPr="00EC5A3F">
        <w:rPr>
          <w:rFonts w:ascii="Book Antiqua" w:hAnsi="Book Antiqua"/>
        </w:rPr>
        <w:t>: e0173283 [PMID: 28257513 DOI: 10.1371/journal.pone.0173283]</w:t>
      </w:r>
    </w:p>
    <w:p w14:paraId="349C5A10"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6 </w:t>
      </w:r>
      <w:r w:rsidRPr="00EC5A3F">
        <w:rPr>
          <w:rFonts w:ascii="Book Antiqua" w:hAnsi="Book Antiqua"/>
          <w:b/>
          <w:bCs/>
        </w:rPr>
        <w:t>Giakoumelou S</w:t>
      </w:r>
      <w:r w:rsidRPr="00EC5A3F">
        <w:rPr>
          <w:rFonts w:ascii="Book Antiqua" w:hAnsi="Book Antiqua"/>
        </w:rPr>
        <w:t xml:space="preserve">, Wheelhouse N, Cuschieri K, Entrican G, Howie SE, Horne AW. The role of infection in miscarriage. </w:t>
      </w:r>
      <w:r w:rsidRPr="00EC5A3F">
        <w:rPr>
          <w:rFonts w:ascii="Book Antiqua" w:hAnsi="Book Antiqua"/>
          <w:i/>
          <w:iCs/>
        </w:rPr>
        <w:t>Hum Reprod Update</w:t>
      </w:r>
      <w:r w:rsidRPr="00EC5A3F">
        <w:rPr>
          <w:rFonts w:ascii="Book Antiqua" w:hAnsi="Book Antiqua"/>
        </w:rPr>
        <w:t xml:space="preserve"> 2016; </w:t>
      </w:r>
      <w:r w:rsidRPr="00EC5A3F">
        <w:rPr>
          <w:rFonts w:ascii="Book Antiqua" w:hAnsi="Book Antiqua"/>
          <w:b/>
          <w:bCs/>
        </w:rPr>
        <w:t>22</w:t>
      </w:r>
      <w:r w:rsidRPr="00EC5A3F">
        <w:rPr>
          <w:rFonts w:ascii="Book Antiqua" w:hAnsi="Book Antiqua"/>
        </w:rPr>
        <w:t>: 116-133 [PMID: 26386469 DOI: 10.1093/humupd/dmv041]</w:t>
      </w:r>
    </w:p>
    <w:p w14:paraId="6D37DF5E"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7 </w:t>
      </w:r>
      <w:r w:rsidRPr="00EC5A3F">
        <w:rPr>
          <w:rFonts w:ascii="Book Antiqua" w:hAnsi="Book Antiqua"/>
          <w:b/>
          <w:bCs/>
        </w:rPr>
        <w:t>Buchanan RL,</w:t>
      </w:r>
      <w:r w:rsidRPr="00EC5A3F">
        <w:rPr>
          <w:rFonts w:ascii="Book Antiqua" w:hAnsi="Book Antiqua"/>
        </w:rPr>
        <w:t xml:space="preserve"> Gorris LG, Hayman MM, Jackson TC, Whiting RC. A review of Listeria monocytogenes: an update on outbreaks, virulence, dose-response, ecology, and risk assessments. </w:t>
      </w:r>
      <w:r w:rsidRPr="00EC5A3F">
        <w:rPr>
          <w:rFonts w:ascii="Book Antiqua" w:hAnsi="Book Antiqua"/>
          <w:i/>
          <w:iCs/>
        </w:rPr>
        <w:t xml:space="preserve">Food control </w:t>
      </w:r>
      <w:r w:rsidRPr="00EC5A3F">
        <w:rPr>
          <w:rFonts w:ascii="Book Antiqua" w:hAnsi="Book Antiqua"/>
        </w:rPr>
        <w:t xml:space="preserve">2017; </w:t>
      </w:r>
      <w:r w:rsidRPr="00EC5A3F">
        <w:rPr>
          <w:rFonts w:ascii="Book Antiqua" w:hAnsi="Book Antiqua"/>
          <w:b/>
          <w:bCs/>
        </w:rPr>
        <w:t>75</w:t>
      </w:r>
      <w:r w:rsidRPr="00EC5A3F">
        <w:rPr>
          <w:rFonts w:ascii="Book Antiqua" w:hAnsi="Book Antiqua"/>
        </w:rPr>
        <w:t>: 1-13 [DOI: 10.1016/j.foodcont.2016.12.016]</w:t>
      </w:r>
    </w:p>
    <w:p w14:paraId="138104E6"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8 </w:t>
      </w:r>
      <w:r w:rsidRPr="00EC5A3F">
        <w:rPr>
          <w:rFonts w:ascii="Book Antiqua" w:hAnsi="Book Antiqua"/>
          <w:b/>
          <w:bCs/>
        </w:rPr>
        <w:t>Letchumanan V,</w:t>
      </w:r>
      <w:r w:rsidRPr="00EC5A3F">
        <w:rPr>
          <w:rFonts w:ascii="Book Antiqua" w:hAnsi="Book Antiqua"/>
        </w:rPr>
        <w:t xml:space="preserve"> Wong PC, Goh BH, Long CM, Lee LH. A review on the characteristics, taxanomy and prevalence of Listeria monocytogenes. </w:t>
      </w:r>
      <w:r w:rsidRPr="00EC5A3F">
        <w:rPr>
          <w:rFonts w:ascii="Book Antiqua" w:hAnsi="Book Antiqua"/>
          <w:i/>
          <w:iCs/>
        </w:rPr>
        <w:t xml:space="preserve">Microbe Mol Biol </w:t>
      </w:r>
      <w:r w:rsidRPr="00EC5A3F">
        <w:rPr>
          <w:rFonts w:ascii="Book Antiqua" w:hAnsi="Book Antiqua"/>
        </w:rPr>
        <w:t xml:space="preserve">2018; </w:t>
      </w:r>
      <w:r w:rsidRPr="00EC5A3F">
        <w:rPr>
          <w:rFonts w:ascii="Book Antiqua" w:hAnsi="Book Antiqua"/>
          <w:b/>
          <w:bCs/>
        </w:rPr>
        <w:t>1</w:t>
      </w:r>
      <w:r w:rsidRPr="00EC5A3F">
        <w:rPr>
          <w:rFonts w:ascii="Book Antiqua" w:hAnsi="Book Antiqua"/>
        </w:rPr>
        <w:t xml:space="preserve"> [DOI: 10.36877/pmmb.a0000007]</w:t>
      </w:r>
    </w:p>
    <w:p w14:paraId="57A5A6D2"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9 </w:t>
      </w:r>
      <w:r w:rsidRPr="00EC5A3F">
        <w:rPr>
          <w:rFonts w:ascii="Book Antiqua" w:hAnsi="Book Antiqua"/>
          <w:b/>
          <w:bCs/>
        </w:rPr>
        <w:t>Barikbin P</w:t>
      </w:r>
      <w:r w:rsidRPr="00EC5A3F">
        <w:rPr>
          <w:rFonts w:ascii="Book Antiqua" w:hAnsi="Book Antiqua"/>
        </w:rPr>
        <w:t xml:space="preserve">, Sallmon H, Hüseman D, Sarioglu N, Weichert A, von Weizsäcker K, Bührer C, Koehne P. Clinical, Laboratory, and Placental Findings in Perinatal Listeriosis. </w:t>
      </w:r>
      <w:r w:rsidRPr="00EC5A3F">
        <w:rPr>
          <w:rFonts w:ascii="Book Antiqua" w:hAnsi="Book Antiqua"/>
          <w:i/>
          <w:iCs/>
        </w:rPr>
        <w:t>Fetal Pediatr Pathol</w:t>
      </w:r>
      <w:r w:rsidRPr="00EC5A3F">
        <w:rPr>
          <w:rFonts w:ascii="Book Antiqua" w:hAnsi="Book Antiqua"/>
        </w:rPr>
        <w:t xml:space="preserve"> 2016; </w:t>
      </w:r>
      <w:r w:rsidRPr="00EC5A3F">
        <w:rPr>
          <w:rFonts w:ascii="Book Antiqua" w:hAnsi="Book Antiqua"/>
          <w:b/>
          <w:bCs/>
        </w:rPr>
        <w:t>35</w:t>
      </w:r>
      <w:r w:rsidRPr="00EC5A3F">
        <w:rPr>
          <w:rFonts w:ascii="Book Antiqua" w:hAnsi="Book Antiqua"/>
        </w:rPr>
        <w:t>: 307-314 [PMID: 27212240 DOI: 10.1080/15513815.2016.1179822]</w:t>
      </w:r>
    </w:p>
    <w:p w14:paraId="08FDBA22"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10 </w:t>
      </w:r>
      <w:r w:rsidRPr="00EC5A3F">
        <w:rPr>
          <w:rFonts w:ascii="Book Antiqua" w:hAnsi="Book Antiqua"/>
          <w:b/>
          <w:bCs/>
        </w:rPr>
        <w:t>Lamont RF</w:t>
      </w:r>
      <w:r w:rsidRPr="00EC5A3F">
        <w:rPr>
          <w:rFonts w:ascii="Book Antiqua" w:hAnsi="Book Antiqua"/>
        </w:rPr>
        <w:t xml:space="preserve">, Sobel J, Mazaki-Tovi S, Kusanovic JP, Vaisbuch E, Kim SK, Uldbjerg N, Romero R. Listeriosis in human pregnancy: a systematic review. </w:t>
      </w:r>
      <w:r w:rsidRPr="00EC5A3F">
        <w:rPr>
          <w:rFonts w:ascii="Book Antiqua" w:hAnsi="Book Antiqua"/>
          <w:i/>
          <w:iCs/>
        </w:rPr>
        <w:t>J Perinat Med</w:t>
      </w:r>
      <w:r w:rsidRPr="00EC5A3F">
        <w:rPr>
          <w:rFonts w:ascii="Book Antiqua" w:hAnsi="Book Antiqua"/>
        </w:rPr>
        <w:t xml:space="preserve"> 2011; </w:t>
      </w:r>
      <w:r w:rsidRPr="00EC5A3F">
        <w:rPr>
          <w:rFonts w:ascii="Book Antiqua" w:hAnsi="Book Antiqua"/>
          <w:b/>
          <w:bCs/>
        </w:rPr>
        <w:t>39</w:t>
      </w:r>
      <w:r w:rsidRPr="00EC5A3F">
        <w:rPr>
          <w:rFonts w:ascii="Book Antiqua" w:hAnsi="Book Antiqua"/>
        </w:rPr>
        <w:t>: 227-236 [PMID: 21517700 DOI: 10.1515/jpm.2011.035]</w:t>
      </w:r>
    </w:p>
    <w:p w14:paraId="08DA56CA"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11 </w:t>
      </w:r>
      <w:r w:rsidRPr="00EC5A3F">
        <w:rPr>
          <w:rFonts w:ascii="Book Antiqua" w:hAnsi="Book Antiqua"/>
          <w:b/>
          <w:bCs/>
        </w:rPr>
        <w:t>Mylonakis E</w:t>
      </w:r>
      <w:r w:rsidRPr="00EC5A3F">
        <w:rPr>
          <w:rFonts w:ascii="Book Antiqua" w:hAnsi="Book Antiqua"/>
        </w:rPr>
        <w:t xml:space="preserve">, Paliou M, Hohmann EL, Calderwood SB, Wing EJ. Listeriosis during pregnancy: a case series and review of 222 cases. </w:t>
      </w:r>
      <w:r w:rsidRPr="00EC5A3F">
        <w:rPr>
          <w:rFonts w:ascii="Book Antiqua" w:hAnsi="Book Antiqua"/>
          <w:i/>
          <w:iCs/>
        </w:rPr>
        <w:t>Medicine (Baltimore)</w:t>
      </w:r>
      <w:r w:rsidRPr="00EC5A3F">
        <w:rPr>
          <w:rFonts w:ascii="Book Antiqua" w:hAnsi="Book Antiqua"/>
        </w:rPr>
        <w:t xml:space="preserve"> 2002; </w:t>
      </w:r>
      <w:r w:rsidRPr="00EC5A3F">
        <w:rPr>
          <w:rFonts w:ascii="Book Antiqua" w:hAnsi="Book Antiqua"/>
          <w:b/>
          <w:bCs/>
        </w:rPr>
        <w:t>81</w:t>
      </w:r>
      <w:r w:rsidRPr="00EC5A3F">
        <w:rPr>
          <w:rFonts w:ascii="Book Antiqua" w:hAnsi="Book Antiqua"/>
        </w:rPr>
        <w:t>: 260-269 [PMID: 12169881 DOI: 10.1097/00005792-200207000-00002]</w:t>
      </w:r>
    </w:p>
    <w:p w14:paraId="3B402BD8" w14:textId="77777777" w:rsidR="00510012" w:rsidRPr="00EC5A3F" w:rsidRDefault="001B61A7" w:rsidP="00FC1600">
      <w:pPr>
        <w:snapToGrid w:val="0"/>
        <w:spacing w:line="360" w:lineRule="auto"/>
        <w:jc w:val="both"/>
        <w:rPr>
          <w:rFonts w:ascii="Book Antiqua" w:hAnsi="Book Antiqua"/>
        </w:rPr>
      </w:pPr>
      <w:r w:rsidRPr="00EC5A3F">
        <w:rPr>
          <w:rFonts w:ascii="Book Antiqua" w:hAnsi="Book Antiqua"/>
        </w:rPr>
        <w:t xml:space="preserve">12 </w:t>
      </w:r>
      <w:r w:rsidRPr="00EC5A3F">
        <w:rPr>
          <w:rFonts w:ascii="Book Antiqua" w:hAnsi="Book Antiqua"/>
          <w:b/>
          <w:bCs/>
        </w:rPr>
        <w:t>Stephen S,</w:t>
      </w:r>
      <w:r w:rsidRPr="00EC5A3F">
        <w:rPr>
          <w:rFonts w:ascii="Book Antiqua" w:hAnsi="Book Antiqua"/>
        </w:rPr>
        <w:t xml:space="preserve"> Indrani R, Achyutha Rao K, Padma Rao A. Listeriosis in human abortions—including a brief review of literature. </w:t>
      </w:r>
      <w:r w:rsidRPr="00EC5A3F">
        <w:rPr>
          <w:rFonts w:ascii="Book Antiqua" w:hAnsi="Book Antiqua"/>
          <w:i/>
          <w:iCs/>
        </w:rPr>
        <w:t>J Obstet Gynecol India</w:t>
      </w:r>
      <w:r w:rsidRPr="00EC5A3F">
        <w:rPr>
          <w:rFonts w:ascii="Book Antiqua" w:hAnsi="Book Antiqua"/>
        </w:rPr>
        <w:t xml:space="preserve"> 1978; </w:t>
      </w:r>
      <w:r w:rsidRPr="00EC5A3F">
        <w:rPr>
          <w:rFonts w:ascii="Book Antiqua" w:hAnsi="Book Antiqua"/>
          <w:b/>
          <w:bCs/>
        </w:rPr>
        <w:t>28</w:t>
      </w:r>
      <w:r w:rsidRPr="00EC5A3F">
        <w:rPr>
          <w:rFonts w:ascii="Book Antiqua" w:hAnsi="Book Antiqua"/>
        </w:rPr>
        <w:t>: 497-501</w:t>
      </w:r>
    </w:p>
    <w:p w14:paraId="27DEDA9B"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lastRenderedPageBreak/>
        <w:t>13</w:t>
      </w:r>
      <w:r w:rsidR="001B61A7" w:rsidRPr="00EC5A3F">
        <w:rPr>
          <w:rFonts w:ascii="Book Antiqua" w:hAnsi="Book Antiqua"/>
        </w:rPr>
        <w:t xml:space="preserve"> </w:t>
      </w:r>
      <w:r w:rsidR="001B61A7" w:rsidRPr="00EC5A3F">
        <w:rPr>
          <w:rFonts w:ascii="Book Antiqua" w:hAnsi="Book Antiqua"/>
          <w:b/>
          <w:bCs/>
        </w:rPr>
        <w:t>Aljicević M</w:t>
      </w:r>
      <w:r w:rsidR="001B61A7" w:rsidRPr="00EC5A3F">
        <w:rPr>
          <w:rFonts w:ascii="Book Antiqua" w:hAnsi="Book Antiqua"/>
        </w:rPr>
        <w:t xml:space="preserve">, Beslagić E, Zvizdić S, Hamzić S, Mahmutović S. Listeria monocytogenes as the possible cause of the spontanous abortion in female of the fertile age. </w:t>
      </w:r>
      <w:r w:rsidR="001B61A7" w:rsidRPr="00EC5A3F">
        <w:rPr>
          <w:rFonts w:ascii="Book Antiqua" w:hAnsi="Book Antiqua"/>
          <w:i/>
          <w:iCs/>
        </w:rPr>
        <w:t>Bosn J Basic Med Sci</w:t>
      </w:r>
      <w:r w:rsidR="001B61A7" w:rsidRPr="00EC5A3F">
        <w:rPr>
          <w:rFonts w:ascii="Book Antiqua" w:hAnsi="Book Antiqua"/>
        </w:rPr>
        <w:t xml:space="preserve"> 2005; </w:t>
      </w:r>
      <w:r w:rsidR="001B61A7" w:rsidRPr="00EC5A3F">
        <w:rPr>
          <w:rFonts w:ascii="Book Antiqua" w:hAnsi="Book Antiqua"/>
          <w:b/>
          <w:bCs/>
        </w:rPr>
        <w:t>5</w:t>
      </w:r>
      <w:r w:rsidR="001B61A7" w:rsidRPr="00EC5A3F">
        <w:rPr>
          <w:rFonts w:ascii="Book Antiqua" w:hAnsi="Book Antiqua"/>
        </w:rPr>
        <w:t>: 89-92 [PMID: 16351605 DOI: 10.17305/bjbms.2005.3241]</w:t>
      </w:r>
    </w:p>
    <w:p w14:paraId="2B753DAF"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14</w:t>
      </w:r>
      <w:r w:rsidR="001B61A7" w:rsidRPr="00EC5A3F">
        <w:rPr>
          <w:rFonts w:ascii="Book Antiqua" w:hAnsi="Book Antiqua"/>
        </w:rPr>
        <w:t xml:space="preserve"> </w:t>
      </w:r>
      <w:r w:rsidR="001B61A7" w:rsidRPr="00EC5A3F">
        <w:rPr>
          <w:rFonts w:ascii="Book Antiqua" w:hAnsi="Book Antiqua"/>
          <w:b/>
          <w:bCs/>
        </w:rPr>
        <w:t>Kaur S</w:t>
      </w:r>
      <w:r w:rsidR="001B61A7" w:rsidRPr="00EC5A3F">
        <w:rPr>
          <w:rFonts w:ascii="Book Antiqua" w:hAnsi="Book Antiqua"/>
        </w:rPr>
        <w:t xml:space="preserve">, Malik SV, Vaidya VM, Barbuddhe SB. Listeria monocytogenes in spontaneous abortions in humans and its detection by multiplex PCR. </w:t>
      </w:r>
      <w:r w:rsidR="001B61A7" w:rsidRPr="00EC5A3F">
        <w:rPr>
          <w:rFonts w:ascii="Book Antiqua" w:hAnsi="Book Antiqua"/>
          <w:i/>
          <w:iCs/>
        </w:rPr>
        <w:t>J Appl Microbiol</w:t>
      </w:r>
      <w:r w:rsidR="001B61A7" w:rsidRPr="00EC5A3F">
        <w:rPr>
          <w:rFonts w:ascii="Book Antiqua" w:hAnsi="Book Antiqua"/>
        </w:rPr>
        <w:t xml:space="preserve"> 2007; </w:t>
      </w:r>
      <w:r w:rsidR="001B61A7" w:rsidRPr="00EC5A3F">
        <w:rPr>
          <w:rFonts w:ascii="Book Antiqua" w:hAnsi="Book Antiqua"/>
          <w:b/>
          <w:bCs/>
        </w:rPr>
        <w:t>103</w:t>
      </w:r>
      <w:r w:rsidR="001B61A7" w:rsidRPr="00EC5A3F">
        <w:rPr>
          <w:rFonts w:ascii="Book Antiqua" w:hAnsi="Book Antiqua"/>
        </w:rPr>
        <w:t>: 1889-1896 [PMID: 17953598 DOI: 10.1111/j.1365-2672.2007.03414.x]</w:t>
      </w:r>
    </w:p>
    <w:p w14:paraId="4BCC2017"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15</w:t>
      </w:r>
      <w:r w:rsidR="001B61A7" w:rsidRPr="00EC5A3F">
        <w:rPr>
          <w:rFonts w:ascii="Book Antiqua" w:hAnsi="Book Antiqua"/>
        </w:rPr>
        <w:t xml:space="preserve"> </w:t>
      </w:r>
      <w:r w:rsidR="001B61A7" w:rsidRPr="00EC5A3F">
        <w:rPr>
          <w:rFonts w:ascii="Book Antiqua" w:hAnsi="Book Antiqua"/>
          <w:b/>
          <w:bCs/>
        </w:rPr>
        <w:t>Saeedi M,</w:t>
      </w:r>
      <w:r w:rsidR="001B61A7" w:rsidRPr="00EC5A3F">
        <w:rPr>
          <w:rFonts w:ascii="Book Antiqua" w:hAnsi="Book Antiqua"/>
        </w:rPr>
        <w:t xml:space="preserve"> Bakhshandeh Nosrat S, Moradi A, Hedayat Mofidi S, Behnampoor N. Comparative Study of Cytomegalovirus, Listeria monocytogen and Toxoplasma gondii infections in successful and non-successful pregnancy in Gorgan. </w:t>
      </w:r>
      <w:r w:rsidR="001B61A7" w:rsidRPr="00EC5A3F">
        <w:rPr>
          <w:rFonts w:ascii="Book Antiqua" w:hAnsi="Book Antiqua"/>
          <w:i/>
          <w:iCs/>
        </w:rPr>
        <w:t>Med Lab J</w:t>
      </w:r>
      <w:r w:rsidR="001B61A7" w:rsidRPr="00EC5A3F">
        <w:rPr>
          <w:rFonts w:ascii="Book Antiqua" w:hAnsi="Book Antiqua"/>
        </w:rPr>
        <w:t xml:space="preserve"> 2009; </w:t>
      </w:r>
      <w:r w:rsidR="001B61A7" w:rsidRPr="00EC5A3F">
        <w:rPr>
          <w:rFonts w:ascii="Book Antiqua" w:hAnsi="Book Antiqua"/>
          <w:b/>
          <w:bCs/>
        </w:rPr>
        <w:t>3</w:t>
      </w:r>
    </w:p>
    <w:p w14:paraId="70F7F110"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16</w:t>
      </w:r>
      <w:r w:rsidR="001B61A7" w:rsidRPr="00EC5A3F">
        <w:rPr>
          <w:rFonts w:ascii="Book Antiqua" w:hAnsi="Book Antiqua"/>
        </w:rPr>
        <w:t xml:space="preserve"> </w:t>
      </w:r>
      <w:r w:rsidR="001B61A7" w:rsidRPr="00EC5A3F">
        <w:rPr>
          <w:rFonts w:ascii="Book Antiqua" w:hAnsi="Book Antiqua"/>
          <w:b/>
          <w:bCs/>
        </w:rPr>
        <w:t>Jamshidi M</w:t>
      </w:r>
      <w:r w:rsidR="001B61A7" w:rsidRPr="00EC5A3F">
        <w:rPr>
          <w:rFonts w:ascii="Book Antiqua" w:hAnsi="Book Antiqua"/>
        </w:rPr>
        <w:t xml:space="preserve">, Jahromi AS, Davoodian P, Amirian M, Zangeneh M, Jadcareh F. Seropositivity for Listeria monocytogenes in women with spontaneous abortion: a case-control study in Iran. </w:t>
      </w:r>
      <w:r w:rsidR="001B61A7" w:rsidRPr="00EC5A3F">
        <w:rPr>
          <w:rFonts w:ascii="Book Antiqua" w:hAnsi="Book Antiqua"/>
          <w:i/>
          <w:iCs/>
        </w:rPr>
        <w:t>Taiwan J Obstet Gynecol</w:t>
      </w:r>
      <w:r w:rsidR="001B61A7" w:rsidRPr="00EC5A3F">
        <w:rPr>
          <w:rFonts w:ascii="Book Antiqua" w:hAnsi="Book Antiqua"/>
        </w:rPr>
        <w:t xml:space="preserve"> 2009; </w:t>
      </w:r>
      <w:r w:rsidR="001B61A7" w:rsidRPr="00EC5A3F">
        <w:rPr>
          <w:rFonts w:ascii="Book Antiqua" w:hAnsi="Book Antiqua"/>
          <w:b/>
          <w:bCs/>
        </w:rPr>
        <w:t>48</w:t>
      </w:r>
      <w:r w:rsidR="001B61A7" w:rsidRPr="00EC5A3F">
        <w:rPr>
          <w:rFonts w:ascii="Book Antiqua" w:hAnsi="Book Antiqua"/>
        </w:rPr>
        <w:t>: 46-48 [PMID: 19346191 DOI: 10.1016/S1028-4559(09)60034-6]</w:t>
      </w:r>
    </w:p>
    <w:p w14:paraId="72E7E36D"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17</w:t>
      </w:r>
      <w:r w:rsidR="001B61A7" w:rsidRPr="00EC5A3F">
        <w:rPr>
          <w:rFonts w:ascii="Book Antiqua" w:hAnsi="Book Antiqua"/>
        </w:rPr>
        <w:t xml:space="preserve"> </w:t>
      </w:r>
      <w:r w:rsidR="001B61A7" w:rsidRPr="00EC5A3F">
        <w:rPr>
          <w:rFonts w:ascii="Book Antiqua" w:hAnsi="Book Antiqua"/>
          <w:b/>
          <w:bCs/>
        </w:rPr>
        <w:t>Tahery Y,</w:t>
      </w:r>
      <w:r w:rsidR="001B61A7" w:rsidRPr="00EC5A3F">
        <w:rPr>
          <w:rFonts w:ascii="Book Antiqua" w:hAnsi="Book Antiqua"/>
        </w:rPr>
        <w:t xml:space="preserve"> Kafilzadeh F, Momtaz YA. Listeria monocytogenesis and abortion: A case study of pregnant women in Iran. </w:t>
      </w:r>
      <w:r w:rsidR="001B61A7" w:rsidRPr="00EC5A3F">
        <w:rPr>
          <w:rFonts w:ascii="Book Antiqua" w:hAnsi="Book Antiqua"/>
          <w:i/>
          <w:iCs/>
        </w:rPr>
        <w:t>Afr J Microbiol Res</w:t>
      </w:r>
      <w:r w:rsidR="001B61A7" w:rsidRPr="00EC5A3F">
        <w:rPr>
          <w:rFonts w:ascii="Book Antiqua" w:hAnsi="Book Antiqua"/>
        </w:rPr>
        <w:t xml:space="preserve"> 2009; </w:t>
      </w:r>
      <w:r w:rsidR="001B61A7" w:rsidRPr="00EC5A3F">
        <w:rPr>
          <w:rFonts w:ascii="Book Antiqua" w:hAnsi="Book Antiqua"/>
          <w:b/>
          <w:bCs/>
        </w:rPr>
        <w:t>3:</w:t>
      </w:r>
      <w:r w:rsidR="001B61A7" w:rsidRPr="00EC5A3F">
        <w:rPr>
          <w:rFonts w:ascii="Book Antiqua" w:hAnsi="Book Antiqua"/>
        </w:rPr>
        <w:t xml:space="preserve"> 826-832</w:t>
      </w:r>
    </w:p>
    <w:p w14:paraId="450CCD1A"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18</w:t>
      </w:r>
      <w:r w:rsidR="001B61A7" w:rsidRPr="00EC5A3F">
        <w:rPr>
          <w:rFonts w:ascii="Book Antiqua" w:hAnsi="Book Antiqua"/>
        </w:rPr>
        <w:t xml:space="preserve"> </w:t>
      </w:r>
      <w:r w:rsidR="001B61A7" w:rsidRPr="00EC5A3F">
        <w:rPr>
          <w:rFonts w:ascii="Book Antiqua" w:hAnsi="Book Antiqua"/>
          <w:b/>
          <w:bCs/>
        </w:rPr>
        <w:t>Nazeri M.</w:t>
      </w:r>
      <w:r w:rsidR="001B61A7" w:rsidRPr="00EC5A3F">
        <w:rPr>
          <w:rFonts w:ascii="Book Antiqua" w:hAnsi="Book Antiqua"/>
        </w:rPr>
        <w:t xml:space="preserve"> Evaluation of indirect immunofluorescence assay for diagnosis of Listeria monocytogenes in abortion. </w:t>
      </w:r>
      <w:r w:rsidR="001B61A7" w:rsidRPr="00EC5A3F">
        <w:rPr>
          <w:rFonts w:ascii="Book Antiqua" w:hAnsi="Book Antiqua"/>
          <w:i/>
          <w:iCs/>
        </w:rPr>
        <w:t>Adv Environ Biolo</w:t>
      </w:r>
      <w:r w:rsidR="001B61A7" w:rsidRPr="00EC5A3F">
        <w:rPr>
          <w:rFonts w:ascii="Book Antiqua" w:hAnsi="Book Antiqua"/>
        </w:rPr>
        <w:t xml:space="preserve"> 2011; </w:t>
      </w:r>
      <w:r w:rsidR="001B61A7" w:rsidRPr="00EC5A3F">
        <w:rPr>
          <w:rFonts w:ascii="Book Antiqua" w:hAnsi="Book Antiqua"/>
          <w:b/>
          <w:bCs/>
        </w:rPr>
        <w:t xml:space="preserve">5: </w:t>
      </w:r>
      <w:r w:rsidR="001B61A7" w:rsidRPr="00EC5A3F">
        <w:rPr>
          <w:rFonts w:ascii="Book Antiqua" w:hAnsi="Book Antiqua"/>
        </w:rPr>
        <w:t>1487-1490</w:t>
      </w:r>
    </w:p>
    <w:p w14:paraId="172525B4"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19</w:t>
      </w:r>
      <w:r w:rsidR="001B61A7" w:rsidRPr="00EC5A3F">
        <w:rPr>
          <w:rFonts w:ascii="Book Antiqua" w:hAnsi="Book Antiqua"/>
        </w:rPr>
        <w:t xml:space="preserve"> </w:t>
      </w:r>
      <w:r w:rsidR="001B61A7" w:rsidRPr="00EC5A3F">
        <w:rPr>
          <w:rFonts w:ascii="Book Antiqua" w:hAnsi="Book Antiqua"/>
          <w:b/>
          <w:bCs/>
        </w:rPr>
        <w:t>Lotfollahi L,</w:t>
      </w:r>
      <w:r w:rsidR="001B61A7" w:rsidRPr="00EC5A3F">
        <w:rPr>
          <w:rFonts w:ascii="Book Antiqua" w:hAnsi="Book Antiqua"/>
        </w:rPr>
        <w:t xml:space="preserve"> Nowrouzi J, Irajian G, Masjedian F, Kazemi B, Falahat LEA. Prevalence and antimicrobial resistance profiles of Listeria monocytogenes in spontaneous abortions in humans. </w:t>
      </w:r>
      <w:r w:rsidR="001B61A7" w:rsidRPr="00EC5A3F">
        <w:rPr>
          <w:rFonts w:ascii="Book Antiqua" w:hAnsi="Book Antiqua"/>
          <w:i/>
          <w:iCs/>
        </w:rPr>
        <w:t xml:space="preserve">Afr J Microbiol Res </w:t>
      </w:r>
      <w:r w:rsidR="001B61A7" w:rsidRPr="00EC5A3F">
        <w:rPr>
          <w:rFonts w:ascii="Book Antiqua" w:hAnsi="Book Antiqua"/>
        </w:rPr>
        <w:t xml:space="preserve">2011; </w:t>
      </w:r>
      <w:r w:rsidR="001B61A7" w:rsidRPr="00EC5A3F">
        <w:rPr>
          <w:rFonts w:ascii="Book Antiqua" w:hAnsi="Book Antiqua"/>
          <w:b/>
          <w:bCs/>
        </w:rPr>
        <w:t>5:</w:t>
      </w:r>
      <w:r w:rsidR="001B61A7" w:rsidRPr="00EC5A3F">
        <w:rPr>
          <w:rFonts w:ascii="Book Antiqua" w:hAnsi="Book Antiqua"/>
        </w:rPr>
        <w:t xml:space="preserve"> 1990-1993</w:t>
      </w:r>
    </w:p>
    <w:p w14:paraId="07243A45"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20</w:t>
      </w:r>
      <w:r w:rsidR="001B61A7" w:rsidRPr="00EC5A3F">
        <w:rPr>
          <w:rFonts w:ascii="Book Antiqua" w:hAnsi="Book Antiqua"/>
        </w:rPr>
        <w:t xml:space="preserve"> </w:t>
      </w:r>
      <w:r w:rsidR="001B61A7" w:rsidRPr="00EC5A3F">
        <w:rPr>
          <w:rFonts w:ascii="Book Antiqua" w:hAnsi="Book Antiqua"/>
          <w:b/>
          <w:bCs/>
        </w:rPr>
        <w:t>Jahangirisiskht A,</w:t>
      </w:r>
      <w:r w:rsidR="001B61A7" w:rsidRPr="00EC5A3F">
        <w:rPr>
          <w:rFonts w:ascii="Book Antiqua" w:hAnsi="Book Antiqua"/>
        </w:rPr>
        <w:t xml:space="preserve"> Kargar M, Mirzaee A, Aramesh S, Akbartabar M, Mohamadkhani N, Rezaee Z. Comparison the standard culture method and polymerase chain reaction in diagnosis of Listeria monocytogenes in pregnant women. </w:t>
      </w:r>
      <w:r w:rsidR="001B61A7" w:rsidRPr="00EC5A3F">
        <w:rPr>
          <w:rFonts w:ascii="Book Antiqua" w:hAnsi="Book Antiqua"/>
          <w:i/>
          <w:iCs/>
        </w:rPr>
        <w:t>Armaghane Danesh</w:t>
      </w:r>
      <w:r w:rsidR="001B61A7" w:rsidRPr="00EC5A3F">
        <w:rPr>
          <w:rFonts w:ascii="Book Antiqua" w:hAnsi="Book Antiqua"/>
        </w:rPr>
        <w:t xml:space="preserve"> 2012; </w:t>
      </w:r>
      <w:r w:rsidR="001B61A7" w:rsidRPr="00EC5A3F">
        <w:rPr>
          <w:rFonts w:ascii="Book Antiqua" w:hAnsi="Book Antiqua"/>
          <w:b/>
          <w:bCs/>
        </w:rPr>
        <w:t>17:</w:t>
      </w:r>
      <w:r w:rsidR="001B61A7" w:rsidRPr="00EC5A3F">
        <w:rPr>
          <w:rFonts w:ascii="Book Antiqua" w:hAnsi="Book Antiqua"/>
        </w:rPr>
        <w:t xml:space="preserve"> 156-163</w:t>
      </w:r>
    </w:p>
    <w:p w14:paraId="13DC0E4F"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21</w:t>
      </w:r>
      <w:r w:rsidR="001B61A7" w:rsidRPr="00EC5A3F">
        <w:rPr>
          <w:rFonts w:ascii="Book Antiqua" w:hAnsi="Book Antiqua"/>
        </w:rPr>
        <w:t xml:space="preserve"> </w:t>
      </w:r>
      <w:r w:rsidR="001B61A7" w:rsidRPr="00EC5A3F">
        <w:rPr>
          <w:rFonts w:ascii="Book Antiqua" w:hAnsi="Book Antiqua"/>
          <w:b/>
          <w:bCs/>
        </w:rPr>
        <w:t>Jahangirsisakht A,</w:t>
      </w:r>
      <w:r w:rsidR="001B61A7" w:rsidRPr="00EC5A3F">
        <w:rPr>
          <w:rFonts w:ascii="Book Antiqua" w:hAnsi="Book Antiqua"/>
        </w:rPr>
        <w:t xml:space="preserve"> Kargar M, Mirzaee A, Akbartabar M, Aramesh S, Mohamadkhani N. Assessing Listeria monocytogenes hly A genome in pregnant women with spontaneous abortion using PCR method in Yasuj, south west of Iran.</w:t>
      </w:r>
      <w:r w:rsidR="001B61A7" w:rsidRPr="00EC5A3F">
        <w:rPr>
          <w:rFonts w:ascii="Book Antiqua" w:hAnsi="Book Antiqua"/>
          <w:i/>
          <w:iCs/>
        </w:rPr>
        <w:t xml:space="preserve"> Afr J Microbiol Res</w:t>
      </w:r>
      <w:r w:rsidR="001B61A7" w:rsidRPr="00EC5A3F">
        <w:rPr>
          <w:rFonts w:ascii="Book Antiqua" w:hAnsi="Book Antiqua"/>
        </w:rPr>
        <w:t xml:space="preserve"> 2013; </w:t>
      </w:r>
      <w:r w:rsidR="001B61A7" w:rsidRPr="00EC5A3F">
        <w:rPr>
          <w:rFonts w:ascii="Book Antiqua" w:hAnsi="Book Antiqua"/>
          <w:b/>
          <w:bCs/>
        </w:rPr>
        <w:t>7:</w:t>
      </w:r>
      <w:r w:rsidR="001B61A7" w:rsidRPr="00EC5A3F">
        <w:rPr>
          <w:rFonts w:ascii="Book Antiqua" w:hAnsi="Book Antiqua"/>
        </w:rPr>
        <w:t xml:space="preserve"> 4257-4260</w:t>
      </w:r>
    </w:p>
    <w:p w14:paraId="7C1DAABD"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lastRenderedPageBreak/>
        <w:t>22</w:t>
      </w:r>
      <w:r w:rsidR="001B61A7" w:rsidRPr="00EC5A3F">
        <w:rPr>
          <w:rFonts w:ascii="Book Antiqua" w:hAnsi="Book Antiqua"/>
        </w:rPr>
        <w:t xml:space="preserve"> </w:t>
      </w:r>
      <w:r w:rsidR="001B61A7" w:rsidRPr="00EC5A3F">
        <w:rPr>
          <w:rFonts w:ascii="Book Antiqua" w:hAnsi="Book Antiqua"/>
          <w:b/>
          <w:bCs/>
        </w:rPr>
        <w:t>Shindang J,</w:t>
      </w:r>
      <w:r w:rsidR="001B61A7" w:rsidRPr="00EC5A3F">
        <w:rPr>
          <w:rFonts w:ascii="Book Antiqua" w:hAnsi="Book Antiqua"/>
        </w:rPr>
        <w:t xml:space="preserve"> Shindang CO, Ekwempu AI. Incidence of Listeria monocytogenes and other bacteria in spontaneous abortion cases in Jos. </w:t>
      </w:r>
      <w:r w:rsidR="001B61A7" w:rsidRPr="00EC5A3F">
        <w:rPr>
          <w:rFonts w:ascii="Book Antiqua" w:hAnsi="Book Antiqua"/>
          <w:i/>
          <w:iCs/>
        </w:rPr>
        <w:t xml:space="preserve">Niger J Biotechnol </w:t>
      </w:r>
      <w:r w:rsidR="001B61A7" w:rsidRPr="00EC5A3F">
        <w:rPr>
          <w:rFonts w:ascii="Book Antiqua" w:hAnsi="Book Antiqua"/>
        </w:rPr>
        <w:t>2013;</w:t>
      </w:r>
      <w:r w:rsidR="001B61A7" w:rsidRPr="00EC5A3F">
        <w:rPr>
          <w:rFonts w:ascii="Book Antiqua" w:hAnsi="Book Antiqua"/>
          <w:b/>
          <w:bCs/>
        </w:rPr>
        <w:t xml:space="preserve"> 25:</w:t>
      </w:r>
      <w:r w:rsidR="001B61A7" w:rsidRPr="00EC5A3F">
        <w:rPr>
          <w:rFonts w:ascii="Book Antiqua" w:hAnsi="Book Antiqua"/>
        </w:rPr>
        <w:t xml:space="preserve"> 1-7</w:t>
      </w:r>
    </w:p>
    <w:p w14:paraId="192BFDCA"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23</w:t>
      </w:r>
      <w:r w:rsidR="001B61A7" w:rsidRPr="00EC5A3F">
        <w:rPr>
          <w:rFonts w:ascii="Book Antiqua" w:hAnsi="Book Antiqua"/>
        </w:rPr>
        <w:t xml:space="preserve"> </w:t>
      </w:r>
      <w:r w:rsidR="001B61A7" w:rsidRPr="00EC5A3F">
        <w:rPr>
          <w:rFonts w:ascii="Book Antiqua" w:hAnsi="Book Antiqua"/>
          <w:b/>
          <w:bCs/>
        </w:rPr>
        <w:t>Eslami G,</w:t>
      </w:r>
      <w:r w:rsidR="001B61A7" w:rsidRPr="00EC5A3F">
        <w:rPr>
          <w:rFonts w:ascii="Book Antiqua" w:hAnsi="Book Antiqua"/>
        </w:rPr>
        <w:t xml:space="preserve"> Goudarzi H, Ohadi E, Taherpour A, Pourkaveh B, Taheri S. Identification of Listeria monocytogenes virulence factors in women with abortion by polymerase chain reaction. </w:t>
      </w:r>
      <w:r w:rsidR="001B61A7" w:rsidRPr="00EC5A3F">
        <w:rPr>
          <w:rFonts w:ascii="Book Antiqua" w:hAnsi="Book Antiqua"/>
          <w:i/>
          <w:iCs/>
        </w:rPr>
        <w:t>Arch Clin Infect Dis</w:t>
      </w:r>
      <w:r w:rsidR="001B61A7" w:rsidRPr="00EC5A3F">
        <w:rPr>
          <w:rFonts w:ascii="Book Antiqua" w:hAnsi="Book Antiqua"/>
        </w:rPr>
        <w:t xml:space="preserve"> 2014 [DOI: 10.5812/archcid.19931]</w:t>
      </w:r>
    </w:p>
    <w:p w14:paraId="47B3DBDD"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24</w:t>
      </w:r>
      <w:r w:rsidR="001B61A7" w:rsidRPr="00EC5A3F">
        <w:rPr>
          <w:rFonts w:ascii="Book Antiqua" w:hAnsi="Book Antiqua"/>
        </w:rPr>
        <w:t xml:space="preserve"> </w:t>
      </w:r>
      <w:r w:rsidR="001B61A7" w:rsidRPr="00EC5A3F">
        <w:rPr>
          <w:rFonts w:ascii="Book Antiqua" w:hAnsi="Book Antiqua"/>
          <w:b/>
          <w:bCs/>
        </w:rPr>
        <w:t>Shoukat S,</w:t>
      </w:r>
      <w:r w:rsidR="001B61A7" w:rsidRPr="00EC5A3F">
        <w:rPr>
          <w:rFonts w:ascii="Book Antiqua" w:hAnsi="Book Antiqua"/>
        </w:rPr>
        <w:t xml:space="preserve"> Malik S, Rawool D, Kumar A, Kumar S, Shrivastava S, Barbuddhe SB</w:t>
      </w:r>
      <w:r w:rsidR="001B61A7" w:rsidRPr="00EC5A3F">
        <w:rPr>
          <w:rFonts w:ascii="Book Antiqua" w:hAnsi="Book Antiqua"/>
          <w:lang w:eastAsia="zh-CN"/>
        </w:rPr>
        <w:t xml:space="preserve">, </w:t>
      </w:r>
      <w:r w:rsidR="001B61A7" w:rsidRPr="00EC5A3F">
        <w:rPr>
          <w:rFonts w:ascii="Book Antiqua" w:hAnsi="Book Antiqua"/>
        </w:rPr>
        <w:t>Das DP</w:t>
      </w:r>
      <w:r w:rsidR="001B61A7" w:rsidRPr="00EC5A3F">
        <w:rPr>
          <w:rFonts w:ascii="Book Antiqua" w:hAnsi="Book Antiqua"/>
          <w:lang w:eastAsia="zh-CN"/>
        </w:rPr>
        <w:t xml:space="preserve">, </w:t>
      </w:r>
      <w:r w:rsidR="001B61A7" w:rsidRPr="00EC5A3F">
        <w:rPr>
          <w:rFonts w:ascii="Book Antiqua" w:hAnsi="Book Antiqua"/>
        </w:rPr>
        <w:t xml:space="preserve">Das S. A study on detection of pathogenic Listeria monocytogenes in ovine’s of Kashmir region having abortion or history of abortion. </w:t>
      </w:r>
      <w:r w:rsidR="001B61A7" w:rsidRPr="00EC5A3F">
        <w:rPr>
          <w:rFonts w:ascii="Book Antiqua" w:hAnsi="Book Antiqua"/>
          <w:i/>
          <w:iCs/>
        </w:rPr>
        <w:t xml:space="preserve">Proc Nati Acad Sci India </w:t>
      </w:r>
      <w:r w:rsidR="001B61A7" w:rsidRPr="00EC5A3F">
        <w:rPr>
          <w:rFonts w:ascii="Book Antiqua" w:hAnsi="Book Antiqua"/>
        </w:rPr>
        <w:t>2014;</w:t>
      </w:r>
      <w:r w:rsidR="001B61A7" w:rsidRPr="00EC5A3F">
        <w:rPr>
          <w:rFonts w:ascii="Book Antiqua" w:hAnsi="Book Antiqua"/>
          <w:b/>
          <w:bCs/>
        </w:rPr>
        <w:t xml:space="preserve"> 84:</w:t>
      </w:r>
      <w:r w:rsidR="001B61A7" w:rsidRPr="00EC5A3F">
        <w:rPr>
          <w:rFonts w:ascii="Book Antiqua" w:hAnsi="Book Antiqua"/>
        </w:rPr>
        <w:t xml:space="preserve"> 311-316</w:t>
      </w:r>
    </w:p>
    <w:p w14:paraId="5A0690F0"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25</w:t>
      </w:r>
      <w:r w:rsidR="001B61A7" w:rsidRPr="00EC5A3F">
        <w:rPr>
          <w:rFonts w:ascii="Book Antiqua" w:hAnsi="Book Antiqua"/>
        </w:rPr>
        <w:t xml:space="preserve"> </w:t>
      </w:r>
      <w:r w:rsidR="001B61A7" w:rsidRPr="00EC5A3F">
        <w:rPr>
          <w:rFonts w:ascii="Book Antiqua" w:hAnsi="Book Antiqua"/>
          <w:b/>
          <w:bCs/>
        </w:rPr>
        <w:t>Haghroosta A,</w:t>
      </w:r>
      <w:r w:rsidR="001B61A7" w:rsidRPr="00EC5A3F">
        <w:rPr>
          <w:rFonts w:ascii="Book Antiqua" w:hAnsi="Book Antiqua"/>
        </w:rPr>
        <w:t xml:space="preserve"> Shakh AF, Shooshtari MM. Investigation on the seroprevalence of Listeria monocytogenes in women with spontaneous abortion.</w:t>
      </w:r>
      <w:r w:rsidR="001B61A7" w:rsidRPr="00EC5A3F">
        <w:rPr>
          <w:rFonts w:ascii="Book Antiqua" w:hAnsi="Book Antiqua"/>
          <w:i/>
          <w:iCs/>
        </w:rPr>
        <w:t xml:space="preserve"> Comp Clin Path</w:t>
      </w:r>
      <w:r w:rsidR="001B61A7" w:rsidRPr="00EC5A3F">
        <w:rPr>
          <w:rFonts w:ascii="Book Antiqua" w:hAnsi="Book Antiqua"/>
        </w:rPr>
        <w:t xml:space="preserve"> 2015; </w:t>
      </w:r>
      <w:r w:rsidR="001B61A7" w:rsidRPr="00EC5A3F">
        <w:rPr>
          <w:rFonts w:ascii="Book Antiqua" w:hAnsi="Book Antiqua"/>
          <w:b/>
          <w:bCs/>
        </w:rPr>
        <w:t>24:</w:t>
      </w:r>
      <w:r w:rsidR="001B61A7" w:rsidRPr="00EC5A3F">
        <w:rPr>
          <w:rFonts w:ascii="Book Antiqua" w:hAnsi="Book Antiqua"/>
        </w:rPr>
        <w:t xml:space="preserve"> 153-156</w:t>
      </w:r>
    </w:p>
    <w:p w14:paraId="48F3375B"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26</w:t>
      </w:r>
      <w:r w:rsidR="001B61A7" w:rsidRPr="00EC5A3F">
        <w:rPr>
          <w:rFonts w:ascii="Book Antiqua" w:hAnsi="Book Antiqua"/>
        </w:rPr>
        <w:t xml:space="preserve"> </w:t>
      </w:r>
      <w:r w:rsidR="001B61A7" w:rsidRPr="00EC5A3F">
        <w:rPr>
          <w:rFonts w:ascii="Book Antiqua" w:hAnsi="Book Antiqua"/>
          <w:b/>
          <w:bCs/>
        </w:rPr>
        <w:t>Pourkaveh B</w:t>
      </w:r>
      <w:r w:rsidR="001B61A7" w:rsidRPr="00EC5A3F">
        <w:rPr>
          <w:rFonts w:ascii="Book Antiqua" w:hAnsi="Book Antiqua"/>
        </w:rPr>
        <w:t xml:space="preserve">, Ahmadi M, Eslami G, Gachkar L. Factors contributes to spontaneous abortion caused by Listeria monocytogenes, in Tehran, Iran, 2015. </w:t>
      </w:r>
      <w:r w:rsidR="001B61A7" w:rsidRPr="00EC5A3F">
        <w:rPr>
          <w:rFonts w:ascii="Book Antiqua" w:hAnsi="Book Antiqua"/>
          <w:i/>
          <w:iCs/>
        </w:rPr>
        <w:t>Cell Mol Biol (Noisy-le-grand)</w:t>
      </w:r>
      <w:r w:rsidR="001B61A7" w:rsidRPr="00EC5A3F">
        <w:rPr>
          <w:rFonts w:ascii="Book Antiqua" w:hAnsi="Book Antiqua"/>
        </w:rPr>
        <w:t xml:space="preserve"> 2016; </w:t>
      </w:r>
      <w:r w:rsidR="001B61A7" w:rsidRPr="00EC5A3F">
        <w:rPr>
          <w:rFonts w:ascii="Book Antiqua" w:hAnsi="Book Antiqua"/>
          <w:b/>
          <w:bCs/>
        </w:rPr>
        <w:t>62</w:t>
      </w:r>
      <w:r w:rsidR="001B61A7" w:rsidRPr="00EC5A3F">
        <w:rPr>
          <w:rFonts w:ascii="Book Antiqua" w:hAnsi="Book Antiqua"/>
        </w:rPr>
        <w:t>: 3-10 [PMID: 27585255]</w:t>
      </w:r>
    </w:p>
    <w:p w14:paraId="359F74AD" w14:textId="77777777" w:rsidR="003E1E2E"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27</w:t>
      </w:r>
      <w:r w:rsidRPr="00EC5A3F">
        <w:rPr>
          <w:rFonts w:ascii="Book Antiqua" w:hAnsi="Book Antiqua"/>
        </w:rPr>
        <w:t xml:space="preserve"> </w:t>
      </w:r>
      <w:r w:rsidRPr="00EC5A3F">
        <w:rPr>
          <w:rFonts w:ascii="Book Antiqua" w:hAnsi="Book Antiqua"/>
          <w:b/>
          <w:bCs/>
        </w:rPr>
        <w:t>Bobade S,</w:t>
      </w:r>
      <w:r w:rsidRPr="00EC5A3F">
        <w:rPr>
          <w:rFonts w:ascii="Book Antiqua" w:hAnsi="Book Antiqua"/>
        </w:rPr>
        <w:t xml:space="preserve"> Warke S, Kalorey D. Virulence gene profiling and serotyping of Listeria monocytogenes from infertility cases of women. </w:t>
      </w:r>
      <w:r w:rsidRPr="00EC5A3F">
        <w:rPr>
          <w:rFonts w:ascii="Book Antiqua" w:hAnsi="Book Antiqua"/>
          <w:i/>
          <w:iCs/>
        </w:rPr>
        <w:t>Int J Health Sci Res</w:t>
      </w:r>
      <w:r w:rsidRPr="00EC5A3F">
        <w:rPr>
          <w:rFonts w:ascii="Book Antiqua" w:hAnsi="Book Antiqua"/>
        </w:rPr>
        <w:t xml:space="preserve"> 2016; </w:t>
      </w:r>
      <w:r w:rsidRPr="00EC5A3F">
        <w:rPr>
          <w:rFonts w:ascii="Book Antiqua" w:hAnsi="Book Antiqua"/>
          <w:b/>
          <w:bCs/>
        </w:rPr>
        <w:t>6</w:t>
      </w:r>
      <w:r w:rsidRPr="00EC5A3F">
        <w:rPr>
          <w:rFonts w:ascii="Book Antiqua" w:hAnsi="Book Antiqua"/>
        </w:rPr>
        <w:t>: 440-449</w:t>
      </w:r>
    </w:p>
    <w:p w14:paraId="414BE9CA" w14:textId="77777777" w:rsidR="003E1E2E"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28</w:t>
      </w:r>
      <w:r w:rsidRPr="00EC5A3F">
        <w:rPr>
          <w:rFonts w:ascii="Book Antiqua" w:hAnsi="Book Antiqua"/>
        </w:rPr>
        <w:t xml:space="preserve"> </w:t>
      </w:r>
      <w:r w:rsidRPr="00EC5A3F">
        <w:rPr>
          <w:rFonts w:ascii="Book Antiqua" w:hAnsi="Book Antiqua"/>
          <w:b/>
          <w:bCs/>
        </w:rPr>
        <w:t>Tajedini E,</w:t>
      </w:r>
      <w:r w:rsidRPr="00EC5A3F">
        <w:rPr>
          <w:rFonts w:ascii="Book Antiqua" w:hAnsi="Book Antiqua"/>
        </w:rPr>
        <w:t xml:space="preserve"> Talebi S, Vandyousefi J. Evaluation and Comparison of ELISA and Indirect Immunofluorescence Methods for the Detection of Anti-Listeria Antibodies Among Women with Spontaneous Abortion Referred to Kamali Hospital in Karaj, Iran. </w:t>
      </w:r>
      <w:r w:rsidRPr="00EC5A3F">
        <w:rPr>
          <w:rFonts w:ascii="Book Antiqua" w:hAnsi="Book Antiqua"/>
          <w:i/>
          <w:iCs/>
        </w:rPr>
        <w:t xml:space="preserve">Ira J Med Microbiol </w:t>
      </w:r>
      <w:r w:rsidRPr="00EC5A3F">
        <w:rPr>
          <w:rFonts w:ascii="Book Antiqua" w:hAnsi="Book Antiqua"/>
        </w:rPr>
        <w:t xml:space="preserve">2017; </w:t>
      </w:r>
      <w:r w:rsidRPr="00EC5A3F">
        <w:rPr>
          <w:rFonts w:ascii="Book Antiqua" w:hAnsi="Book Antiqua"/>
          <w:b/>
          <w:bCs/>
        </w:rPr>
        <w:t>11:</w:t>
      </w:r>
      <w:r w:rsidRPr="00EC5A3F">
        <w:rPr>
          <w:rFonts w:ascii="Book Antiqua" w:hAnsi="Book Antiqua"/>
        </w:rPr>
        <w:t xml:space="preserve"> 98-106</w:t>
      </w:r>
    </w:p>
    <w:p w14:paraId="1854B52A" w14:textId="77777777" w:rsidR="003E1E2E" w:rsidRPr="00EC5A3F" w:rsidRDefault="003E1E2E" w:rsidP="00FC1600">
      <w:pPr>
        <w:snapToGrid w:val="0"/>
        <w:spacing w:line="360" w:lineRule="auto"/>
        <w:jc w:val="both"/>
        <w:rPr>
          <w:rFonts w:ascii="Book Antiqua" w:hAnsi="Book Antiqua"/>
        </w:rPr>
      </w:pPr>
      <w:r w:rsidRPr="00EC5A3F">
        <w:rPr>
          <w:rFonts w:ascii="Book Antiqua" w:hAnsi="Book Antiqua"/>
        </w:rPr>
        <w:t>2</w:t>
      </w:r>
      <w:r w:rsidRPr="00EC5A3F">
        <w:rPr>
          <w:rFonts w:ascii="Book Antiqua" w:hAnsi="Book Antiqua"/>
          <w:lang w:eastAsia="zh-CN"/>
        </w:rPr>
        <w:t>9</w:t>
      </w:r>
      <w:r w:rsidRPr="00EC5A3F">
        <w:rPr>
          <w:rFonts w:ascii="Book Antiqua" w:hAnsi="Book Antiqua"/>
        </w:rPr>
        <w:t xml:space="preserve"> </w:t>
      </w:r>
      <w:r w:rsidRPr="00EC5A3F">
        <w:rPr>
          <w:rFonts w:ascii="Book Antiqua" w:hAnsi="Book Antiqua"/>
          <w:b/>
          <w:bCs/>
        </w:rPr>
        <w:t>Pour NK,</w:t>
      </w:r>
      <w:r w:rsidRPr="00EC5A3F">
        <w:rPr>
          <w:rFonts w:ascii="Book Antiqua" w:hAnsi="Book Antiqua"/>
        </w:rPr>
        <w:t xml:space="preserve"> Rezaei M, Vandyousefi J, Zamin FR, Irajian G. Determination of dominant serovars of Listeria monocytogenes strains isolated from spontaneous human abortion in Tehran/IRAN. </w:t>
      </w:r>
      <w:r w:rsidRPr="00EC5A3F">
        <w:rPr>
          <w:rFonts w:ascii="Book Antiqua" w:hAnsi="Book Antiqua"/>
          <w:i/>
          <w:iCs/>
        </w:rPr>
        <w:t xml:space="preserve">Eur J Bio Scis </w:t>
      </w:r>
      <w:r w:rsidRPr="00EC5A3F">
        <w:rPr>
          <w:rFonts w:ascii="Book Antiqua" w:hAnsi="Book Antiqua"/>
        </w:rPr>
        <w:t xml:space="preserve">2018; </w:t>
      </w:r>
      <w:r w:rsidRPr="00EC5A3F">
        <w:rPr>
          <w:rFonts w:ascii="Book Antiqua" w:hAnsi="Book Antiqua"/>
          <w:b/>
          <w:bCs/>
        </w:rPr>
        <w:t>12:</w:t>
      </w:r>
      <w:r w:rsidRPr="00EC5A3F">
        <w:rPr>
          <w:rFonts w:ascii="Book Antiqua" w:hAnsi="Book Antiqua"/>
        </w:rPr>
        <w:t xml:space="preserve"> 377-383</w:t>
      </w:r>
    </w:p>
    <w:p w14:paraId="04B6CA61"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3</w:t>
      </w:r>
      <w:r w:rsidR="001B61A7" w:rsidRPr="00EC5A3F">
        <w:rPr>
          <w:rFonts w:ascii="Book Antiqua" w:hAnsi="Book Antiqua"/>
        </w:rPr>
        <w:t xml:space="preserve">0 </w:t>
      </w:r>
      <w:r w:rsidR="001B61A7" w:rsidRPr="00EC5A3F">
        <w:rPr>
          <w:rFonts w:ascii="Book Antiqua" w:hAnsi="Book Antiqua"/>
          <w:b/>
          <w:bCs/>
        </w:rPr>
        <w:t>Heidari S,</w:t>
      </w:r>
      <w:r w:rsidR="001B61A7" w:rsidRPr="00EC5A3F">
        <w:rPr>
          <w:rFonts w:ascii="Book Antiqua" w:hAnsi="Book Antiqua"/>
        </w:rPr>
        <w:t xml:space="preserve"> Soltan Dallal MM. Prevalence of Listeria monocytogenes isolated from pregnant women with and without history of abortion and detection of hemolysin (hlyA) gene in clinical samples.</w:t>
      </w:r>
      <w:r w:rsidR="001B61A7" w:rsidRPr="00EC5A3F">
        <w:rPr>
          <w:rFonts w:ascii="Book Antiqua" w:hAnsi="Book Antiqua"/>
          <w:i/>
          <w:iCs/>
        </w:rPr>
        <w:t xml:space="preserve"> Sci J Kur Uni Med Sci</w:t>
      </w:r>
      <w:r w:rsidR="001B61A7" w:rsidRPr="00EC5A3F">
        <w:rPr>
          <w:rFonts w:ascii="Book Antiqua" w:hAnsi="Book Antiqua"/>
        </w:rPr>
        <w:t xml:space="preserve"> 2018; </w:t>
      </w:r>
      <w:r w:rsidR="001B61A7" w:rsidRPr="00EC5A3F">
        <w:rPr>
          <w:rFonts w:ascii="Book Antiqua" w:hAnsi="Book Antiqua"/>
          <w:b/>
          <w:bCs/>
        </w:rPr>
        <w:t>23:</w:t>
      </w:r>
      <w:r w:rsidR="001B61A7" w:rsidRPr="00EC5A3F">
        <w:rPr>
          <w:rFonts w:ascii="Book Antiqua" w:hAnsi="Book Antiqua"/>
        </w:rPr>
        <w:t xml:space="preserve"> 96-107</w:t>
      </w:r>
    </w:p>
    <w:p w14:paraId="737E8E9A"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3</w:t>
      </w:r>
      <w:r w:rsidR="001B61A7" w:rsidRPr="00EC5A3F">
        <w:rPr>
          <w:rFonts w:ascii="Book Antiqua" w:hAnsi="Book Antiqua"/>
        </w:rPr>
        <w:t xml:space="preserve">1 </w:t>
      </w:r>
      <w:r w:rsidR="001B61A7" w:rsidRPr="00EC5A3F">
        <w:rPr>
          <w:rFonts w:ascii="Book Antiqua" w:hAnsi="Book Antiqua"/>
          <w:b/>
          <w:bCs/>
        </w:rPr>
        <w:t>Al-dorri AZRa.</w:t>
      </w:r>
      <w:r w:rsidR="001B61A7" w:rsidRPr="00EC5A3F">
        <w:rPr>
          <w:rFonts w:ascii="Book Antiqua" w:hAnsi="Book Antiqua"/>
        </w:rPr>
        <w:t xml:space="preserve"> Study of bacteria Listeria monocytogenes in spontaneous aborted women in Salah Al-deen province. </w:t>
      </w:r>
      <w:r w:rsidR="001B61A7" w:rsidRPr="00EC5A3F">
        <w:rPr>
          <w:rFonts w:ascii="Book Antiqua" w:hAnsi="Book Antiqua"/>
          <w:i/>
          <w:iCs/>
        </w:rPr>
        <w:t xml:space="preserve">Tik J Pur Sci </w:t>
      </w:r>
      <w:r w:rsidR="001B61A7" w:rsidRPr="00EC5A3F">
        <w:rPr>
          <w:rFonts w:ascii="Book Antiqua" w:hAnsi="Book Antiqua"/>
        </w:rPr>
        <w:t xml:space="preserve">2018; </w:t>
      </w:r>
      <w:r w:rsidR="001B61A7" w:rsidRPr="00EC5A3F">
        <w:rPr>
          <w:rFonts w:ascii="Book Antiqua" w:hAnsi="Book Antiqua"/>
          <w:b/>
          <w:bCs/>
        </w:rPr>
        <w:t>21:</w:t>
      </w:r>
      <w:r w:rsidR="001B61A7" w:rsidRPr="00EC5A3F">
        <w:rPr>
          <w:rFonts w:ascii="Book Antiqua" w:hAnsi="Book Antiqua"/>
        </w:rPr>
        <w:t xml:space="preserve"> 12-17</w:t>
      </w:r>
    </w:p>
    <w:p w14:paraId="59319FF5"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lastRenderedPageBreak/>
        <w:t>3</w:t>
      </w:r>
      <w:r w:rsidR="001B61A7" w:rsidRPr="00EC5A3F">
        <w:rPr>
          <w:rFonts w:ascii="Book Antiqua" w:hAnsi="Book Antiqua"/>
        </w:rPr>
        <w:t xml:space="preserve">2 </w:t>
      </w:r>
      <w:r w:rsidR="001B61A7" w:rsidRPr="00EC5A3F">
        <w:rPr>
          <w:rFonts w:ascii="Book Antiqua" w:hAnsi="Book Antiqua"/>
          <w:b/>
          <w:bCs/>
        </w:rPr>
        <w:t>Ohadi E,</w:t>
      </w:r>
      <w:r w:rsidR="001B61A7" w:rsidRPr="00EC5A3F">
        <w:rPr>
          <w:rFonts w:ascii="Book Antiqua" w:hAnsi="Book Antiqua"/>
        </w:rPr>
        <w:t xml:space="preserve"> Goudarzi H, Kalani BS, Taherpour A, Shivaee A, Eslami G. Serotyping of Listeria monocytogenes Isolates from Women with Spontaneous Abortion Using Polymerase Chain Reaction Method. </w:t>
      </w:r>
      <w:r w:rsidR="001B61A7" w:rsidRPr="00EC5A3F">
        <w:rPr>
          <w:rFonts w:ascii="Book Antiqua" w:hAnsi="Book Antiqua"/>
          <w:i/>
          <w:iCs/>
        </w:rPr>
        <w:t xml:space="preserve">J Med Bacteriol </w:t>
      </w:r>
      <w:r w:rsidR="001B61A7" w:rsidRPr="00EC5A3F">
        <w:rPr>
          <w:rFonts w:ascii="Book Antiqua" w:hAnsi="Book Antiqua"/>
        </w:rPr>
        <w:t xml:space="preserve">2019; </w:t>
      </w:r>
      <w:r w:rsidR="001B61A7" w:rsidRPr="00EC5A3F">
        <w:rPr>
          <w:rFonts w:ascii="Book Antiqua" w:hAnsi="Book Antiqua"/>
          <w:b/>
          <w:bCs/>
        </w:rPr>
        <w:t xml:space="preserve">8: </w:t>
      </w:r>
      <w:r w:rsidR="001B61A7" w:rsidRPr="00EC5A3F">
        <w:rPr>
          <w:rFonts w:ascii="Book Antiqua" w:hAnsi="Book Antiqua"/>
        </w:rPr>
        <w:t>8-17</w:t>
      </w:r>
    </w:p>
    <w:p w14:paraId="5FD25723" w14:textId="59EF70E8"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3</w:t>
      </w:r>
      <w:r w:rsidR="001B61A7" w:rsidRPr="00EC5A3F">
        <w:rPr>
          <w:rFonts w:ascii="Book Antiqua" w:hAnsi="Book Antiqua"/>
        </w:rPr>
        <w:t xml:space="preserve">3 </w:t>
      </w:r>
      <w:r w:rsidR="001B61A7" w:rsidRPr="00EC5A3F">
        <w:rPr>
          <w:rFonts w:ascii="Book Antiqua" w:hAnsi="Book Antiqua"/>
          <w:b/>
          <w:bCs/>
        </w:rPr>
        <w:t>Mozaffari M,</w:t>
      </w:r>
      <w:r w:rsidR="001B61A7" w:rsidRPr="00EC5A3F">
        <w:rPr>
          <w:rFonts w:ascii="Book Antiqua" w:hAnsi="Book Antiqua"/>
        </w:rPr>
        <w:t xml:space="preserve"> Mozafari M, Mohebbi M. Clinical Significance and Seroprevalence of L. monocytogenes in Pregnant Women with Spontaneous Abortion: Personalized Medicine to improve Outcome (Diagnosis and monitoring).</w:t>
      </w:r>
      <w:r w:rsidR="001B61A7" w:rsidRPr="00EC5A3F">
        <w:rPr>
          <w:rFonts w:ascii="Book Antiqua" w:hAnsi="Book Antiqua"/>
          <w:i/>
          <w:iCs/>
        </w:rPr>
        <w:t xml:space="preserve"> City</w:t>
      </w:r>
      <w:r w:rsidR="001B61A7" w:rsidRPr="00EC5A3F">
        <w:rPr>
          <w:rFonts w:ascii="Book Antiqua" w:hAnsi="Book Antiqua"/>
        </w:rPr>
        <w:t xml:space="preserve"> 2019; </w:t>
      </w:r>
      <w:r w:rsidR="001B61A7" w:rsidRPr="00EC5A3F">
        <w:rPr>
          <w:rFonts w:ascii="Book Antiqua" w:hAnsi="Book Antiqua"/>
          <w:b/>
          <w:bCs/>
        </w:rPr>
        <w:t>72:</w:t>
      </w:r>
      <w:r w:rsidR="001B61A7" w:rsidRPr="00EC5A3F">
        <w:rPr>
          <w:rFonts w:ascii="Book Antiqua" w:hAnsi="Book Antiqua"/>
        </w:rPr>
        <w:t xml:space="preserve"> 51</w:t>
      </w:r>
    </w:p>
    <w:p w14:paraId="2365D174"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3</w:t>
      </w:r>
      <w:r w:rsidR="001B61A7" w:rsidRPr="00EC5A3F">
        <w:rPr>
          <w:rFonts w:ascii="Book Antiqua" w:hAnsi="Book Antiqua"/>
        </w:rPr>
        <w:t xml:space="preserve">4 </w:t>
      </w:r>
      <w:r w:rsidR="001B61A7" w:rsidRPr="00EC5A3F">
        <w:rPr>
          <w:rFonts w:ascii="Book Antiqua" w:hAnsi="Book Antiqua"/>
          <w:b/>
          <w:bCs/>
        </w:rPr>
        <w:t>Zahirnia Z</w:t>
      </w:r>
      <w:r w:rsidR="001B61A7" w:rsidRPr="00EC5A3F">
        <w:rPr>
          <w:rFonts w:ascii="Book Antiqua" w:hAnsi="Book Antiqua"/>
        </w:rPr>
        <w:t xml:space="preserve">, Mansouri S, Saffari F. Pregnancy-related listeriosis: frequency and genotypic characteristics of L. monocytogenes from human specimens in Kerman, Iran. </w:t>
      </w:r>
      <w:r w:rsidR="001B61A7" w:rsidRPr="00EC5A3F">
        <w:rPr>
          <w:rFonts w:ascii="Book Antiqua" w:hAnsi="Book Antiqua"/>
          <w:i/>
          <w:iCs/>
        </w:rPr>
        <w:t>Wien Med Wochenschr</w:t>
      </w:r>
      <w:r w:rsidR="001B61A7" w:rsidRPr="00EC5A3F">
        <w:rPr>
          <w:rFonts w:ascii="Book Antiqua" w:hAnsi="Book Antiqua"/>
        </w:rPr>
        <w:t xml:space="preserve"> 2019; </w:t>
      </w:r>
      <w:r w:rsidR="001B61A7" w:rsidRPr="00EC5A3F">
        <w:rPr>
          <w:rFonts w:ascii="Book Antiqua" w:hAnsi="Book Antiqua"/>
          <w:b/>
          <w:bCs/>
        </w:rPr>
        <w:t>169</w:t>
      </w:r>
      <w:r w:rsidR="001B61A7" w:rsidRPr="00EC5A3F">
        <w:rPr>
          <w:rFonts w:ascii="Book Antiqua" w:hAnsi="Book Antiqua"/>
        </w:rPr>
        <w:t>: 226-231 [PMID: 30178426 DOI: 10.1007/s10354-018-0648-9]</w:t>
      </w:r>
    </w:p>
    <w:p w14:paraId="14210CA9"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3</w:t>
      </w:r>
      <w:r w:rsidR="001B61A7" w:rsidRPr="00EC5A3F">
        <w:rPr>
          <w:rFonts w:ascii="Book Antiqua" w:hAnsi="Book Antiqua"/>
        </w:rPr>
        <w:t xml:space="preserve">5 </w:t>
      </w:r>
      <w:r w:rsidR="001B61A7" w:rsidRPr="00EC5A3F">
        <w:rPr>
          <w:rFonts w:ascii="Book Antiqua" w:hAnsi="Book Antiqua"/>
          <w:b/>
          <w:bCs/>
        </w:rPr>
        <w:t>Fall NS,</w:t>
      </w:r>
      <w:r w:rsidR="001B61A7" w:rsidRPr="00EC5A3F">
        <w:rPr>
          <w:rFonts w:ascii="Book Antiqua" w:hAnsi="Book Antiqua"/>
        </w:rPr>
        <w:t xml:space="preserve"> Sarr M, Diagne N, Bassène H, Sokhna C, Lagier JC, Raoult D. Listeria monocytogenes detected in vaginal self-samples of 2 women after spontaneous miscarriage, Senegal, West Africa. </w:t>
      </w:r>
      <w:r w:rsidR="001B61A7" w:rsidRPr="00EC5A3F">
        <w:rPr>
          <w:rFonts w:ascii="Book Antiqua" w:hAnsi="Book Antiqua"/>
          <w:i/>
          <w:iCs/>
        </w:rPr>
        <w:t>Eur J Clin Microbiol Infect Dis</w:t>
      </w:r>
      <w:r w:rsidR="001B61A7" w:rsidRPr="00EC5A3F">
        <w:rPr>
          <w:rFonts w:ascii="Book Antiqua" w:hAnsi="Book Antiqua"/>
        </w:rPr>
        <w:t xml:space="preserve"> 2020; </w:t>
      </w:r>
      <w:r w:rsidR="001B61A7" w:rsidRPr="00EC5A3F">
        <w:rPr>
          <w:rFonts w:ascii="Book Antiqua" w:hAnsi="Book Antiqua"/>
          <w:b/>
          <w:bCs/>
        </w:rPr>
        <w:t>39:</w:t>
      </w:r>
      <w:r w:rsidR="001B61A7" w:rsidRPr="00EC5A3F">
        <w:rPr>
          <w:rFonts w:ascii="Book Antiqua" w:hAnsi="Book Antiqua"/>
        </w:rPr>
        <w:t xml:space="preserve"> 393-394 [PMID: 31784865 DOI: 10.1007/s10096-019-03739-0]</w:t>
      </w:r>
    </w:p>
    <w:p w14:paraId="52EF67BD" w14:textId="77777777" w:rsidR="00510012" w:rsidRPr="00EC5A3F" w:rsidRDefault="003E1E2E" w:rsidP="00FC1600">
      <w:pPr>
        <w:snapToGrid w:val="0"/>
        <w:spacing w:line="360" w:lineRule="auto"/>
        <w:jc w:val="both"/>
        <w:rPr>
          <w:rFonts w:ascii="Book Antiqua" w:hAnsi="Book Antiqua"/>
        </w:rPr>
      </w:pPr>
      <w:r w:rsidRPr="00EC5A3F">
        <w:rPr>
          <w:rFonts w:ascii="Book Antiqua" w:hAnsi="Book Antiqua"/>
          <w:lang w:eastAsia="zh-CN"/>
        </w:rPr>
        <w:t>3</w:t>
      </w:r>
      <w:r w:rsidR="001B61A7" w:rsidRPr="00EC5A3F">
        <w:rPr>
          <w:rFonts w:ascii="Book Antiqua" w:hAnsi="Book Antiqua"/>
        </w:rPr>
        <w:t xml:space="preserve">6 </w:t>
      </w:r>
      <w:r w:rsidR="001B61A7" w:rsidRPr="00EC5A3F">
        <w:rPr>
          <w:rFonts w:ascii="Book Antiqua" w:hAnsi="Book Antiqua"/>
          <w:b/>
          <w:bCs/>
        </w:rPr>
        <w:t>Al-Mayahi FSA</w:t>
      </w:r>
      <w:r w:rsidR="001B61A7" w:rsidRPr="00EC5A3F">
        <w:rPr>
          <w:rFonts w:ascii="Book Antiqua" w:hAnsi="Book Antiqua"/>
        </w:rPr>
        <w:t xml:space="preserve">, Jaber SM. Multiple drug resistance of </w:t>
      </w:r>
      <w:r w:rsidR="001B61A7" w:rsidRPr="00EC5A3F">
        <w:rPr>
          <w:rFonts w:ascii="Book Antiqua" w:hAnsi="Book Antiqua"/>
          <w:i/>
          <w:iCs/>
        </w:rPr>
        <w:t>Listeria monocytogenes</w:t>
      </w:r>
      <w:r w:rsidR="001B61A7" w:rsidRPr="00EC5A3F">
        <w:rPr>
          <w:rFonts w:ascii="Book Antiqua" w:hAnsi="Book Antiqua"/>
        </w:rPr>
        <w:t xml:space="preserve"> isolated from aborted women by using serological and molecular techniques in Diwaniyah city/Iraq. </w:t>
      </w:r>
      <w:r w:rsidR="001B61A7" w:rsidRPr="00EC5A3F">
        <w:rPr>
          <w:rFonts w:ascii="Book Antiqua" w:hAnsi="Book Antiqua"/>
          <w:i/>
          <w:iCs/>
        </w:rPr>
        <w:t>Iran J Microbiol</w:t>
      </w:r>
      <w:r w:rsidR="001B61A7" w:rsidRPr="00EC5A3F">
        <w:rPr>
          <w:rFonts w:ascii="Book Antiqua" w:hAnsi="Book Antiqua"/>
        </w:rPr>
        <w:t xml:space="preserve"> 2020; </w:t>
      </w:r>
      <w:r w:rsidR="001B61A7" w:rsidRPr="00EC5A3F">
        <w:rPr>
          <w:rFonts w:ascii="Book Antiqua" w:hAnsi="Book Antiqua"/>
          <w:b/>
          <w:bCs/>
        </w:rPr>
        <w:t>12</w:t>
      </w:r>
      <w:r w:rsidR="001B61A7" w:rsidRPr="00EC5A3F">
        <w:rPr>
          <w:rFonts w:ascii="Book Antiqua" w:hAnsi="Book Antiqua"/>
        </w:rPr>
        <w:t>: 305-312 [PMID: 32994901 DOI: 10.18502/ijm.v12i4.3933]</w:t>
      </w:r>
    </w:p>
    <w:p w14:paraId="456BAE47"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37</w:t>
      </w:r>
      <w:r w:rsidRPr="00EC5A3F">
        <w:rPr>
          <w:rFonts w:ascii="Book Antiqua" w:hAnsi="Book Antiqua"/>
        </w:rPr>
        <w:t xml:space="preserve"> </w:t>
      </w:r>
      <w:r w:rsidRPr="00EC5A3F">
        <w:rPr>
          <w:rFonts w:ascii="Book Antiqua" w:hAnsi="Book Antiqua"/>
          <w:b/>
          <w:bCs/>
        </w:rPr>
        <w:t>Martinez-Rios V,</w:t>
      </w:r>
      <w:r w:rsidRPr="00EC5A3F">
        <w:rPr>
          <w:rFonts w:ascii="Book Antiqua" w:hAnsi="Book Antiqua"/>
        </w:rPr>
        <w:t xml:space="preserve"> Dalgaard P. Prevalence of Listeria monocytogenes in European cheeses: A systematic review and meta-analysis. </w:t>
      </w:r>
      <w:r w:rsidRPr="00EC5A3F">
        <w:rPr>
          <w:rFonts w:ascii="Book Antiqua" w:hAnsi="Book Antiqua"/>
          <w:i/>
          <w:iCs/>
        </w:rPr>
        <w:t>Food Control</w:t>
      </w:r>
      <w:r w:rsidRPr="00EC5A3F">
        <w:rPr>
          <w:rFonts w:ascii="Book Antiqua" w:hAnsi="Book Antiqua"/>
        </w:rPr>
        <w:t xml:space="preserve"> 2018; </w:t>
      </w:r>
      <w:r w:rsidRPr="00EC5A3F">
        <w:rPr>
          <w:rFonts w:ascii="Book Antiqua" w:hAnsi="Book Antiqua"/>
          <w:b/>
          <w:bCs/>
        </w:rPr>
        <w:t>84</w:t>
      </w:r>
      <w:r w:rsidRPr="00EC5A3F">
        <w:rPr>
          <w:rFonts w:ascii="Book Antiqua" w:hAnsi="Book Antiqua"/>
        </w:rPr>
        <w:t>: 205-214</w:t>
      </w:r>
    </w:p>
    <w:p w14:paraId="4F09B3DB"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38</w:t>
      </w:r>
      <w:r w:rsidRPr="00EC5A3F">
        <w:rPr>
          <w:rFonts w:ascii="Book Antiqua" w:hAnsi="Book Antiqua"/>
        </w:rPr>
        <w:t xml:space="preserve"> </w:t>
      </w:r>
      <w:r w:rsidRPr="00EC5A3F">
        <w:rPr>
          <w:rFonts w:ascii="Book Antiqua" w:hAnsi="Book Antiqua"/>
          <w:b/>
          <w:bCs/>
        </w:rPr>
        <w:t>Murray PR,</w:t>
      </w:r>
      <w:r w:rsidRPr="00EC5A3F">
        <w:rPr>
          <w:rFonts w:ascii="Book Antiqua" w:hAnsi="Book Antiqua"/>
        </w:rPr>
        <w:t xml:space="preserve"> Rosenthal KS, Pfaller MA. Medical microbiology: Elsevier Health Sciences. 2015</w:t>
      </w:r>
    </w:p>
    <w:p w14:paraId="4245BF23"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39</w:t>
      </w:r>
      <w:r w:rsidRPr="00EC5A3F">
        <w:rPr>
          <w:rFonts w:ascii="Book Antiqua" w:hAnsi="Book Antiqua"/>
        </w:rPr>
        <w:t xml:space="preserve"> </w:t>
      </w:r>
      <w:r w:rsidRPr="00EC5A3F">
        <w:rPr>
          <w:rFonts w:ascii="Book Antiqua" w:hAnsi="Book Antiqua"/>
          <w:b/>
          <w:bCs/>
        </w:rPr>
        <w:t>Craig AM</w:t>
      </w:r>
      <w:r w:rsidRPr="00EC5A3F">
        <w:rPr>
          <w:rFonts w:ascii="Book Antiqua" w:hAnsi="Book Antiqua"/>
        </w:rPr>
        <w:t xml:space="preserve">, Dotters-Katz S, Kuller JA, Thompson JL. Listeriosis in Pregnancy: A Review. </w:t>
      </w:r>
      <w:r w:rsidRPr="00EC5A3F">
        <w:rPr>
          <w:rFonts w:ascii="Book Antiqua" w:hAnsi="Book Antiqua"/>
          <w:i/>
          <w:iCs/>
        </w:rPr>
        <w:t>Obstet Gynecol Surv</w:t>
      </w:r>
      <w:r w:rsidRPr="00EC5A3F">
        <w:rPr>
          <w:rFonts w:ascii="Book Antiqua" w:hAnsi="Book Antiqua"/>
        </w:rPr>
        <w:t xml:space="preserve"> 2019; </w:t>
      </w:r>
      <w:r w:rsidRPr="00EC5A3F">
        <w:rPr>
          <w:rFonts w:ascii="Book Antiqua" w:hAnsi="Book Antiqua"/>
          <w:b/>
          <w:bCs/>
        </w:rPr>
        <w:t>74</w:t>
      </w:r>
      <w:r w:rsidRPr="00EC5A3F">
        <w:rPr>
          <w:rFonts w:ascii="Book Antiqua" w:hAnsi="Book Antiqua"/>
        </w:rPr>
        <w:t>: 362-368 [PMID: 31216045 DOI: 10.1097/OGX.0000000000000683]</w:t>
      </w:r>
    </w:p>
    <w:p w14:paraId="08C26EBF"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40</w:t>
      </w:r>
      <w:r w:rsidRPr="00EC5A3F">
        <w:rPr>
          <w:rFonts w:ascii="Book Antiqua" w:hAnsi="Book Antiqua"/>
        </w:rPr>
        <w:t xml:space="preserve"> </w:t>
      </w:r>
      <w:r w:rsidRPr="00EC5A3F">
        <w:rPr>
          <w:rFonts w:ascii="Book Antiqua" w:hAnsi="Book Antiqua"/>
          <w:b/>
          <w:bCs/>
        </w:rPr>
        <w:t>Overturf GD</w:t>
      </w:r>
      <w:r w:rsidRPr="00EC5A3F">
        <w:rPr>
          <w:rFonts w:ascii="Book Antiqua" w:hAnsi="Book Antiqua"/>
        </w:rPr>
        <w:t xml:space="preserve">. Indications for the immunological evaluation of patients with meningitis. </w:t>
      </w:r>
      <w:r w:rsidRPr="00EC5A3F">
        <w:rPr>
          <w:rFonts w:ascii="Book Antiqua" w:hAnsi="Book Antiqua"/>
          <w:i/>
          <w:iCs/>
        </w:rPr>
        <w:t>Clin Infect Dis</w:t>
      </w:r>
      <w:r w:rsidRPr="00EC5A3F">
        <w:rPr>
          <w:rFonts w:ascii="Book Antiqua" w:hAnsi="Book Antiqua"/>
        </w:rPr>
        <w:t xml:space="preserve"> 2003; </w:t>
      </w:r>
      <w:r w:rsidRPr="00EC5A3F">
        <w:rPr>
          <w:rFonts w:ascii="Book Antiqua" w:hAnsi="Book Antiqua"/>
          <w:b/>
          <w:bCs/>
        </w:rPr>
        <w:t>36</w:t>
      </w:r>
      <w:r w:rsidRPr="00EC5A3F">
        <w:rPr>
          <w:rFonts w:ascii="Book Antiqua" w:hAnsi="Book Antiqua"/>
        </w:rPr>
        <w:t>: 189-194 [PMID: 12522751 DOI: 10.1086/345527]</w:t>
      </w:r>
    </w:p>
    <w:p w14:paraId="261F3E60"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41</w:t>
      </w:r>
      <w:r w:rsidRPr="00EC5A3F">
        <w:rPr>
          <w:rFonts w:ascii="Book Antiqua" w:hAnsi="Book Antiqua"/>
        </w:rPr>
        <w:t xml:space="preserve"> </w:t>
      </w:r>
      <w:r w:rsidRPr="00EC5A3F">
        <w:rPr>
          <w:rFonts w:ascii="Book Antiqua" w:hAnsi="Book Antiqua"/>
          <w:b/>
          <w:bCs/>
        </w:rPr>
        <w:t>Ranjbar R</w:t>
      </w:r>
      <w:r w:rsidRPr="00EC5A3F">
        <w:rPr>
          <w:rFonts w:ascii="Book Antiqua" w:hAnsi="Book Antiqua"/>
        </w:rPr>
        <w:t xml:space="preserve">, Halaji M. Epidemiology of Listeria monocytogenes prevalence in foods, animals and human origin from Iran: a systematic review and meta-analysis. </w:t>
      </w:r>
      <w:r w:rsidRPr="00EC5A3F">
        <w:rPr>
          <w:rFonts w:ascii="Book Antiqua" w:hAnsi="Book Antiqua"/>
          <w:i/>
          <w:iCs/>
        </w:rPr>
        <w:t>BMC Public Health</w:t>
      </w:r>
      <w:r w:rsidRPr="00EC5A3F">
        <w:rPr>
          <w:rFonts w:ascii="Book Antiqua" w:hAnsi="Book Antiqua"/>
        </w:rPr>
        <w:t xml:space="preserve"> 2018; </w:t>
      </w:r>
      <w:r w:rsidRPr="00EC5A3F">
        <w:rPr>
          <w:rFonts w:ascii="Book Antiqua" w:hAnsi="Book Antiqua"/>
          <w:b/>
          <w:bCs/>
        </w:rPr>
        <w:t>18</w:t>
      </w:r>
      <w:r w:rsidRPr="00EC5A3F">
        <w:rPr>
          <w:rFonts w:ascii="Book Antiqua" w:hAnsi="Book Antiqua"/>
        </w:rPr>
        <w:t>: 1057 [PMID: 30139345 DOI: 10.1186/s12889-018-5966-8]</w:t>
      </w:r>
    </w:p>
    <w:p w14:paraId="17A8AA11"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lastRenderedPageBreak/>
        <w:t>42</w:t>
      </w:r>
      <w:r w:rsidRPr="00EC5A3F">
        <w:rPr>
          <w:rFonts w:ascii="Book Antiqua" w:hAnsi="Book Antiqua"/>
        </w:rPr>
        <w:t xml:space="preserve"> </w:t>
      </w:r>
      <w:r w:rsidRPr="00EC5A3F">
        <w:rPr>
          <w:rFonts w:ascii="Book Antiqua" w:hAnsi="Book Antiqua"/>
          <w:b/>
          <w:bCs/>
        </w:rPr>
        <w:t>Parida SK</w:t>
      </w:r>
      <w:r w:rsidRPr="00EC5A3F">
        <w:rPr>
          <w:rFonts w:ascii="Book Antiqua" w:hAnsi="Book Antiqua"/>
        </w:rPr>
        <w:t xml:space="preserve">, Domann E, Rohde M, Müller S, Darji A, Hain T, Wehland J, Chakraborty T. Internalin B is essential for adhesion and mediates the invasion of Listeria monocytogenes into human endothelial cells. </w:t>
      </w:r>
      <w:r w:rsidRPr="00EC5A3F">
        <w:rPr>
          <w:rFonts w:ascii="Book Antiqua" w:hAnsi="Book Antiqua"/>
          <w:i/>
          <w:iCs/>
        </w:rPr>
        <w:t>Mol Microbiol</w:t>
      </w:r>
      <w:r w:rsidRPr="00EC5A3F">
        <w:rPr>
          <w:rFonts w:ascii="Book Antiqua" w:hAnsi="Book Antiqua"/>
        </w:rPr>
        <w:t xml:space="preserve"> 1998; </w:t>
      </w:r>
      <w:r w:rsidRPr="00EC5A3F">
        <w:rPr>
          <w:rFonts w:ascii="Book Antiqua" w:hAnsi="Book Antiqua"/>
          <w:b/>
          <w:bCs/>
        </w:rPr>
        <w:t>28</w:t>
      </w:r>
      <w:r w:rsidRPr="00EC5A3F">
        <w:rPr>
          <w:rFonts w:ascii="Book Antiqua" w:hAnsi="Book Antiqua"/>
        </w:rPr>
        <w:t>: 81-93 [PMID: 9593298 DOI: 10.1046/j.1365-2958.1998.00776.x]</w:t>
      </w:r>
    </w:p>
    <w:p w14:paraId="3C9102B3"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43</w:t>
      </w:r>
      <w:r w:rsidRPr="00EC5A3F">
        <w:rPr>
          <w:rFonts w:ascii="Book Antiqua" w:hAnsi="Book Antiqua"/>
        </w:rPr>
        <w:t xml:space="preserve"> </w:t>
      </w:r>
      <w:r w:rsidRPr="00EC5A3F">
        <w:rPr>
          <w:rFonts w:ascii="Book Antiqua" w:hAnsi="Book Antiqua"/>
          <w:b/>
          <w:bCs/>
        </w:rPr>
        <w:t>Johnson J</w:t>
      </w:r>
      <w:r w:rsidRPr="00EC5A3F">
        <w:rPr>
          <w:rFonts w:ascii="Book Antiqua" w:hAnsi="Book Antiqua"/>
        </w:rPr>
        <w:t xml:space="preserve">, Jinneman K, Stelma G, Smith BG, Lye D, Messer J, Ulaszek J, Evsen L, Gendel S, Bennett RW, Swaminathan B, Pruckler J, Steigerwalt A, Kathariou S, Yildirim S, Volokhov D, Rasooly A, Chizhikov V, Wiedmann M, Fortes E, Duvall RE, Hitchins AD. Natural atypical Listeria innocua strains with Listeria monocytogenes pathogenicity island 1 genes. </w:t>
      </w:r>
      <w:r w:rsidRPr="00EC5A3F">
        <w:rPr>
          <w:rFonts w:ascii="Book Antiqua" w:hAnsi="Book Antiqua"/>
          <w:i/>
          <w:iCs/>
        </w:rPr>
        <w:t>Appl Environ Microbiol</w:t>
      </w:r>
      <w:r w:rsidRPr="00EC5A3F">
        <w:rPr>
          <w:rFonts w:ascii="Book Antiqua" w:hAnsi="Book Antiqua"/>
        </w:rPr>
        <w:t xml:space="preserve"> 2004; </w:t>
      </w:r>
      <w:r w:rsidRPr="00EC5A3F">
        <w:rPr>
          <w:rFonts w:ascii="Book Antiqua" w:hAnsi="Book Antiqua"/>
          <w:b/>
          <w:bCs/>
        </w:rPr>
        <w:t>70</w:t>
      </w:r>
      <w:r w:rsidRPr="00EC5A3F">
        <w:rPr>
          <w:rFonts w:ascii="Book Antiqua" w:hAnsi="Book Antiqua"/>
        </w:rPr>
        <w:t>: 4256-4266 [PMID: 15240309 DOI: 10.1128/AEM.70.7.4256-4266.2004]</w:t>
      </w:r>
    </w:p>
    <w:p w14:paraId="22217388"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44</w:t>
      </w:r>
      <w:r w:rsidRPr="00EC5A3F">
        <w:rPr>
          <w:rFonts w:ascii="Book Antiqua" w:hAnsi="Book Antiqua"/>
        </w:rPr>
        <w:t xml:space="preserve"> </w:t>
      </w:r>
      <w:r w:rsidRPr="00EC5A3F">
        <w:rPr>
          <w:rFonts w:ascii="Book Antiqua" w:hAnsi="Book Antiqua"/>
          <w:b/>
          <w:bCs/>
        </w:rPr>
        <w:t xml:space="preserve">Khademi F, </w:t>
      </w:r>
      <w:r w:rsidRPr="00EC5A3F">
        <w:rPr>
          <w:rFonts w:ascii="Book Antiqua" w:hAnsi="Book Antiqua"/>
        </w:rPr>
        <w:t xml:space="preserve">Sahebkar A. A systematic review and meta-analysis on the prevalence of antibiotic-resistant Listeria species in food, animal and human specimens in Iran. </w:t>
      </w:r>
      <w:r w:rsidRPr="00EC5A3F">
        <w:rPr>
          <w:rFonts w:ascii="Book Antiqua" w:hAnsi="Book Antiqua"/>
          <w:i/>
          <w:iCs/>
        </w:rPr>
        <w:t xml:space="preserve">J Food Sci Technol </w:t>
      </w:r>
      <w:r w:rsidRPr="00EC5A3F">
        <w:rPr>
          <w:rFonts w:ascii="Book Antiqua" w:hAnsi="Book Antiqua"/>
        </w:rPr>
        <w:t xml:space="preserve">2019; </w:t>
      </w:r>
      <w:r w:rsidRPr="00EC5A3F">
        <w:rPr>
          <w:rFonts w:ascii="Book Antiqua" w:hAnsi="Book Antiqua"/>
          <w:b/>
          <w:bCs/>
        </w:rPr>
        <w:t>56:</w:t>
      </w:r>
      <w:r w:rsidRPr="00EC5A3F">
        <w:rPr>
          <w:rFonts w:ascii="Book Antiqua" w:hAnsi="Book Antiqua"/>
        </w:rPr>
        <w:t xml:space="preserve"> 5167-5183 [PMID: 31749464 DOI: 10.1007/s13197-019-04040-w] </w:t>
      </w:r>
    </w:p>
    <w:p w14:paraId="7859EE76" w14:textId="77777777" w:rsidR="005B3717" w:rsidRPr="00EC5A3F" w:rsidRDefault="005B3717" w:rsidP="00FC1600">
      <w:pPr>
        <w:snapToGrid w:val="0"/>
        <w:spacing w:line="360" w:lineRule="auto"/>
        <w:jc w:val="both"/>
        <w:rPr>
          <w:rFonts w:ascii="Book Antiqua" w:hAnsi="Book Antiqua"/>
        </w:rPr>
      </w:pPr>
      <w:r w:rsidRPr="00EC5A3F">
        <w:rPr>
          <w:rFonts w:ascii="Book Antiqua" w:hAnsi="Book Antiqua"/>
          <w:lang w:eastAsia="zh-CN"/>
        </w:rPr>
        <w:t>45</w:t>
      </w:r>
      <w:r w:rsidRPr="00EC5A3F">
        <w:rPr>
          <w:rFonts w:ascii="Book Antiqua" w:hAnsi="Book Antiqua"/>
        </w:rPr>
        <w:t xml:space="preserve"> </w:t>
      </w:r>
      <w:r w:rsidRPr="00EC5A3F">
        <w:rPr>
          <w:rFonts w:ascii="Book Antiqua" w:hAnsi="Book Antiqua"/>
          <w:b/>
          <w:bCs/>
        </w:rPr>
        <w:t>Lambotte O</w:t>
      </w:r>
      <w:r w:rsidRPr="00EC5A3F">
        <w:rPr>
          <w:rFonts w:ascii="Book Antiqua" w:hAnsi="Book Antiqua"/>
        </w:rPr>
        <w:t xml:space="preserve">, Fihman V, Poyart C, Buzyn A, Berche P, Soumelis V. Listeria monocytogenes skin infection with cerebritis and haemophagocytosis syndrome in a bone marrow transplant recipient. </w:t>
      </w:r>
      <w:r w:rsidRPr="00EC5A3F">
        <w:rPr>
          <w:rFonts w:ascii="Book Antiqua" w:hAnsi="Book Antiqua"/>
          <w:i/>
          <w:iCs/>
        </w:rPr>
        <w:t>J Infect</w:t>
      </w:r>
      <w:r w:rsidRPr="00EC5A3F">
        <w:rPr>
          <w:rFonts w:ascii="Book Antiqua" w:hAnsi="Book Antiqua"/>
        </w:rPr>
        <w:t xml:space="preserve"> 2005; </w:t>
      </w:r>
      <w:r w:rsidRPr="00EC5A3F">
        <w:rPr>
          <w:rFonts w:ascii="Book Antiqua" w:hAnsi="Book Antiqua"/>
          <w:b/>
          <w:bCs/>
        </w:rPr>
        <w:t>50</w:t>
      </w:r>
      <w:r w:rsidRPr="00EC5A3F">
        <w:rPr>
          <w:rFonts w:ascii="Book Antiqua" w:hAnsi="Book Antiqua"/>
        </w:rPr>
        <w:t>: 356-358 [PMID: 15845437 DOI: 10.1016/j.jinf.2004.03.016]</w:t>
      </w:r>
    </w:p>
    <w:p w14:paraId="1A982D00" w14:textId="00D3FDAD" w:rsidR="006A4CE9" w:rsidRDefault="005B3717" w:rsidP="00FC1600">
      <w:pPr>
        <w:snapToGrid w:val="0"/>
        <w:spacing w:line="360" w:lineRule="auto"/>
        <w:jc w:val="both"/>
        <w:rPr>
          <w:rFonts w:ascii="Book Antiqua" w:eastAsia="Book Antiqua" w:hAnsi="Book Antiqua" w:cs="Book Antiqua"/>
          <w:b/>
          <w:color w:val="000000"/>
        </w:rPr>
      </w:pPr>
      <w:r w:rsidRPr="00EC5A3F">
        <w:rPr>
          <w:rFonts w:ascii="Book Antiqua" w:hAnsi="Book Antiqua"/>
          <w:lang w:eastAsia="zh-CN"/>
        </w:rPr>
        <w:t>46</w:t>
      </w:r>
      <w:r w:rsidRPr="00EC5A3F">
        <w:rPr>
          <w:rFonts w:ascii="Book Antiqua" w:hAnsi="Book Antiqua"/>
        </w:rPr>
        <w:t xml:space="preserve"> </w:t>
      </w:r>
      <w:r w:rsidRPr="00EC5A3F">
        <w:rPr>
          <w:rFonts w:ascii="Book Antiqua" w:hAnsi="Book Antiqua"/>
          <w:b/>
          <w:bCs/>
        </w:rPr>
        <w:t>Quentin C</w:t>
      </w:r>
      <w:r w:rsidRPr="00EC5A3F">
        <w:rPr>
          <w:rFonts w:ascii="Book Antiqua" w:hAnsi="Book Antiqua"/>
        </w:rPr>
        <w:t xml:space="preserve">, Thibaut MC, Horovitz J, Bebear C. Multiresistant strain of Listeria monocytogenes in septic abortion. </w:t>
      </w:r>
      <w:r w:rsidRPr="00EC5A3F">
        <w:rPr>
          <w:rFonts w:ascii="Book Antiqua" w:hAnsi="Book Antiqua"/>
          <w:i/>
          <w:iCs/>
        </w:rPr>
        <w:t>Lancet</w:t>
      </w:r>
      <w:r w:rsidRPr="00EC5A3F">
        <w:rPr>
          <w:rFonts w:ascii="Book Antiqua" w:hAnsi="Book Antiqua"/>
        </w:rPr>
        <w:t xml:space="preserve"> 1990; </w:t>
      </w:r>
      <w:r w:rsidRPr="00EC5A3F">
        <w:rPr>
          <w:rFonts w:ascii="Book Antiqua" w:hAnsi="Book Antiqua"/>
          <w:b/>
          <w:bCs/>
        </w:rPr>
        <w:t>336</w:t>
      </w:r>
      <w:r w:rsidRPr="00EC5A3F">
        <w:rPr>
          <w:rFonts w:ascii="Book Antiqua" w:hAnsi="Book Antiqua"/>
        </w:rPr>
        <w:t>: 375 [PMID: 1975353 DOI: 10.1016/0140-6736(90)91916-x]</w:t>
      </w:r>
      <w:r w:rsidR="006A4CE9">
        <w:rPr>
          <w:rFonts w:ascii="Book Antiqua" w:eastAsia="Book Antiqua" w:hAnsi="Book Antiqua" w:cs="Book Antiqua"/>
          <w:b/>
          <w:color w:val="000000"/>
        </w:rPr>
        <w:br w:type="page"/>
      </w:r>
    </w:p>
    <w:p w14:paraId="68F0890A" w14:textId="4D24DF52"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lastRenderedPageBreak/>
        <w:t>Footnotes</w:t>
      </w:r>
    </w:p>
    <w:p w14:paraId="6EC637A5" w14:textId="20E7F223"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Conflict-of-interest statement: </w:t>
      </w:r>
      <w:r w:rsidRPr="00682C4E">
        <w:rPr>
          <w:rFonts w:ascii="Book Antiqua" w:eastAsia="Book Antiqua" w:hAnsi="Book Antiqua" w:cs="Book Antiqua"/>
          <w:color w:val="000000"/>
        </w:rPr>
        <w:t>There is no conflict of interest among the authors.</w:t>
      </w:r>
    </w:p>
    <w:p w14:paraId="4551AE2D" w14:textId="77777777" w:rsidR="00510012" w:rsidRPr="00682C4E" w:rsidRDefault="00510012" w:rsidP="00FC1600">
      <w:pPr>
        <w:snapToGrid w:val="0"/>
        <w:spacing w:line="360" w:lineRule="auto"/>
        <w:jc w:val="both"/>
        <w:rPr>
          <w:rFonts w:ascii="Book Antiqua" w:hAnsi="Book Antiqua"/>
        </w:rPr>
      </w:pPr>
    </w:p>
    <w:p w14:paraId="6993CA4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PRISMA 2009 Checklist statement: </w:t>
      </w:r>
      <w:r w:rsidRPr="00682C4E">
        <w:rPr>
          <w:rFonts w:ascii="Book Antiqua" w:eastAsia="Book Antiqua" w:hAnsi="Book Antiqua" w:cs="Book Antiqua"/>
          <w:color w:val="000000"/>
        </w:rPr>
        <w:t>The authors have read the PRISMA 2009 Checklist, and the manuscript was prepared and revised according to the PRISMA 2009 Checklist.</w:t>
      </w:r>
    </w:p>
    <w:p w14:paraId="65C45FD5" w14:textId="77777777" w:rsidR="00510012" w:rsidRPr="00682C4E" w:rsidRDefault="00510012" w:rsidP="00FC1600">
      <w:pPr>
        <w:snapToGrid w:val="0"/>
        <w:spacing w:line="360" w:lineRule="auto"/>
        <w:jc w:val="both"/>
        <w:rPr>
          <w:rFonts w:ascii="Book Antiqua" w:hAnsi="Book Antiqua"/>
        </w:rPr>
      </w:pPr>
    </w:p>
    <w:p w14:paraId="399D5E3F"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Open-Access: </w:t>
      </w:r>
      <w:r w:rsidRPr="00682C4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3577FE" w14:textId="77777777" w:rsidR="00510012" w:rsidRPr="00682C4E" w:rsidRDefault="00510012" w:rsidP="00FC1600">
      <w:pPr>
        <w:snapToGrid w:val="0"/>
        <w:spacing w:line="360" w:lineRule="auto"/>
        <w:jc w:val="both"/>
        <w:rPr>
          <w:rFonts w:ascii="Book Antiqua" w:hAnsi="Book Antiqua"/>
        </w:rPr>
      </w:pPr>
    </w:p>
    <w:p w14:paraId="4F4934B2"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Manuscript source: </w:t>
      </w:r>
      <w:r w:rsidRPr="00682C4E">
        <w:rPr>
          <w:rFonts w:ascii="Book Antiqua" w:eastAsia="Book Antiqua" w:hAnsi="Book Antiqua" w:cs="Book Antiqua"/>
          <w:color w:val="000000"/>
        </w:rPr>
        <w:t>Unsolicited manuscript</w:t>
      </w:r>
    </w:p>
    <w:p w14:paraId="4677804F" w14:textId="77777777" w:rsidR="00510012" w:rsidRPr="00682C4E" w:rsidRDefault="00510012" w:rsidP="00FC1600">
      <w:pPr>
        <w:snapToGrid w:val="0"/>
        <w:spacing w:line="360" w:lineRule="auto"/>
        <w:jc w:val="both"/>
        <w:rPr>
          <w:rFonts w:ascii="Book Antiqua" w:hAnsi="Book Antiqua"/>
        </w:rPr>
      </w:pPr>
    </w:p>
    <w:p w14:paraId="718222E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Peer-review started: </w:t>
      </w:r>
      <w:r w:rsidRPr="00682C4E">
        <w:rPr>
          <w:rFonts w:ascii="Book Antiqua" w:eastAsia="Book Antiqua" w:hAnsi="Book Antiqua" w:cs="Book Antiqua"/>
          <w:color w:val="000000"/>
        </w:rPr>
        <w:t>April 23, 2021</w:t>
      </w:r>
    </w:p>
    <w:p w14:paraId="2881C75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First decision: </w:t>
      </w:r>
      <w:r w:rsidRPr="00682C4E">
        <w:rPr>
          <w:rFonts w:ascii="Book Antiqua" w:eastAsia="Book Antiqua" w:hAnsi="Book Antiqua" w:cs="Book Antiqua"/>
          <w:color w:val="000000"/>
        </w:rPr>
        <w:t>June 7, 2021</w:t>
      </w:r>
    </w:p>
    <w:p w14:paraId="15C94321" w14:textId="5F0A1B4D"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Article in press: </w:t>
      </w:r>
      <w:r w:rsidR="008351BF" w:rsidRPr="00682C4E">
        <w:rPr>
          <w:rFonts w:ascii="Book Antiqua" w:eastAsia="Book Antiqua" w:hAnsi="Book Antiqua" w:cs="Book Antiqua"/>
          <w:bCs/>
          <w:color w:val="000000"/>
        </w:rPr>
        <w:t>June 16, 2021</w:t>
      </w:r>
    </w:p>
    <w:p w14:paraId="6520F964" w14:textId="77777777" w:rsidR="00510012" w:rsidRPr="00682C4E" w:rsidRDefault="00510012" w:rsidP="00FC1600">
      <w:pPr>
        <w:snapToGrid w:val="0"/>
        <w:spacing w:line="360" w:lineRule="auto"/>
        <w:jc w:val="both"/>
        <w:rPr>
          <w:rFonts w:ascii="Book Antiqua" w:hAnsi="Book Antiqua"/>
        </w:rPr>
      </w:pPr>
    </w:p>
    <w:p w14:paraId="3D0C583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Specialty type: </w:t>
      </w:r>
      <w:r w:rsidRPr="00682C4E">
        <w:rPr>
          <w:rFonts w:ascii="Book Antiqua" w:eastAsia="微软雅黑" w:hAnsi="Book Antiqua" w:cs="宋体"/>
        </w:rPr>
        <w:t>Medicine, research and experimental</w:t>
      </w:r>
    </w:p>
    <w:p w14:paraId="1DA0ABCB"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Country/Territory of origin: </w:t>
      </w:r>
      <w:r w:rsidRPr="00682C4E">
        <w:rPr>
          <w:rFonts w:ascii="Book Antiqua" w:eastAsia="Book Antiqua" w:hAnsi="Book Antiqua" w:cs="Book Antiqua"/>
          <w:color w:val="000000"/>
        </w:rPr>
        <w:t>Iran</w:t>
      </w:r>
    </w:p>
    <w:p w14:paraId="37EB499D"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Peer-review report’s scientific quality classification</w:t>
      </w:r>
    </w:p>
    <w:p w14:paraId="5873CEB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A (Excellent): 0</w:t>
      </w:r>
    </w:p>
    <w:p w14:paraId="6DCE5C02"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B (Very good): 0</w:t>
      </w:r>
    </w:p>
    <w:p w14:paraId="20AC998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C (Good): C</w:t>
      </w:r>
    </w:p>
    <w:p w14:paraId="188AEA53"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D (Fair): 0</w:t>
      </w:r>
    </w:p>
    <w:p w14:paraId="244C258E"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E (Poor): 0</w:t>
      </w:r>
    </w:p>
    <w:p w14:paraId="1849834B" w14:textId="77777777" w:rsidR="00510012" w:rsidRPr="00682C4E" w:rsidRDefault="00510012" w:rsidP="00FC1600">
      <w:pPr>
        <w:snapToGrid w:val="0"/>
        <w:spacing w:line="360" w:lineRule="auto"/>
        <w:jc w:val="both"/>
        <w:rPr>
          <w:rFonts w:ascii="Book Antiqua" w:hAnsi="Book Antiqua"/>
        </w:rPr>
      </w:pPr>
    </w:p>
    <w:p w14:paraId="573E8B64" w14:textId="2A5F8377" w:rsidR="00510012" w:rsidRPr="00682C4E" w:rsidRDefault="001B61A7" w:rsidP="00FC1600">
      <w:pPr>
        <w:snapToGrid w:val="0"/>
        <w:spacing w:line="360" w:lineRule="auto"/>
        <w:jc w:val="both"/>
        <w:rPr>
          <w:rFonts w:ascii="Book Antiqua" w:eastAsia="Book Antiqua" w:hAnsi="Book Antiqua" w:cs="Book Antiqua"/>
          <w:b/>
          <w:color w:val="000000"/>
        </w:rPr>
      </w:pPr>
      <w:r w:rsidRPr="00682C4E">
        <w:rPr>
          <w:rFonts w:ascii="Book Antiqua" w:eastAsia="Book Antiqua" w:hAnsi="Book Antiqua" w:cs="Book Antiqua"/>
          <w:b/>
          <w:color w:val="000000"/>
        </w:rPr>
        <w:t xml:space="preserve">P-Reviewer: </w:t>
      </w:r>
      <w:r w:rsidRPr="00682C4E">
        <w:rPr>
          <w:rFonts w:ascii="Book Antiqua" w:eastAsia="Book Antiqua" w:hAnsi="Book Antiqua" w:cs="Book Antiqua"/>
          <w:color w:val="000000"/>
        </w:rPr>
        <w:t>Zhang LL</w:t>
      </w:r>
      <w:r w:rsidRPr="00682C4E">
        <w:rPr>
          <w:rFonts w:ascii="Book Antiqua" w:eastAsia="Book Antiqua" w:hAnsi="Book Antiqua" w:cs="Book Antiqua"/>
          <w:b/>
          <w:color w:val="000000"/>
        </w:rPr>
        <w:t xml:space="preserve"> S-Editor: </w:t>
      </w:r>
      <w:r w:rsidRPr="00682C4E">
        <w:rPr>
          <w:rFonts w:ascii="Book Antiqua" w:eastAsia="Book Antiqua" w:hAnsi="Book Antiqua" w:cs="Book Antiqua"/>
          <w:color w:val="000000"/>
        </w:rPr>
        <w:t>Fan JR</w:t>
      </w:r>
      <w:r w:rsidRPr="00682C4E">
        <w:rPr>
          <w:rFonts w:ascii="Book Antiqua" w:eastAsia="Book Antiqua" w:hAnsi="Book Antiqua" w:cs="Book Antiqua"/>
          <w:b/>
          <w:color w:val="000000"/>
        </w:rPr>
        <w:t xml:space="preserve"> L-Editor: </w:t>
      </w:r>
      <w:r w:rsidR="00C15454" w:rsidRPr="00682C4E">
        <w:rPr>
          <w:rFonts w:ascii="Book Antiqua" w:eastAsia="Book Antiqua" w:hAnsi="Book Antiqua" w:cs="Book Antiqua"/>
          <w:bCs/>
          <w:color w:val="000000"/>
        </w:rPr>
        <w:t>Filipodia</w:t>
      </w:r>
      <w:r w:rsidRPr="00682C4E">
        <w:rPr>
          <w:rFonts w:ascii="Book Antiqua" w:eastAsia="Book Antiqua" w:hAnsi="Book Antiqua" w:cs="Book Antiqua"/>
          <w:b/>
          <w:color w:val="000000"/>
        </w:rPr>
        <w:t xml:space="preserve"> P-Editor: </w:t>
      </w:r>
      <w:r w:rsidR="00321F1F" w:rsidRPr="00321F1F">
        <w:rPr>
          <w:rFonts w:ascii="Book Antiqua" w:eastAsia="Book Antiqua" w:hAnsi="Book Antiqua" w:cs="Book Antiqua"/>
          <w:bCs/>
          <w:color w:val="000000"/>
        </w:rPr>
        <w:t>Li JH</w:t>
      </w:r>
    </w:p>
    <w:p w14:paraId="3C398B0C" w14:textId="77777777" w:rsidR="00682C4E" w:rsidRDefault="00682C4E" w:rsidP="00FC1600">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p>
    <w:p w14:paraId="0F84C427" w14:textId="09D7F0B2"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lastRenderedPageBreak/>
        <w:t>Figure Legends</w:t>
      </w:r>
    </w:p>
    <w:p w14:paraId="7365C4E3" w14:textId="77777777"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hAnsi="Book Antiqua"/>
          <w:noProof/>
        </w:rPr>
        <w:drawing>
          <wp:inline distT="0" distB="0" distL="0" distR="0" wp14:anchorId="0D5B3ED0" wp14:editId="75F2CEB2">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23F2590" w14:textId="45E7B4D8" w:rsidR="00510012" w:rsidRPr="00682C4E" w:rsidRDefault="001B61A7" w:rsidP="00FC1600">
      <w:pPr>
        <w:snapToGrid w:val="0"/>
        <w:spacing w:line="360" w:lineRule="auto"/>
        <w:jc w:val="both"/>
        <w:rPr>
          <w:rFonts w:ascii="Book Antiqua" w:eastAsia="Book Antiqua" w:hAnsi="Book Antiqua" w:cs="Book Antiqua"/>
          <w:b/>
          <w:bCs/>
          <w:color w:val="000000"/>
        </w:rPr>
      </w:pPr>
      <w:commentRangeStart w:id="0"/>
      <w:commentRangeStart w:id="1"/>
      <w:r w:rsidRPr="00682C4E">
        <w:rPr>
          <w:rFonts w:ascii="Book Antiqua" w:eastAsia="Book Antiqua" w:hAnsi="Book Antiqua" w:cs="Book Antiqua"/>
          <w:b/>
          <w:bCs/>
          <w:color w:val="000000"/>
        </w:rPr>
        <w:t>Figure 1</w:t>
      </w:r>
      <w:commentRangeEnd w:id="0"/>
      <w:r w:rsidR="00682C4E">
        <w:rPr>
          <w:rStyle w:val="ae"/>
        </w:rPr>
        <w:commentReference w:id="0"/>
      </w:r>
      <w:commentRangeEnd w:id="1"/>
      <w:r w:rsidR="00BB7A1B">
        <w:rPr>
          <w:rStyle w:val="ae"/>
        </w:rPr>
        <w:commentReference w:id="1"/>
      </w:r>
      <w:r w:rsidRPr="00682C4E">
        <w:rPr>
          <w:rFonts w:ascii="Book Antiqua" w:eastAsia="Book Antiqua" w:hAnsi="Book Antiqua" w:cs="Book Antiqua"/>
          <w:b/>
          <w:bCs/>
          <w:color w:val="000000"/>
        </w:rPr>
        <w:t xml:space="preserve"> </w:t>
      </w:r>
      <w:r w:rsidR="00B444FE">
        <w:rPr>
          <w:rFonts w:ascii="Book Antiqua" w:eastAsia="Book Antiqua" w:hAnsi="Book Antiqua" w:cs="Book Antiqua"/>
          <w:b/>
          <w:bCs/>
          <w:color w:val="000000"/>
        </w:rPr>
        <w:t>F</w:t>
      </w:r>
      <w:r w:rsidRPr="00682C4E">
        <w:rPr>
          <w:rFonts w:ascii="Book Antiqua" w:eastAsia="Book Antiqua" w:hAnsi="Book Antiqua" w:cs="Book Antiqua"/>
          <w:b/>
          <w:bCs/>
          <w:color w:val="000000"/>
        </w:rPr>
        <w:t>lowchart of search strategy and study selection.</w:t>
      </w:r>
    </w:p>
    <w:p w14:paraId="6B90CAC5"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br w:type="page"/>
      </w:r>
      <w:r w:rsidRPr="00682C4E">
        <w:rPr>
          <w:rFonts w:ascii="Book Antiqua" w:hAnsi="Book Antiqua"/>
          <w:noProof/>
        </w:rPr>
        <w:lastRenderedPageBreak/>
        <w:drawing>
          <wp:inline distT="0" distB="0" distL="0" distR="0" wp14:anchorId="16EF946A" wp14:editId="001D5B0A">
            <wp:extent cx="5943600" cy="4305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43600" cy="4305300"/>
                    </a:xfrm>
                    <a:prstGeom prst="rect">
                      <a:avLst/>
                    </a:prstGeom>
                  </pic:spPr>
                </pic:pic>
              </a:graphicData>
            </a:graphic>
          </wp:inline>
        </w:drawing>
      </w:r>
    </w:p>
    <w:p w14:paraId="2CBFD005" w14:textId="77777777" w:rsidR="00510012" w:rsidRPr="00682C4E" w:rsidRDefault="001B61A7" w:rsidP="00FC1600">
      <w:pPr>
        <w:snapToGrid w:val="0"/>
        <w:spacing w:line="360" w:lineRule="auto"/>
        <w:jc w:val="both"/>
        <w:rPr>
          <w:rFonts w:ascii="Book Antiqua" w:eastAsia="Book Antiqua" w:hAnsi="Book Antiqua" w:cs="Book Antiqua"/>
          <w:b/>
          <w:bCs/>
          <w:color w:val="000000"/>
        </w:rPr>
      </w:pPr>
      <w:r w:rsidRPr="00682C4E">
        <w:rPr>
          <w:rFonts w:ascii="Book Antiqua" w:eastAsia="Book Antiqua" w:hAnsi="Book Antiqua" w:cs="Book Antiqua"/>
          <w:b/>
          <w:bCs/>
          <w:color w:val="000000"/>
        </w:rPr>
        <w:t xml:space="preserve">Figure 2 Forest plot for frequency of infection with </w:t>
      </w:r>
      <w:r w:rsidRPr="00682C4E">
        <w:rPr>
          <w:rFonts w:ascii="Book Antiqua" w:eastAsia="Book Antiqua" w:hAnsi="Book Antiqua" w:cs="Book Antiqua"/>
          <w:b/>
          <w:bCs/>
          <w:i/>
          <w:iCs/>
          <w:color w:val="000000"/>
        </w:rPr>
        <w:t>Listeria</w:t>
      </w:r>
      <w:r w:rsidRPr="00682C4E">
        <w:rPr>
          <w:rFonts w:ascii="Book Antiqua" w:eastAsia="Book Antiqua" w:hAnsi="Book Antiqua" w:cs="Book Antiqua"/>
          <w:b/>
          <w:bCs/>
          <w:color w:val="000000"/>
        </w:rPr>
        <w:t xml:space="preserve"> </w:t>
      </w:r>
      <w:r w:rsidRPr="00682C4E">
        <w:rPr>
          <w:rFonts w:ascii="Book Antiqua" w:eastAsia="Book Antiqua" w:hAnsi="Book Antiqua" w:cs="Book Antiqua"/>
          <w:b/>
          <w:bCs/>
          <w:i/>
          <w:iCs/>
          <w:color w:val="000000"/>
        </w:rPr>
        <w:t>monocytogenes</w:t>
      </w:r>
      <w:r w:rsidRPr="00682C4E">
        <w:rPr>
          <w:rFonts w:ascii="Book Antiqua" w:eastAsia="Book Antiqua" w:hAnsi="Book Antiqua" w:cs="Book Antiqua"/>
          <w:b/>
          <w:bCs/>
          <w:color w:val="000000"/>
        </w:rPr>
        <w:t xml:space="preserve"> among spontaneous abortion cases.</w:t>
      </w:r>
    </w:p>
    <w:p w14:paraId="559C0B62"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color w:val="000000"/>
        </w:rPr>
        <w:br w:type="page"/>
      </w:r>
      <w:r w:rsidRPr="00682C4E">
        <w:rPr>
          <w:rFonts w:ascii="Book Antiqua" w:hAnsi="Book Antiqua"/>
          <w:noProof/>
        </w:rPr>
        <w:lastRenderedPageBreak/>
        <w:drawing>
          <wp:inline distT="0" distB="0" distL="0" distR="0" wp14:anchorId="013A33EA" wp14:editId="30E6465B">
            <wp:extent cx="5943600" cy="27654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943600" cy="2765425"/>
                    </a:xfrm>
                    <a:prstGeom prst="rect">
                      <a:avLst/>
                    </a:prstGeom>
                  </pic:spPr>
                </pic:pic>
              </a:graphicData>
            </a:graphic>
          </wp:inline>
        </w:drawing>
      </w:r>
    </w:p>
    <w:p w14:paraId="5E6D97F3" w14:textId="77777777" w:rsidR="00510012" w:rsidRPr="00682C4E" w:rsidRDefault="001B61A7" w:rsidP="00FC1600">
      <w:pPr>
        <w:snapToGrid w:val="0"/>
        <w:spacing w:line="360" w:lineRule="auto"/>
        <w:jc w:val="both"/>
        <w:rPr>
          <w:rFonts w:ascii="Book Antiqua" w:eastAsia="Book Antiqua" w:hAnsi="Book Antiqua" w:cs="Book Antiqua"/>
          <w:b/>
          <w:bCs/>
          <w:color w:val="000000"/>
        </w:rPr>
      </w:pPr>
      <w:r w:rsidRPr="00682C4E">
        <w:rPr>
          <w:rFonts w:ascii="Book Antiqua" w:eastAsia="Book Antiqua" w:hAnsi="Book Antiqua" w:cs="Book Antiqua"/>
          <w:b/>
          <w:bCs/>
          <w:color w:val="000000"/>
        </w:rPr>
        <w:t xml:space="preserve">Figure 3 Forest plot for relationship between </w:t>
      </w:r>
      <w:r w:rsidRPr="00682C4E">
        <w:rPr>
          <w:rFonts w:ascii="Book Antiqua" w:eastAsia="Book Antiqua" w:hAnsi="Book Antiqua" w:cs="Book Antiqua"/>
          <w:b/>
          <w:bCs/>
          <w:i/>
          <w:iCs/>
          <w:color w:val="000000"/>
        </w:rPr>
        <w:t>Listeria</w:t>
      </w:r>
      <w:r w:rsidRPr="00682C4E">
        <w:rPr>
          <w:rFonts w:ascii="Book Antiqua" w:eastAsia="Book Antiqua" w:hAnsi="Book Antiqua" w:cs="Book Antiqua"/>
          <w:b/>
          <w:bCs/>
          <w:color w:val="000000"/>
        </w:rPr>
        <w:t xml:space="preserve"> </w:t>
      </w:r>
      <w:r w:rsidRPr="00682C4E">
        <w:rPr>
          <w:rFonts w:ascii="Book Antiqua" w:eastAsia="Book Antiqua" w:hAnsi="Book Antiqua" w:cs="Book Antiqua"/>
          <w:b/>
          <w:bCs/>
          <w:i/>
          <w:iCs/>
          <w:color w:val="000000"/>
        </w:rPr>
        <w:t>monocytogenes</w:t>
      </w:r>
      <w:r w:rsidRPr="00682C4E">
        <w:rPr>
          <w:rFonts w:ascii="Book Antiqua" w:eastAsia="Book Antiqua" w:hAnsi="Book Antiqua" w:cs="Book Antiqua"/>
          <w:b/>
          <w:bCs/>
          <w:color w:val="000000"/>
        </w:rPr>
        <w:t xml:space="preserve"> infection and susceptibility to spontaneous abortion.</w:t>
      </w:r>
    </w:p>
    <w:p w14:paraId="2D6B2DF4" w14:textId="77777777" w:rsidR="00510012" w:rsidRPr="00682C4E" w:rsidRDefault="00510012" w:rsidP="00FC1600">
      <w:pPr>
        <w:snapToGrid w:val="0"/>
        <w:spacing w:line="360" w:lineRule="auto"/>
        <w:jc w:val="both"/>
        <w:rPr>
          <w:rFonts w:ascii="Book Antiqua" w:eastAsia="Book Antiqua" w:hAnsi="Book Antiqua" w:cs="Book Antiqua"/>
          <w:b/>
          <w:color w:val="000000"/>
        </w:rPr>
      </w:pPr>
    </w:p>
    <w:p w14:paraId="03CEB9F8" w14:textId="77777777" w:rsidR="00510012" w:rsidRPr="00682C4E" w:rsidRDefault="00510012" w:rsidP="00FC1600">
      <w:pPr>
        <w:snapToGrid w:val="0"/>
        <w:spacing w:line="360" w:lineRule="auto"/>
        <w:jc w:val="both"/>
        <w:rPr>
          <w:rFonts w:ascii="Book Antiqua" w:hAnsi="Book Antiqua"/>
        </w:rPr>
        <w:sectPr w:rsidR="00510012" w:rsidRPr="00682C4E" w:rsidSect="00682C4E">
          <w:footerReference w:type="default" r:id="rId14"/>
          <w:type w:val="continuous"/>
          <w:pgSz w:w="12240" w:h="15840"/>
          <w:pgMar w:top="1440" w:right="1440" w:bottom="1440" w:left="1440" w:header="720" w:footer="720" w:gutter="0"/>
          <w:cols w:space="720"/>
          <w:docGrid w:linePitch="360"/>
        </w:sectPr>
      </w:pPr>
    </w:p>
    <w:p w14:paraId="2CC107C8"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Calibri" w:hAnsi="Book Antiqua"/>
          <w:b/>
          <w:bCs/>
          <w:color w:val="000000"/>
        </w:rPr>
        <w:lastRenderedPageBreak/>
        <w:t>Table 1 Characteristics of included studies</w:t>
      </w:r>
    </w:p>
    <w:tbl>
      <w:tblPr>
        <w:tblStyle w:val="GridTable6Colorful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2161"/>
        <w:gridCol w:w="964"/>
        <w:gridCol w:w="1058"/>
        <w:gridCol w:w="1428"/>
        <w:gridCol w:w="1058"/>
        <w:gridCol w:w="1159"/>
        <w:gridCol w:w="1514"/>
        <w:gridCol w:w="1654"/>
      </w:tblGrid>
      <w:tr w:rsidR="00510012" w:rsidRPr="00682C4E" w14:paraId="69A35F5B" w14:textId="77777777" w:rsidTr="00682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single" w:sz="4" w:space="0" w:color="auto"/>
              <w:bottom w:val="single" w:sz="4" w:space="0" w:color="auto"/>
            </w:tcBorders>
            <w:shd w:val="clear" w:color="auto" w:fill="auto"/>
          </w:tcPr>
          <w:p w14:paraId="04544F56" w14:textId="77777777" w:rsidR="00510012" w:rsidRPr="00682C4E" w:rsidRDefault="001B61A7" w:rsidP="00FC1600">
            <w:pPr>
              <w:snapToGrid w:val="0"/>
              <w:spacing w:line="360" w:lineRule="auto"/>
              <w:jc w:val="both"/>
              <w:rPr>
                <w:rFonts w:ascii="Book Antiqua" w:eastAsia="Calibri" w:hAnsi="Book Antiqua"/>
                <w:b w:val="0"/>
                <w:bCs w:val="0"/>
                <w:lang w:eastAsia="zh-CN"/>
              </w:rPr>
            </w:pPr>
            <w:r w:rsidRPr="00682C4E">
              <w:rPr>
                <w:rFonts w:ascii="Book Antiqua" w:eastAsia="Calibri" w:hAnsi="Book Antiqua"/>
                <w:lang w:eastAsia="zh-CN"/>
              </w:rPr>
              <w:t>Ref.</w:t>
            </w:r>
          </w:p>
        </w:tc>
        <w:tc>
          <w:tcPr>
            <w:tcW w:w="834" w:type="pct"/>
            <w:vMerge w:val="restart"/>
            <w:tcBorders>
              <w:top w:val="single" w:sz="4" w:space="0" w:color="auto"/>
              <w:bottom w:val="single" w:sz="4" w:space="0" w:color="auto"/>
            </w:tcBorders>
            <w:shd w:val="clear" w:color="auto" w:fill="auto"/>
          </w:tcPr>
          <w:p w14:paraId="31745B41"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City</w:t>
            </w:r>
          </w:p>
        </w:tc>
        <w:tc>
          <w:tcPr>
            <w:tcW w:w="779" w:type="pct"/>
            <w:gridSpan w:val="2"/>
            <w:tcBorders>
              <w:top w:val="single" w:sz="4" w:space="0" w:color="auto"/>
              <w:bottom w:val="single" w:sz="4" w:space="0" w:color="auto"/>
            </w:tcBorders>
            <w:shd w:val="clear" w:color="auto" w:fill="auto"/>
          </w:tcPr>
          <w:p w14:paraId="57DD8B41"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Number of patients</w:t>
            </w:r>
          </w:p>
        </w:tc>
        <w:tc>
          <w:tcPr>
            <w:tcW w:w="958" w:type="pct"/>
            <w:gridSpan w:val="2"/>
            <w:tcBorders>
              <w:top w:val="single" w:sz="4" w:space="0" w:color="auto"/>
              <w:bottom w:val="single" w:sz="4" w:space="0" w:color="auto"/>
            </w:tcBorders>
            <w:shd w:val="clear" w:color="auto" w:fill="auto"/>
          </w:tcPr>
          <w:p w14:paraId="693410C1" w14:textId="6511AAC4"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 xml:space="preserve">Number of positive culture for </w:t>
            </w:r>
            <w:r w:rsidRPr="00682C4E">
              <w:rPr>
                <w:rFonts w:ascii="Book Antiqua" w:eastAsia="Calibri" w:hAnsi="Book Antiqua"/>
                <w:i/>
                <w:iCs/>
                <w:lang w:eastAsia="zh-CN"/>
              </w:rPr>
              <w:t>L. monocytogenes</w:t>
            </w:r>
          </w:p>
        </w:tc>
        <w:tc>
          <w:tcPr>
            <w:tcW w:w="447" w:type="pct"/>
            <w:vMerge w:val="restart"/>
            <w:tcBorders>
              <w:top w:val="single" w:sz="4" w:space="0" w:color="auto"/>
              <w:bottom w:val="single" w:sz="4" w:space="0" w:color="auto"/>
            </w:tcBorders>
            <w:shd w:val="clear" w:color="auto" w:fill="auto"/>
          </w:tcPr>
          <w:p w14:paraId="0D73BBA5"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 xml:space="preserve">Number of </w:t>
            </w:r>
            <w:r w:rsidRPr="00FC1600">
              <w:rPr>
                <w:rFonts w:ascii="Book Antiqua" w:eastAsia="Calibri" w:hAnsi="Book Antiqua"/>
                <w:i/>
                <w:iCs/>
                <w:lang w:eastAsia="zh-CN"/>
              </w:rPr>
              <w:t>hylA</w:t>
            </w:r>
            <w:r w:rsidRPr="00682C4E">
              <w:rPr>
                <w:rFonts w:ascii="Book Antiqua" w:eastAsia="Calibri" w:hAnsi="Book Antiqua"/>
                <w:lang w:eastAsia="zh-CN"/>
              </w:rPr>
              <w:t xml:space="preserve"> positive strains</w:t>
            </w:r>
          </w:p>
        </w:tc>
        <w:tc>
          <w:tcPr>
            <w:tcW w:w="584" w:type="pct"/>
            <w:vMerge w:val="restart"/>
            <w:tcBorders>
              <w:top w:val="single" w:sz="4" w:space="0" w:color="auto"/>
              <w:bottom w:val="single" w:sz="4" w:space="0" w:color="auto"/>
            </w:tcBorders>
            <w:shd w:val="clear" w:color="auto" w:fill="auto"/>
          </w:tcPr>
          <w:p w14:paraId="2BF26243"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Frequency of serotypes</w:t>
            </w:r>
          </w:p>
        </w:tc>
        <w:tc>
          <w:tcPr>
            <w:tcW w:w="639" w:type="pct"/>
            <w:vMerge w:val="restart"/>
            <w:tcBorders>
              <w:top w:val="single" w:sz="4" w:space="0" w:color="auto"/>
              <w:bottom w:val="single" w:sz="4" w:space="0" w:color="auto"/>
            </w:tcBorders>
            <w:shd w:val="clear" w:color="auto" w:fill="auto"/>
          </w:tcPr>
          <w:p w14:paraId="0CB07C75"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Diagnostic method</w:t>
            </w:r>
          </w:p>
        </w:tc>
      </w:tr>
      <w:tr w:rsidR="00510012" w:rsidRPr="00682C4E" w14:paraId="21D7DBE8" w14:textId="77777777" w:rsidTr="00682C4E">
        <w:tc>
          <w:tcPr>
            <w:cnfStyle w:val="001000000000" w:firstRow="0" w:lastRow="0" w:firstColumn="1" w:lastColumn="0" w:oddVBand="0" w:evenVBand="0" w:oddHBand="0" w:evenHBand="0" w:firstRowFirstColumn="0" w:firstRowLastColumn="0" w:lastRowFirstColumn="0" w:lastRowLastColumn="0"/>
            <w:tcW w:w="758" w:type="pct"/>
            <w:vMerge/>
            <w:tcBorders>
              <w:top w:val="nil"/>
              <w:bottom w:val="single" w:sz="4" w:space="0" w:color="auto"/>
            </w:tcBorders>
            <w:shd w:val="clear" w:color="auto" w:fill="auto"/>
          </w:tcPr>
          <w:p w14:paraId="3B8E1182" w14:textId="77777777" w:rsidR="00510012" w:rsidRPr="00682C4E" w:rsidRDefault="00510012" w:rsidP="00FC1600">
            <w:pPr>
              <w:snapToGrid w:val="0"/>
              <w:spacing w:line="360" w:lineRule="auto"/>
              <w:jc w:val="both"/>
              <w:rPr>
                <w:rFonts w:ascii="Book Antiqua" w:eastAsia="Calibri" w:hAnsi="Book Antiqua"/>
                <w:lang w:eastAsia="zh-CN"/>
              </w:rPr>
            </w:pPr>
          </w:p>
        </w:tc>
        <w:tc>
          <w:tcPr>
            <w:tcW w:w="834" w:type="pct"/>
            <w:vMerge/>
            <w:tcBorders>
              <w:top w:val="nil"/>
              <w:bottom w:val="single" w:sz="4" w:space="0" w:color="auto"/>
            </w:tcBorders>
            <w:shd w:val="clear" w:color="auto" w:fill="auto"/>
          </w:tcPr>
          <w:p w14:paraId="54426DD6"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372" w:type="pct"/>
            <w:tcBorders>
              <w:top w:val="single" w:sz="4" w:space="0" w:color="auto"/>
              <w:bottom w:val="single" w:sz="4" w:space="0" w:color="auto"/>
            </w:tcBorders>
            <w:shd w:val="clear" w:color="auto" w:fill="auto"/>
          </w:tcPr>
          <w:p w14:paraId="137C7AC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Case</w:t>
            </w:r>
          </w:p>
        </w:tc>
        <w:tc>
          <w:tcPr>
            <w:tcW w:w="408" w:type="pct"/>
            <w:tcBorders>
              <w:top w:val="single" w:sz="4" w:space="0" w:color="auto"/>
              <w:bottom w:val="single" w:sz="4" w:space="0" w:color="auto"/>
            </w:tcBorders>
            <w:shd w:val="clear" w:color="auto" w:fill="auto"/>
          </w:tcPr>
          <w:p w14:paraId="297E8A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Control</w:t>
            </w:r>
          </w:p>
        </w:tc>
        <w:tc>
          <w:tcPr>
            <w:tcW w:w="551" w:type="pct"/>
            <w:tcBorders>
              <w:top w:val="single" w:sz="4" w:space="0" w:color="auto"/>
              <w:bottom w:val="single" w:sz="4" w:space="0" w:color="auto"/>
            </w:tcBorders>
            <w:shd w:val="clear" w:color="auto" w:fill="auto"/>
          </w:tcPr>
          <w:p w14:paraId="769D772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Case</w:t>
            </w:r>
          </w:p>
        </w:tc>
        <w:tc>
          <w:tcPr>
            <w:tcW w:w="408" w:type="pct"/>
            <w:tcBorders>
              <w:top w:val="single" w:sz="4" w:space="0" w:color="auto"/>
              <w:bottom w:val="single" w:sz="4" w:space="0" w:color="auto"/>
            </w:tcBorders>
            <w:shd w:val="clear" w:color="auto" w:fill="auto"/>
          </w:tcPr>
          <w:p w14:paraId="11F22FF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Control</w:t>
            </w:r>
          </w:p>
        </w:tc>
        <w:tc>
          <w:tcPr>
            <w:tcW w:w="447" w:type="pct"/>
            <w:vMerge/>
            <w:tcBorders>
              <w:top w:val="single" w:sz="4" w:space="0" w:color="auto"/>
              <w:bottom w:val="single" w:sz="4" w:space="0" w:color="auto"/>
            </w:tcBorders>
            <w:shd w:val="clear" w:color="auto" w:fill="auto"/>
          </w:tcPr>
          <w:p w14:paraId="13264A15"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584" w:type="pct"/>
            <w:vMerge/>
            <w:tcBorders>
              <w:top w:val="single" w:sz="4" w:space="0" w:color="auto"/>
              <w:bottom w:val="single" w:sz="4" w:space="0" w:color="auto"/>
            </w:tcBorders>
            <w:shd w:val="clear" w:color="auto" w:fill="auto"/>
          </w:tcPr>
          <w:p w14:paraId="3EF4C213"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639" w:type="pct"/>
            <w:vMerge/>
            <w:tcBorders>
              <w:top w:val="single" w:sz="4" w:space="0" w:color="auto"/>
              <w:bottom w:val="single" w:sz="4" w:space="0" w:color="auto"/>
            </w:tcBorders>
            <w:shd w:val="clear" w:color="auto" w:fill="auto"/>
          </w:tcPr>
          <w:p w14:paraId="4EC62074"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r>
      <w:tr w:rsidR="00510012" w:rsidRPr="00682C4E" w14:paraId="06D06CC9" w14:textId="77777777" w:rsidTr="00682C4E">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tcBorders>
            <w:shd w:val="clear" w:color="auto" w:fill="auto"/>
          </w:tcPr>
          <w:p w14:paraId="711C1DFB"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Aljicević</w:t>
            </w:r>
            <w:r w:rsidRPr="00682C4E">
              <w:rPr>
                <w:rFonts w:ascii="Book Antiqua" w:eastAsia="Calibri" w:hAnsi="Book Antiqua"/>
                <w:b w:val="0"/>
                <w:bCs w:val="0"/>
                <w:lang w:eastAsia="zh-CN"/>
              </w:rPr>
              <w:t xml:space="preserve"> </w:t>
            </w:r>
            <w:r w:rsidRPr="00682C4E">
              <w:rPr>
                <w:rFonts w:ascii="Book Antiqua" w:eastAsia="Calibri" w:hAnsi="Book Antiqua"/>
                <w:b w:val="0"/>
                <w:bCs w:val="0"/>
                <w:i/>
                <w:iCs/>
                <w:lang w:eastAsia="zh-CN"/>
              </w:rPr>
              <w:t>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13</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2005</w:t>
            </w:r>
          </w:p>
        </w:tc>
        <w:tc>
          <w:tcPr>
            <w:tcW w:w="834" w:type="pct"/>
            <w:tcBorders>
              <w:top w:val="single" w:sz="4" w:space="0" w:color="auto"/>
            </w:tcBorders>
            <w:shd w:val="clear" w:color="auto" w:fill="auto"/>
          </w:tcPr>
          <w:p w14:paraId="5EB72A0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Bosnia and Herzegovina</w:t>
            </w:r>
          </w:p>
        </w:tc>
        <w:tc>
          <w:tcPr>
            <w:tcW w:w="372" w:type="pct"/>
            <w:tcBorders>
              <w:top w:val="single" w:sz="4" w:space="0" w:color="auto"/>
            </w:tcBorders>
            <w:shd w:val="clear" w:color="auto" w:fill="auto"/>
          </w:tcPr>
          <w:p w14:paraId="33D54F4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30</w:t>
            </w:r>
          </w:p>
        </w:tc>
        <w:tc>
          <w:tcPr>
            <w:tcW w:w="408" w:type="pct"/>
            <w:tcBorders>
              <w:top w:val="single" w:sz="4" w:space="0" w:color="auto"/>
            </w:tcBorders>
            <w:shd w:val="clear" w:color="auto" w:fill="auto"/>
          </w:tcPr>
          <w:p w14:paraId="19500C4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30</w:t>
            </w:r>
          </w:p>
        </w:tc>
        <w:tc>
          <w:tcPr>
            <w:tcW w:w="551" w:type="pct"/>
            <w:tcBorders>
              <w:top w:val="single" w:sz="4" w:space="0" w:color="auto"/>
            </w:tcBorders>
            <w:shd w:val="clear" w:color="auto" w:fill="auto"/>
          </w:tcPr>
          <w:p w14:paraId="2EF2AD7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18</w:t>
            </w:r>
          </w:p>
        </w:tc>
        <w:tc>
          <w:tcPr>
            <w:tcW w:w="408" w:type="pct"/>
            <w:tcBorders>
              <w:top w:val="single" w:sz="4" w:space="0" w:color="auto"/>
            </w:tcBorders>
            <w:shd w:val="clear" w:color="auto" w:fill="auto"/>
          </w:tcPr>
          <w:p w14:paraId="2EF5B39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8</w:t>
            </w:r>
          </w:p>
        </w:tc>
        <w:tc>
          <w:tcPr>
            <w:tcW w:w="447" w:type="pct"/>
            <w:tcBorders>
              <w:top w:val="single" w:sz="4" w:space="0" w:color="auto"/>
            </w:tcBorders>
            <w:shd w:val="clear" w:color="auto" w:fill="auto"/>
          </w:tcPr>
          <w:p w14:paraId="22F8011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tcBorders>
              <w:top w:val="single" w:sz="4" w:space="0" w:color="auto"/>
            </w:tcBorders>
            <w:shd w:val="clear" w:color="auto" w:fill="auto"/>
          </w:tcPr>
          <w:p w14:paraId="1F4DFF7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tcBorders>
              <w:top w:val="single" w:sz="4" w:space="0" w:color="auto"/>
            </w:tcBorders>
            <w:shd w:val="clear" w:color="auto" w:fill="auto"/>
          </w:tcPr>
          <w:p w14:paraId="0E4EF9C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Serology</w:t>
            </w:r>
          </w:p>
        </w:tc>
      </w:tr>
      <w:tr w:rsidR="00510012" w:rsidRPr="00682C4E" w14:paraId="11434A01"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4E9FE51"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Kaur</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14</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2007</w:t>
            </w:r>
          </w:p>
        </w:tc>
        <w:tc>
          <w:tcPr>
            <w:tcW w:w="834" w:type="pct"/>
            <w:shd w:val="clear" w:color="auto" w:fill="auto"/>
          </w:tcPr>
          <w:p w14:paraId="1FCE0BB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India</w:t>
            </w:r>
          </w:p>
        </w:tc>
        <w:tc>
          <w:tcPr>
            <w:tcW w:w="372" w:type="pct"/>
            <w:shd w:val="clear" w:color="auto" w:fill="auto"/>
          </w:tcPr>
          <w:p w14:paraId="3EA5593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61</w:t>
            </w:r>
          </w:p>
        </w:tc>
        <w:tc>
          <w:tcPr>
            <w:tcW w:w="408" w:type="pct"/>
            <w:shd w:val="clear" w:color="auto" w:fill="auto"/>
          </w:tcPr>
          <w:p w14:paraId="685C104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2EE985A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08" w:type="pct"/>
            <w:shd w:val="clear" w:color="auto" w:fill="auto"/>
          </w:tcPr>
          <w:p w14:paraId="4FBA30C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34EE814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w:t>
            </w:r>
          </w:p>
        </w:tc>
        <w:tc>
          <w:tcPr>
            <w:tcW w:w="584" w:type="pct"/>
            <w:shd w:val="clear" w:color="auto" w:fill="auto"/>
          </w:tcPr>
          <w:p w14:paraId="3CE2A76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5E3E25F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0246E559"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5D7AB099"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Saeedi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15</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2009</w:t>
            </w:r>
          </w:p>
        </w:tc>
        <w:tc>
          <w:tcPr>
            <w:tcW w:w="834" w:type="pct"/>
            <w:shd w:val="clear" w:color="auto" w:fill="auto"/>
          </w:tcPr>
          <w:p w14:paraId="46D5CC2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1306B81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118</w:t>
            </w:r>
          </w:p>
        </w:tc>
        <w:tc>
          <w:tcPr>
            <w:tcW w:w="408" w:type="pct"/>
            <w:shd w:val="clear" w:color="auto" w:fill="auto"/>
          </w:tcPr>
          <w:p w14:paraId="03D0E06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99</w:t>
            </w:r>
          </w:p>
        </w:tc>
        <w:tc>
          <w:tcPr>
            <w:tcW w:w="551" w:type="pct"/>
            <w:shd w:val="clear" w:color="auto" w:fill="auto"/>
          </w:tcPr>
          <w:p w14:paraId="7F3CF8D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w:t>
            </w:r>
          </w:p>
        </w:tc>
        <w:tc>
          <w:tcPr>
            <w:tcW w:w="408" w:type="pct"/>
            <w:shd w:val="clear" w:color="auto" w:fill="auto"/>
          </w:tcPr>
          <w:p w14:paraId="61248B1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w:t>
            </w:r>
          </w:p>
        </w:tc>
        <w:tc>
          <w:tcPr>
            <w:tcW w:w="447" w:type="pct"/>
            <w:shd w:val="clear" w:color="auto" w:fill="auto"/>
          </w:tcPr>
          <w:p w14:paraId="51F8791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44499C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5708A8F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IgG</w:t>
            </w:r>
          </w:p>
        </w:tc>
      </w:tr>
      <w:tr w:rsidR="00510012" w:rsidRPr="00682C4E" w14:paraId="242BAB80"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74D94419"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Jamshidi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16</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2009</w:t>
            </w:r>
          </w:p>
        </w:tc>
        <w:tc>
          <w:tcPr>
            <w:tcW w:w="834" w:type="pct"/>
            <w:shd w:val="clear" w:color="auto" w:fill="auto"/>
          </w:tcPr>
          <w:p w14:paraId="4E1658D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4A5AEDE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250</w:t>
            </w:r>
          </w:p>
        </w:tc>
        <w:tc>
          <w:tcPr>
            <w:tcW w:w="408" w:type="pct"/>
            <w:shd w:val="clear" w:color="auto" w:fill="auto"/>
          </w:tcPr>
          <w:p w14:paraId="1D664AF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200</w:t>
            </w:r>
          </w:p>
        </w:tc>
        <w:tc>
          <w:tcPr>
            <w:tcW w:w="551" w:type="pct"/>
            <w:shd w:val="clear" w:color="auto" w:fill="auto"/>
          </w:tcPr>
          <w:p w14:paraId="785652C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89</w:t>
            </w:r>
          </w:p>
        </w:tc>
        <w:tc>
          <w:tcPr>
            <w:tcW w:w="408" w:type="pct"/>
            <w:shd w:val="clear" w:color="auto" w:fill="auto"/>
          </w:tcPr>
          <w:p w14:paraId="22B2517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35</w:t>
            </w:r>
          </w:p>
        </w:tc>
        <w:tc>
          <w:tcPr>
            <w:tcW w:w="447" w:type="pct"/>
            <w:shd w:val="clear" w:color="auto" w:fill="auto"/>
          </w:tcPr>
          <w:p w14:paraId="2DED276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7E0DE2C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75C1BA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IgG</w:t>
            </w:r>
          </w:p>
        </w:tc>
      </w:tr>
      <w:tr w:rsidR="00510012" w:rsidRPr="00682C4E" w14:paraId="75C67C2E"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A5F0BEA"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Tahery</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17</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2009</w:t>
            </w:r>
          </w:p>
        </w:tc>
        <w:tc>
          <w:tcPr>
            <w:tcW w:w="834" w:type="pct"/>
            <w:shd w:val="clear" w:color="auto" w:fill="auto"/>
          </w:tcPr>
          <w:p w14:paraId="6B58F59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4ED3473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102</w:t>
            </w:r>
          </w:p>
        </w:tc>
        <w:tc>
          <w:tcPr>
            <w:tcW w:w="408" w:type="pct"/>
            <w:shd w:val="clear" w:color="auto" w:fill="auto"/>
          </w:tcPr>
          <w:p w14:paraId="1A5F4E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102</w:t>
            </w:r>
          </w:p>
        </w:tc>
        <w:tc>
          <w:tcPr>
            <w:tcW w:w="551" w:type="pct"/>
            <w:shd w:val="clear" w:color="auto" w:fill="auto"/>
          </w:tcPr>
          <w:p w14:paraId="5546648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82</w:t>
            </w:r>
          </w:p>
        </w:tc>
        <w:tc>
          <w:tcPr>
            <w:tcW w:w="408" w:type="pct"/>
            <w:shd w:val="clear" w:color="auto" w:fill="auto"/>
          </w:tcPr>
          <w:p w14:paraId="088C06A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20</w:t>
            </w:r>
          </w:p>
        </w:tc>
        <w:tc>
          <w:tcPr>
            <w:tcW w:w="447" w:type="pct"/>
            <w:shd w:val="clear" w:color="auto" w:fill="auto"/>
          </w:tcPr>
          <w:p w14:paraId="7EE9276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5199DE0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16E8A31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39BFCD8D"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5A96D916"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Nazeri</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18</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2011</w:t>
            </w:r>
          </w:p>
        </w:tc>
        <w:tc>
          <w:tcPr>
            <w:tcW w:w="834" w:type="pct"/>
            <w:shd w:val="clear" w:color="auto" w:fill="auto"/>
          </w:tcPr>
          <w:p w14:paraId="6812FBE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3B55CD3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512</w:t>
            </w:r>
          </w:p>
        </w:tc>
        <w:tc>
          <w:tcPr>
            <w:tcW w:w="408" w:type="pct"/>
            <w:shd w:val="clear" w:color="auto" w:fill="auto"/>
          </w:tcPr>
          <w:p w14:paraId="65AF89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1A3DEC9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w:t>
            </w:r>
          </w:p>
        </w:tc>
        <w:tc>
          <w:tcPr>
            <w:tcW w:w="408" w:type="pct"/>
            <w:shd w:val="clear" w:color="auto" w:fill="auto"/>
          </w:tcPr>
          <w:p w14:paraId="54AA90C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2E8040E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0946193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6141F0C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0AE4CEA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E3D7557"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Lotfollahi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19</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2011</w:t>
            </w:r>
          </w:p>
        </w:tc>
        <w:tc>
          <w:tcPr>
            <w:tcW w:w="834" w:type="pct"/>
            <w:shd w:val="clear" w:color="auto" w:fill="auto"/>
          </w:tcPr>
          <w:p w14:paraId="66CB394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1D6185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100</w:t>
            </w:r>
          </w:p>
        </w:tc>
        <w:tc>
          <w:tcPr>
            <w:tcW w:w="408" w:type="pct"/>
            <w:shd w:val="clear" w:color="auto" w:fill="auto"/>
          </w:tcPr>
          <w:p w14:paraId="414E53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74E0CD0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w:t>
            </w:r>
          </w:p>
        </w:tc>
        <w:tc>
          <w:tcPr>
            <w:tcW w:w="408" w:type="pct"/>
            <w:shd w:val="clear" w:color="auto" w:fill="auto"/>
          </w:tcPr>
          <w:p w14:paraId="6F26993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36D1208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0FD8FE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12A2CED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72456A68"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6D92614"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Jahangirisiskht</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20</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2012</w:t>
            </w:r>
          </w:p>
        </w:tc>
        <w:tc>
          <w:tcPr>
            <w:tcW w:w="834" w:type="pct"/>
            <w:shd w:val="clear" w:color="auto" w:fill="auto"/>
          </w:tcPr>
          <w:p w14:paraId="53968A5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5145BA2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190</w:t>
            </w:r>
          </w:p>
        </w:tc>
        <w:tc>
          <w:tcPr>
            <w:tcW w:w="408" w:type="pct"/>
            <w:shd w:val="clear" w:color="auto" w:fill="auto"/>
          </w:tcPr>
          <w:p w14:paraId="7B02DA0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120</w:t>
            </w:r>
          </w:p>
        </w:tc>
        <w:tc>
          <w:tcPr>
            <w:tcW w:w="551" w:type="pct"/>
            <w:shd w:val="clear" w:color="auto" w:fill="auto"/>
          </w:tcPr>
          <w:p w14:paraId="3774494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w:t>
            </w:r>
          </w:p>
        </w:tc>
        <w:tc>
          <w:tcPr>
            <w:tcW w:w="408" w:type="pct"/>
            <w:shd w:val="clear" w:color="auto" w:fill="auto"/>
          </w:tcPr>
          <w:p w14:paraId="032B8B0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w:t>
            </w:r>
          </w:p>
        </w:tc>
        <w:tc>
          <w:tcPr>
            <w:tcW w:w="447" w:type="pct"/>
            <w:shd w:val="clear" w:color="auto" w:fill="auto"/>
          </w:tcPr>
          <w:p w14:paraId="388220E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11/107</w:t>
            </w:r>
          </w:p>
        </w:tc>
        <w:tc>
          <w:tcPr>
            <w:tcW w:w="584" w:type="pct"/>
            <w:shd w:val="clear" w:color="auto" w:fill="auto"/>
          </w:tcPr>
          <w:p w14:paraId="73360E9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7BD9EC2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1601D5EE"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6C101AAE"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lastRenderedPageBreak/>
              <w:t>Jahangirsisakht</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21</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2013</w:t>
            </w:r>
          </w:p>
        </w:tc>
        <w:tc>
          <w:tcPr>
            <w:tcW w:w="834" w:type="pct"/>
            <w:shd w:val="clear" w:color="auto" w:fill="auto"/>
          </w:tcPr>
          <w:p w14:paraId="40DC6BA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631A31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64</w:t>
            </w:r>
          </w:p>
        </w:tc>
        <w:tc>
          <w:tcPr>
            <w:tcW w:w="408" w:type="pct"/>
            <w:shd w:val="clear" w:color="auto" w:fill="auto"/>
          </w:tcPr>
          <w:p w14:paraId="7EF324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50CF4AC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7</w:t>
            </w:r>
          </w:p>
        </w:tc>
        <w:tc>
          <w:tcPr>
            <w:tcW w:w="408" w:type="pct"/>
            <w:shd w:val="clear" w:color="auto" w:fill="auto"/>
          </w:tcPr>
          <w:p w14:paraId="3B75C99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30C31F9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10.28</w:t>
            </w:r>
          </w:p>
        </w:tc>
        <w:tc>
          <w:tcPr>
            <w:tcW w:w="584" w:type="pct"/>
            <w:shd w:val="clear" w:color="auto" w:fill="auto"/>
          </w:tcPr>
          <w:p w14:paraId="489EA74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098387E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1C33FF3A"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5F78CE98"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Shindang</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22</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2013</w:t>
            </w:r>
          </w:p>
        </w:tc>
        <w:tc>
          <w:tcPr>
            <w:tcW w:w="834" w:type="pct"/>
            <w:shd w:val="clear" w:color="auto" w:fill="auto"/>
          </w:tcPr>
          <w:p w14:paraId="389A93D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Nigeria</w:t>
            </w:r>
          </w:p>
        </w:tc>
        <w:tc>
          <w:tcPr>
            <w:tcW w:w="372" w:type="pct"/>
            <w:shd w:val="clear" w:color="auto" w:fill="auto"/>
          </w:tcPr>
          <w:p w14:paraId="1D261A7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200</w:t>
            </w:r>
          </w:p>
        </w:tc>
        <w:tc>
          <w:tcPr>
            <w:tcW w:w="408" w:type="pct"/>
            <w:shd w:val="clear" w:color="auto" w:fill="auto"/>
          </w:tcPr>
          <w:p w14:paraId="59D1F0A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660A94C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14</w:t>
            </w:r>
          </w:p>
        </w:tc>
        <w:tc>
          <w:tcPr>
            <w:tcW w:w="408" w:type="pct"/>
            <w:shd w:val="clear" w:color="auto" w:fill="auto"/>
          </w:tcPr>
          <w:p w14:paraId="3EF998A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08618DF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2190140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4b (71%);</w:t>
            </w:r>
            <w:r w:rsidRPr="00682C4E">
              <w:rPr>
                <w:rFonts w:ascii="Book Antiqua" w:hAnsi="Book Antiqua"/>
                <w:lang w:eastAsia="zh-CN"/>
              </w:rPr>
              <w:t xml:space="preserve"> </w:t>
            </w:r>
            <w:r w:rsidRPr="00682C4E">
              <w:rPr>
                <w:rFonts w:ascii="Book Antiqua" w:eastAsia="Calibri" w:hAnsi="Book Antiqua"/>
                <w:lang w:eastAsia="zh-CN"/>
              </w:rPr>
              <w:t>1/2a (28)</w:t>
            </w:r>
          </w:p>
        </w:tc>
        <w:tc>
          <w:tcPr>
            <w:tcW w:w="639" w:type="pct"/>
            <w:shd w:val="clear" w:color="auto" w:fill="auto"/>
          </w:tcPr>
          <w:p w14:paraId="2F5CF51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08368117"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11D31590"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Eslami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23</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2014</w:t>
            </w:r>
          </w:p>
        </w:tc>
        <w:tc>
          <w:tcPr>
            <w:tcW w:w="834" w:type="pct"/>
            <w:shd w:val="clear" w:color="auto" w:fill="auto"/>
          </w:tcPr>
          <w:p w14:paraId="69EEDF5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0BFB2F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96</w:t>
            </w:r>
          </w:p>
        </w:tc>
        <w:tc>
          <w:tcPr>
            <w:tcW w:w="408" w:type="pct"/>
            <w:shd w:val="clear" w:color="auto" w:fill="auto"/>
          </w:tcPr>
          <w:p w14:paraId="3E54574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44A41DF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408" w:type="pct"/>
            <w:shd w:val="clear" w:color="auto" w:fill="auto"/>
          </w:tcPr>
          <w:p w14:paraId="671FA11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4374E1C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584" w:type="pct"/>
            <w:shd w:val="clear" w:color="auto" w:fill="auto"/>
          </w:tcPr>
          <w:p w14:paraId="7607508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11A87FA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2779D774"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2E030B26"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Shoukat</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24</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2014</w:t>
            </w:r>
          </w:p>
        </w:tc>
        <w:tc>
          <w:tcPr>
            <w:tcW w:w="834" w:type="pct"/>
            <w:shd w:val="clear" w:color="auto" w:fill="auto"/>
          </w:tcPr>
          <w:p w14:paraId="45CF88B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India</w:t>
            </w:r>
          </w:p>
        </w:tc>
        <w:tc>
          <w:tcPr>
            <w:tcW w:w="372" w:type="pct"/>
            <w:shd w:val="clear" w:color="auto" w:fill="auto"/>
          </w:tcPr>
          <w:p w14:paraId="45BBF0F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141</w:t>
            </w:r>
          </w:p>
        </w:tc>
        <w:tc>
          <w:tcPr>
            <w:tcW w:w="408" w:type="pct"/>
            <w:shd w:val="clear" w:color="auto" w:fill="auto"/>
          </w:tcPr>
          <w:p w14:paraId="5618784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03CAB38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08" w:type="pct"/>
            <w:shd w:val="clear" w:color="auto" w:fill="auto"/>
          </w:tcPr>
          <w:p w14:paraId="125702D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2F13B03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584" w:type="pct"/>
            <w:shd w:val="clear" w:color="auto" w:fill="auto"/>
          </w:tcPr>
          <w:p w14:paraId="215B1E5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3FA7E7F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4B9D4EF5"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84B3AE3"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Haghroosta</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25</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2015</w:t>
            </w:r>
          </w:p>
        </w:tc>
        <w:tc>
          <w:tcPr>
            <w:tcW w:w="834" w:type="pct"/>
            <w:shd w:val="clear" w:color="auto" w:fill="auto"/>
          </w:tcPr>
          <w:p w14:paraId="491EBD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3B5309F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120</w:t>
            </w:r>
          </w:p>
        </w:tc>
        <w:tc>
          <w:tcPr>
            <w:tcW w:w="408" w:type="pct"/>
            <w:shd w:val="clear" w:color="auto" w:fill="auto"/>
          </w:tcPr>
          <w:p w14:paraId="7BB18A7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60</w:t>
            </w:r>
          </w:p>
        </w:tc>
        <w:tc>
          <w:tcPr>
            <w:tcW w:w="551" w:type="pct"/>
            <w:shd w:val="clear" w:color="auto" w:fill="auto"/>
          </w:tcPr>
          <w:p w14:paraId="6519D33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25</w:t>
            </w:r>
          </w:p>
        </w:tc>
        <w:tc>
          <w:tcPr>
            <w:tcW w:w="408" w:type="pct"/>
            <w:shd w:val="clear" w:color="auto" w:fill="auto"/>
          </w:tcPr>
          <w:p w14:paraId="2AC9CD7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47" w:type="pct"/>
            <w:shd w:val="clear" w:color="auto" w:fill="auto"/>
          </w:tcPr>
          <w:p w14:paraId="1ADBFCD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047F76D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8FEA21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7D7CA57F"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6CEAD77B"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Pourkaveh</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26</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2016</w:t>
            </w:r>
          </w:p>
        </w:tc>
        <w:tc>
          <w:tcPr>
            <w:tcW w:w="834" w:type="pct"/>
            <w:shd w:val="clear" w:color="auto" w:fill="auto"/>
          </w:tcPr>
          <w:p w14:paraId="085978A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6B7678F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317</w:t>
            </w:r>
          </w:p>
        </w:tc>
        <w:tc>
          <w:tcPr>
            <w:tcW w:w="408" w:type="pct"/>
            <w:shd w:val="clear" w:color="auto" w:fill="auto"/>
          </w:tcPr>
          <w:p w14:paraId="3B0B242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3575A04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54</w:t>
            </w:r>
          </w:p>
        </w:tc>
        <w:tc>
          <w:tcPr>
            <w:tcW w:w="408" w:type="pct"/>
            <w:shd w:val="clear" w:color="auto" w:fill="auto"/>
          </w:tcPr>
          <w:p w14:paraId="7C9307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2F8E0B0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584" w:type="pct"/>
            <w:shd w:val="clear" w:color="auto" w:fill="auto"/>
          </w:tcPr>
          <w:p w14:paraId="774A8EDE"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639" w:type="pct"/>
            <w:shd w:val="clear" w:color="auto" w:fill="auto"/>
          </w:tcPr>
          <w:p w14:paraId="0257CD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39A305F0"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1E5F12D"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Bobade</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27</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2016</w:t>
            </w:r>
          </w:p>
        </w:tc>
        <w:tc>
          <w:tcPr>
            <w:tcW w:w="834" w:type="pct"/>
            <w:shd w:val="clear" w:color="auto" w:fill="auto"/>
          </w:tcPr>
          <w:p w14:paraId="5D62157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Nagpur</w:t>
            </w:r>
          </w:p>
        </w:tc>
        <w:tc>
          <w:tcPr>
            <w:tcW w:w="372" w:type="pct"/>
            <w:shd w:val="clear" w:color="auto" w:fill="auto"/>
          </w:tcPr>
          <w:p w14:paraId="16DDCF4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113</w:t>
            </w:r>
          </w:p>
        </w:tc>
        <w:tc>
          <w:tcPr>
            <w:tcW w:w="408" w:type="pct"/>
            <w:shd w:val="clear" w:color="auto" w:fill="auto"/>
          </w:tcPr>
          <w:p w14:paraId="5665528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081BAAF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408" w:type="pct"/>
            <w:shd w:val="clear" w:color="auto" w:fill="auto"/>
          </w:tcPr>
          <w:p w14:paraId="287A4F6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7744C01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584" w:type="pct"/>
            <w:shd w:val="clear" w:color="auto" w:fill="auto"/>
          </w:tcPr>
          <w:p w14:paraId="238A098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tl/>
                <w:lang w:eastAsia="zh-CN"/>
              </w:rPr>
            </w:pPr>
            <w:r w:rsidRPr="00682C4E">
              <w:rPr>
                <w:rFonts w:ascii="Book Antiqua" w:eastAsia="Calibri" w:hAnsi="Book Antiqua"/>
                <w:lang w:eastAsia="zh-CN"/>
              </w:rPr>
              <w:t>4b (81%);</w:t>
            </w:r>
            <w:r w:rsidRPr="00682C4E">
              <w:rPr>
                <w:rFonts w:ascii="Book Antiqua" w:hAnsi="Book Antiqua"/>
                <w:lang w:eastAsia="zh-CN"/>
              </w:rPr>
              <w:t xml:space="preserve"> </w:t>
            </w:r>
            <w:r w:rsidRPr="00682C4E">
              <w:rPr>
                <w:rFonts w:ascii="Book Antiqua" w:eastAsia="Calibri" w:hAnsi="Book Antiqua"/>
                <w:lang w:eastAsia="zh-CN"/>
              </w:rPr>
              <w:t>1/2b (18%)</w:t>
            </w:r>
          </w:p>
        </w:tc>
        <w:tc>
          <w:tcPr>
            <w:tcW w:w="639" w:type="pct"/>
            <w:shd w:val="clear" w:color="auto" w:fill="auto"/>
          </w:tcPr>
          <w:p w14:paraId="019B309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08E4A612"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E27AB2B"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Tajedini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28</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2017</w:t>
            </w:r>
          </w:p>
        </w:tc>
        <w:tc>
          <w:tcPr>
            <w:tcW w:w="834" w:type="pct"/>
            <w:shd w:val="clear" w:color="auto" w:fill="auto"/>
          </w:tcPr>
          <w:p w14:paraId="12DE73E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7B11323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58</w:t>
            </w:r>
          </w:p>
        </w:tc>
        <w:tc>
          <w:tcPr>
            <w:tcW w:w="408" w:type="pct"/>
            <w:shd w:val="clear" w:color="auto" w:fill="auto"/>
          </w:tcPr>
          <w:p w14:paraId="5DC15FB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5E82F98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21</w:t>
            </w:r>
          </w:p>
        </w:tc>
        <w:tc>
          <w:tcPr>
            <w:tcW w:w="408" w:type="pct"/>
            <w:shd w:val="clear" w:color="auto" w:fill="auto"/>
          </w:tcPr>
          <w:p w14:paraId="61AB936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0E4284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28DC316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26146C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218891A4"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46C3C459"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Pour</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[2</w:t>
            </w:r>
            <w:r w:rsidR="003E1E2E" w:rsidRPr="00682C4E">
              <w:rPr>
                <w:rFonts w:ascii="Book Antiqua" w:hAnsi="Book Antiqua"/>
                <w:b w:val="0"/>
                <w:bCs w:val="0"/>
                <w:vertAlign w:val="superscript"/>
                <w:lang w:eastAsia="zh-CN"/>
              </w:rPr>
              <w:t>9</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2018</w:t>
            </w:r>
          </w:p>
        </w:tc>
        <w:tc>
          <w:tcPr>
            <w:tcW w:w="834" w:type="pct"/>
            <w:shd w:val="clear" w:color="auto" w:fill="auto"/>
          </w:tcPr>
          <w:p w14:paraId="5F5072E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2C56042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123</w:t>
            </w:r>
          </w:p>
        </w:tc>
        <w:tc>
          <w:tcPr>
            <w:tcW w:w="408" w:type="pct"/>
            <w:shd w:val="clear" w:color="auto" w:fill="auto"/>
          </w:tcPr>
          <w:p w14:paraId="7AEB2BE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2AFF486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28</w:t>
            </w:r>
          </w:p>
        </w:tc>
        <w:tc>
          <w:tcPr>
            <w:tcW w:w="408" w:type="pct"/>
            <w:shd w:val="clear" w:color="auto" w:fill="auto"/>
          </w:tcPr>
          <w:p w14:paraId="1E89866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1CF55E2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28</w:t>
            </w:r>
          </w:p>
        </w:tc>
        <w:tc>
          <w:tcPr>
            <w:tcW w:w="584" w:type="pct"/>
            <w:shd w:val="clear" w:color="auto" w:fill="auto"/>
          </w:tcPr>
          <w:p w14:paraId="0C2AD8D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tl/>
                <w:lang w:eastAsia="zh-CN"/>
              </w:rPr>
            </w:pPr>
            <w:r w:rsidRPr="00682C4E">
              <w:rPr>
                <w:rFonts w:ascii="Book Antiqua" w:eastAsia="Calibri" w:hAnsi="Book Antiqua"/>
                <w:lang w:eastAsia="zh-CN"/>
              </w:rPr>
              <w:t>1/2a (50%);</w:t>
            </w:r>
            <w:r w:rsidRPr="00682C4E">
              <w:rPr>
                <w:rFonts w:ascii="Book Antiqua" w:hAnsi="Book Antiqua"/>
                <w:lang w:eastAsia="zh-CN"/>
              </w:rPr>
              <w:t xml:space="preserve"> </w:t>
            </w:r>
            <w:r w:rsidRPr="00682C4E">
              <w:rPr>
                <w:rFonts w:ascii="Book Antiqua" w:eastAsia="Calibri" w:hAnsi="Book Antiqua"/>
                <w:lang w:eastAsia="zh-CN"/>
              </w:rPr>
              <w:t>4b (35%)</w:t>
            </w:r>
          </w:p>
        </w:tc>
        <w:tc>
          <w:tcPr>
            <w:tcW w:w="639" w:type="pct"/>
            <w:shd w:val="clear" w:color="auto" w:fill="auto"/>
          </w:tcPr>
          <w:p w14:paraId="62CE5B1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5639B99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F47FABA"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Heidari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30</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2018</w:t>
            </w:r>
          </w:p>
        </w:tc>
        <w:tc>
          <w:tcPr>
            <w:tcW w:w="834" w:type="pct"/>
            <w:shd w:val="clear" w:color="auto" w:fill="auto"/>
          </w:tcPr>
          <w:p w14:paraId="576A633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276E522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100</w:t>
            </w:r>
          </w:p>
        </w:tc>
        <w:tc>
          <w:tcPr>
            <w:tcW w:w="408" w:type="pct"/>
            <w:shd w:val="clear" w:color="auto" w:fill="auto"/>
          </w:tcPr>
          <w:p w14:paraId="4E51D1E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33EF0FF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08" w:type="pct"/>
            <w:shd w:val="clear" w:color="auto" w:fill="auto"/>
          </w:tcPr>
          <w:p w14:paraId="754470A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5DA20B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584" w:type="pct"/>
            <w:shd w:val="clear" w:color="auto" w:fill="auto"/>
          </w:tcPr>
          <w:p w14:paraId="2C9AA2D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4366B4F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7A6F79F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7F924087"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lastRenderedPageBreak/>
              <w:t>Al-dorri</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1]</w:t>
            </w:r>
            <w:r w:rsidRPr="00682C4E">
              <w:rPr>
                <w:rFonts w:ascii="Book Antiqua" w:eastAsia="Calibri" w:hAnsi="Book Antiqua"/>
                <w:b w:val="0"/>
                <w:bCs w:val="0"/>
                <w:lang w:eastAsia="zh-CN"/>
              </w:rPr>
              <w:t>, 2018</w:t>
            </w:r>
          </w:p>
        </w:tc>
        <w:tc>
          <w:tcPr>
            <w:tcW w:w="834" w:type="pct"/>
            <w:shd w:val="clear" w:color="auto" w:fill="auto"/>
          </w:tcPr>
          <w:p w14:paraId="28C277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Iraq</w:t>
            </w:r>
          </w:p>
        </w:tc>
        <w:tc>
          <w:tcPr>
            <w:tcW w:w="372" w:type="pct"/>
            <w:shd w:val="clear" w:color="auto" w:fill="auto"/>
          </w:tcPr>
          <w:p w14:paraId="476978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94</w:t>
            </w:r>
          </w:p>
        </w:tc>
        <w:tc>
          <w:tcPr>
            <w:tcW w:w="408" w:type="pct"/>
            <w:shd w:val="clear" w:color="auto" w:fill="auto"/>
          </w:tcPr>
          <w:p w14:paraId="343B31E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5DF5FB2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408" w:type="pct"/>
            <w:shd w:val="clear" w:color="auto" w:fill="auto"/>
          </w:tcPr>
          <w:p w14:paraId="40B1D72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0197929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584" w:type="pct"/>
            <w:shd w:val="clear" w:color="auto" w:fill="auto"/>
          </w:tcPr>
          <w:p w14:paraId="2EDE7C4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8525AB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68B61F58"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21A783AA"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Ohadi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2]</w:t>
            </w:r>
            <w:r w:rsidRPr="00682C4E">
              <w:rPr>
                <w:rFonts w:ascii="Book Antiqua" w:eastAsia="Calibri" w:hAnsi="Book Antiqua"/>
                <w:b w:val="0"/>
                <w:bCs w:val="0"/>
                <w:lang w:eastAsia="zh-CN"/>
              </w:rPr>
              <w:t>, 2019</w:t>
            </w:r>
          </w:p>
        </w:tc>
        <w:tc>
          <w:tcPr>
            <w:tcW w:w="834" w:type="pct"/>
            <w:shd w:val="clear" w:color="auto" w:fill="auto"/>
          </w:tcPr>
          <w:p w14:paraId="3272DB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7B4E9B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96</w:t>
            </w:r>
          </w:p>
        </w:tc>
        <w:tc>
          <w:tcPr>
            <w:tcW w:w="408" w:type="pct"/>
            <w:shd w:val="clear" w:color="auto" w:fill="auto"/>
          </w:tcPr>
          <w:p w14:paraId="11BF7E8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7A65CE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408" w:type="pct"/>
            <w:shd w:val="clear" w:color="auto" w:fill="auto"/>
          </w:tcPr>
          <w:p w14:paraId="2EBEF67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6F0213F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584" w:type="pct"/>
            <w:shd w:val="clear" w:color="auto" w:fill="auto"/>
          </w:tcPr>
          <w:p w14:paraId="3DC4B15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1/2b (31%);</w:t>
            </w:r>
            <w:r w:rsidRPr="00682C4E">
              <w:rPr>
                <w:rFonts w:ascii="Book Antiqua" w:hAnsi="Book Antiqua"/>
                <w:lang w:eastAsia="zh-CN"/>
              </w:rPr>
              <w:t xml:space="preserve"> </w:t>
            </w:r>
            <w:r w:rsidRPr="00682C4E">
              <w:rPr>
                <w:rFonts w:ascii="Book Antiqua" w:eastAsia="Calibri" w:hAnsi="Book Antiqua"/>
                <w:lang w:eastAsia="zh-CN"/>
              </w:rPr>
              <w:t>1/2a (25%);</w:t>
            </w:r>
            <w:r w:rsidRPr="00682C4E">
              <w:rPr>
                <w:rFonts w:ascii="Book Antiqua" w:hAnsi="Book Antiqua"/>
                <w:lang w:eastAsia="zh-CN"/>
              </w:rPr>
              <w:t xml:space="preserve"> </w:t>
            </w:r>
            <w:r w:rsidRPr="00682C4E">
              <w:rPr>
                <w:rFonts w:ascii="Book Antiqua" w:eastAsia="Calibri" w:hAnsi="Book Antiqua"/>
                <w:lang w:eastAsia="zh-CN"/>
              </w:rPr>
              <w:t>4b (12.5%)</w:t>
            </w:r>
          </w:p>
        </w:tc>
        <w:tc>
          <w:tcPr>
            <w:tcW w:w="639" w:type="pct"/>
            <w:shd w:val="clear" w:color="auto" w:fill="auto"/>
          </w:tcPr>
          <w:p w14:paraId="3DD3281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27C6EC8C"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2DDD7220"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Mozaffari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3]</w:t>
            </w:r>
            <w:r w:rsidRPr="00682C4E">
              <w:rPr>
                <w:rFonts w:ascii="Book Antiqua" w:eastAsia="Calibri" w:hAnsi="Book Antiqua"/>
                <w:b w:val="0"/>
                <w:bCs w:val="0"/>
                <w:lang w:eastAsia="zh-CN"/>
              </w:rPr>
              <w:t>, 2019</w:t>
            </w:r>
          </w:p>
        </w:tc>
        <w:tc>
          <w:tcPr>
            <w:tcW w:w="834" w:type="pct"/>
            <w:shd w:val="clear" w:color="auto" w:fill="auto"/>
          </w:tcPr>
          <w:p w14:paraId="236FF27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18B5ABF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130</w:t>
            </w:r>
          </w:p>
        </w:tc>
        <w:tc>
          <w:tcPr>
            <w:tcW w:w="408" w:type="pct"/>
            <w:shd w:val="clear" w:color="auto" w:fill="auto"/>
          </w:tcPr>
          <w:p w14:paraId="0C9278A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100</w:t>
            </w:r>
          </w:p>
        </w:tc>
        <w:tc>
          <w:tcPr>
            <w:tcW w:w="551" w:type="pct"/>
            <w:shd w:val="clear" w:color="auto" w:fill="auto"/>
          </w:tcPr>
          <w:p w14:paraId="6A2A427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 xml:space="preserve">35 </w:t>
            </w:r>
          </w:p>
        </w:tc>
        <w:tc>
          <w:tcPr>
            <w:tcW w:w="408" w:type="pct"/>
            <w:shd w:val="clear" w:color="auto" w:fill="auto"/>
          </w:tcPr>
          <w:p w14:paraId="72443C0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447" w:type="pct"/>
            <w:shd w:val="clear" w:color="auto" w:fill="auto"/>
          </w:tcPr>
          <w:p w14:paraId="3EC0856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7AC9BF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8B7A1C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5B430FA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156D7DBF"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Zahirnia</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4]</w:t>
            </w:r>
            <w:r w:rsidRPr="00682C4E">
              <w:rPr>
                <w:rFonts w:ascii="Book Antiqua" w:eastAsia="Calibri" w:hAnsi="Book Antiqua"/>
                <w:b w:val="0"/>
                <w:bCs w:val="0"/>
                <w:lang w:eastAsia="zh-CN"/>
              </w:rPr>
              <w:t>, 2019</w:t>
            </w:r>
          </w:p>
        </w:tc>
        <w:tc>
          <w:tcPr>
            <w:tcW w:w="834" w:type="pct"/>
            <w:shd w:val="clear" w:color="auto" w:fill="auto"/>
          </w:tcPr>
          <w:p w14:paraId="247DB56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05A5AA1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124</w:t>
            </w:r>
          </w:p>
        </w:tc>
        <w:tc>
          <w:tcPr>
            <w:tcW w:w="408" w:type="pct"/>
            <w:shd w:val="clear" w:color="auto" w:fill="auto"/>
          </w:tcPr>
          <w:p w14:paraId="3F7AA3C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76</w:t>
            </w:r>
          </w:p>
        </w:tc>
        <w:tc>
          <w:tcPr>
            <w:tcW w:w="551" w:type="pct"/>
            <w:shd w:val="clear" w:color="auto" w:fill="auto"/>
          </w:tcPr>
          <w:p w14:paraId="5EEA9D7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31</w:t>
            </w:r>
          </w:p>
        </w:tc>
        <w:tc>
          <w:tcPr>
            <w:tcW w:w="408" w:type="pct"/>
            <w:shd w:val="clear" w:color="auto" w:fill="auto"/>
          </w:tcPr>
          <w:p w14:paraId="69A83F6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28</w:t>
            </w:r>
          </w:p>
        </w:tc>
        <w:tc>
          <w:tcPr>
            <w:tcW w:w="447" w:type="pct"/>
            <w:shd w:val="clear" w:color="auto" w:fill="auto"/>
          </w:tcPr>
          <w:p w14:paraId="7694B2A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w:t>
            </w:r>
          </w:p>
        </w:tc>
        <w:tc>
          <w:tcPr>
            <w:tcW w:w="584" w:type="pct"/>
            <w:shd w:val="clear" w:color="auto" w:fill="auto"/>
          </w:tcPr>
          <w:p w14:paraId="4196638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4175B23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75155D59"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6BD0098"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Fall</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5]</w:t>
            </w:r>
            <w:r w:rsidRPr="00682C4E">
              <w:rPr>
                <w:rFonts w:ascii="Book Antiqua" w:eastAsia="Calibri" w:hAnsi="Book Antiqua"/>
                <w:b w:val="0"/>
                <w:bCs w:val="0"/>
                <w:lang w:eastAsia="zh-CN"/>
              </w:rPr>
              <w:t>, 2020</w:t>
            </w:r>
          </w:p>
        </w:tc>
        <w:tc>
          <w:tcPr>
            <w:tcW w:w="834" w:type="pct"/>
            <w:shd w:val="clear" w:color="auto" w:fill="auto"/>
          </w:tcPr>
          <w:p w14:paraId="0BCC892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Senegal</w:t>
            </w:r>
          </w:p>
        </w:tc>
        <w:tc>
          <w:tcPr>
            <w:tcW w:w="372" w:type="pct"/>
            <w:shd w:val="clear" w:color="auto" w:fill="auto"/>
          </w:tcPr>
          <w:p w14:paraId="40B6976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43</w:t>
            </w:r>
          </w:p>
        </w:tc>
        <w:tc>
          <w:tcPr>
            <w:tcW w:w="408" w:type="pct"/>
            <w:shd w:val="clear" w:color="auto" w:fill="auto"/>
          </w:tcPr>
          <w:p w14:paraId="37DA218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4645283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w:t>
            </w:r>
          </w:p>
        </w:tc>
        <w:tc>
          <w:tcPr>
            <w:tcW w:w="408" w:type="pct"/>
            <w:shd w:val="clear" w:color="auto" w:fill="auto"/>
          </w:tcPr>
          <w:p w14:paraId="6624763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1FD8B4B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579A817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5D648A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33CDB7E5"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4FAB1558"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Al-Mayahi</w:t>
            </w:r>
            <w:r w:rsidRPr="00682C4E">
              <w:rPr>
                <w:rFonts w:ascii="Book Antiqua" w:eastAsia="Calibri" w:hAnsi="Book Antiqua"/>
                <w:b w:val="0"/>
                <w:bCs w:val="0"/>
                <w:i/>
                <w:iCs/>
                <w:lang w:eastAsia="zh-CN"/>
              </w:rPr>
              <w:t xml:space="preserve"> </w:t>
            </w:r>
            <w:r w:rsidRPr="00682C4E">
              <w:rPr>
                <w:rFonts w:ascii="Book Antiqua" w:eastAsia="Calibri" w:hAnsi="Book Antiqua"/>
                <w:b w:val="0"/>
                <w:bCs w:val="0"/>
                <w:lang w:eastAsia="zh-CN"/>
              </w:rPr>
              <w:t xml:space="preserve">and </w:t>
            </w:r>
            <w:r w:rsidRPr="00682C4E">
              <w:rPr>
                <w:rFonts w:ascii="Book Antiqua" w:hAnsi="Book Antiqua"/>
                <w:b w:val="0"/>
                <w:bCs w:val="0"/>
                <w:lang w:eastAsia="zh-CN"/>
              </w:rPr>
              <w:t>Jaber</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6]</w:t>
            </w:r>
            <w:r w:rsidRPr="00682C4E">
              <w:rPr>
                <w:rFonts w:ascii="Book Antiqua" w:eastAsia="Calibri" w:hAnsi="Book Antiqua"/>
                <w:b w:val="0"/>
                <w:bCs w:val="0"/>
                <w:lang w:eastAsia="zh-CN"/>
              </w:rPr>
              <w:t>, 2020</w:t>
            </w:r>
          </w:p>
        </w:tc>
        <w:tc>
          <w:tcPr>
            <w:tcW w:w="834" w:type="pct"/>
            <w:shd w:val="clear" w:color="auto" w:fill="auto"/>
          </w:tcPr>
          <w:p w14:paraId="715EAE1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Iraq</w:t>
            </w:r>
          </w:p>
        </w:tc>
        <w:tc>
          <w:tcPr>
            <w:tcW w:w="372" w:type="pct"/>
            <w:shd w:val="clear" w:color="auto" w:fill="auto"/>
          </w:tcPr>
          <w:p w14:paraId="584A132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90</w:t>
            </w:r>
          </w:p>
        </w:tc>
        <w:tc>
          <w:tcPr>
            <w:tcW w:w="408" w:type="pct"/>
            <w:shd w:val="clear" w:color="auto" w:fill="auto"/>
          </w:tcPr>
          <w:p w14:paraId="2CCEAF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1038D24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15</w:t>
            </w:r>
          </w:p>
        </w:tc>
        <w:tc>
          <w:tcPr>
            <w:tcW w:w="408" w:type="pct"/>
            <w:shd w:val="clear" w:color="auto" w:fill="auto"/>
          </w:tcPr>
          <w:p w14:paraId="6EE8E2B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774E3AE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15</w:t>
            </w:r>
          </w:p>
        </w:tc>
        <w:tc>
          <w:tcPr>
            <w:tcW w:w="584" w:type="pct"/>
            <w:shd w:val="clear" w:color="auto" w:fill="auto"/>
          </w:tcPr>
          <w:p w14:paraId="0F379BF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63684F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bl>
    <w:p w14:paraId="16543F52" w14:textId="77777777" w:rsidR="001759B5" w:rsidRDefault="00682C4E" w:rsidP="00FC1600">
      <w:pPr>
        <w:snapToGrid w:val="0"/>
        <w:spacing w:line="360" w:lineRule="auto"/>
        <w:jc w:val="both"/>
        <w:rPr>
          <w:rFonts w:ascii="Book Antiqua" w:hAnsi="Book Antiqua"/>
          <w:lang w:eastAsia="zh-CN"/>
        </w:rPr>
        <w:sectPr w:rsidR="001759B5" w:rsidSect="00682C4E">
          <w:type w:val="continuous"/>
          <w:pgSz w:w="15840" w:h="12240" w:orient="landscape"/>
          <w:pgMar w:top="1440" w:right="1440" w:bottom="1440" w:left="1440" w:header="720" w:footer="720" w:gutter="0"/>
          <w:cols w:space="720"/>
          <w:docGrid w:linePitch="360"/>
        </w:sectPr>
      </w:pPr>
      <w:r w:rsidRPr="00682C4E">
        <w:rPr>
          <w:rFonts w:ascii="Book Antiqua" w:eastAsia="Calibri" w:hAnsi="Book Antiqua"/>
          <w:i/>
          <w:iCs/>
          <w:lang w:eastAsia="zh-CN"/>
        </w:rPr>
        <w:t>L. monocytogenes</w:t>
      </w:r>
      <w:r>
        <w:rPr>
          <w:rFonts w:ascii="Book Antiqua" w:eastAsia="Calibri" w:hAnsi="Book Antiqua"/>
          <w:lang w:eastAsia="zh-CN"/>
        </w:rPr>
        <w:t>:</w:t>
      </w:r>
      <w:r>
        <w:rPr>
          <w:rFonts w:ascii="Book Antiqua" w:hAnsi="Book Antiqua"/>
          <w:i/>
          <w:iCs/>
          <w:lang w:eastAsia="zh-CN"/>
        </w:rPr>
        <w:t xml:space="preserve"> Listeria </w:t>
      </w:r>
      <w:r w:rsidRPr="00682C4E">
        <w:rPr>
          <w:rFonts w:ascii="Book Antiqua" w:hAnsi="Book Antiqua"/>
          <w:i/>
          <w:iCs/>
          <w:lang w:eastAsia="zh-CN"/>
        </w:rPr>
        <w:t>monocytogenes</w:t>
      </w:r>
      <w:r>
        <w:rPr>
          <w:rFonts w:ascii="Book Antiqua" w:hAnsi="Book Antiqua"/>
          <w:lang w:eastAsia="zh-CN"/>
        </w:rPr>
        <w:t>;</w:t>
      </w:r>
      <w:r w:rsidR="006A4CE9">
        <w:rPr>
          <w:rFonts w:ascii="Book Antiqua" w:hAnsi="Book Antiqua"/>
          <w:lang w:eastAsia="zh-CN"/>
        </w:rPr>
        <w:t xml:space="preserve"> </w:t>
      </w:r>
      <w:r w:rsidR="001B61A7" w:rsidRPr="00682C4E">
        <w:rPr>
          <w:rFonts w:ascii="Book Antiqua" w:hAnsi="Book Antiqua"/>
          <w:lang w:eastAsia="zh-CN"/>
        </w:rPr>
        <w:t xml:space="preserve">PCR: Polymerase chain reaction; ND: Not detected; IFA: Increased femoral anteversion; </w:t>
      </w:r>
      <w:r w:rsidR="001B61A7" w:rsidRPr="00682C4E">
        <w:rPr>
          <w:rFonts w:ascii="Book Antiqua" w:eastAsia="Calibri" w:hAnsi="Book Antiqua"/>
        </w:rPr>
        <w:t>IgG:</w:t>
      </w:r>
      <w:r w:rsidR="001B61A7" w:rsidRPr="00682C4E">
        <w:rPr>
          <w:rFonts w:ascii="Book Antiqua" w:hAnsi="Book Antiqua"/>
          <w:lang w:eastAsia="zh-CN"/>
        </w:rPr>
        <w:t xml:space="preserve"> Immunoglobulin G.</w:t>
      </w:r>
    </w:p>
    <w:p w14:paraId="1DD6B531" w14:textId="77777777" w:rsidR="001759B5" w:rsidRDefault="001759B5" w:rsidP="001759B5">
      <w:pPr>
        <w:jc w:val="center"/>
        <w:rPr>
          <w:rFonts w:ascii="Book Antiqua" w:hAnsi="Book Antiqua"/>
          <w:lang w:eastAsia="zh-CN"/>
        </w:rPr>
      </w:pPr>
    </w:p>
    <w:p w14:paraId="50F1EB25" w14:textId="77777777" w:rsidR="001759B5" w:rsidRDefault="001759B5" w:rsidP="001759B5">
      <w:pPr>
        <w:jc w:val="center"/>
        <w:rPr>
          <w:rFonts w:ascii="Book Antiqua" w:hAnsi="Book Antiqua"/>
          <w:lang w:eastAsia="zh-CN"/>
        </w:rPr>
      </w:pPr>
    </w:p>
    <w:p w14:paraId="6BD6DC2E" w14:textId="77777777" w:rsidR="001759B5" w:rsidRDefault="001759B5" w:rsidP="001759B5">
      <w:pPr>
        <w:jc w:val="center"/>
        <w:rPr>
          <w:rFonts w:ascii="Book Antiqua" w:hAnsi="Book Antiqua"/>
          <w:lang w:eastAsia="zh-CN"/>
        </w:rPr>
      </w:pPr>
    </w:p>
    <w:p w14:paraId="2CC9C693" w14:textId="77777777" w:rsidR="001759B5" w:rsidRDefault="001759B5" w:rsidP="001759B5">
      <w:pPr>
        <w:jc w:val="center"/>
        <w:rPr>
          <w:rFonts w:ascii="Book Antiqua" w:hAnsi="Book Antiqua"/>
          <w:lang w:eastAsia="zh-CN"/>
        </w:rPr>
      </w:pPr>
    </w:p>
    <w:p w14:paraId="53D3C49A" w14:textId="77777777" w:rsidR="001759B5" w:rsidRDefault="001759B5" w:rsidP="001759B5">
      <w:pPr>
        <w:jc w:val="center"/>
        <w:rPr>
          <w:rFonts w:ascii="Book Antiqua" w:hAnsi="Book Antiqua"/>
          <w:lang w:eastAsia="zh-CN"/>
        </w:rPr>
      </w:pPr>
    </w:p>
    <w:p w14:paraId="7E2A218E" w14:textId="3BE8233E" w:rsidR="001759B5" w:rsidRDefault="001759B5" w:rsidP="001759B5">
      <w:pPr>
        <w:jc w:val="center"/>
        <w:rPr>
          <w:rFonts w:ascii="Book Antiqua" w:hAnsi="Book Antiqua"/>
          <w:lang w:eastAsia="zh-CN"/>
        </w:rPr>
      </w:pPr>
      <w:r>
        <w:rPr>
          <w:rFonts w:ascii="Book Antiqua" w:hAnsi="Book Antiqua"/>
          <w:noProof/>
          <w:lang w:eastAsia="zh-CN"/>
        </w:rPr>
        <w:drawing>
          <wp:inline distT="0" distB="0" distL="0" distR="0" wp14:anchorId="7415AF5B" wp14:editId="3C8E588E">
            <wp:extent cx="2495550" cy="1438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31564E15" w14:textId="77777777" w:rsidR="001759B5" w:rsidRDefault="001759B5" w:rsidP="001759B5">
      <w:pPr>
        <w:jc w:val="center"/>
        <w:rPr>
          <w:rFonts w:ascii="Book Antiqua" w:hAnsi="Book Antiqua"/>
          <w:lang w:eastAsia="zh-CN"/>
        </w:rPr>
      </w:pPr>
    </w:p>
    <w:p w14:paraId="56FE3B18" w14:textId="77777777" w:rsidR="001759B5" w:rsidRDefault="001759B5" w:rsidP="001759B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22DDBC9" w14:textId="77777777" w:rsidR="001759B5" w:rsidRDefault="001759B5" w:rsidP="001759B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55A694" w14:textId="77777777" w:rsidR="001759B5" w:rsidRDefault="001759B5" w:rsidP="001759B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E45FA5" w14:textId="77777777" w:rsidR="001759B5" w:rsidRDefault="001759B5" w:rsidP="001759B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8361BA8" w14:textId="77777777" w:rsidR="001759B5" w:rsidRDefault="001759B5" w:rsidP="001759B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CF9FED" w14:textId="77777777" w:rsidR="001759B5" w:rsidRDefault="001759B5" w:rsidP="001759B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E36FACD" w14:textId="77777777" w:rsidR="001759B5" w:rsidRDefault="001759B5" w:rsidP="001759B5">
      <w:pPr>
        <w:jc w:val="center"/>
        <w:rPr>
          <w:rFonts w:ascii="Book Antiqua" w:hAnsi="Book Antiqua"/>
          <w:lang w:eastAsia="zh-CN"/>
        </w:rPr>
      </w:pPr>
    </w:p>
    <w:p w14:paraId="3E404AB0" w14:textId="77777777" w:rsidR="001759B5" w:rsidRDefault="001759B5" w:rsidP="001759B5">
      <w:pPr>
        <w:jc w:val="center"/>
        <w:rPr>
          <w:rFonts w:ascii="Book Antiqua" w:hAnsi="Book Antiqua"/>
          <w:lang w:eastAsia="zh-CN"/>
        </w:rPr>
      </w:pPr>
    </w:p>
    <w:p w14:paraId="437E0EF7" w14:textId="77777777" w:rsidR="001759B5" w:rsidRDefault="001759B5" w:rsidP="001759B5">
      <w:pPr>
        <w:jc w:val="center"/>
        <w:rPr>
          <w:rFonts w:ascii="Book Antiqua" w:hAnsi="Book Antiqua"/>
          <w:lang w:eastAsia="zh-CN"/>
        </w:rPr>
      </w:pPr>
    </w:p>
    <w:p w14:paraId="5610E914" w14:textId="2B6B3A07" w:rsidR="001759B5" w:rsidRDefault="001759B5" w:rsidP="001759B5">
      <w:pPr>
        <w:jc w:val="center"/>
        <w:rPr>
          <w:rFonts w:ascii="Book Antiqua" w:hAnsi="Book Antiqua"/>
          <w:lang w:eastAsia="zh-CN"/>
        </w:rPr>
      </w:pPr>
      <w:r>
        <w:rPr>
          <w:rFonts w:ascii="Book Antiqua" w:hAnsi="Book Antiqua"/>
          <w:noProof/>
          <w:lang w:eastAsia="zh-CN"/>
        </w:rPr>
        <w:drawing>
          <wp:inline distT="0" distB="0" distL="0" distR="0" wp14:anchorId="7EF52699" wp14:editId="45DC31B1">
            <wp:extent cx="1447800" cy="1438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61CA8BD1" w14:textId="77777777" w:rsidR="001759B5" w:rsidRDefault="001759B5" w:rsidP="001759B5">
      <w:pPr>
        <w:jc w:val="center"/>
        <w:rPr>
          <w:rFonts w:ascii="Book Antiqua" w:hAnsi="Book Antiqua"/>
          <w:lang w:eastAsia="zh-CN"/>
        </w:rPr>
      </w:pPr>
    </w:p>
    <w:p w14:paraId="3262ABD1" w14:textId="77777777" w:rsidR="001759B5" w:rsidRDefault="001759B5" w:rsidP="001759B5">
      <w:pPr>
        <w:jc w:val="center"/>
        <w:rPr>
          <w:rFonts w:ascii="Book Antiqua" w:hAnsi="Book Antiqua"/>
          <w:lang w:eastAsia="zh-CN"/>
        </w:rPr>
      </w:pPr>
    </w:p>
    <w:p w14:paraId="0E663111" w14:textId="77777777" w:rsidR="001759B5" w:rsidRDefault="001759B5" w:rsidP="001759B5">
      <w:pPr>
        <w:jc w:val="center"/>
        <w:rPr>
          <w:rFonts w:ascii="Book Antiqua" w:hAnsi="Book Antiqua"/>
          <w:lang w:eastAsia="zh-CN"/>
        </w:rPr>
      </w:pPr>
    </w:p>
    <w:p w14:paraId="01751F3D" w14:textId="77777777" w:rsidR="001759B5" w:rsidRDefault="001759B5" w:rsidP="001759B5">
      <w:pPr>
        <w:jc w:val="center"/>
        <w:rPr>
          <w:rFonts w:ascii="Book Antiqua" w:hAnsi="Book Antiqua"/>
          <w:lang w:eastAsia="zh-CN"/>
        </w:rPr>
      </w:pPr>
    </w:p>
    <w:p w14:paraId="053C1445" w14:textId="77777777" w:rsidR="001759B5" w:rsidRDefault="001759B5" w:rsidP="001759B5">
      <w:pPr>
        <w:jc w:val="center"/>
        <w:rPr>
          <w:rFonts w:ascii="Book Antiqua" w:hAnsi="Book Antiqua"/>
          <w:lang w:eastAsia="zh-CN"/>
        </w:rPr>
      </w:pPr>
    </w:p>
    <w:p w14:paraId="6CE25BE1" w14:textId="77777777" w:rsidR="001759B5" w:rsidRDefault="001759B5" w:rsidP="001759B5">
      <w:pPr>
        <w:jc w:val="center"/>
        <w:rPr>
          <w:rFonts w:ascii="Book Antiqua" w:hAnsi="Book Antiqua"/>
          <w:lang w:eastAsia="zh-CN"/>
        </w:rPr>
      </w:pPr>
    </w:p>
    <w:p w14:paraId="42EBB0A5" w14:textId="77777777" w:rsidR="001759B5" w:rsidRDefault="001759B5" w:rsidP="001759B5">
      <w:pPr>
        <w:jc w:val="center"/>
        <w:rPr>
          <w:rFonts w:ascii="Book Antiqua" w:hAnsi="Book Antiqua"/>
          <w:lang w:eastAsia="zh-CN"/>
        </w:rPr>
      </w:pPr>
    </w:p>
    <w:p w14:paraId="66E485BA" w14:textId="77777777" w:rsidR="001759B5" w:rsidRDefault="001759B5" w:rsidP="001759B5">
      <w:pPr>
        <w:jc w:val="center"/>
        <w:rPr>
          <w:rFonts w:ascii="Book Antiqua" w:hAnsi="Book Antiqua"/>
          <w:lang w:eastAsia="zh-CN"/>
        </w:rPr>
      </w:pPr>
    </w:p>
    <w:p w14:paraId="67EB1DF7" w14:textId="77777777" w:rsidR="001759B5" w:rsidRDefault="001759B5" w:rsidP="001759B5">
      <w:pPr>
        <w:jc w:val="center"/>
        <w:rPr>
          <w:rFonts w:ascii="Book Antiqua" w:hAnsi="Book Antiqua"/>
          <w:lang w:eastAsia="zh-CN"/>
        </w:rPr>
      </w:pPr>
    </w:p>
    <w:p w14:paraId="41E96E10" w14:textId="77777777" w:rsidR="001759B5" w:rsidRDefault="001759B5" w:rsidP="001759B5">
      <w:pPr>
        <w:jc w:val="right"/>
        <w:rPr>
          <w:rFonts w:ascii="Book Antiqua" w:hAnsi="Book Antiqua"/>
          <w:color w:val="000000" w:themeColor="text1"/>
          <w:lang w:eastAsia="zh-CN"/>
        </w:rPr>
      </w:pPr>
    </w:p>
    <w:p w14:paraId="333033C8" w14:textId="77777777" w:rsidR="001759B5" w:rsidRDefault="001759B5" w:rsidP="001759B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6148C67" w14:textId="13ED6BFB" w:rsidR="00510012" w:rsidRPr="001759B5" w:rsidRDefault="00510012" w:rsidP="00FC1600">
      <w:pPr>
        <w:snapToGrid w:val="0"/>
        <w:spacing w:line="360" w:lineRule="auto"/>
        <w:jc w:val="both"/>
        <w:rPr>
          <w:rFonts w:ascii="Book Antiqua" w:hAnsi="Book Antiqua"/>
          <w:lang w:eastAsia="zh-CN"/>
        </w:rPr>
      </w:pPr>
    </w:p>
    <w:sectPr w:rsidR="00510012" w:rsidRPr="001759B5" w:rsidSect="001759B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作者" w:initials="A">
    <w:p w14:paraId="266F4CDF" w14:textId="77777777" w:rsidR="00682C4E" w:rsidRDefault="00682C4E">
      <w:pPr>
        <w:pStyle w:val="a3"/>
      </w:pPr>
      <w:r>
        <w:rPr>
          <w:rStyle w:val="ae"/>
        </w:rPr>
        <w:annotationRef/>
      </w:r>
      <w:r>
        <w:t>A space is needed between article and type in the second box down on the right.</w:t>
      </w:r>
    </w:p>
    <w:p w14:paraId="12992C94" w14:textId="6E884BA8" w:rsidR="00682C4E" w:rsidRDefault="00682C4E">
      <w:pPr>
        <w:pStyle w:val="a3"/>
      </w:pPr>
      <w:r>
        <w:t>A space is needed after the commas in the third box down on the right.</w:t>
      </w:r>
    </w:p>
  </w:comment>
  <w:comment w:id="1" w:author="作者" w:initials="A">
    <w:p w14:paraId="77D45C0A" w14:textId="1D2B361C" w:rsidR="00BB7A1B" w:rsidRDefault="00BB7A1B">
      <w:pPr>
        <w:pStyle w:val="a3"/>
      </w:pPr>
      <w:r>
        <w:rPr>
          <w:rStyle w:val="ae"/>
        </w:rPr>
        <w:annotationRef/>
      </w:r>
      <w:r>
        <w:t>Is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992C94" w15:done="0"/>
  <w15:commentEx w15:paraId="77D45C0A" w15:paraIdParent="12992C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992C94" w16cid:durableId="24772B53"/>
  <w16cid:commentId w16cid:paraId="77D45C0A" w16cid:durableId="2478F4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DED1B" w14:textId="77777777" w:rsidR="004E54C1" w:rsidRDefault="004E54C1">
      <w:r>
        <w:separator/>
      </w:r>
    </w:p>
  </w:endnote>
  <w:endnote w:type="continuationSeparator" w:id="0">
    <w:p w14:paraId="7BA2C1F3" w14:textId="77777777" w:rsidR="004E54C1" w:rsidRDefault="004E5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9DE18" w14:textId="59DF991E" w:rsidR="00510012" w:rsidRPr="00682C4E" w:rsidRDefault="001B61A7">
    <w:pPr>
      <w:pStyle w:val="a7"/>
      <w:jc w:val="right"/>
      <w:rPr>
        <w:rFonts w:ascii="Book Antiqua" w:hAnsi="Book Antiqua"/>
        <w:sz w:val="24"/>
        <w:szCs w:val="24"/>
      </w:rPr>
    </w:pPr>
    <w:r>
      <w:rPr>
        <w:color w:val="4F81BD" w:themeColor="accent1"/>
        <w:lang w:val="zh-CN" w:eastAsia="zh-CN"/>
      </w:rPr>
      <w:t xml:space="preserve"> </w:t>
    </w:r>
    <w:r w:rsidRPr="00682C4E">
      <w:rPr>
        <w:rFonts w:ascii="Book Antiqua" w:hAnsi="Book Antiqua"/>
        <w:sz w:val="24"/>
        <w:szCs w:val="24"/>
      </w:rPr>
      <w:fldChar w:fldCharType="begin"/>
    </w:r>
    <w:r w:rsidRPr="00682C4E">
      <w:rPr>
        <w:rFonts w:ascii="Book Antiqua" w:hAnsi="Book Antiqua"/>
        <w:sz w:val="24"/>
        <w:szCs w:val="24"/>
      </w:rPr>
      <w:instrText>PAGE  \* Arabic  \* MERGEFORMAT</w:instrText>
    </w:r>
    <w:r w:rsidRPr="00682C4E">
      <w:rPr>
        <w:rFonts w:ascii="Book Antiqua" w:hAnsi="Book Antiqua"/>
        <w:sz w:val="24"/>
        <w:szCs w:val="24"/>
      </w:rPr>
      <w:fldChar w:fldCharType="separate"/>
    </w:r>
    <w:r w:rsidR="00BB7A1B" w:rsidRPr="00BB7A1B">
      <w:rPr>
        <w:rFonts w:ascii="Book Antiqua" w:hAnsi="Book Antiqua"/>
        <w:noProof/>
        <w:sz w:val="24"/>
        <w:szCs w:val="24"/>
        <w:lang w:val="zh-CN" w:eastAsia="zh-CN"/>
      </w:rPr>
      <w:t>20</w:t>
    </w:r>
    <w:r w:rsidRPr="00682C4E">
      <w:rPr>
        <w:rFonts w:ascii="Book Antiqua" w:hAnsi="Book Antiqua"/>
        <w:sz w:val="24"/>
        <w:szCs w:val="24"/>
      </w:rPr>
      <w:fldChar w:fldCharType="end"/>
    </w:r>
    <w:r w:rsidRPr="00682C4E">
      <w:rPr>
        <w:rFonts w:ascii="Book Antiqua" w:hAnsi="Book Antiqua"/>
        <w:sz w:val="24"/>
        <w:szCs w:val="24"/>
        <w:lang w:val="zh-CN" w:eastAsia="zh-CN"/>
      </w:rPr>
      <w:t xml:space="preserve"> / </w:t>
    </w:r>
    <w:r w:rsidRPr="00682C4E">
      <w:rPr>
        <w:rFonts w:ascii="Book Antiqua" w:hAnsi="Book Antiqua"/>
        <w:sz w:val="24"/>
        <w:szCs w:val="24"/>
      </w:rPr>
      <w:fldChar w:fldCharType="begin"/>
    </w:r>
    <w:r w:rsidRPr="00682C4E">
      <w:rPr>
        <w:rFonts w:ascii="Book Antiqua" w:hAnsi="Book Antiqua"/>
        <w:sz w:val="24"/>
        <w:szCs w:val="24"/>
      </w:rPr>
      <w:instrText>NUMPAGES  \* Arabic  \* MERGEFORMAT</w:instrText>
    </w:r>
    <w:r w:rsidRPr="00682C4E">
      <w:rPr>
        <w:rFonts w:ascii="Book Antiqua" w:hAnsi="Book Antiqua"/>
        <w:sz w:val="24"/>
        <w:szCs w:val="24"/>
      </w:rPr>
      <w:fldChar w:fldCharType="separate"/>
    </w:r>
    <w:r w:rsidR="00BB7A1B" w:rsidRPr="00BB7A1B">
      <w:rPr>
        <w:rFonts w:ascii="Book Antiqua" w:hAnsi="Book Antiqua"/>
        <w:noProof/>
        <w:sz w:val="24"/>
        <w:szCs w:val="24"/>
        <w:lang w:val="zh-CN" w:eastAsia="zh-CN"/>
      </w:rPr>
      <w:t>25</w:t>
    </w:r>
    <w:r w:rsidRPr="00682C4E">
      <w:rPr>
        <w:rFonts w:ascii="Book Antiqua" w:hAnsi="Book Antiqua"/>
        <w:sz w:val="24"/>
        <w:szCs w:val="24"/>
      </w:rPr>
      <w:fldChar w:fldCharType="end"/>
    </w:r>
  </w:p>
  <w:p w14:paraId="7AFA248B" w14:textId="77777777" w:rsidR="00510012" w:rsidRDefault="0051001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A3809" w14:textId="77777777" w:rsidR="004E54C1" w:rsidRDefault="004E54C1">
      <w:r>
        <w:separator/>
      </w:r>
    </w:p>
  </w:footnote>
  <w:footnote w:type="continuationSeparator" w:id="0">
    <w:p w14:paraId="6689724A" w14:textId="77777777" w:rsidR="004E54C1" w:rsidRDefault="004E54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41A"/>
    <w:rsid w:val="000054BC"/>
    <w:rsid w:val="0002042D"/>
    <w:rsid w:val="0003606C"/>
    <w:rsid w:val="000A1BC3"/>
    <w:rsid w:val="000E7D3C"/>
    <w:rsid w:val="000F46F5"/>
    <w:rsid w:val="00136192"/>
    <w:rsid w:val="00165A97"/>
    <w:rsid w:val="00173067"/>
    <w:rsid w:val="001759B5"/>
    <w:rsid w:val="00185CF6"/>
    <w:rsid w:val="001A347A"/>
    <w:rsid w:val="001B61A7"/>
    <w:rsid w:val="001C6F6C"/>
    <w:rsid w:val="001D564F"/>
    <w:rsid w:val="001D6E69"/>
    <w:rsid w:val="001E3214"/>
    <w:rsid w:val="001F2ED5"/>
    <w:rsid w:val="002210C0"/>
    <w:rsid w:val="00231810"/>
    <w:rsid w:val="00244E05"/>
    <w:rsid w:val="00286279"/>
    <w:rsid w:val="002C4222"/>
    <w:rsid w:val="002F0CE5"/>
    <w:rsid w:val="00316ACC"/>
    <w:rsid w:val="00321F1F"/>
    <w:rsid w:val="003C4980"/>
    <w:rsid w:val="003E1E2E"/>
    <w:rsid w:val="004337AC"/>
    <w:rsid w:val="0045588B"/>
    <w:rsid w:val="004560E8"/>
    <w:rsid w:val="00467400"/>
    <w:rsid w:val="0048759B"/>
    <w:rsid w:val="004934F7"/>
    <w:rsid w:val="004A0BFD"/>
    <w:rsid w:val="004C434C"/>
    <w:rsid w:val="004E54C1"/>
    <w:rsid w:val="004F136D"/>
    <w:rsid w:val="004F19AB"/>
    <w:rsid w:val="004F5052"/>
    <w:rsid w:val="00510012"/>
    <w:rsid w:val="0056433E"/>
    <w:rsid w:val="005737CA"/>
    <w:rsid w:val="005B3717"/>
    <w:rsid w:val="005B4423"/>
    <w:rsid w:val="005F31EF"/>
    <w:rsid w:val="00604936"/>
    <w:rsid w:val="006053CF"/>
    <w:rsid w:val="00682C4E"/>
    <w:rsid w:val="0068583F"/>
    <w:rsid w:val="006A22F4"/>
    <w:rsid w:val="006A4CE9"/>
    <w:rsid w:val="006E4DF5"/>
    <w:rsid w:val="00705D3D"/>
    <w:rsid w:val="007104FF"/>
    <w:rsid w:val="007152ED"/>
    <w:rsid w:val="0071549D"/>
    <w:rsid w:val="007471D6"/>
    <w:rsid w:val="00751DE6"/>
    <w:rsid w:val="00792F37"/>
    <w:rsid w:val="007D7396"/>
    <w:rsid w:val="0080255C"/>
    <w:rsid w:val="00811AA6"/>
    <w:rsid w:val="00824FC9"/>
    <w:rsid w:val="008351BF"/>
    <w:rsid w:val="0085127A"/>
    <w:rsid w:val="00874951"/>
    <w:rsid w:val="008762FD"/>
    <w:rsid w:val="00891D8C"/>
    <w:rsid w:val="00893600"/>
    <w:rsid w:val="00895283"/>
    <w:rsid w:val="008B5FCF"/>
    <w:rsid w:val="008E355A"/>
    <w:rsid w:val="0091391C"/>
    <w:rsid w:val="00945E40"/>
    <w:rsid w:val="009532E4"/>
    <w:rsid w:val="009618EC"/>
    <w:rsid w:val="00995131"/>
    <w:rsid w:val="009A6017"/>
    <w:rsid w:val="009B0ACD"/>
    <w:rsid w:val="009E6A70"/>
    <w:rsid w:val="00A041BE"/>
    <w:rsid w:val="00A771AD"/>
    <w:rsid w:val="00A77B3E"/>
    <w:rsid w:val="00A854DC"/>
    <w:rsid w:val="00A85996"/>
    <w:rsid w:val="00AD4AAA"/>
    <w:rsid w:val="00B444FE"/>
    <w:rsid w:val="00B90D0E"/>
    <w:rsid w:val="00BA37DC"/>
    <w:rsid w:val="00BA4D8B"/>
    <w:rsid w:val="00BB7271"/>
    <w:rsid w:val="00BB7A1B"/>
    <w:rsid w:val="00BC03BB"/>
    <w:rsid w:val="00BD3372"/>
    <w:rsid w:val="00C12986"/>
    <w:rsid w:val="00C15454"/>
    <w:rsid w:val="00C32295"/>
    <w:rsid w:val="00C342B1"/>
    <w:rsid w:val="00C43D5B"/>
    <w:rsid w:val="00C45C8F"/>
    <w:rsid w:val="00CA2A55"/>
    <w:rsid w:val="00CA555B"/>
    <w:rsid w:val="00CC20E3"/>
    <w:rsid w:val="00D55FA6"/>
    <w:rsid w:val="00D61A95"/>
    <w:rsid w:val="00D8617A"/>
    <w:rsid w:val="00D873C0"/>
    <w:rsid w:val="00DA3DAF"/>
    <w:rsid w:val="00DC56D5"/>
    <w:rsid w:val="00DC59AD"/>
    <w:rsid w:val="00DD0CA5"/>
    <w:rsid w:val="00DD2E5E"/>
    <w:rsid w:val="00E10348"/>
    <w:rsid w:val="00E35EB6"/>
    <w:rsid w:val="00E3756A"/>
    <w:rsid w:val="00E40D91"/>
    <w:rsid w:val="00E62FF4"/>
    <w:rsid w:val="00E660C1"/>
    <w:rsid w:val="00E97FB7"/>
    <w:rsid w:val="00EC0CDB"/>
    <w:rsid w:val="00EC2EC9"/>
    <w:rsid w:val="00EC5A3F"/>
    <w:rsid w:val="00EC7F7F"/>
    <w:rsid w:val="00EE4EE2"/>
    <w:rsid w:val="00F07057"/>
    <w:rsid w:val="00F3606A"/>
    <w:rsid w:val="00F547A0"/>
    <w:rsid w:val="00FA6387"/>
    <w:rsid w:val="00FC1600"/>
    <w:rsid w:val="02BD7E95"/>
    <w:rsid w:val="17C31F79"/>
    <w:rsid w:val="1B1860AA"/>
    <w:rsid w:val="529A636F"/>
    <w:rsid w:val="6E62725E"/>
    <w:rsid w:val="7DB037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D7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rFonts w:ascii="Segoe UI" w:hAnsi="Segoe UI" w:cs="Segoe UI"/>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Hyperlink"/>
    <w:basedOn w:val="a0"/>
    <w:unhideWhenUsed/>
    <w:qFormat/>
    <w:rPr>
      <w:color w:val="0000FF" w:themeColor="hyperlink"/>
      <w:u w:val="single"/>
    </w:rPr>
  </w:style>
  <w:style w:type="character" w:styleId="ae">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table" w:customStyle="1" w:styleId="GridTable6Colorful1">
    <w:name w:val="Grid Table 6 Colorful1"/>
    <w:basedOn w:val="a1"/>
    <w:rPr>
      <w:rFonts w:eastAsia="Times New Roman"/>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ascii="Times New Roman" w:hAnsi="Times New Roman" w:cs="Times New Roman" w:hint="default"/>
        <w:b/>
        <w:bCs/>
      </w:rPr>
      <w:tblPr/>
      <w:tcPr>
        <w:tcBorders>
          <w:bottom w:val="single" w:sz="12" w:space="0" w:color="666666"/>
        </w:tcBorders>
      </w:tcPr>
    </w:tblStylePr>
    <w:tblStylePr w:type="lastRow">
      <w:rPr>
        <w:rFonts w:ascii="Times New Roman" w:hAnsi="Times New Roman" w:cs="Times New Roman" w:hint="default"/>
        <w:b/>
        <w:bCs/>
      </w:rPr>
      <w:tblPr/>
      <w:tcPr>
        <w:tcBorders>
          <w:top w:val="double" w:sz="2" w:space="0" w:color="66666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character" w:customStyle="1" w:styleId="jlqj4b">
    <w:name w:val="jlqj4b"/>
    <w:basedOn w:val="a0"/>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15">
    <w:name w:val="15"/>
    <w:basedOn w:val="a0"/>
    <w:qFormat/>
    <w:rPr>
      <w:rFonts w:ascii="Times New Roman" w:hAnsi="Times New Roman" w:cs="Times New Roman" w:hint="default"/>
      <w:color w:val="0000FF"/>
      <w:u w:val="single"/>
    </w:rPr>
  </w:style>
  <w:style w:type="character" w:customStyle="1" w:styleId="a6">
    <w:name w:val="批注框文本 字符"/>
    <w:basedOn w:val="a0"/>
    <w:link w:val="a5"/>
    <w:rPr>
      <w:rFonts w:ascii="Segoe UI" w:hAnsi="Segoe UI" w:cs="Segoe UI"/>
      <w:sz w:val="18"/>
      <w:szCs w:val="18"/>
    </w:rPr>
  </w:style>
  <w:style w:type="paragraph" w:styleId="af">
    <w:name w:val="Revision"/>
    <w:hidden/>
    <w:uiPriority w:val="99"/>
    <w:semiHidden/>
    <w:rsid w:val="004F136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99609">
      <w:bodyDiv w:val="1"/>
      <w:marLeft w:val="0"/>
      <w:marRight w:val="0"/>
      <w:marTop w:val="0"/>
      <w:marBottom w:val="0"/>
      <w:divBdr>
        <w:top w:val="none" w:sz="0" w:space="0" w:color="auto"/>
        <w:left w:val="none" w:sz="0" w:space="0" w:color="auto"/>
        <w:bottom w:val="none" w:sz="0" w:space="0" w:color="auto"/>
        <w:right w:val="none" w:sz="0" w:space="0" w:color="auto"/>
      </w:divBdr>
    </w:div>
    <w:div w:id="744766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soud.keykha90@gmail.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4975</Words>
  <Characters>28364</Characters>
  <Application>Microsoft Office Word</Application>
  <DocSecurity>0</DocSecurity>
  <Lines>236</Lines>
  <Paragraphs>66</Paragraphs>
  <ScaleCrop>false</ScaleCrop>
  <Manager/>
  <Company/>
  <LinksUpToDate>false</LinksUpToDate>
  <CharactersWithSpaces>33273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2021-06-20T04:54:00Z</dcterms:created>
  <dcterms:modified xsi:type="dcterms:W3CDTF">2021-07-12T03:55:00Z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239B2A1CFBF74355944E0B1375257F61</vt:lpwstr>
  </property>
</Properties>
</file>