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D1459"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Name of Journal: </w:t>
      </w:r>
      <w:r w:rsidRPr="00682C4E">
        <w:rPr>
          <w:rFonts w:ascii="Book Antiqua" w:eastAsia="Book Antiqua" w:hAnsi="Book Antiqua" w:cs="Book Antiqua"/>
          <w:i/>
          <w:color w:val="000000"/>
        </w:rPr>
        <w:t>World Journal of Meta-Analysis</w:t>
      </w:r>
    </w:p>
    <w:p w14:paraId="72126DE0"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Manuscript NO: </w:t>
      </w:r>
      <w:r w:rsidRPr="00682C4E">
        <w:rPr>
          <w:rFonts w:ascii="Book Antiqua" w:eastAsia="Book Antiqua" w:hAnsi="Book Antiqua" w:cs="Book Antiqua"/>
          <w:color w:val="000000"/>
        </w:rPr>
        <w:t>67420</w:t>
      </w:r>
    </w:p>
    <w:p w14:paraId="480E1885"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Manuscript Type: </w:t>
      </w:r>
      <w:r w:rsidRPr="00682C4E">
        <w:rPr>
          <w:rFonts w:ascii="Book Antiqua" w:eastAsia="Book Antiqua" w:hAnsi="Book Antiqua" w:cs="Book Antiqua"/>
          <w:color w:val="000000"/>
        </w:rPr>
        <w:t>META-ANALYSIS</w:t>
      </w:r>
    </w:p>
    <w:p w14:paraId="5FCF80C1" w14:textId="77777777" w:rsidR="00510012" w:rsidRPr="00682C4E" w:rsidRDefault="00510012" w:rsidP="00FC1600">
      <w:pPr>
        <w:snapToGrid w:val="0"/>
        <w:spacing w:line="360" w:lineRule="auto"/>
        <w:jc w:val="both"/>
        <w:rPr>
          <w:rFonts w:ascii="Book Antiqua" w:hAnsi="Book Antiqua"/>
        </w:rPr>
      </w:pPr>
    </w:p>
    <w:p w14:paraId="368B4F2B" w14:textId="0AE781A9"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Extraintestinal infection of </w:t>
      </w:r>
      <w:r w:rsidR="00682C4E" w:rsidRPr="00FC1600">
        <w:rPr>
          <w:rFonts w:ascii="Book Antiqua" w:eastAsia="Book Antiqua" w:hAnsi="Book Antiqua" w:cs="Book Antiqua"/>
          <w:b/>
          <w:i/>
          <w:iCs/>
          <w:color w:val="000000"/>
        </w:rPr>
        <w:t>L</w:t>
      </w:r>
      <w:r w:rsidRPr="00FC1600">
        <w:rPr>
          <w:rFonts w:ascii="Book Antiqua" w:eastAsia="Book Antiqua" w:hAnsi="Book Antiqua" w:cs="Book Antiqua"/>
          <w:b/>
          <w:i/>
          <w:iCs/>
          <w:color w:val="000000"/>
        </w:rPr>
        <w:t>isteria monocytogenes</w:t>
      </w:r>
      <w:r w:rsidRPr="00682C4E">
        <w:rPr>
          <w:rFonts w:ascii="Book Antiqua" w:eastAsia="Book Antiqua" w:hAnsi="Book Antiqua" w:cs="Book Antiqua"/>
          <w:b/>
          <w:color w:val="000000"/>
        </w:rPr>
        <w:t xml:space="preserve"> and susceptibility to spontaneous abortion during pregnancy: A systematic review and meta-analysis</w:t>
      </w:r>
    </w:p>
    <w:p w14:paraId="19690368" w14:textId="77777777" w:rsidR="00510012" w:rsidRPr="00682C4E" w:rsidRDefault="00510012" w:rsidP="00FC1600">
      <w:pPr>
        <w:snapToGrid w:val="0"/>
        <w:spacing w:line="360" w:lineRule="auto"/>
        <w:jc w:val="both"/>
        <w:rPr>
          <w:rFonts w:ascii="Book Antiqua" w:hAnsi="Book Antiqua"/>
        </w:rPr>
      </w:pPr>
    </w:p>
    <w:p w14:paraId="6CB47E00"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Yousefi A </w:t>
      </w:r>
      <w:r w:rsidRPr="00682C4E">
        <w:rPr>
          <w:rFonts w:ascii="Book Antiqua" w:eastAsia="Book Antiqua" w:hAnsi="Book Antiqua" w:cs="Book Antiqua"/>
          <w:i/>
          <w:iCs/>
          <w:color w:val="000000"/>
        </w:rPr>
        <w:t>et al</w:t>
      </w:r>
      <w:r w:rsidRPr="00682C4E">
        <w:rPr>
          <w:rFonts w:ascii="Book Antiqua" w:eastAsia="Book Antiqua" w:hAnsi="Book Antiqua" w:cs="Book Antiqua"/>
          <w:color w:val="000000"/>
        </w:rPr>
        <w:t xml:space="preserve">. </w:t>
      </w:r>
      <w:r w:rsidRPr="00FC1600">
        <w:rPr>
          <w:rFonts w:ascii="Book Antiqua" w:eastAsia="Book Antiqua" w:hAnsi="Book Antiqua" w:cs="Book Antiqua"/>
          <w:i/>
          <w:iCs/>
          <w:color w:val="000000"/>
        </w:rPr>
        <w:t>Listeria monocytogenes</w:t>
      </w:r>
      <w:r w:rsidRPr="00682C4E">
        <w:rPr>
          <w:rFonts w:ascii="Book Antiqua" w:eastAsia="Book Antiqua" w:hAnsi="Book Antiqua" w:cs="Book Antiqua"/>
          <w:color w:val="000000"/>
        </w:rPr>
        <w:t xml:space="preserve"> and spontaneous abortion</w:t>
      </w:r>
    </w:p>
    <w:p w14:paraId="6352C24E" w14:textId="77777777" w:rsidR="00510012" w:rsidRPr="00682C4E" w:rsidRDefault="00510012" w:rsidP="00FC1600">
      <w:pPr>
        <w:snapToGrid w:val="0"/>
        <w:spacing w:line="360" w:lineRule="auto"/>
        <w:jc w:val="both"/>
        <w:rPr>
          <w:rFonts w:ascii="Book Antiqua" w:hAnsi="Book Antiqua"/>
        </w:rPr>
      </w:pPr>
    </w:p>
    <w:p w14:paraId="78F5115C"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Amir Yousefi, Mohsen Karbalaei, Masoud Keikha</w:t>
      </w:r>
    </w:p>
    <w:p w14:paraId="6CA7ED41" w14:textId="77777777" w:rsidR="00510012" w:rsidRPr="00682C4E" w:rsidRDefault="00510012" w:rsidP="00FC1600">
      <w:pPr>
        <w:snapToGrid w:val="0"/>
        <w:spacing w:line="360" w:lineRule="auto"/>
        <w:jc w:val="both"/>
        <w:rPr>
          <w:rFonts w:ascii="Book Antiqua" w:hAnsi="Book Antiqua"/>
        </w:rPr>
      </w:pPr>
    </w:p>
    <w:p w14:paraId="0145DA1E"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Amir Yousefi, Masoud Keikha, </w:t>
      </w:r>
      <w:r w:rsidRPr="00682C4E">
        <w:rPr>
          <w:rFonts w:ascii="Book Antiqua" w:eastAsia="Book Antiqua" w:hAnsi="Book Antiqua" w:cs="Book Antiqua"/>
          <w:color w:val="000000"/>
        </w:rPr>
        <w:t>Department of Microbiology and Virology, Faculty of Medicine, Mashhad University of Medical Sciences, Mashhad 1313199137, Iran</w:t>
      </w:r>
    </w:p>
    <w:p w14:paraId="6FCD5BFB" w14:textId="77777777" w:rsidR="00510012" w:rsidRPr="00682C4E" w:rsidRDefault="00510012" w:rsidP="00FC1600">
      <w:pPr>
        <w:snapToGrid w:val="0"/>
        <w:spacing w:line="360" w:lineRule="auto"/>
        <w:jc w:val="both"/>
        <w:rPr>
          <w:rFonts w:ascii="Book Antiqua" w:hAnsi="Book Antiqua"/>
        </w:rPr>
      </w:pPr>
    </w:p>
    <w:p w14:paraId="344E9709"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Mohsen Karbalaei, </w:t>
      </w:r>
      <w:r w:rsidRPr="00682C4E">
        <w:rPr>
          <w:rFonts w:ascii="Book Antiqua" w:eastAsia="Book Antiqua" w:hAnsi="Book Antiqua" w:cs="Book Antiqua"/>
          <w:color w:val="000000"/>
        </w:rPr>
        <w:t>Department of Microbiology and Virology, School of Medicine, Jiroft University of Medical Sciences, Jiroft 1313199137, Iran</w:t>
      </w:r>
    </w:p>
    <w:p w14:paraId="4604F409" w14:textId="77777777" w:rsidR="00510012" w:rsidRPr="00682C4E" w:rsidRDefault="00510012" w:rsidP="00FC1600">
      <w:pPr>
        <w:snapToGrid w:val="0"/>
        <w:spacing w:line="360" w:lineRule="auto"/>
        <w:jc w:val="both"/>
        <w:rPr>
          <w:rFonts w:ascii="Book Antiqua" w:hAnsi="Book Antiqua"/>
        </w:rPr>
      </w:pPr>
    </w:p>
    <w:p w14:paraId="4712C6D9" w14:textId="6E65EE6F"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Author contributions: </w:t>
      </w:r>
      <w:r w:rsidRPr="00682C4E">
        <w:rPr>
          <w:rFonts w:ascii="Book Antiqua" w:eastAsia="Book Antiqua" w:hAnsi="Book Antiqua" w:cs="Book Antiqua"/>
          <w:color w:val="000000"/>
        </w:rPr>
        <w:t xml:space="preserve">The study was conceived by Keikha M; Keikha M and Karbalaei M analyzed the data; Yousefi A and Karbalaei M wrote the draft; Keikha M provided critical analysis and revision the draft; </w:t>
      </w:r>
      <w:r w:rsidR="00B444FE">
        <w:rPr>
          <w:rFonts w:ascii="Book Antiqua" w:eastAsia="Book Antiqua" w:hAnsi="Book Antiqua" w:cs="Book Antiqua"/>
          <w:color w:val="000000"/>
        </w:rPr>
        <w:t>A</w:t>
      </w:r>
      <w:r w:rsidRPr="00682C4E">
        <w:rPr>
          <w:rFonts w:ascii="Book Antiqua" w:eastAsia="Book Antiqua" w:hAnsi="Book Antiqua" w:cs="Book Antiqua"/>
          <w:color w:val="000000"/>
        </w:rPr>
        <w:t xml:space="preserve">ll authors read and approved the final manuscript. </w:t>
      </w:r>
    </w:p>
    <w:p w14:paraId="36635AE9" w14:textId="77777777" w:rsidR="00510012" w:rsidRPr="00682C4E" w:rsidRDefault="00510012" w:rsidP="00FC1600">
      <w:pPr>
        <w:snapToGrid w:val="0"/>
        <w:spacing w:line="360" w:lineRule="auto"/>
        <w:jc w:val="both"/>
        <w:rPr>
          <w:rFonts w:ascii="Book Antiqua" w:hAnsi="Book Antiqua"/>
        </w:rPr>
      </w:pPr>
    </w:p>
    <w:p w14:paraId="1CA35B96"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Corresponding author: Masoud Keikha, PhD, Doctor, Instructor, Teaching Assistant, </w:t>
      </w:r>
      <w:r w:rsidRPr="00682C4E">
        <w:rPr>
          <w:rFonts w:ascii="Book Antiqua" w:eastAsia="Book Antiqua" w:hAnsi="Book Antiqua" w:cs="Book Antiqua"/>
          <w:color w:val="000000"/>
        </w:rPr>
        <w:t xml:space="preserve">Department of Microbiology and Virology, Faculty of Medicine, Mashhad University of Medical Sciences, Qoreishi Center, Daneshgah </w:t>
      </w:r>
      <w:r w:rsidRPr="00682C4E">
        <w:rPr>
          <w:rFonts w:ascii="Book Antiqua" w:eastAsia="Book Antiqua" w:hAnsi="Book Antiqua" w:cs="Book Antiqua"/>
          <w:caps/>
          <w:color w:val="000000"/>
        </w:rPr>
        <w:t>s</w:t>
      </w:r>
      <w:r w:rsidRPr="00682C4E">
        <w:rPr>
          <w:rFonts w:ascii="Book Antiqua" w:eastAsia="Book Antiqua" w:hAnsi="Book Antiqua" w:cs="Book Antiqua"/>
          <w:color w:val="000000"/>
        </w:rPr>
        <w:t>t</w:t>
      </w:r>
      <w:r w:rsidR="00E35EB6" w:rsidRPr="00682C4E">
        <w:rPr>
          <w:rFonts w:ascii="Book Antiqua" w:eastAsia="Book Antiqua" w:hAnsi="Book Antiqua" w:cs="Book Antiqua"/>
          <w:color w:val="000000"/>
        </w:rPr>
        <w:t>reet</w:t>
      </w:r>
      <w:r w:rsidRPr="00682C4E">
        <w:rPr>
          <w:rFonts w:ascii="Book Antiqua" w:eastAsia="Book Antiqua" w:hAnsi="Book Antiqua" w:cs="Book Antiqua"/>
          <w:color w:val="000000"/>
        </w:rPr>
        <w:t>, Mashhad 1313199137, Iran</w:t>
      </w:r>
      <w:r w:rsidRPr="00682C4E">
        <w:rPr>
          <w:rFonts w:ascii="Book Antiqua" w:eastAsia="SimSun" w:hAnsi="Book Antiqua" w:cs="Book Antiqua"/>
          <w:color w:val="000000"/>
          <w:lang w:eastAsia="zh-CN"/>
        </w:rPr>
        <w:t>.</w:t>
      </w:r>
      <w:r w:rsidRPr="00682C4E">
        <w:rPr>
          <w:rFonts w:ascii="Book Antiqua" w:eastAsia="Book Antiqua" w:hAnsi="Book Antiqua" w:cs="Book Antiqua"/>
          <w:color w:val="000000"/>
        </w:rPr>
        <w:t xml:space="preserve"> </w:t>
      </w:r>
      <w:hyperlink r:id="rId7" w:history="1">
        <w:r w:rsidRPr="00682C4E">
          <w:rPr>
            <w:rStyle w:val="Hyperlink"/>
            <w:rFonts w:ascii="Book Antiqua" w:eastAsia="Book Antiqua" w:hAnsi="Book Antiqua" w:cs="Book Antiqua"/>
            <w:color w:val="auto"/>
            <w:u w:val="none"/>
          </w:rPr>
          <w:t>masoud.keykha90@gmail.com</w:t>
        </w:r>
      </w:hyperlink>
    </w:p>
    <w:p w14:paraId="41FD5326" w14:textId="77777777" w:rsidR="00510012" w:rsidRPr="00682C4E" w:rsidRDefault="00510012" w:rsidP="00FC1600">
      <w:pPr>
        <w:snapToGrid w:val="0"/>
        <w:spacing w:line="360" w:lineRule="auto"/>
        <w:jc w:val="both"/>
        <w:rPr>
          <w:rFonts w:ascii="Book Antiqua" w:hAnsi="Book Antiqua"/>
        </w:rPr>
      </w:pPr>
    </w:p>
    <w:p w14:paraId="2E6BA17D"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Received: </w:t>
      </w:r>
      <w:r w:rsidRPr="00682C4E">
        <w:rPr>
          <w:rFonts w:ascii="Book Antiqua" w:eastAsia="Book Antiqua" w:hAnsi="Book Antiqua" w:cs="Book Antiqua"/>
          <w:color w:val="000000"/>
        </w:rPr>
        <w:t>April 23, 2021</w:t>
      </w:r>
    </w:p>
    <w:p w14:paraId="721EF33A"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Revised: </w:t>
      </w:r>
      <w:r w:rsidRPr="00682C4E">
        <w:rPr>
          <w:rFonts w:ascii="Book Antiqua" w:hAnsi="Book Antiqua"/>
        </w:rPr>
        <w:t>June 13, 2021</w:t>
      </w:r>
    </w:p>
    <w:p w14:paraId="2865E877"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Accepted: </w:t>
      </w:r>
      <w:r w:rsidR="00244E05" w:rsidRPr="00682C4E">
        <w:rPr>
          <w:rFonts w:ascii="Book Antiqua" w:eastAsia="Book Antiqua" w:hAnsi="Book Antiqua" w:cs="Book Antiqua"/>
          <w:bCs/>
          <w:color w:val="000000"/>
        </w:rPr>
        <w:t>June 16, 2021</w:t>
      </w:r>
    </w:p>
    <w:p w14:paraId="2030E82D" w14:textId="2E08F36B" w:rsidR="00682C4E" w:rsidRDefault="001B61A7" w:rsidP="00FC1600">
      <w:pPr>
        <w:snapToGrid w:val="0"/>
        <w:spacing w:line="360" w:lineRule="auto"/>
        <w:jc w:val="both"/>
        <w:rPr>
          <w:rFonts w:ascii="Book Antiqua" w:eastAsia="Book Antiqua" w:hAnsi="Book Antiqua" w:cs="Book Antiqua"/>
          <w:b/>
          <w:color w:val="000000"/>
        </w:rPr>
      </w:pPr>
      <w:r w:rsidRPr="00682C4E">
        <w:rPr>
          <w:rFonts w:ascii="Book Antiqua" w:eastAsia="Book Antiqua" w:hAnsi="Book Antiqua" w:cs="Book Antiqua"/>
          <w:b/>
          <w:bCs/>
          <w:color w:val="000000"/>
        </w:rPr>
        <w:lastRenderedPageBreak/>
        <w:t xml:space="preserve">Published online: </w:t>
      </w:r>
      <w:r w:rsidR="00682C4E">
        <w:rPr>
          <w:rFonts w:ascii="Book Antiqua" w:eastAsia="Book Antiqua" w:hAnsi="Book Antiqua" w:cs="Book Antiqua"/>
          <w:b/>
          <w:color w:val="000000"/>
        </w:rPr>
        <w:br w:type="page"/>
      </w:r>
    </w:p>
    <w:p w14:paraId="7BEDAA2E" w14:textId="713BDA41"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lastRenderedPageBreak/>
        <w:t>Abstract</w:t>
      </w:r>
    </w:p>
    <w:p w14:paraId="67A6A6FC"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BACKGROUND</w:t>
      </w:r>
    </w:p>
    <w:p w14:paraId="7F61108C"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i/>
          <w:iCs/>
          <w:color w:val="000000"/>
        </w:rPr>
        <w:t>Listeria monocytogenes</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is one of the most important zoonotic bacteria that is transmitted to humans through infected animal products and is the cause of human listeriosis. Pregnant women and immunocompromised patients are more susceptible to the bacterium than healthy people. Recent studies have reported extensive evidence on the role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and the risk of spontaneous abortion. </w:t>
      </w:r>
    </w:p>
    <w:p w14:paraId="49C4C67E" w14:textId="77777777" w:rsidR="00510012" w:rsidRPr="00682C4E" w:rsidRDefault="00510012" w:rsidP="00FC1600">
      <w:pPr>
        <w:snapToGrid w:val="0"/>
        <w:spacing w:line="360" w:lineRule="auto"/>
        <w:jc w:val="both"/>
        <w:rPr>
          <w:rFonts w:ascii="Book Antiqua" w:hAnsi="Book Antiqua"/>
        </w:rPr>
      </w:pPr>
    </w:p>
    <w:p w14:paraId="1CFF9E87"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AIM</w:t>
      </w:r>
    </w:p>
    <w:p w14:paraId="157150DA" w14:textId="77777777" w:rsidR="00510012" w:rsidRPr="00682C4E" w:rsidRDefault="001B61A7" w:rsidP="00FC1600">
      <w:pPr>
        <w:snapToGrid w:val="0"/>
        <w:spacing w:line="360" w:lineRule="auto"/>
        <w:jc w:val="both"/>
        <w:rPr>
          <w:rFonts w:ascii="Book Antiqua" w:eastAsia="Book Antiqua" w:hAnsi="Book Antiqua" w:cs="Book Antiqua"/>
          <w:color w:val="000000"/>
        </w:rPr>
      </w:pPr>
      <w:r w:rsidRPr="00682C4E">
        <w:rPr>
          <w:rFonts w:ascii="Book Antiqua" w:eastAsia="Book Antiqua" w:hAnsi="Book Antiqua" w:cs="Book Antiqua"/>
          <w:color w:val="000000"/>
        </w:rPr>
        <w:t xml:space="preserve">To evaluate the possible connection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 the risk of spontaneous abortion in pregnancy.</w:t>
      </w:r>
    </w:p>
    <w:p w14:paraId="37376A53" w14:textId="77777777" w:rsidR="00510012" w:rsidRPr="00682C4E" w:rsidRDefault="00510012" w:rsidP="00FC1600">
      <w:pPr>
        <w:snapToGrid w:val="0"/>
        <w:spacing w:line="360" w:lineRule="auto"/>
        <w:jc w:val="both"/>
        <w:rPr>
          <w:rFonts w:ascii="Book Antiqua" w:hAnsi="Book Antiqua"/>
        </w:rPr>
      </w:pPr>
    </w:p>
    <w:p w14:paraId="63F6D5A8"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METHODS</w:t>
      </w:r>
    </w:p>
    <w:p w14:paraId="0F6F7044"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We conducted a systematic literature review using several databases to search the relevant case-control studies on the association between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and spontaneous abortion. Finally, the impact of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and risk of spontaneous abortion was assessed </w:t>
      </w:r>
      <w:r w:rsidRPr="00682C4E">
        <w:rPr>
          <w:rFonts w:ascii="Book Antiqua" w:eastAsia="Book Antiqua" w:hAnsi="Book Antiqua" w:cs="Book Antiqua"/>
          <w:i/>
          <w:iCs/>
          <w:color w:val="000000"/>
        </w:rPr>
        <w:t>via</w:t>
      </w:r>
      <w:r w:rsidRPr="00682C4E">
        <w:rPr>
          <w:rFonts w:ascii="Book Antiqua" w:eastAsia="Book Antiqua" w:hAnsi="Book Antiqua" w:cs="Book Antiqua"/>
          <w:color w:val="000000"/>
        </w:rPr>
        <w:t xml:space="preserve"> odds ratio at corresponding 95% confidence intervals.</w:t>
      </w:r>
    </w:p>
    <w:p w14:paraId="41329933" w14:textId="77777777" w:rsidR="00510012" w:rsidRPr="00682C4E" w:rsidRDefault="00510012" w:rsidP="00FC1600">
      <w:pPr>
        <w:snapToGrid w:val="0"/>
        <w:spacing w:line="360" w:lineRule="auto"/>
        <w:jc w:val="both"/>
        <w:rPr>
          <w:rFonts w:ascii="Book Antiqua" w:hAnsi="Book Antiqua"/>
        </w:rPr>
      </w:pPr>
    </w:p>
    <w:p w14:paraId="4D2C11B8"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RESULTS</w:t>
      </w:r>
    </w:p>
    <w:p w14:paraId="2EB091AB" w14:textId="286F19AD"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In the present study, we evaluated the data of 4059 pregnant women who had a spontaneous abortion, and interestingly their colonization rate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was about 20.5%. </w:t>
      </w:r>
    </w:p>
    <w:p w14:paraId="46D10E15" w14:textId="77777777" w:rsidR="00510012" w:rsidRPr="00682C4E" w:rsidRDefault="00510012" w:rsidP="00FC1600">
      <w:pPr>
        <w:snapToGrid w:val="0"/>
        <w:spacing w:line="360" w:lineRule="auto"/>
        <w:jc w:val="both"/>
        <w:rPr>
          <w:rFonts w:ascii="Book Antiqua" w:hAnsi="Book Antiqua"/>
        </w:rPr>
      </w:pPr>
    </w:p>
    <w:p w14:paraId="5D1627F9"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CONCLUSION</w:t>
      </w:r>
    </w:p>
    <w:p w14:paraId="36086E53"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Therefore, based on statistical analysis, we found that there is a significant relationship between the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and spontaneous abortion.</w:t>
      </w:r>
    </w:p>
    <w:p w14:paraId="7C7D2B15" w14:textId="77777777" w:rsidR="00510012" w:rsidRPr="00682C4E" w:rsidRDefault="00510012" w:rsidP="00FC1600">
      <w:pPr>
        <w:snapToGrid w:val="0"/>
        <w:spacing w:line="360" w:lineRule="auto"/>
        <w:jc w:val="both"/>
        <w:rPr>
          <w:rFonts w:ascii="Book Antiqua" w:hAnsi="Book Antiqua"/>
        </w:rPr>
      </w:pPr>
    </w:p>
    <w:p w14:paraId="68EAC906"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Key Words: </w:t>
      </w:r>
      <w:r w:rsidRPr="00682C4E">
        <w:rPr>
          <w:rFonts w:ascii="Book Antiqua" w:eastAsia="Book Antiqua" w:hAnsi="Book Antiqua" w:cs="Book Antiqua"/>
          <w:i/>
          <w:iCs/>
          <w:color w:val="000000"/>
        </w:rPr>
        <w:t>Listeria monocytogenes</w:t>
      </w:r>
      <w:r w:rsidRPr="00682C4E">
        <w:rPr>
          <w:rFonts w:ascii="Book Antiqua" w:eastAsia="Book Antiqua" w:hAnsi="Book Antiqua" w:cs="Book Antiqua"/>
          <w:color w:val="000000"/>
        </w:rPr>
        <w:t>; Meta-analysis; Pregnancy; Spontaneous abortion; Women</w:t>
      </w:r>
    </w:p>
    <w:p w14:paraId="122EE9E3" w14:textId="77777777" w:rsidR="00510012" w:rsidRPr="00682C4E" w:rsidRDefault="00510012" w:rsidP="00FC1600">
      <w:pPr>
        <w:snapToGrid w:val="0"/>
        <w:spacing w:line="360" w:lineRule="auto"/>
        <w:jc w:val="both"/>
        <w:rPr>
          <w:rFonts w:ascii="Book Antiqua" w:hAnsi="Book Antiqua"/>
        </w:rPr>
      </w:pPr>
    </w:p>
    <w:p w14:paraId="2CCF62DD" w14:textId="4938D8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Yousefi A, Karbalaei M, Keikha M. Extraintestinal infection of </w:t>
      </w:r>
      <w:r w:rsidR="00682C4E" w:rsidRPr="00FC1600">
        <w:rPr>
          <w:rFonts w:ascii="Book Antiqua" w:eastAsia="Book Antiqua" w:hAnsi="Book Antiqua" w:cs="Book Antiqua"/>
          <w:i/>
          <w:iCs/>
          <w:color w:val="000000"/>
        </w:rPr>
        <w:t>L</w:t>
      </w:r>
      <w:r w:rsidRPr="00FC1600">
        <w:rPr>
          <w:rFonts w:ascii="Book Antiqua" w:eastAsia="Book Antiqua" w:hAnsi="Book Antiqua" w:cs="Book Antiqua"/>
          <w:i/>
          <w:iCs/>
          <w:color w:val="000000"/>
        </w:rPr>
        <w:t>isteria monocytogenes</w:t>
      </w:r>
      <w:r w:rsidRPr="00682C4E">
        <w:rPr>
          <w:rFonts w:ascii="Book Antiqua" w:eastAsia="Book Antiqua" w:hAnsi="Book Antiqua" w:cs="Book Antiqua"/>
          <w:color w:val="000000"/>
        </w:rPr>
        <w:t xml:space="preserve"> and susceptibility to spontaneous abortion during pregnancy: A systematic review and meta-analysis. </w:t>
      </w:r>
      <w:r w:rsidRPr="00682C4E">
        <w:rPr>
          <w:rFonts w:ascii="Book Antiqua" w:eastAsia="Book Antiqua" w:hAnsi="Book Antiqua" w:cs="Book Antiqua"/>
          <w:i/>
          <w:iCs/>
          <w:color w:val="000000"/>
        </w:rPr>
        <w:t>World J Meta-Anal</w:t>
      </w:r>
      <w:r w:rsidRPr="00682C4E">
        <w:rPr>
          <w:rFonts w:ascii="Book Antiqua" w:eastAsia="Book Antiqua" w:hAnsi="Book Antiqua" w:cs="Book Antiqua"/>
          <w:color w:val="000000"/>
        </w:rPr>
        <w:t xml:space="preserve"> 2021; In press</w:t>
      </w:r>
    </w:p>
    <w:p w14:paraId="2B107102" w14:textId="77777777" w:rsidR="00510012" w:rsidRPr="00682C4E" w:rsidRDefault="00510012" w:rsidP="00FC1600">
      <w:pPr>
        <w:snapToGrid w:val="0"/>
        <w:spacing w:line="360" w:lineRule="auto"/>
        <w:jc w:val="both"/>
        <w:rPr>
          <w:rFonts w:ascii="Book Antiqua" w:hAnsi="Book Antiqua"/>
        </w:rPr>
      </w:pPr>
    </w:p>
    <w:p w14:paraId="30CC2076" w14:textId="40C759F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Core Tip: </w:t>
      </w:r>
      <w:r w:rsidRPr="00682C4E">
        <w:rPr>
          <w:rFonts w:ascii="Book Antiqua" w:eastAsia="Book Antiqua" w:hAnsi="Book Antiqua" w:cs="Book Antiqua"/>
          <w:i/>
          <w:iCs/>
          <w:color w:val="000000"/>
        </w:rPr>
        <w:t>Listeria monocytogenes</w:t>
      </w:r>
      <w:r w:rsidRPr="00682C4E">
        <w:rPr>
          <w:rFonts w:ascii="Book Antiqua" w:eastAsia="Book Antiqua" w:hAnsi="Book Antiqua" w:cs="Book Antiqua"/>
          <w:color w:val="000000"/>
        </w:rPr>
        <w:t xml:space="preserve"> is one of the most </w:t>
      </w:r>
      <w:r w:rsidR="00682C4E">
        <w:rPr>
          <w:rFonts w:ascii="Book Antiqua" w:eastAsia="Book Antiqua" w:hAnsi="Book Antiqua" w:cs="Book Antiqua"/>
          <w:color w:val="000000"/>
        </w:rPr>
        <w:t xml:space="preserve">common </w:t>
      </w:r>
      <w:r w:rsidRPr="00682C4E">
        <w:rPr>
          <w:rFonts w:ascii="Book Antiqua" w:eastAsia="Book Antiqua" w:hAnsi="Book Antiqua" w:cs="Book Antiqua"/>
          <w:color w:val="000000"/>
        </w:rPr>
        <w:t>bacterial infection</w:t>
      </w:r>
      <w:r w:rsidR="00682C4E">
        <w:rPr>
          <w:rFonts w:ascii="Book Antiqua" w:eastAsia="Book Antiqua" w:hAnsi="Book Antiqua" w:cs="Book Antiqua"/>
          <w:color w:val="000000"/>
        </w:rPr>
        <w:t>s</w:t>
      </w:r>
      <w:r w:rsidRPr="00682C4E">
        <w:rPr>
          <w:rFonts w:ascii="Book Antiqua" w:eastAsia="Book Antiqua" w:hAnsi="Book Antiqua" w:cs="Book Antiqua"/>
          <w:color w:val="000000"/>
        </w:rPr>
        <w:t xml:space="preserve"> among developing countries. Acquisition of this bacterium during pregnancy is dangerous for </w:t>
      </w:r>
      <w:r w:rsidR="00682C4E">
        <w:rPr>
          <w:rFonts w:ascii="Book Antiqua" w:eastAsia="Book Antiqua" w:hAnsi="Book Antiqua" w:cs="Book Antiqua"/>
          <w:color w:val="000000"/>
        </w:rPr>
        <w:t xml:space="preserve">the </w:t>
      </w:r>
      <w:r w:rsidRPr="00682C4E">
        <w:rPr>
          <w:rFonts w:ascii="Book Antiqua" w:eastAsia="Book Antiqua" w:hAnsi="Book Antiqua" w:cs="Book Antiqua"/>
          <w:color w:val="000000"/>
        </w:rPr>
        <w:t>health of neonates. Our results suggested that</w:t>
      </w:r>
      <w:r w:rsidRPr="00682C4E">
        <w:rPr>
          <w:rFonts w:ascii="Book Antiqua" w:eastAsia="Book Antiqua" w:hAnsi="Book Antiqua" w:cs="Book Antiqua"/>
          <w:i/>
          <w:iCs/>
          <w:color w:val="000000"/>
        </w:rPr>
        <w:t xml:space="preserve"> L</w:t>
      </w:r>
      <w:r w:rsidR="00682C4E">
        <w:rPr>
          <w:rFonts w:ascii="Book Antiqua" w:eastAsia="Book Antiqua" w:hAnsi="Book Antiqua" w:cs="Book Antiqua"/>
          <w:i/>
          <w:iCs/>
          <w:color w:val="000000"/>
        </w:rPr>
        <w:t>isteria</w:t>
      </w:r>
      <w:r w:rsidRPr="00682C4E">
        <w:rPr>
          <w:rFonts w:ascii="Book Antiqua" w:eastAsia="Book Antiqua" w:hAnsi="Book Antiqua" w:cs="Book Antiqua"/>
          <w:i/>
          <w:iCs/>
          <w:color w:val="000000"/>
        </w:rPr>
        <w:t xml:space="preserve"> monocytogenes</w:t>
      </w:r>
      <w:r w:rsidRPr="00682C4E">
        <w:rPr>
          <w:rFonts w:ascii="Book Antiqua" w:eastAsia="Book Antiqua" w:hAnsi="Book Antiqua" w:cs="Book Antiqua"/>
          <w:color w:val="000000"/>
        </w:rPr>
        <w:t xml:space="preserve"> can significantly increas</w:t>
      </w:r>
      <w:r w:rsidR="00682C4E">
        <w:rPr>
          <w:rFonts w:ascii="Book Antiqua" w:eastAsia="Book Antiqua" w:hAnsi="Book Antiqua" w:cs="Book Antiqua"/>
          <w:color w:val="000000"/>
        </w:rPr>
        <w:t>e the</w:t>
      </w:r>
      <w:r w:rsidRPr="00682C4E">
        <w:rPr>
          <w:rFonts w:ascii="Book Antiqua" w:eastAsia="Book Antiqua" w:hAnsi="Book Antiqua" w:cs="Book Antiqua"/>
          <w:color w:val="000000"/>
        </w:rPr>
        <w:t xml:space="preserve"> risk of spontaneous abortion during pregnancy.</w:t>
      </w:r>
    </w:p>
    <w:p w14:paraId="22061454" w14:textId="77777777" w:rsidR="00510012" w:rsidRPr="00682C4E" w:rsidRDefault="00510012" w:rsidP="00FC1600">
      <w:pPr>
        <w:snapToGrid w:val="0"/>
        <w:spacing w:line="360" w:lineRule="auto"/>
        <w:jc w:val="both"/>
        <w:rPr>
          <w:rFonts w:ascii="Book Antiqua" w:hAnsi="Book Antiqua"/>
        </w:rPr>
      </w:pPr>
    </w:p>
    <w:p w14:paraId="5E469C9A"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aps/>
          <w:color w:val="000000"/>
          <w:u w:val="single"/>
        </w:rPr>
        <w:br w:type="page"/>
      </w:r>
      <w:r w:rsidRPr="00682C4E">
        <w:rPr>
          <w:rFonts w:ascii="Book Antiqua" w:eastAsia="Book Antiqua" w:hAnsi="Book Antiqua" w:cs="Book Antiqua"/>
          <w:b/>
          <w:caps/>
          <w:color w:val="000000"/>
          <w:u w:val="single"/>
        </w:rPr>
        <w:lastRenderedPageBreak/>
        <w:t>INTRODUCTION</w:t>
      </w:r>
    </w:p>
    <w:p w14:paraId="4FCA59F6" w14:textId="53C65705" w:rsidR="00682C4E" w:rsidRDefault="001B61A7" w:rsidP="00FC1600">
      <w:pPr>
        <w:snapToGrid w:val="0"/>
        <w:spacing w:line="360" w:lineRule="auto"/>
        <w:jc w:val="both"/>
        <w:rPr>
          <w:rFonts w:ascii="Book Antiqua" w:eastAsia="Book Antiqua" w:hAnsi="Book Antiqua" w:cs="Book Antiqua"/>
          <w:color w:val="000000"/>
        </w:rPr>
      </w:pPr>
      <w:r w:rsidRPr="00682C4E">
        <w:rPr>
          <w:rFonts w:ascii="Book Antiqua" w:eastAsia="Book Antiqua" w:hAnsi="Book Antiqua" w:cs="Book Antiqua"/>
          <w:color w:val="000000"/>
        </w:rPr>
        <w:t xml:space="preserve">Spontaneous abortion is one of the biggest health challenges that has increased in recent decades, especially due to </w:t>
      </w:r>
      <w:r w:rsidRPr="00682C4E">
        <w:rPr>
          <w:rFonts w:ascii="Book Antiqua" w:eastAsia="Book Antiqua" w:hAnsi="Book Antiqua" w:cs="Book Antiqua"/>
          <w:i/>
          <w:iCs/>
          <w:color w:val="000000"/>
        </w:rPr>
        <w:t>in vitro</w:t>
      </w:r>
      <w:r w:rsidRPr="00682C4E">
        <w:rPr>
          <w:rFonts w:ascii="Book Antiqua" w:eastAsia="Book Antiqua" w:hAnsi="Book Antiqua" w:cs="Book Antiqua"/>
          <w:color w:val="000000"/>
        </w:rPr>
        <w:t xml:space="preserve"> fertilization methods</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such as </w:t>
      </w:r>
      <w:r w:rsidR="00682C4E" w:rsidRPr="00682C4E">
        <w:rPr>
          <w:rFonts w:ascii="Book Antiqua" w:eastAsia="Book Antiqua" w:hAnsi="Book Antiqua" w:cs="Book Antiqua"/>
          <w:i/>
          <w:iCs/>
          <w:color w:val="000000"/>
        </w:rPr>
        <w:t>in vitro</w:t>
      </w:r>
      <w:r w:rsidR="00682C4E" w:rsidRPr="00682C4E">
        <w:rPr>
          <w:rFonts w:ascii="Book Antiqua" w:eastAsia="Book Antiqua" w:hAnsi="Book Antiqua" w:cs="Book Antiqua"/>
          <w:color w:val="000000"/>
        </w:rPr>
        <w:t xml:space="preserve"> fertilization</w:t>
      </w:r>
      <w:r w:rsidRPr="00682C4E">
        <w:rPr>
          <w:rFonts w:ascii="Book Antiqua" w:eastAsia="Book Antiqua" w:hAnsi="Book Antiqua" w:cs="Book Antiqua"/>
          <w:color w:val="000000"/>
        </w:rPr>
        <w:t>, gamete intrafallopian transfer, and intracytoplasmic sperm injection</w:t>
      </w:r>
      <w:r w:rsidRPr="00682C4E">
        <w:rPr>
          <w:rFonts w:ascii="Book Antiqua" w:eastAsia="Book Antiqua" w:hAnsi="Book Antiqua" w:cs="Book Antiqua"/>
          <w:color w:val="000000"/>
          <w:vertAlign w:val="superscript"/>
        </w:rPr>
        <w:t>[1]</w:t>
      </w:r>
      <w:r w:rsidRPr="00682C4E">
        <w:rPr>
          <w:rFonts w:ascii="Book Antiqua" w:eastAsia="Book Antiqua" w:hAnsi="Book Antiqua" w:cs="Book Antiqua"/>
          <w:color w:val="000000"/>
        </w:rPr>
        <w:t>. About 1% of women suffer from recurrent miscarriage, so this phenomenon can be considered a serious threat to population decline</w:t>
      </w:r>
      <w:r w:rsidRPr="00682C4E">
        <w:rPr>
          <w:rFonts w:ascii="Book Antiqua" w:eastAsia="Book Antiqua" w:hAnsi="Book Antiqua" w:cs="Book Antiqua"/>
          <w:color w:val="000000"/>
          <w:vertAlign w:val="superscript"/>
        </w:rPr>
        <w:t>[1,2]</w:t>
      </w:r>
      <w:r w:rsidRPr="00682C4E">
        <w:rPr>
          <w:rFonts w:ascii="Book Antiqua" w:eastAsia="Book Antiqua" w:hAnsi="Book Antiqua" w:cs="Book Antiqua"/>
          <w:color w:val="000000"/>
        </w:rPr>
        <w:t>. The prevalence of spontaneous abortion in the world is reported to be 10%-20%, and many factors such as blood type, ectopic pregnancy, smoking, obesity, history of cesarean section, fertility treatment</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and infectious pathogens are involved in its occurrence</w:t>
      </w:r>
      <w:r w:rsidRPr="00682C4E">
        <w:rPr>
          <w:rFonts w:ascii="Book Antiqua" w:eastAsia="Book Antiqua" w:hAnsi="Book Antiqua" w:cs="Book Antiqua"/>
          <w:color w:val="000000"/>
          <w:vertAlign w:val="superscript"/>
        </w:rPr>
        <w:t>[3,4]</w:t>
      </w:r>
      <w:r w:rsidRPr="00682C4E">
        <w:rPr>
          <w:rFonts w:ascii="Book Antiqua" w:eastAsia="Book Antiqua" w:hAnsi="Book Antiqua" w:cs="Book Antiqua"/>
          <w:color w:val="000000"/>
        </w:rPr>
        <w:t xml:space="preserve">. According to the literature, several infectious microorganisms such as </w:t>
      </w:r>
      <w:r w:rsidRPr="00682C4E">
        <w:rPr>
          <w:rFonts w:ascii="Book Antiqua" w:eastAsia="Book Antiqua" w:hAnsi="Book Antiqua" w:cs="Book Antiqua"/>
          <w:i/>
          <w:iCs/>
          <w:color w:val="000000"/>
        </w:rPr>
        <w:t>Chlamydia trachomatis</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Ureaplasma urealyticum</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Mycoplasma hominis</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Listeria monocytogenes</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herpes simplex viruses, adenoviruses, human polyomaviruses, and cytomegalovirus play an important role in individual susceptibility to spontaneous abortion</w:t>
      </w:r>
      <w:r w:rsidRPr="00682C4E">
        <w:rPr>
          <w:rFonts w:ascii="Book Antiqua" w:eastAsia="Book Antiqua" w:hAnsi="Book Antiqua" w:cs="Book Antiqua"/>
          <w:color w:val="000000"/>
          <w:vertAlign w:val="superscript"/>
        </w:rPr>
        <w:t>[5,6]</w:t>
      </w:r>
      <w:r w:rsidRPr="00682C4E">
        <w:rPr>
          <w:rFonts w:ascii="Book Antiqua" w:eastAsia="Book Antiqua" w:hAnsi="Book Antiqua" w:cs="Book Antiqua"/>
          <w:color w:val="000000"/>
        </w:rPr>
        <w:t xml:space="preserve">. </w:t>
      </w:r>
    </w:p>
    <w:p w14:paraId="55F2A1BA" w14:textId="26AE42C5" w:rsidR="00510012" w:rsidRPr="00682C4E" w:rsidRDefault="001B61A7" w:rsidP="00FC1600">
      <w:pPr>
        <w:snapToGrid w:val="0"/>
        <w:spacing w:line="360" w:lineRule="auto"/>
        <w:ind w:firstLine="450"/>
        <w:jc w:val="both"/>
        <w:rPr>
          <w:rFonts w:ascii="Book Antiqua" w:hAnsi="Book Antiqua"/>
        </w:rPr>
      </w:pP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is a gram-positive, non-spore forming, facultative anaerobe, and motile bacterium that naturally resides in sources such as water, soil, vegetables, dairy products, and processed food</w:t>
      </w:r>
      <w:r w:rsidRPr="00682C4E">
        <w:rPr>
          <w:rFonts w:ascii="Book Antiqua" w:eastAsia="Book Antiqua" w:hAnsi="Book Antiqua" w:cs="Book Antiqua"/>
          <w:color w:val="000000"/>
          <w:vertAlign w:val="superscript"/>
        </w:rPr>
        <w:t>[7]</w:t>
      </w:r>
      <w:r w:rsidRPr="00682C4E">
        <w:rPr>
          <w:rFonts w:ascii="Book Antiqua" w:eastAsia="Book Antiqua" w:hAnsi="Book Antiqua" w:cs="Book Antiqua"/>
          <w:color w:val="000000"/>
        </w:rPr>
        <w:t>. These bacteria enter the human body through the fecal-oral route and can withstand harsh environmental conditions such as acidic pH, high salt concentration, and low temperature</w:t>
      </w:r>
      <w:r w:rsidRPr="00682C4E">
        <w:rPr>
          <w:rFonts w:ascii="Book Antiqua" w:eastAsia="Book Antiqua" w:hAnsi="Book Antiqua" w:cs="Book Antiqua"/>
          <w:color w:val="000000"/>
          <w:vertAlign w:val="superscript"/>
        </w:rPr>
        <w:t>[8]</w:t>
      </w:r>
      <w:r w:rsidRPr="00682C4E">
        <w:rPr>
          <w:rFonts w:ascii="Book Antiqua" w:eastAsia="Book Antiqua" w:hAnsi="Book Antiqua" w:cs="Book Antiqua"/>
          <w:color w:val="000000"/>
        </w:rPr>
        <w:t>. This bacterium can cross the intestinal barrier and enter various tissues through hematogenous dissemination, particularly the placenta-fetal unit and the cerebrospinal fluid</w:t>
      </w:r>
      <w:r w:rsidRPr="00682C4E">
        <w:rPr>
          <w:rFonts w:ascii="Book Antiqua" w:eastAsia="Book Antiqua" w:hAnsi="Book Antiqua" w:cs="Book Antiqua"/>
          <w:color w:val="000000"/>
          <w:vertAlign w:val="superscript"/>
        </w:rPr>
        <w:t>[9,10]</w:t>
      </w:r>
      <w:r w:rsidRPr="00682C4E">
        <w:rPr>
          <w:rFonts w:ascii="Book Antiqua" w:eastAsia="Book Antiqua" w:hAnsi="Book Antiqua" w:cs="Book Antiqua"/>
          <w:color w:val="000000"/>
        </w:rPr>
        <w:t xml:space="preserve">. Studies show that pregnant women are about 17 times more likely to be infected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than the general population</w:t>
      </w:r>
      <w:r w:rsidRPr="00682C4E">
        <w:rPr>
          <w:rFonts w:ascii="Book Antiqua" w:eastAsia="Book Antiqua" w:hAnsi="Book Antiqua" w:cs="Book Antiqua"/>
          <w:color w:val="000000"/>
          <w:vertAlign w:val="superscript"/>
        </w:rPr>
        <w:t>[11]</w:t>
      </w:r>
      <w:r w:rsidRPr="00682C4E">
        <w:rPr>
          <w:rFonts w:ascii="Book Antiqua" w:eastAsia="Book Antiqua" w:hAnsi="Book Antiqua" w:cs="Book Antiqua"/>
          <w:color w:val="000000"/>
        </w:rPr>
        <w:t>. Numerous studies have been performed on the effects of infection</w:t>
      </w:r>
      <w:r w:rsidR="00682C4E" w:rsidRPr="00682C4E">
        <w:rPr>
          <w:rFonts w:ascii="Book Antiqua" w:eastAsia="Book Antiqua" w:hAnsi="Book Antiqua" w:cs="Book Antiqua"/>
          <w:color w:val="000000"/>
        </w:rPr>
        <w:t xml:space="preserve"> of </w:t>
      </w:r>
      <w:r w:rsidR="00682C4E"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and abortion in humans and animals</w:t>
      </w:r>
      <w:r w:rsidRPr="00682C4E">
        <w:rPr>
          <w:rFonts w:ascii="Book Antiqua" w:eastAsia="Book Antiqua" w:hAnsi="Book Antiqua" w:cs="Book Antiqua"/>
          <w:color w:val="000000"/>
          <w:vertAlign w:val="superscript"/>
        </w:rPr>
        <w:t>[12]</w:t>
      </w:r>
      <w:r w:rsidRPr="00682C4E">
        <w:rPr>
          <w:rFonts w:ascii="Book Antiqua" w:eastAsia="Book Antiqua" w:hAnsi="Book Antiqua" w:cs="Book Antiqua"/>
          <w:color w:val="000000"/>
        </w:rPr>
        <w:t>. The aim of this study was to investigate the effects of extraintestinal infection with this pathogen and susceptibility to spontaneous abortion</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w:t>
      </w:r>
      <w:r w:rsidR="00682C4E">
        <w:rPr>
          <w:rFonts w:ascii="Book Antiqua" w:eastAsia="Book Antiqua" w:hAnsi="Book Antiqua" w:cs="Book Antiqua"/>
          <w:color w:val="000000"/>
        </w:rPr>
        <w:t>W</w:t>
      </w:r>
      <w:r w:rsidRPr="00682C4E">
        <w:rPr>
          <w:rFonts w:ascii="Book Antiqua" w:eastAsia="Book Antiqua" w:hAnsi="Book Antiqua" w:cs="Book Antiqua"/>
          <w:color w:val="000000"/>
        </w:rPr>
        <w:t xml:space="preserve">e estimated the frequency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colonization in the women who had a spontaneous miscarriage.</w:t>
      </w:r>
    </w:p>
    <w:p w14:paraId="583337FB" w14:textId="77777777" w:rsidR="00510012" w:rsidRPr="00682C4E" w:rsidRDefault="00510012" w:rsidP="00FC1600">
      <w:pPr>
        <w:snapToGrid w:val="0"/>
        <w:spacing w:line="360" w:lineRule="auto"/>
        <w:jc w:val="both"/>
        <w:rPr>
          <w:rFonts w:ascii="Book Antiqua" w:hAnsi="Book Antiqua"/>
        </w:rPr>
      </w:pPr>
    </w:p>
    <w:p w14:paraId="3FF7891A"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aps/>
          <w:color w:val="000000"/>
          <w:u w:val="single"/>
        </w:rPr>
        <w:t>MATERIALS AND METHODS</w:t>
      </w:r>
    </w:p>
    <w:p w14:paraId="16537A06" w14:textId="77777777" w:rsidR="00510012" w:rsidRPr="00682C4E" w:rsidRDefault="001B61A7" w:rsidP="00FC1600">
      <w:pPr>
        <w:snapToGrid w:val="0"/>
        <w:spacing w:line="360" w:lineRule="auto"/>
        <w:jc w:val="both"/>
        <w:rPr>
          <w:rFonts w:ascii="Book Antiqua" w:hAnsi="Book Antiqua"/>
          <w:b/>
          <w:bCs/>
        </w:rPr>
      </w:pPr>
      <w:r w:rsidRPr="00682C4E">
        <w:rPr>
          <w:rFonts w:ascii="Book Antiqua" w:eastAsia="Book Antiqua" w:hAnsi="Book Antiqua" w:cs="Book Antiqua"/>
          <w:b/>
          <w:bCs/>
          <w:i/>
          <w:iCs/>
          <w:color w:val="000000"/>
        </w:rPr>
        <w:t>Search strategy and study selection</w:t>
      </w:r>
    </w:p>
    <w:p w14:paraId="1B7CE7E9" w14:textId="38BADFDE" w:rsidR="00510012" w:rsidRPr="00682C4E" w:rsidRDefault="001B61A7" w:rsidP="00FC1600">
      <w:pPr>
        <w:snapToGrid w:val="0"/>
        <w:spacing w:line="360" w:lineRule="auto"/>
        <w:jc w:val="both"/>
        <w:rPr>
          <w:rFonts w:ascii="Book Antiqua" w:eastAsia="Book Antiqua" w:hAnsi="Book Antiqua" w:cs="Book Antiqua"/>
          <w:color w:val="000000"/>
        </w:rPr>
      </w:pPr>
      <w:r w:rsidRPr="00682C4E">
        <w:rPr>
          <w:rFonts w:ascii="Book Antiqua" w:eastAsia="Book Antiqua" w:hAnsi="Book Antiqua" w:cs="Book Antiqua"/>
          <w:color w:val="000000"/>
        </w:rPr>
        <w:lastRenderedPageBreak/>
        <w:t xml:space="preserve">Initially, a systematic search of global databases such as PubMed, Scopus, Google Scholar, and SID was conducted to collect all articles on the effects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on spontaneous abortion, regardless of publication date or language restrictions. Search terms were selected based on Medical Subject Headings browser including “</w:t>
      </w:r>
      <w:r w:rsidRPr="00682C4E">
        <w:rPr>
          <w:rFonts w:ascii="Book Antiqua" w:eastAsia="Book Antiqua" w:hAnsi="Book Antiqua" w:cs="Book Antiqua"/>
          <w:i/>
          <w:iCs/>
          <w:color w:val="000000"/>
        </w:rPr>
        <w:t>Listeria monocytogenes</w:t>
      </w:r>
      <w:r w:rsidR="00682C4E">
        <w:rPr>
          <w:rFonts w:ascii="Book Antiqua" w:eastAsia="Book Antiqua" w:hAnsi="Book Antiqua" w:cs="Book Antiqua"/>
          <w:color w:val="000000"/>
        </w:rPr>
        <w:t>,</w:t>
      </w:r>
      <w:r w:rsidRPr="00682C4E">
        <w:rPr>
          <w:rFonts w:ascii="Book Antiqua" w:eastAsia="Book Antiqua" w:hAnsi="Book Antiqua" w:cs="Book Antiqua"/>
          <w:color w:val="000000"/>
        </w:rPr>
        <w:t>” “Spontaneous abortion</w:t>
      </w:r>
      <w:r w:rsidR="00682C4E">
        <w:rPr>
          <w:rFonts w:ascii="Book Antiqua" w:eastAsia="Book Antiqua" w:hAnsi="Book Antiqua" w:cs="Book Antiqua"/>
          <w:color w:val="000000"/>
        </w:rPr>
        <w:t>,</w:t>
      </w:r>
      <w:r w:rsidRPr="00682C4E">
        <w:rPr>
          <w:rFonts w:ascii="Book Antiqua" w:eastAsia="Book Antiqua" w:hAnsi="Book Antiqua" w:cs="Book Antiqua"/>
          <w:color w:val="000000"/>
        </w:rPr>
        <w:t>” “Pregnant women</w:t>
      </w:r>
      <w:r w:rsidR="00682C4E">
        <w:rPr>
          <w:rFonts w:ascii="Book Antiqua" w:eastAsia="Book Antiqua" w:hAnsi="Book Antiqua" w:cs="Book Antiqua"/>
          <w:color w:val="000000"/>
        </w:rPr>
        <w:t>,</w:t>
      </w:r>
      <w:r w:rsidRPr="00682C4E">
        <w:rPr>
          <w:rFonts w:ascii="Book Antiqua" w:eastAsia="Book Antiqua" w:hAnsi="Book Antiqua" w:cs="Book Antiqua"/>
          <w:color w:val="000000"/>
        </w:rPr>
        <w:t>” and “Pregnancy</w:t>
      </w:r>
      <w:r w:rsidR="00682C4E">
        <w:rPr>
          <w:rFonts w:ascii="Book Antiqua" w:eastAsia="Book Antiqua" w:hAnsi="Book Antiqua" w:cs="Book Antiqua"/>
          <w:color w:val="000000"/>
        </w:rPr>
        <w:t>.</w:t>
      </w:r>
      <w:r w:rsidRPr="00682C4E">
        <w:rPr>
          <w:rFonts w:ascii="Book Antiqua" w:eastAsia="Book Antiqua" w:hAnsi="Book Antiqua" w:cs="Book Antiqua"/>
          <w:color w:val="000000"/>
        </w:rPr>
        <w:t>” Articles published in Persian, Arabic</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and English were the only articles evaluated. After reviewing the titles and abstracts of eligible original articles (case-control studies, cross-sectional</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and longitudinal studies), we selected those studies that were related to the effect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on spontaneous abortion. The process of searching and evaluating articles was done by two authors independently</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and the discrepancies were examined by the third author. Duplicate articles, insufficient and vague information, case reports,</w:t>
      </w:r>
      <w:r w:rsidR="00682C4E">
        <w:rPr>
          <w:rFonts w:ascii="Book Antiqua" w:eastAsia="Book Antiqua" w:hAnsi="Book Antiqua" w:cs="Book Antiqua"/>
          <w:color w:val="000000"/>
        </w:rPr>
        <w:t xml:space="preserve"> and</w:t>
      </w:r>
      <w:r w:rsidRPr="00682C4E">
        <w:rPr>
          <w:rFonts w:ascii="Book Antiqua" w:eastAsia="Book Antiqua" w:hAnsi="Book Antiqua" w:cs="Book Antiqua"/>
          <w:color w:val="000000"/>
        </w:rPr>
        <w:t xml:space="preserve"> review articles were excluded from the study (Figure 1).</w:t>
      </w:r>
    </w:p>
    <w:p w14:paraId="21D9A42C" w14:textId="77777777" w:rsidR="00510012" w:rsidRPr="00682C4E" w:rsidRDefault="00510012" w:rsidP="00FC1600">
      <w:pPr>
        <w:snapToGrid w:val="0"/>
        <w:spacing w:line="360" w:lineRule="auto"/>
        <w:jc w:val="both"/>
        <w:rPr>
          <w:rFonts w:ascii="Book Antiqua" w:hAnsi="Book Antiqua"/>
        </w:rPr>
      </w:pPr>
    </w:p>
    <w:p w14:paraId="357BED3F" w14:textId="77777777" w:rsidR="00510012" w:rsidRPr="00682C4E" w:rsidRDefault="001B61A7" w:rsidP="00FC1600">
      <w:pPr>
        <w:snapToGrid w:val="0"/>
        <w:spacing w:line="360" w:lineRule="auto"/>
        <w:jc w:val="both"/>
        <w:rPr>
          <w:rFonts w:ascii="Book Antiqua" w:hAnsi="Book Antiqua"/>
          <w:b/>
          <w:bCs/>
        </w:rPr>
      </w:pPr>
      <w:r w:rsidRPr="00682C4E">
        <w:rPr>
          <w:rFonts w:ascii="Book Antiqua" w:eastAsia="Book Antiqua" w:hAnsi="Book Antiqua" w:cs="Book Antiqua"/>
          <w:b/>
          <w:bCs/>
          <w:i/>
          <w:iCs/>
          <w:color w:val="000000"/>
        </w:rPr>
        <w:t>Data extraction and quality assessment</w:t>
      </w:r>
    </w:p>
    <w:p w14:paraId="6E496BBE" w14:textId="742B17E5" w:rsidR="00510012" w:rsidRPr="00682C4E" w:rsidRDefault="001B61A7" w:rsidP="00FC1600">
      <w:pPr>
        <w:snapToGrid w:val="0"/>
        <w:spacing w:line="360" w:lineRule="auto"/>
        <w:jc w:val="both"/>
        <w:rPr>
          <w:rFonts w:ascii="Book Antiqua" w:eastAsia="Book Antiqua" w:hAnsi="Book Antiqua" w:cs="Book Antiqua"/>
          <w:color w:val="000000"/>
        </w:rPr>
      </w:pPr>
      <w:r w:rsidRPr="00682C4E">
        <w:rPr>
          <w:rFonts w:ascii="Book Antiqua" w:eastAsia="Book Antiqua" w:hAnsi="Book Antiqua" w:cs="Book Antiqua"/>
          <w:color w:val="000000"/>
        </w:rPr>
        <w:t xml:space="preserve">The required information such as first author, publication year, country, number of cases with at least one spontaneous abortion, number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frequency of </w:t>
      </w:r>
      <w:r w:rsidRPr="00682C4E">
        <w:rPr>
          <w:rFonts w:ascii="Book Antiqua" w:eastAsia="Book Antiqua" w:hAnsi="Book Antiqua" w:cs="Book Antiqua"/>
          <w:i/>
          <w:iCs/>
          <w:color w:val="000000"/>
        </w:rPr>
        <w:t>hlyA</w:t>
      </w:r>
      <w:r w:rsidRPr="00682C4E">
        <w:rPr>
          <w:rFonts w:ascii="Book Antiqua" w:eastAsia="Book Antiqua" w:hAnsi="Book Antiqua" w:cs="Book Antiqua"/>
          <w:color w:val="000000"/>
        </w:rPr>
        <w:t xml:space="preserve"> gene, frequency of serotypes, diagnostic methods, and the reference number were extracted from the eligible studies and are presented in Table 1. An important evaluation checklist of the Joanna Briggs Institute was used to evaluate the quality of the studies in the present meta-analysis.</w:t>
      </w:r>
    </w:p>
    <w:p w14:paraId="11B73A68" w14:textId="77777777" w:rsidR="00510012" w:rsidRPr="00682C4E" w:rsidRDefault="00510012" w:rsidP="00FC1600">
      <w:pPr>
        <w:snapToGrid w:val="0"/>
        <w:spacing w:line="360" w:lineRule="auto"/>
        <w:jc w:val="both"/>
        <w:rPr>
          <w:rFonts w:ascii="Book Antiqua" w:hAnsi="Book Antiqua"/>
        </w:rPr>
      </w:pPr>
    </w:p>
    <w:p w14:paraId="3D486E4A" w14:textId="77777777" w:rsidR="00510012" w:rsidRPr="00682C4E" w:rsidRDefault="001B61A7" w:rsidP="00FC1600">
      <w:pPr>
        <w:snapToGrid w:val="0"/>
        <w:spacing w:line="360" w:lineRule="auto"/>
        <w:jc w:val="both"/>
        <w:rPr>
          <w:rFonts w:ascii="Book Antiqua" w:hAnsi="Book Antiqua"/>
          <w:b/>
          <w:bCs/>
        </w:rPr>
      </w:pPr>
      <w:r w:rsidRPr="00682C4E">
        <w:rPr>
          <w:rFonts w:ascii="Book Antiqua" w:eastAsia="Book Antiqua" w:hAnsi="Book Antiqua" w:cs="Book Antiqua"/>
          <w:b/>
          <w:bCs/>
          <w:i/>
          <w:iCs/>
          <w:color w:val="000000"/>
        </w:rPr>
        <w:t xml:space="preserve">Statistical analysis </w:t>
      </w:r>
    </w:p>
    <w:p w14:paraId="1EBBE3CD" w14:textId="2D792F2A"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The comprehensive meta-analysis software ver 2.0 (Biostat, Englewood, NJ</w:t>
      </w:r>
      <w:r w:rsidR="00EC7F7F" w:rsidRPr="00682C4E">
        <w:rPr>
          <w:rFonts w:ascii="Book Antiqua" w:eastAsia="Book Antiqua" w:hAnsi="Book Antiqua" w:cs="Book Antiqua"/>
          <w:color w:val="000000"/>
        </w:rPr>
        <w:t>, United States</w:t>
      </w:r>
      <w:r w:rsidRPr="00682C4E">
        <w:rPr>
          <w:rFonts w:ascii="Book Antiqua" w:eastAsia="Book Antiqua" w:hAnsi="Book Antiqua" w:cs="Book Antiqua"/>
          <w:color w:val="000000"/>
        </w:rPr>
        <w:t xml:space="preserve">) was used for data pooling as well as statistical analysis of the extracted data. The frequency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in women with spontaneous abortion was measured as the incidence rate (event rate) with 95% confidence intervals (CIs) using cross-sectional</w:t>
      </w:r>
      <w:r w:rsidR="00682C4E">
        <w:rPr>
          <w:rFonts w:ascii="Book Antiqua" w:eastAsia="Book Antiqua" w:hAnsi="Book Antiqua" w:cs="Book Antiqua"/>
          <w:color w:val="000000"/>
        </w:rPr>
        <w:t xml:space="preserve"> and</w:t>
      </w:r>
      <w:r w:rsidRPr="00682C4E">
        <w:rPr>
          <w:rFonts w:ascii="Book Antiqua" w:eastAsia="Book Antiqua" w:hAnsi="Book Antiqua" w:cs="Book Antiqua"/>
          <w:color w:val="000000"/>
        </w:rPr>
        <w:t xml:space="preserve"> case-control studies. In addition, the frequency of</w:t>
      </w:r>
      <w:r w:rsidR="00682C4E">
        <w:rPr>
          <w:rFonts w:ascii="Book Antiqua" w:eastAsia="Book Antiqua" w:hAnsi="Book Antiqua" w:cs="Book Antiqua"/>
          <w:color w:val="000000"/>
        </w:rPr>
        <w:t xml:space="preserve"> the</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hlyA</w:t>
      </w:r>
      <w:r w:rsidRPr="00682C4E">
        <w:rPr>
          <w:rFonts w:ascii="Book Antiqua" w:eastAsia="Book Antiqua" w:hAnsi="Book Antiqua" w:cs="Book Antiqua"/>
          <w:color w:val="000000"/>
        </w:rPr>
        <w:t xml:space="preserve"> gene as well as common serotypes isolated from women with spontaneous abortion were also examined as the incidence rate. The effect of infection with this bacterium on the </w:t>
      </w:r>
      <w:r w:rsidRPr="00682C4E">
        <w:rPr>
          <w:rFonts w:ascii="Book Antiqua" w:eastAsia="Book Antiqua" w:hAnsi="Book Antiqua" w:cs="Book Antiqua"/>
          <w:color w:val="000000"/>
        </w:rPr>
        <w:lastRenderedPageBreak/>
        <w:t xml:space="preserve">susceptibility to spontaneous abortion was assessed according to odds ratio with the 95%CIs using eligible case-control studies. Finally, the frequency of resistance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to different antibiotics was calculated and reported as the incidence rate and heterogeneity between studies was determined using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index and Cochran’s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-test. In cases with high heterogeneity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 xml:space="preserve">2 </w:t>
      </w:r>
      <w:r w:rsidRPr="00682C4E">
        <w:rPr>
          <w:rFonts w:ascii="Book Antiqua" w:eastAsia="Book Antiqua" w:hAnsi="Book Antiqua" w:cs="Book Antiqua"/>
          <w:color w:val="000000"/>
        </w:rPr>
        <w:t xml:space="preserve">&gt; 25% and Cochran’s </w:t>
      </w:r>
      <w:r w:rsidRPr="00682C4E">
        <w:rPr>
          <w:rFonts w:ascii="Book Antiqua" w:eastAsia="Book Antiqua" w:hAnsi="Book Antiqua" w:cs="Book Antiqua"/>
          <w:i/>
          <w:color w:val="000000"/>
        </w:rPr>
        <w:t>Q</w:t>
      </w:r>
      <w:r w:rsidRPr="00682C4E">
        <w:rPr>
          <w:rFonts w:ascii="Book Antiqua" w:eastAsia="Book Antiqua" w:hAnsi="Book Antiqua" w:cs="Book Antiqua"/>
          <w:color w:val="000000"/>
        </w:rPr>
        <w:t xml:space="preserve">-test </w:t>
      </w:r>
      <w:r w:rsidRPr="00682C4E">
        <w:rPr>
          <w:rFonts w:ascii="Book Antiqua" w:eastAsia="Book Antiqua" w:hAnsi="Book Antiqua" w:cs="Book Antiqua"/>
          <w:i/>
          <w:iCs/>
          <w:color w:val="000000"/>
        </w:rPr>
        <w:t>P</w:t>
      </w:r>
      <w:r w:rsidRPr="00682C4E">
        <w:rPr>
          <w:rFonts w:ascii="Book Antiqua" w:eastAsia="Book Antiqua" w:hAnsi="Book Antiqua" w:cs="Book Antiqua"/>
          <w:color w:val="000000"/>
        </w:rPr>
        <w:t xml:space="preserve"> &gt; 0.05), the analysis was done using the random-effects model. The publication bias was also determined using Egger’s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value, Begg’s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value, and asymmetry of funnel plots.</w:t>
      </w:r>
    </w:p>
    <w:p w14:paraId="291EFDED" w14:textId="77777777" w:rsidR="00510012" w:rsidRPr="00682C4E" w:rsidRDefault="00510012" w:rsidP="00FC1600">
      <w:pPr>
        <w:snapToGrid w:val="0"/>
        <w:spacing w:line="360" w:lineRule="auto"/>
        <w:jc w:val="both"/>
        <w:rPr>
          <w:rFonts w:ascii="Book Antiqua" w:hAnsi="Book Antiqua"/>
        </w:rPr>
      </w:pPr>
    </w:p>
    <w:p w14:paraId="25002765"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aps/>
          <w:color w:val="000000"/>
          <w:u w:val="single"/>
        </w:rPr>
        <w:t>RESULTS</w:t>
      </w:r>
    </w:p>
    <w:p w14:paraId="11F40D4F" w14:textId="77777777" w:rsidR="00510012" w:rsidRPr="00682C4E" w:rsidRDefault="001B61A7" w:rsidP="00FC1600">
      <w:pPr>
        <w:snapToGrid w:val="0"/>
        <w:spacing w:line="360" w:lineRule="auto"/>
        <w:jc w:val="both"/>
        <w:rPr>
          <w:rFonts w:ascii="Book Antiqua" w:hAnsi="Book Antiqua"/>
          <w:b/>
          <w:bCs/>
        </w:rPr>
      </w:pPr>
      <w:r w:rsidRPr="00682C4E">
        <w:rPr>
          <w:rFonts w:ascii="Book Antiqua" w:eastAsia="Book Antiqua" w:hAnsi="Book Antiqua" w:cs="Book Antiqua"/>
          <w:b/>
          <w:bCs/>
          <w:i/>
          <w:iCs/>
          <w:color w:val="000000"/>
        </w:rPr>
        <w:t>Characteristics of eligible studies</w:t>
      </w:r>
      <w:r w:rsidRPr="00682C4E">
        <w:rPr>
          <w:rFonts w:ascii="Book Antiqua" w:eastAsia="Book Antiqua" w:hAnsi="Book Antiqua" w:cs="Book Antiqua"/>
          <w:b/>
          <w:bCs/>
          <w:color w:val="000000"/>
        </w:rPr>
        <w:t xml:space="preserve"> </w:t>
      </w:r>
    </w:p>
    <w:p w14:paraId="5AAF4B57" w14:textId="4765D8DC" w:rsidR="00510012" w:rsidRPr="00682C4E" w:rsidRDefault="001B61A7" w:rsidP="00FC1600">
      <w:pPr>
        <w:snapToGrid w:val="0"/>
        <w:spacing w:line="360" w:lineRule="auto"/>
        <w:jc w:val="both"/>
        <w:rPr>
          <w:rFonts w:ascii="Book Antiqua" w:eastAsia="Book Antiqua" w:hAnsi="Book Antiqua" w:cs="Book Antiqua"/>
          <w:color w:val="000000"/>
        </w:rPr>
      </w:pPr>
      <w:r w:rsidRPr="00682C4E">
        <w:rPr>
          <w:rFonts w:ascii="Book Antiqua" w:eastAsia="Book Antiqua" w:hAnsi="Book Antiqua" w:cs="Book Antiqua"/>
          <w:color w:val="000000"/>
        </w:rPr>
        <w:t>Of the 732 initial studies collected, 24 studies were eligible and entered in our meta-analysis (Figure 1)</w:t>
      </w:r>
      <w:r w:rsidR="005B3717" w:rsidRPr="00682C4E">
        <w:rPr>
          <w:rFonts w:ascii="Book Antiqua" w:hAnsi="Book Antiqua" w:cs="Book Antiqua"/>
          <w:color w:val="000000"/>
          <w:vertAlign w:val="superscript"/>
          <w:lang w:eastAsia="zh-CN"/>
        </w:rPr>
        <w:t>[</w:t>
      </w:r>
      <w:r w:rsidRPr="00682C4E">
        <w:rPr>
          <w:rFonts w:ascii="Book Antiqua" w:eastAsia="Book Antiqua" w:hAnsi="Book Antiqua" w:cs="Book Antiqua"/>
          <w:color w:val="000000"/>
          <w:vertAlign w:val="superscript"/>
        </w:rPr>
        <w:t>13-36</w:t>
      </w:r>
      <w:r w:rsidR="005B3717" w:rsidRPr="00682C4E">
        <w:rPr>
          <w:rFonts w:ascii="Book Antiqua" w:hAnsi="Book Antiqua" w:cs="Book Antiqua"/>
          <w:color w:val="000000"/>
          <w:vertAlign w:val="superscript"/>
          <w:lang w:eastAsia="zh-CN"/>
        </w:rPr>
        <w:t>]</w:t>
      </w:r>
      <w:r w:rsidRPr="00682C4E">
        <w:rPr>
          <w:rFonts w:ascii="Book Antiqua" w:eastAsia="Book Antiqua" w:hAnsi="Book Antiqua" w:cs="Book Antiqua"/>
          <w:color w:val="000000"/>
        </w:rPr>
        <w:t xml:space="preserve">. Of these, 17 studies were conducted in Iran, </w:t>
      </w:r>
      <w:r w:rsidR="00682C4E">
        <w:rPr>
          <w:rFonts w:ascii="Book Antiqua" w:eastAsia="Book Antiqua" w:hAnsi="Book Antiqua" w:cs="Book Antiqua"/>
          <w:color w:val="000000"/>
        </w:rPr>
        <w:t>2 studies</w:t>
      </w:r>
      <w:r w:rsidR="00682C4E" w:rsidRPr="00682C4E">
        <w:rPr>
          <w:rFonts w:ascii="Book Antiqua" w:eastAsia="Book Antiqua" w:hAnsi="Book Antiqua" w:cs="Book Antiqua"/>
          <w:color w:val="000000"/>
        </w:rPr>
        <w:t xml:space="preserve"> </w:t>
      </w:r>
      <w:r w:rsidRPr="00682C4E">
        <w:rPr>
          <w:rFonts w:ascii="Book Antiqua" w:eastAsia="Book Antiqua" w:hAnsi="Book Antiqua" w:cs="Book Antiqua"/>
          <w:color w:val="000000"/>
        </w:rPr>
        <w:t xml:space="preserve">in India, </w:t>
      </w:r>
      <w:r w:rsidR="00682C4E">
        <w:rPr>
          <w:rFonts w:ascii="Book Antiqua" w:eastAsia="Book Antiqua" w:hAnsi="Book Antiqua" w:cs="Book Antiqua"/>
          <w:color w:val="000000"/>
        </w:rPr>
        <w:t>2 studies</w:t>
      </w:r>
      <w:r w:rsidRPr="00682C4E">
        <w:rPr>
          <w:rFonts w:ascii="Book Antiqua" w:eastAsia="Book Antiqua" w:hAnsi="Book Antiqua" w:cs="Book Antiqua"/>
          <w:color w:val="000000"/>
        </w:rPr>
        <w:t xml:space="preserve"> in Iraq, </w:t>
      </w:r>
      <w:r w:rsidR="00682C4E">
        <w:rPr>
          <w:rFonts w:ascii="Book Antiqua" w:eastAsia="Book Antiqua" w:hAnsi="Book Antiqua" w:cs="Book Antiqua"/>
          <w:color w:val="000000"/>
        </w:rPr>
        <w:t>1 study</w:t>
      </w:r>
      <w:r w:rsidRPr="00682C4E">
        <w:rPr>
          <w:rFonts w:ascii="Book Antiqua" w:eastAsia="Book Antiqua" w:hAnsi="Book Antiqua" w:cs="Book Antiqua"/>
          <w:color w:val="000000"/>
        </w:rPr>
        <w:t xml:space="preserve"> in Bosnia and Herzegovina, </w:t>
      </w:r>
      <w:r w:rsidR="00682C4E">
        <w:rPr>
          <w:rFonts w:ascii="Book Antiqua" w:eastAsia="Book Antiqua" w:hAnsi="Book Antiqua" w:cs="Book Antiqua"/>
          <w:color w:val="000000"/>
        </w:rPr>
        <w:t>1 study</w:t>
      </w:r>
      <w:r w:rsidRPr="00682C4E">
        <w:rPr>
          <w:rFonts w:ascii="Book Antiqua" w:eastAsia="Book Antiqua" w:hAnsi="Book Antiqua" w:cs="Book Antiqua"/>
          <w:color w:val="000000"/>
        </w:rPr>
        <w:t xml:space="preserve"> in Nigeria, </w:t>
      </w:r>
      <w:r w:rsidR="00682C4E">
        <w:rPr>
          <w:rFonts w:ascii="Book Antiqua" w:eastAsia="Book Antiqua" w:hAnsi="Book Antiqua" w:cs="Book Antiqua"/>
          <w:color w:val="000000"/>
        </w:rPr>
        <w:t>1 study</w:t>
      </w:r>
      <w:r w:rsidRPr="00682C4E">
        <w:rPr>
          <w:rFonts w:ascii="Book Antiqua" w:eastAsia="Book Antiqua" w:hAnsi="Book Antiqua" w:cs="Book Antiqua"/>
          <w:color w:val="000000"/>
        </w:rPr>
        <w:t xml:space="preserve"> in Nagpur, and </w:t>
      </w:r>
      <w:r w:rsidR="00682C4E">
        <w:rPr>
          <w:rFonts w:ascii="Book Antiqua" w:eastAsia="Book Antiqua" w:hAnsi="Book Antiqua" w:cs="Book Antiqua"/>
          <w:color w:val="000000"/>
        </w:rPr>
        <w:t>1 study</w:t>
      </w:r>
      <w:r w:rsidRPr="00682C4E">
        <w:rPr>
          <w:rFonts w:ascii="Book Antiqua" w:eastAsia="Book Antiqua" w:hAnsi="Book Antiqua" w:cs="Book Antiqua"/>
          <w:color w:val="000000"/>
        </w:rPr>
        <w:t xml:space="preserve"> in Senegal. Overall, in selected studies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were isolated from urine, blood, placenta, vaginal swabs</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and cervix swabs</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In general, microbiological methods such as cold-enrichment, culture on PALCAM agar, culture on blood agar, as well as Gram-staining, oxidase, catalase, carbohydrates fermentation, methyl red/Voges-Proskauer, and motility at 25 °C were used to isolate and identify </w:t>
      </w:r>
      <w:r w:rsidRPr="00682C4E">
        <w:rPr>
          <w:rFonts w:ascii="Book Antiqua" w:eastAsia="Book Antiqua" w:hAnsi="Book Antiqua" w:cs="Book Antiqua"/>
          <w:i/>
          <w:iCs/>
          <w:color w:val="000000"/>
        </w:rPr>
        <w:t xml:space="preserve">L. monocytogenes </w:t>
      </w:r>
      <w:r w:rsidRPr="00682C4E">
        <w:rPr>
          <w:rFonts w:ascii="Book Antiqua" w:eastAsia="Book Antiqua" w:hAnsi="Book Antiqua" w:cs="Book Antiqua"/>
          <w:color w:val="000000"/>
        </w:rPr>
        <w:t xml:space="preserve">strains. In addition, the authors had used </w:t>
      </w:r>
      <w:r w:rsidRPr="00682C4E">
        <w:rPr>
          <w:rFonts w:ascii="Book Antiqua" w:hAnsi="Book Antiqua"/>
          <w:lang w:eastAsia="zh-CN"/>
        </w:rPr>
        <w:t>polymerase chain reaction</w:t>
      </w:r>
      <w:r w:rsidRPr="00682C4E">
        <w:rPr>
          <w:rFonts w:ascii="Book Antiqua" w:eastAsia="Book Antiqua" w:hAnsi="Book Antiqua" w:cs="Book Antiqua"/>
          <w:color w:val="000000"/>
        </w:rPr>
        <w:t xml:space="preserve"> technique (for genes such as </w:t>
      </w:r>
      <w:r w:rsidRPr="00682C4E">
        <w:rPr>
          <w:rFonts w:ascii="Book Antiqua" w:eastAsia="Book Antiqua" w:hAnsi="Book Antiqua" w:cs="Book Antiqua"/>
          <w:i/>
          <w:iCs/>
          <w:color w:val="000000"/>
        </w:rPr>
        <w:t>hlyA</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InlA</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InlB</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actA</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iap</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plcA</w:t>
      </w:r>
      <w:r w:rsidRPr="00682C4E">
        <w:rPr>
          <w:rFonts w:ascii="Book Antiqua" w:eastAsia="Book Antiqua" w:hAnsi="Book Antiqua" w:cs="Book Antiqua"/>
          <w:color w:val="000000"/>
        </w:rPr>
        <w:t xml:space="preserve">, and </w:t>
      </w:r>
      <w:r w:rsidRPr="00682C4E">
        <w:rPr>
          <w:rFonts w:ascii="Book Antiqua" w:eastAsia="Book Antiqua" w:hAnsi="Book Antiqua" w:cs="Book Antiqua"/>
          <w:i/>
          <w:iCs/>
          <w:color w:val="000000"/>
        </w:rPr>
        <w:t>PrfA</w:t>
      </w:r>
      <w:r w:rsidRPr="00682C4E">
        <w:rPr>
          <w:rFonts w:ascii="Book Antiqua" w:eastAsia="Book Antiqua" w:hAnsi="Book Antiqua" w:cs="Book Antiqua"/>
          <w:color w:val="000000"/>
        </w:rPr>
        <w:t>) and serological tests on blood samples in their studies (Table 1).</w:t>
      </w:r>
    </w:p>
    <w:p w14:paraId="11EA38ED" w14:textId="77777777" w:rsidR="00510012" w:rsidRPr="00682C4E" w:rsidRDefault="00510012" w:rsidP="00FC1600">
      <w:pPr>
        <w:snapToGrid w:val="0"/>
        <w:spacing w:line="360" w:lineRule="auto"/>
        <w:jc w:val="both"/>
        <w:rPr>
          <w:rFonts w:ascii="Book Antiqua" w:hAnsi="Book Antiqua"/>
        </w:rPr>
      </w:pPr>
    </w:p>
    <w:p w14:paraId="61969A49" w14:textId="77777777" w:rsidR="00510012" w:rsidRPr="00682C4E" w:rsidRDefault="001B61A7" w:rsidP="00FC1600">
      <w:pPr>
        <w:snapToGrid w:val="0"/>
        <w:spacing w:line="360" w:lineRule="auto"/>
        <w:jc w:val="both"/>
        <w:rPr>
          <w:rFonts w:ascii="Book Antiqua" w:hAnsi="Book Antiqua"/>
          <w:b/>
          <w:bCs/>
        </w:rPr>
      </w:pPr>
      <w:r w:rsidRPr="00682C4E">
        <w:rPr>
          <w:rFonts w:ascii="Book Antiqua" w:eastAsia="Book Antiqua" w:hAnsi="Book Antiqua" w:cs="Book Antiqua"/>
          <w:b/>
          <w:bCs/>
          <w:i/>
          <w:iCs/>
          <w:color w:val="000000"/>
        </w:rPr>
        <w:t>Statistical analysis of spontaneous abortion</w:t>
      </w:r>
    </w:p>
    <w:p w14:paraId="69A9D994" w14:textId="31ECD0DD"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The prevalence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in women undergoing spontaneous abortion was approximately 20.5% (18.9-22.3 with 95%CIs;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 0.001;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93.85;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w:t>
      </w:r>
      <w:r w:rsidR="00FA6387" w:rsidRPr="00682C4E">
        <w:rPr>
          <w:rFonts w:ascii="Book Antiqua" w:eastAsia="Book Antiqua" w:hAnsi="Book Antiqua" w:cs="Book Antiqua"/>
          <w:color w:val="000000"/>
        </w:rPr>
        <w:t>v</w:t>
      </w:r>
      <w:r w:rsidRPr="00682C4E">
        <w:rPr>
          <w:rFonts w:ascii="Book Antiqua" w:eastAsia="Book Antiqua" w:hAnsi="Book Antiqua" w:cs="Book Antiqua"/>
          <w:color w:val="000000"/>
        </w:rPr>
        <w:t xml:space="preserve">alue: 374.16; </w:t>
      </w:r>
      <w:r w:rsidRPr="00682C4E">
        <w:rPr>
          <w:rFonts w:ascii="Book Antiqua" w:eastAsia="Book Antiqua" w:hAnsi="Book Antiqua" w:cs="Book Antiqua"/>
          <w:i/>
          <w:iCs/>
          <w:color w:val="000000"/>
        </w:rPr>
        <w:t>P</w:t>
      </w:r>
      <w:r w:rsidRPr="00682C4E">
        <w:rPr>
          <w:rFonts w:ascii="Book Antiqua" w:eastAsia="Book Antiqua" w:hAnsi="Book Antiqua" w:cs="Book Antiqua"/>
          <w:color w:val="000000"/>
        </w:rPr>
        <w:t xml:space="preserve"> = 0.001; Egger</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0.05; Begg</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0.01) was estimated (Figure 2).</w:t>
      </w:r>
    </w:p>
    <w:p w14:paraId="340CF4A8" w14:textId="7D09878C" w:rsidR="00510012" w:rsidRPr="00682C4E" w:rsidRDefault="001B61A7" w:rsidP="00FC1600">
      <w:pPr>
        <w:snapToGrid w:val="0"/>
        <w:spacing w:line="360" w:lineRule="auto"/>
        <w:ind w:firstLineChars="200" w:firstLine="480"/>
        <w:jc w:val="both"/>
        <w:rPr>
          <w:rFonts w:ascii="Book Antiqua" w:hAnsi="Book Antiqua"/>
        </w:rPr>
      </w:pPr>
      <w:r w:rsidRPr="00682C4E">
        <w:rPr>
          <w:rFonts w:ascii="Book Antiqua" w:eastAsia="Book Antiqua" w:hAnsi="Book Antiqua" w:cs="Book Antiqua"/>
          <w:color w:val="000000"/>
        </w:rPr>
        <w:t>The frequency of</w:t>
      </w:r>
      <w:r w:rsidR="00682C4E">
        <w:rPr>
          <w:rFonts w:ascii="Book Antiqua" w:eastAsia="Book Antiqua" w:hAnsi="Book Antiqua" w:cs="Book Antiqua"/>
          <w:color w:val="000000"/>
        </w:rPr>
        <w:t xml:space="preserve"> the</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hlyA</w:t>
      </w:r>
      <w:r w:rsidRPr="00682C4E">
        <w:rPr>
          <w:rFonts w:ascii="Book Antiqua" w:eastAsia="Book Antiqua" w:hAnsi="Book Antiqua" w:cs="Book Antiqua"/>
          <w:color w:val="000000"/>
        </w:rPr>
        <w:t xml:space="preserve"> gene in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isolated from patients was estimated to be about 28</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(21</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%-36.3% with 95%CI; </w:t>
      </w:r>
      <w:r w:rsidRPr="00682C4E">
        <w:rPr>
          <w:rFonts w:ascii="Book Antiqua" w:eastAsia="Book Antiqua" w:hAnsi="Book Antiqua" w:cs="Book Antiqua"/>
          <w:i/>
          <w:iCs/>
          <w:color w:val="000000"/>
        </w:rPr>
        <w:t>P</w:t>
      </w:r>
      <w:r w:rsidRPr="00682C4E">
        <w:rPr>
          <w:rFonts w:ascii="Book Antiqua" w:eastAsia="Book Antiqua" w:hAnsi="Book Antiqua" w:cs="Book Antiqua"/>
          <w:color w:val="000000"/>
        </w:rPr>
        <w:t xml:space="preserve">= 0.001;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87.34;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w:t>
      </w:r>
      <w:r w:rsidR="00467400" w:rsidRPr="00682C4E">
        <w:rPr>
          <w:rFonts w:ascii="Book Antiqua" w:eastAsia="Book Antiqua" w:hAnsi="Book Antiqua" w:cs="Book Antiqua"/>
          <w:color w:val="000000"/>
        </w:rPr>
        <w:t>v</w:t>
      </w:r>
      <w:r w:rsidRPr="00682C4E">
        <w:rPr>
          <w:rFonts w:ascii="Book Antiqua" w:eastAsia="Book Antiqua" w:hAnsi="Book Antiqua" w:cs="Book Antiqua"/>
          <w:color w:val="000000"/>
        </w:rPr>
        <w:t xml:space="preserve">alue: 94.84;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 0.001; Begg’s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 0.03; Egger’s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 0.001). Also, abundance of serotypes 1/2a, 12/b, </w:t>
      </w:r>
      <w:r w:rsidRPr="00682C4E">
        <w:rPr>
          <w:rFonts w:ascii="Book Antiqua" w:eastAsia="Book Antiqua" w:hAnsi="Book Antiqua" w:cs="Book Antiqua"/>
          <w:color w:val="000000"/>
        </w:rPr>
        <w:lastRenderedPageBreak/>
        <w:t xml:space="preserve">and 4b were measured </w:t>
      </w:r>
      <w:r w:rsidR="00682C4E">
        <w:rPr>
          <w:rFonts w:ascii="Book Antiqua" w:eastAsia="Book Antiqua" w:hAnsi="Book Antiqua" w:cs="Book Antiqua"/>
          <w:color w:val="000000"/>
        </w:rPr>
        <w:t xml:space="preserve">to be </w:t>
      </w:r>
      <w:r w:rsidRPr="00682C4E">
        <w:rPr>
          <w:rFonts w:ascii="Book Antiqua" w:eastAsia="Book Antiqua" w:hAnsi="Book Antiqua" w:cs="Book Antiqua"/>
          <w:color w:val="000000"/>
        </w:rPr>
        <w:t>about 38.7% (26.8%-52.2% with 95%CIs), 26.5% (13.1%-46.3% with 95%CIs), and 49.5% (32.8%-59.5% with 95%CIs), respectively.</w:t>
      </w:r>
    </w:p>
    <w:p w14:paraId="7012AE77" w14:textId="78D25E59" w:rsidR="00510012" w:rsidRPr="00682C4E" w:rsidRDefault="001B61A7" w:rsidP="00FC1600">
      <w:pPr>
        <w:snapToGrid w:val="0"/>
        <w:spacing w:line="360" w:lineRule="auto"/>
        <w:ind w:firstLineChars="200" w:firstLine="480"/>
        <w:jc w:val="both"/>
        <w:rPr>
          <w:rFonts w:ascii="Book Antiqua" w:hAnsi="Book Antiqua"/>
        </w:rPr>
      </w:pPr>
      <w:r w:rsidRPr="00682C4E">
        <w:rPr>
          <w:rFonts w:ascii="Book Antiqua" w:eastAsia="Book Antiqua" w:hAnsi="Book Antiqua" w:cs="Book Antiqua"/>
          <w:color w:val="000000"/>
        </w:rPr>
        <w:t xml:space="preserve">Furthermore, it was revealed that the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significantly increases the risk of spontaneous abortion in pregnant women (</w:t>
      </w:r>
      <w:r w:rsidR="00682C4E">
        <w:rPr>
          <w:rFonts w:ascii="Book Antiqua" w:eastAsia="Book Antiqua" w:hAnsi="Book Antiqua" w:cs="Book Antiqua"/>
          <w:color w:val="000000"/>
        </w:rPr>
        <w:t>odds ratio</w:t>
      </w:r>
      <w:r w:rsidRPr="00682C4E">
        <w:rPr>
          <w:rFonts w:ascii="Book Antiqua" w:eastAsia="Book Antiqua" w:hAnsi="Book Antiqua" w:cs="Book Antiqua"/>
          <w:color w:val="000000"/>
        </w:rPr>
        <w:t xml:space="preserve">: 2.778; 2.130-3.623 with 95%CIs;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 0.001;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76.30;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21.01;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0.001; Egger</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0.38; Begg</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s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0.51) (Figure 3).</w:t>
      </w:r>
    </w:p>
    <w:p w14:paraId="17BBF87B" w14:textId="77777777" w:rsidR="00510012" w:rsidRPr="00682C4E" w:rsidRDefault="00510012" w:rsidP="00FC1600">
      <w:pPr>
        <w:snapToGrid w:val="0"/>
        <w:spacing w:line="360" w:lineRule="auto"/>
        <w:jc w:val="both"/>
        <w:rPr>
          <w:rFonts w:ascii="Book Antiqua" w:eastAsia="Book Antiqua" w:hAnsi="Book Antiqua" w:cs="Book Antiqua"/>
          <w:color w:val="000000"/>
        </w:rPr>
      </w:pPr>
    </w:p>
    <w:p w14:paraId="213833DE" w14:textId="77777777" w:rsidR="00510012" w:rsidRPr="00682C4E" w:rsidRDefault="001B61A7" w:rsidP="00FC1600">
      <w:pPr>
        <w:snapToGrid w:val="0"/>
        <w:spacing w:line="360" w:lineRule="auto"/>
        <w:jc w:val="both"/>
        <w:rPr>
          <w:rFonts w:ascii="Book Antiqua" w:hAnsi="Book Antiqua"/>
          <w:b/>
          <w:bCs/>
        </w:rPr>
      </w:pPr>
      <w:r w:rsidRPr="00682C4E">
        <w:rPr>
          <w:rFonts w:ascii="Book Antiqua" w:eastAsia="Book Antiqua" w:hAnsi="Book Antiqua" w:cs="Book Antiqua"/>
          <w:b/>
          <w:bCs/>
          <w:i/>
          <w:iCs/>
          <w:color w:val="000000"/>
        </w:rPr>
        <w:t xml:space="preserve">Statistical analysis of antibiotic resistance </w:t>
      </w:r>
    </w:p>
    <w:p w14:paraId="042A936F" w14:textId="51E4D809"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The current analysis showed that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isolated from spontaneous abortion cases were resistant to various antibiotics. The resistance to different antibiotics was as follows: </w:t>
      </w:r>
      <w:r w:rsidR="00682C4E">
        <w:rPr>
          <w:rFonts w:ascii="Book Antiqua" w:eastAsia="Book Antiqua" w:hAnsi="Book Antiqua" w:cs="Book Antiqua"/>
          <w:color w:val="000000"/>
        </w:rPr>
        <w:t>a</w:t>
      </w:r>
      <w:r w:rsidRPr="00682C4E">
        <w:rPr>
          <w:rFonts w:ascii="Book Antiqua" w:eastAsia="Book Antiqua" w:hAnsi="Book Antiqua" w:cs="Book Antiqua"/>
          <w:color w:val="000000"/>
        </w:rPr>
        <w:t xml:space="preserve">mpicillin 31.8% (25.5-38.9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92.96;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56.84;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0.001), penicillin G 56.8% (51.4-62</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94.64; Q-Value: 74.67;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0.001), cotrimoxazole 33</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 (24.5-42.8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0.00;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0.00;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1.00), cephalothin 50</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 (40.3-59.7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0.00;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0.00;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 1.00), tetracycline 29.2% (23.2-36.1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91.75;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36.37;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0.001), erythromycin 15</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 (9.5-22.8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91.96;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37.31 ;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0.001), cefotaxime 77</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 (70.7-82.3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0.00;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0.00;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1.00), chloramphenicol 11</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 (7.4-16.1 with 95 % 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0.00;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0.00;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 1.00), trimethoprim 38.3% (30.5-46.8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95.47;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66.26;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xml:space="preserve">= 0.01), ciprofloxacin 11.1% (6.8-17.7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82.1;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11.18;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0.04), gentamycin 28</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(20</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-37.6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0.00;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0.00;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1.00),</w:t>
      </w:r>
      <w:r w:rsidR="00682C4E">
        <w:rPr>
          <w:rFonts w:ascii="Book Antiqua" w:eastAsia="Book Antiqua" w:hAnsi="Book Antiqua" w:cs="Book Antiqua"/>
          <w:color w:val="000000"/>
        </w:rPr>
        <w:t xml:space="preserve"> and</w:t>
      </w:r>
      <w:r w:rsidRPr="00682C4E">
        <w:rPr>
          <w:rFonts w:ascii="Book Antiqua" w:eastAsia="Book Antiqua" w:hAnsi="Book Antiqua" w:cs="Book Antiqua"/>
          <w:color w:val="000000"/>
        </w:rPr>
        <w:t xml:space="preserve"> streptomycin 11</w:t>
      </w:r>
      <w:r w:rsidR="00682C4E">
        <w:rPr>
          <w:rFonts w:ascii="Book Antiqua" w:eastAsia="Book Antiqua" w:hAnsi="Book Antiqua" w:cs="Book Antiqua"/>
          <w:color w:val="000000"/>
        </w:rPr>
        <w:t>.0</w:t>
      </w:r>
      <w:r w:rsidRPr="00682C4E">
        <w:rPr>
          <w:rFonts w:ascii="Book Antiqua" w:eastAsia="Book Antiqua" w:hAnsi="Book Antiqua" w:cs="Book Antiqua"/>
          <w:color w:val="000000"/>
        </w:rPr>
        <w:t xml:space="preserve">% (7.4-16.1 with 95%CIs; </w:t>
      </w:r>
      <w:r w:rsidRPr="00682C4E">
        <w:rPr>
          <w:rFonts w:ascii="Book Antiqua" w:eastAsia="Book Antiqua" w:hAnsi="Book Antiqua" w:cs="Book Antiqua"/>
          <w:i/>
          <w:iCs/>
          <w:color w:val="000000"/>
        </w:rPr>
        <w:t>I</w:t>
      </w:r>
      <w:r w:rsidRPr="00682C4E">
        <w:rPr>
          <w:rFonts w:ascii="Book Antiqua" w:eastAsia="Book Antiqua" w:hAnsi="Book Antiqua" w:cs="Book Antiqua"/>
          <w:i/>
          <w:iCs/>
          <w:color w:val="000000"/>
          <w:vertAlign w:val="superscript"/>
        </w:rPr>
        <w:t>2</w:t>
      </w:r>
      <w:r w:rsidRPr="00682C4E">
        <w:rPr>
          <w:rFonts w:ascii="Book Antiqua" w:eastAsia="Book Antiqua" w:hAnsi="Book Antiqua" w:cs="Book Antiqua"/>
          <w:color w:val="000000"/>
        </w:rPr>
        <w:t xml:space="preserve">: 0.00; </w:t>
      </w:r>
      <w:r w:rsidRPr="00682C4E">
        <w:rPr>
          <w:rFonts w:ascii="Book Antiqua" w:eastAsia="Book Antiqua" w:hAnsi="Book Antiqua" w:cs="Book Antiqua"/>
          <w:i/>
          <w:iCs/>
          <w:color w:val="000000"/>
        </w:rPr>
        <w:t>Q</w:t>
      </w:r>
      <w:r w:rsidRPr="00682C4E">
        <w:rPr>
          <w:rFonts w:ascii="Book Antiqua" w:eastAsia="Book Antiqua" w:hAnsi="Book Antiqua" w:cs="Book Antiqua"/>
          <w:color w:val="000000"/>
        </w:rPr>
        <w:t xml:space="preserve">-Value: 000; </w:t>
      </w:r>
      <w:r w:rsidRPr="00682C4E">
        <w:rPr>
          <w:rFonts w:ascii="Book Antiqua" w:eastAsia="Book Antiqua" w:hAnsi="Book Antiqua" w:cs="Book Antiqua"/>
          <w:i/>
          <w:iCs/>
          <w:color w:val="000000"/>
        </w:rPr>
        <w:t xml:space="preserve">P </w:t>
      </w:r>
      <w:r w:rsidRPr="00682C4E">
        <w:rPr>
          <w:rFonts w:ascii="Book Antiqua" w:eastAsia="Book Antiqua" w:hAnsi="Book Antiqua" w:cs="Book Antiqua"/>
          <w:color w:val="000000"/>
        </w:rPr>
        <w:t>= 1.00)</w:t>
      </w:r>
      <w:r w:rsidR="00682C4E">
        <w:rPr>
          <w:rFonts w:ascii="Book Antiqua" w:eastAsia="Book Antiqua" w:hAnsi="Book Antiqua" w:cs="Book Antiqua"/>
          <w:color w:val="000000"/>
        </w:rPr>
        <w:t>.</w:t>
      </w:r>
      <w:r w:rsidRPr="00682C4E">
        <w:rPr>
          <w:rFonts w:ascii="Book Antiqua" w:eastAsia="Book Antiqua" w:hAnsi="Book Antiqua" w:cs="Book Antiqua"/>
          <w:color w:val="000000"/>
        </w:rPr>
        <w:t xml:space="preserve"> </w:t>
      </w:r>
      <w:r w:rsidR="00682C4E">
        <w:rPr>
          <w:rFonts w:ascii="Book Antiqua" w:eastAsia="Book Antiqua" w:hAnsi="Book Antiqua" w:cs="Book Antiqua"/>
          <w:color w:val="000000"/>
        </w:rPr>
        <w:t>N</w:t>
      </w:r>
      <w:r w:rsidRPr="00682C4E">
        <w:rPr>
          <w:rFonts w:ascii="Book Antiqua" w:eastAsia="Book Antiqua" w:hAnsi="Book Antiqua" w:cs="Book Antiqua"/>
          <w:color w:val="000000"/>
        </w:rPr>
        <w:t>o resistance has been reported to the three antibiotics amikacin, meropenem, and norfloxacin.</w:t>
      </w:r>
    </w:p>
    <w:p w14:paraId="7066BD3F" w14:textId="77777777" w:rsidR="00510012" w:rsidRPr="00682C4E" w:rsidRDefault="00510012" w:rsidP="00FC1600">
      <w:pPr>
        <w:snapToGrid w:val="0"/>
        <w:spacing w:line="360" w:lineRule="auto"/>
        <w:jc w:val="both"/>
        <w:rPr>
          <w:rFonts w:ascii="Book Antiqua" w:hAnsi="Book Antiqua"/>
        </w:rPr>
      </w:pPr>
    </w:p>
    <w:p w14:paraId="3077155F"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aps/>
          <w:color w:val="000000"/>
          <w:u w:val="single"/>
        </w:rPr>
        <w:t>DISCUSSION</w:t>
      </w:r>
    </w:p>
    <w:p w14:paraId="599D0443" w14:textId="5340BDC4" w:rsidR="006A4CE9" w:rsidRDefault="001B61A7" w:rsidP="00FC1600">
      <w:pPr>
        <w:snapToGrid w:val="0"/>
        <w:spacing w:line="360" w:lineRule="auto"/>
        <w:jc w:val="both"/>
        <w:rPr>
          <w:rFonts w:ascii="Book Antiqua" w:eastAsia="Book Antiqua" w:hAnsi="Book Antiqua" w:cs="Book Antiqua"/>
          <w:color w:val="000000"/>
        </w:rPr>
      </w:pPr>
      <w:r w:rsidRPr="00682C4E">
        <w:rPr>
          <w:rFonts w:ascii="Book Antiqua" w:eastAsia="Book Antiqua" w:hAnsi="Book Antiqua" w:cs="Book Antiqua"/>
          <w:color w:val="000000"/>
        </w:rPr>
        <w:t>Listeriosis is one of the most well-known foodborne diseases that is transmitted to humans through the consumption of contaminated animal products. Several outbreaks of listeriosis have been reported worldwide, with children being the main victims</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37</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According to studies, the prevalence of listeriosis </w:t>
      </w:r>
      <w:r w:rsidRPr="00682C4E">
        <w:rPr>
          <w:rFonts w:ascii="Book Antiqua" w:eastAsia="Book Antiqua" w:hAnsi="Book Antiqua" w:cs="Book Antiqua"/>
          <w:i/>
          <w:iCs/>
          <w:color w:val="000000"/>
        </w:rPr>
        <w:t>per</w:t>
      </w:r>
      <w:r w:rsidRPr="00682C4E">
        <w:rPr>
          <w:rFonts w:ascii="Book Antiqua" w:eastAsia="Book Antiqua" w:hAnsi="Book Antiqua" w:cs="Book Antiqua"/>
          <w:color w:val="000000"/>
        </w:rPr>
        <w:t xml:space="preserve"> 100000 people in children, the elderly, and pregnant women is estimated at 3.4, 10</w:t>
      </w:r>
      <w:r w:rsidR="006A4CE9">
        <w:rPr>
          <w:rFonts w:ascii="Book Antiqua" w:eastAsia="Book Antiqua" w:hAnsi="Book Antiqua" w:cs="Book Antiqua"/>
          <w:color w:val="000000"/>
        </w:rPr>
        <w:t>.0,</w:t>
      </w:r>
      <w:r w:rsidRPr="00682C4E">
        <w:rPr>
          <w:rFonts w:ascii="Book Antiqua" w:eastAsia="Book Antiqua" w:hAnsi="Book Antiqua" w:cs="Book Antiqua"/>
          <w:color w:val="000000"/>
        </w:rPr>
        <w:t xml:space="preserve"> and 12</w:t>
      </w:r>
      <w:r w:rsidR="006A4CE9">
        <w:rPr>
          <w:rFonts w:ascii="Book Antiqua" w:eastAsia="Book Antiqua" w:hAnsi="Book Antiqua" w:cs="Book Antiqua"/>
          <w:color w:val="000000"/>
        </w:rPr>
        <w:t>.0</w:t>
      </w:r>
      <w:r w:rsidRPr="00682C4E">
        <w:rPr>
          <w:rFonts w:ascii="Book Antiqua" w:eastAsia="Book Antiqua" w:hAnsi="Book Antiqua" w:cs="Book Antiqua"/>
          <w:color w:val="000000"/>
        </w:rPr>
        <w:t>, respectively. Pregnant women can pass listeriosis to their baby in the womb or at birth</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38</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Latent listeriosis in </w:t>
      </w:r>
      <w:r w:rsidRPr="00682C4E">
        <w:rPr>
          <w:rFonts w:ascii="Book Antiqua" w:eastAsia="Book Antiqua" w:hAnsi="Book Antiqua" w:cs="Book Antiqua"/>
          <w:color w:val="000000"/>
        </w:rPr>
        <w:lastRenderedPageBreak/>
        <w:t>pregnant women can have fatal effects on the fetus such as granulomatosis infantiseptica, spontaneous abortion, stillbirth, premature birth, and meningitis</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39</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According to the Centers for Disease Control and Prevention, about 14% of human listeriosis occurs in pregnant women. Therefore, the diagnosis of listeriosis during pregnancy is essential, especially in developing areas (</w:t>
      </w:r>
      <w:r w:rsidRPr="00682C4E">
        <w:rPr>
          <w:rFonts w:ascii="Book Antiqua" w:eastAsia="Book Antiqua" w:hAnsi="Book Antiqua" w:cs="Book Antiqua"/>
          <w:i/>
          <w:iCs/>
          <w:color w:val="000000"/>
        </w:rPr>
        <w:t>Listeria</w:t>
      </w:r>
      <w:r w:rsidRPr="00682C4E">
        <w:rPr>
          <w:rFonts w:ascii="Book Antiqua" w:eastAsia="Book Antiqua" w:hAnsi="Book Antiqua" w:cs="Book Antiqua"/>
          <w:color w:val="000000"/>
        </w:rPr>
        <w:t xml:space="preserve"> spp. are more likely to be contaminat</w:t>
      </w:r>
      <w:r w:rsidR="006A4CE9">
        <w:rPr>
          <w:rFonts w:ascii="Book Antiqua" w:eastAsia="Book Antiqua" w:hAnsi="Book Antiqua" w:cs="Book Antiqua"/>
          <w:color w:val="000000"/>
        </w:rPr>
        <w:t>ing</w:t>
      </w:r>
      <w:r w:rsidRPr="00682C4E">
        <w:rPr>
          <w:rFonts w:ascii="Book Antiqua" w:eastAsia="Book Antiqua" w:hAnsi="Book Antiqua" w:cs="Book Antiqua"/>
          <w:color w:val="000000"/>
        </w:rPr>
        <w:t xml:space="preserve"> food in these areas)</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40</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w:t>
      </w:r>
    </w:p>
    <w:p w14:paraId="637B9E2C" w14:textId="75BCE2A3" w:rsidR="00510012" w:rsidRPr="00682C4E" w:rsidRDefault="001B61A7" w:rsidP="00FC1600">
      <w:pPr>
        <w:snapToGrid w:val="0"/>
        <w:spacing w:line="360" w:lineRule="auto"/>
        <w:ind w:firstLine="450"/>
        <w:jc w:val="both"/>
        <w:rPr>
          <w:rFonts w:ascii="Book Antiqua" w:hAnsi="Book Antiqua"/>
        </w:rPr>
      </w:pPr>
      <w:r w:rsidRPr="00682C4E">
        <w:rPr>
          <w:rFonts w:ascii="Book Antiqua" w:eastAsia="Book Antiqua" w:hAnsi="Book Antiqua" w:cs="Book Antiqua"/>
          <w:color w:val="000000"/>
        </w:rPr>
        <w:t xml:space="preserve">Based on </w:t>
      </w:r>
      <w:r w:rsidR="006A4CE9">
        <w:rPr>
          <w:rFonts w:ascii="Book Antiqua" w:eastAsia="Book Antiqua" w:hAnsi="Book Antiqua" w:cs="Book Antiqua"/>
          <w:color w:val="000000"/>
        </w:rPr>
        <w:t xml:space="preserve">the </w:t>
      </w:r>
      <w:r w:rsidRPr="00682C4E">
        <w:rPr>
          <w:rFonts w:ascii="Book Antiqua" w:eastAsia="Book Antiqua" w:hAnsi="Book Antiqua" w:cs="Book Antiqua"/>
          <w:color w:val="000000"/>
        </w:rPr>
        <w:t xml:space="preserve">current analysis, it was shown that the rate of colonization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 women who had spontaneous abortions was about 20.5%, although in some studies, </w:t>
      </w:r>
      <w:r w:rsidRPr="00682C4E">
        <w:rPr>
          <w:rFonts w:ascii="Book Antiqua" w:eastAsia="Book Antiqua" w:hAnsi="Book Antiqua" w:cs="Book Antiqua"/>
          <w:i/>
          <w:iCs/>
          <w:color w:val="000000"/>
        </w:rPr>
        <w:t>L. ivanovii</w:t>
      </w:r>
      <w:r w:rsidRPr="00682C4E">
        <w:rPr>
          <w:rFonts w:ascii="Book Antiqua" w:eastAsia="Book Antiqua" w:hAnsi="Book Antiqua" w:cs="Book Antiqua"/>
          <w:color w:val="000000"/>
        </w:rPr>
        <w:t xml:space="preserve"> and </w:t>
      </w:r>
      <w:r w:rsidRPr="00682C4E">
        <w:rPr>
          <w:rFonts w:ascii="Book Antiqua" w:eastAsia="Book Antiqua" w:hAnsi="Book Antiqua" w:cs="Book Antiqua"/>
          <w:i/>
          <w:iCs/>
          <w:color w:val="000000"/>
        </w:rPr>
        <w:t>L. seeligeri</w:t>
      </w:r>
      <w:r w:rsidRPr="00682C4E">
        <w:rPr>
          <w:rFonts w:ascii="Book Antiqua" w:eastAsia="Book Antiqua" w:hAnsi="Book Antiqua" w:cs="Book Antiqua"/>
          <w:color w:val="000000"/>
        </w:rPr>
        <w:t xml:space="preserve"> were the cause of infection and abortion. For the first time, in the current meta-analysis, we evaluated the association of colonization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 pregnant women with spontaneous abortion, and most of the studies considered in the current analysis were related to Iran. Iran as a developing country has a high rate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which in turn is related to working conditions, lifestyle, and geographical location. In another meta-analysis study from Iran, the rate of colonization with </w:t>
      </w:r>
      <w:r w:rsidRPr="00682C4E">
        <w:rPr>
          <w:rFonts w:ascii="Book Antiqua" w:eastAsia="Book Antiqua" w:hAnsi="Book Antiqua" w:cs="Book Antiqua"/>
          <w:i/>
          <w:iCs/>
          <w:color w:val="000000"/>
        </w:rPr>
        <w:t>L</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monocytogenes</w:t>
      </w:r>
      <w:r w:rsidRPr="00682C4E">
        <w:rPr>
          <w:rFonts w:ascii="Book Antiqua" w:eastAsia="Book Antiqua" w:hAnsi="Book Antiqua" w:cs="Book Antiqua"/>
          <w:color w:val="000000"/>
        </w:rPr>
        <w:t xml:space="preserve"> in humans, animals</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and food products was estimated at 10%, 7%</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and 4%, respectively</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41</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w:t>
      </w:r>
    </w:p>
    <w:p w14:paraId="186FF4D3" w14:textId="20EF7F2E" w:rsidR="00510012" w:rsidRPr="00682C4E" w:rsidRDefault="001B61A7" w:rsidP="00FC1600">
      <w:pPr>
        <w:snapToGrid w:val="0"/>
        <w:spacing w:line="360" w:lineRule="auto"/>
        <w:ind w:firstLineChars="200" w:firstLine="480"/>
        <w:jc w:val="both"/>
        <w:rPr>
          <w:rFonts w:ascii="Book Antiqua" w:hAnsi="Book Antiqua"/>
        </w:rPr>
      </w:pPr>
      <w:r w:rsidRPr="00682C4E">
        <w:rPr>
          <w:rFonts w:ascii="Book Antiqua" w:eastAsia="Book Antiqua" w:hAnsi="Book Antiqua" w:cs="Book Antiqua"/>
          <w:color w:val="000000"/>
        </w:rPr>
        <w:t>Cell-mediated immunity is somewhat suppressed during pregnancy, while humoral immunity is as active as ever</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w:t>
      </w:r>
      <w:r w:rsidR="006A4CE9">
        <w:rPr>
          <w:rFonts w:ascii="Book Antiqua" w:eastAsia="Book Antiqua" w:hAnsi="Book Antiqua" w:cs="Book Antiqua"/>
          <w:color w:val="000000"/>
        </w:rPr>
        <w:t>Therefore,</w:t>
      </w:r>
      <w:r w:rsidRPr="00682C4E">
        <w:rPr>
          <w:rFonts w:ascii="Book Antiqua" w:eastAsia="Book Antiqua" w:hAnsi="Book Antiqua" w:cs="Book Antiqua"/>
          <w:color w:val="000000"/>
        </w:rPr>
        <w:t xml:space="preserve"> pregnancy increases the risk of infection with facultative intracellular bacteria such as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Meanwhile, the human placenta also provides a protective niche for the growth and proliferation of this bacterium, which in turn increases the risk of spontaneous abortion</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42</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We found that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can significantly increase the risk of miscarriage during pregnancy (</w:t>
      </w:r>
      <w:r w:rsidR="00682C4E">
        <w:rPr>
          <w:rFonts w:ascii="Book Antiqua" w:eastAsia="Book Antiqua" w:hAnsi="Book Antiqua" w:cs="Book Antiqua"/>
          <w:color w:val="000000"/>
        </w:rPr>
        <w:t>odds ratio</w:t>
      </w:r>
      <w:r w:rsidRPr="00682C4E">
        <w:rPr>
          <w:rFonts w:ascii="Book Antiqua" w:eastAsia="Book Antiqua" w:hAnsi="Book Antiqua" w:cs="Book Antiqua"/>
          <w:color w:val="000000"/>
        </w:rPr>
        <w:t xml:space="preserve">: 2.7; 2.1-3.6 with 95%CI; </w:t>
      </w:r>
      <w:r w:rsidRPr="00682C4E">
        <w:rPr>
          <w:rFonts w:ascii="Book Antiqua" w:eastAsia="Book Antiqua" w:hAnsi="Book Antiqua" w:cs="Book Antiqua"/>
          <w:i/>
          <w:iCs/>
          <w:color w:val="000000"/>
        </w:rPr>
        <w:t>P</w:t>
      </w:r>
      <w:r w:rsidRPr="00682C4E">
        <w:rPr>
          <w:rFonts w:ascii="Book Antiqua" w:eastAsia="Book Antiqua" w:hAnsi="Book Antiqua" w:cs="Book Antiqua"/>
          <w:color w:val="000000"/>
        </w:rPr>
        <w:t xml:space="preserve"> = 0.01).</w:t>
      </w:r>
    </w:p>
    <w:p w14:paraId="1A0FF947" w14:textId="7C71E408" w:rsidR="00510012" w:rsidRPr="00682C4E" w:rsidRDefault="001B61A7" w:rsidP="00FC1600">
      <w:pPr>
        <w:snapToGrid w:val="0"/>
        <w:spacing w:line="360" w:lineRule="auto"/>
        <w:ind w:firstLineChars="200" w:firstLine="480"/>
        <w:jc w:val="both"/>
        <w:rPr>
          <w:rFonts w:ascii="Book Antiqua" w:hAnsi="Book Antiqua"/>
        </w:rPr>
      </w:pPr>
      <w:r w:rsidRPr="00682C4E">
        <w:rPr>
          <w:rFonts w:ascii="Book Antiqua" w:eastAsia="Book Antiqua" w:hAnsi="Book Antiqua" w:cs="Book Antiqua"/>
          <w:color w:val="000000"/>
        </w:rPr>
        <w:t xml:space="preserve">So far, four lineages have been identified from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and it should be noted that lineages I (serotypes 1/2b and 4b) and II (1/2a) are responsible for most human infections. In this study, the frequencies of serotypes 1/2a, 1/2b, and 4b were reported</w:t>
      </w:r>
      <w:r w:rsidR="006A4CE9">
        <w:rPr>
          <w:rFonts w:ascii="Book Antiqua" w:eastAsia="Book Antiqua" w:hAnsi="Book Antiqua" w:cs="Book Antiqua"/>
          <w:color w:val="000000"/>
        </w:rPr>
        <w:t xml:space="preserve"> as</w:t>
      </w:r>
      <w:r w:rsidRPr="00682C4E">
        <w:rPr>
          <w:rFonts w:ascii="Book Antiqua" w:eastAsia="Book Antiqua" w:hAnsi="Book Antiqua" w:cs="Book Antiqua"/>
          <w:color w:val="000000"/>
        </w:rPr>
        <w:t xml:space="preserve"> 38.7%, 26.5%, and 49.5%, respectively, which were similar to the distribution of serotypes in other human listeriosis infections</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27</w:t>
      </w:r>
      <w:r w:rsidRPr="00682C4E">
        <w:rPr>
          <w:rFonts w:ascii="Book Antiqua" w:eastAsia="Book Antiqua" w:hAnsi="Book Antiqua" w:cs="Book Antiqua"/>
          <w:color w:val="000000"/>
          <w:vertAlign w:val="superscript"/>
        </w:rPr>
        <w:t>,2</w:t>
      </w:r>
      <w:r w:rsidR="005B3717" w:rsidRPr="00682C4E">
        <w:rPr>
          <w:rFonts w:ascii="Book Antiqua" w:hAnsi="Book Antiqua" w:cs="Book Antiqua"/>
          <w:color w:val="000000"/>
          <w:vertAlign w:val="superscript"/>
          <w:lang w:eastAsia="zh-CN"/>
        </w:rPr>
        <w:t>9</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In pathogenic strains, numerous virulence factors</w:t>
      </w:r>
      <w:r w:rsidR="006A4CE9">
        <w:rPr>
          <w:rFonts w:ascii="Book Antiqua" w:eastAsia="Book Antiqua" w:hAnsi="Book Antiqua" w:cs="Book Antiqua"/>
          <w:color w:val="000000"/>
        </w:rPr>
        <w:t xml:space="preserve"> are</w:t>
      </w:r>
      <w:r w:rsidRPr="00682C4E">
        <w:rPr>
          <w:rFonts w:ascii="Book Antiqua" w:eastAsia="Book Antiqua" w:hAnsi="Book Antiqua" w:cs="Book Antiqua"/>
          <w:color w:val="000000"/>
        </w:rPr>
        <w:t xml:space="preserve"> encode</w:t>
      </w:r>
      <w:r w:rsidR="006A4CE9">
        <w:rPr>
          <w:rFonts w:ascii="Book Antiqua" w:eastAsia="Book Antiqua" w:hAnsi="Book Antiqua" w:cs="Book Antiqua"/>
          <w:color w:val="000000"/>
        </w:rPr>
        <w:t>d</w:t>
      </w:r>
      <w:r w:rsidRPr="00682C4E">
        <w:rPr>
          <w:rFonts w:ascii="Book Antiqua" w:eastAsia="Book Antiqua" w:hAnsi="Book Antiqua" w:cs="Book Antiqua"/>
          <w:color w:val="000000"/>
        </w:rPr>
        <w:t xml:space="preserve"> by</w:t>
      </w:r>
      <w:r w:rsidRPr="00682C4E">
        <w:rPr>
          <w:rFonts w:ascii="Book Antiqua" w:eastAsia="Book Antiqua" w:hAnsi="Book Antiqua" w:cs="Book Antiqua"/>
          <w:i/>
          <w:iCs/>
          <w:color w:val="000000"/>
        </w:rPr>
        <w:t xml:space="preserve"> </w:t>
      </w:r>
      <w:r w:rsidRPr="00682C4E">
        <w:rPr>
          <w:rFonts w:ascii="Book Antiqua" w:eastAsia="Book Antiqua" w:hAnsi="Book Antiqua" w:cs="Book Antiqua"/>
          <w:color w:val="000000"/>
        </w:rPr>
        <w:t>pathogenicity island 1</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w:t>
      </w:r>
      <w:r w:rsidR="006A4CE9">
        <w:rPr>
          <w:rFonts w:ascii="Book Antiqua" w:eastAsia="Book Antiqua" w:hAnsi="Book Antiqua" w:cs="Book Antiqua"/>
          <w:color w:val="000000"/>
        </w:rPr>
        <w:t>T</w:t>
      </w:r>
      <w:r w:rsidRPr="00682C4E">
        <w:rPr>
          <w:rFonts w:ascii="Book Antiqua" w:eastAsia="Book Antiqua" w:hAnsi="Book Antiqua" w:cs="Book Antiqua"/>
          <w:color w:val="000000"/>
        </w:rPr>
        <w:t xml:space="preserve">he </w:t>
      </w:r>
      <w:r w:rsidRPr="00682C4E">
        <w:rPr>
          <w:rFonts w:ascii="Book Antiqua" w:eastAsia="Book Antiqua" w:hAnsi="Book Antiqua" w:cs="Book Antiqua"/>
          <w:i/>
          <w:iCs/>
          <w:color w:val="000000"/>
        </w:rPr>
        <w:t>hly</w:t>
      </w:r>
      <w:r w:rsidRPr="00FC1600">
        <w:rPr>
          <w:rFonts w:ascii="Book Antiqua" w:eastAsia="Book Antiqua" w:hAnsi="Book Antiqua" w:cs="Book Antiqua"/>
          <w:i/>
          <w:iCs/>
          <w:color w:val="000000"/>
        </w:rPr>
        <w:t>A</w:t>
      </w:r>
      <w:r w:rsidRPr="00682C4E">
        <w:rPr>
          <w:rFonts w:ascii="Book Antiqua" w:eastAsia="Book Antiqua" w:hAnsi="Book Antiqua" w:cs="Book Antiqua"/>
          <w:color w:val="000000"/>
        </w:rPr>
        <w:t xml:space="preserve"> gene encodes hemolysin (listeriolysin-O)</w:t>
      </w:r>
      <w:r w:rsidR="006A4CE9">
        <w:rPr>
          <w:rFonts w:ascii="Book Antiqua" w:eastAsia="Book Antiqua" w:hAnsi="Book Antiqua" w:cs="Book Antiqua"/>
          <w:color w:val="000000"/>
        </w:rPr>
        <w:t>, which</w:t>
      </w:r>
      <w:r w:rsidRPr="00682C4E">
        <w:rPr>
          <w:rFonts w:ascii="Book Antiqua" w:eastAsia="Book Antiqua" w:hAnsi="Book Antiqua" w:cs="Book Antiqua"/>
          <w:color w:val="000000"/>
        </w:rPr>
        <w:t xml:space="preserve"> </w:t>
      </w:r>
      <w:r w:rsidR="006A4CE9">
        <w:rPr>
          <w:rFonts w:ascii="Book Antiqua" w:eastAsia="Book Antiqua" w:hAnsi="Book Antiqua" w:cs="Book Antiqua"/>
          <w:color w:val="000000"/>
        </w:rPr>
        <w:t>i</w:t>
      </w:r>
      <w:r w:rsidRPr="00682C4E">
        <w:rPr>
          <w:rFonts w:ascii="Book Antiqua" w:eastAsia="Book Antiqua" w:hAnsi="Book Antiqua" w:cs="Book Antiqua"/>
          <w:color w:val="000000"/>
        </w:rPr>
        <w:t xml:space="preserve">s one of the most important virulence factors of </w:t>
      </w:r>
      <w:r w:rsidRPr="00682C4E">
        <w:rPr>
          <w:rFonts w:ascii="Book Antiqua" w:eastAsia="Book Antiqua" w:hAnsi="Book Antiqua" w:cs="Book Antiqua"/>
          <w:i/>
          <w:iCs/>
          <w:color w:val="000000"/>
        </w:rPr>
        <w:t xml:space="preserve">L. </w:t>
      </w:r>
      <w:r w:rsidRPr="00682C4E">
        <w:rPr>
          <w:rFonts w:ascii="Book Antiqua" w:eastAsia="Book Antiqua" w:hAnsi="Book Antiqua" w:cs="Book Antiqua"/>
          <w:i/>
          <w:iCs/>
          <w:color w:val="000000"/>
        </w:rPr>
        <w:lastRenderedPageBreak/>
        <w:t>monocytogenes</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43</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According to our analysis, only 28% of strains isolated from women with spontaneous miscarriage had this gene, indicating the low diagnostic value of this gene for diagnosis</w:t>
      </w:r>
      <w:r w:rsidR="006A4CE9">
        <w:rPr>
          <w:rFonts w:ascii="Book Antiqua" w:eastAsia="Book Antiqua" w:hAnsi="Book Antiqua" w:cs="Book Antiqua"/>
          <w:color w:val="000000"/>
        </w:rPr>
        <w:t xml:space="preserve"> of</w:t>
      </w:r>
      <w:r w:rsidRPr="00682C4E">
        <w:rPr>
          <w:rFonts w:ascii="Book Antiqua" w:eastAsia="Book Antiqua" w:hAnsi="Book Antiqua" w:cs="Book Antiqua"/>
          <w:color w:val="000000"/>
        </w:rPr>
        <w:t xml:space="preserve">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in pregnant women.</w:t>
      </w:r>
    </w:p>
    <w:p w14:paraId="71DADC3A" w14:textId="7463E4F1" w:rsidR="00510012" w:rsidRPr="00682C4E" w:rsidRDefault="001B61A7" w:rsidP="00FC1600">
      <w:pPr>
        <w:snapToGrid w:val="0"/>
        <w:spacing w:line="360" w:lineRule="auto"/>
        <w:ind w:firstLineChars="200" w:firstLine="480"/>
        <w:jc w:val="both"/>
        <w:rPr>
          <w:rFonts w:ascii="Book Antiqua" w:hAnsi="Book Antiqua"/>
        </w:rPr>
      </w:pPr>
      <w:r w:rsidRPr="00682C4E">
        <w:rPr>
          <w:rFonts w:ascii="Book Antiqua" w:eastAsia="Book Antiqua" w:hAnsi="Book Antiqua" w:cs="Book Antiqua"/>
          <w:color w:val="000000"/>
        </w:rPr>
        <w:t>Based on the evidence, β-lactam antibiotics alone or in combination with aminoglycosides as well as cotrimoxazole are recommended treatment options for severe listeriosis infections</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w:t>
      </w:r>
      <w:r w:rsidR="006A4CE9">
        <w:rPr>
          <w:rFonts w:ascii="Book Antiqua" w:eastAsia="Book Antiqua" w:hAnsi="Book Antiqua" w:cs="Book Antiqua"/>
          <w:color w:val="000000"/>
        </w:rPr>
        <w:t>A</w:t>
      </w:r>
      <w:r w:rsidRPr="00682C4E">
        <w:rPr>
          <w:rFonts w:ascii="Book Antiqua" w:eastAsia="Book Antiqua" w:hAnsi="Book Antiqua" w:cs="Book Antiqua"/>
          <w:color w:val="000000"/>
        </w:rPr>
        <w:t xml:space="preserve">lthough, nowadays, the resistance of </w:t>
      </w:r>
      <w:r w:rsidRPr="00682C4E">
        <w:rPr>
          <w:rFonts w:ascii="Book Antiqua" w:eastAsia="Book Antiqua" w:hAnsi="Book Antiqua" w:cs="Book Antiqua"/>
          <w:i/>
          <w:iCs/>
          <w:color w:val="000000"/>
        </w:rPr>
        <w:t>Listeria</w:t>
      </w:r>
      <w:r w:rsidRPr="00682C4E">
        <w:rPr>
          <w:rFonts w:ascii="Book Antiqua" w:eastAsia="Book Antiqua" w:hAnsi="Book Antiqua" w:cs="Book Antiqua"/>
          <w:color w:val="000000"/>
        </w:rPr>
        <w:t xml:space="preserve"> spp. to β-lactams and aminoglycosides is increasing</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44</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45</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Some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are also resistant to other antibiotics such as fluoroquinolones, macrolides, and tetracyclines, and the emergence and spread of the drug-resistant strains in pregnant women can be life-threatening for both mother and child</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44</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Our results showed that the antibiotic resistance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isolated from the women with spontaneous abortion was high. The highest resistance was related to cefotaxime (77%)</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and the lowest was related to chloramphenicol and streptomycin (both 11%); all strains were sensitive to norfloxacin, meropenem, and amikacin. In </w:t>
      </w:r>
      <w:r w:rsidR="006A4CE9">
        <w:rPr>
          <w:rFonts w:ascii="Book Antiqua" w:eastAsia="Book Antiqua" w:hAnsi="Book Antiqua" w:cs="Book Antiqua"/>
          <w:color w:val="000000"/>
        </w:rPr>
        <w:t xml:space="preserve">a </w:t>
      </w:r>
      <w:r w:rsidRPr="00682C4E">
        <w:rPr>
          <w:rFonts w:ascii="Book Antiqua" w:eastAsia="Book Antiqua" w:hAnsi="Book Antiqua" w:cs="Book Antiqua"/>
          <w:color w:val="000000"/>
        </w:rPr>
        <w:t xml:space="preserve">recent meta-analysis study by Khademi </w:t>
      </w:r>
      <w:r w:rsidR="00D55FA6" w:rsidRPr="00682C4E">
        <w:rPr>
          <w:rFonts w:ascii="Book Antiqua" w:hAnsi="Book Antiqua" w:cs="Book Antiqua"/>
          <w:iCs/>
          <w:color w:val="000000"/>
          <w:lang w:eastAsia="zh-CN"/>
        </w:rPr>
        <w:t xml:space="preserve">and </w:t>
      </w:r>
      <w:r w:rsidR="00D55FA6" w:rsidRPr="00682C4E">
        <w:rPr>
          <w:rFonts w:ascii="Book Antiqua" w:hAnsi="Book Antiqua"/>
        </w:rPr>
        <w:t>Sahebkar</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44</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resistance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isolated from Iranian patients to penicillin, ampicillin, and gentamicin was reported to be 56.8%, 29.5%, and 32.4%, respectively, which was close to the results of our study</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44</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Quentin </w:t>
      </w:r>
      <w:r w:rsidRPr="00682C4E">
        <w:rPr>
          <w:rFonts w:ascii="Book Antiqua" w:eastAsia="Book Antiqua" w:hAnsi="Book Antiqua" w:cs="Book Antiqua"/>
          <w:i/>
          <w:iCs/>
          <w:color w:val="000000"/>
        </w:rPr>
        <w:t>et al</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46</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also identified a multi-resistant strain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 a septic abortion</w:t>
      </w:r>
      <w:r w:rsidRPr="00682C4E">
        <w:rPr>
          <w:rFonts w:ascii="Book Antiqua" w:eastAsia="Book Antiqua" w:hAnsi="Book Antiqua" w:cs="Book Antiqua"/>
          <w:color w:val="000000"/>
          <w:vertAlign w:val="superscript"/>
        </w:rPr>
        <w:t>[</w:t>
      </w:r>
      <w:r w:rsidR="005B3717" w:rsidRPr="00682C4E">
        <w:rPr>
          <w:rFonts w:ascii="Book Antiqua" w:hAnsi="Book Antiqua" w:cs="Book Antiqua"/>
          <w:color w:val="000000"/>
          <w:vertAlign w:val="superscript"/>
          <w:lang w:eastAsia="zh-CN"/>
        </w:rPr>
        <w:t>46</w:t>
      </w:r>
      <w:r w:rsidRPr="00682C4E">
        <w:rPr>
          <w:rFonts w:ascii="Book Antiqua" w:eastAsia="Book Antiqua" w:hAnsi="Book Antiqua" w:cs="Book Antiqua"/>
          <w:color w:val="000000"/>
          <w:vertAlign w:val="superscript"/>
        </w:rPr>
        <w:t>]</w:t>
      </w:r>
      <w:r w:rsidRPr="00682C4E">
        <w:rPr>
          <w:rFonts w:ascii="Book Antiqua" w:eastAsia="Book Antiqua" w:hAnsi="Book Antiqua" w:cs="Book Antiqua"/>
          <w:color w:val="000000"/>
        </w:rPr>
        <w:t xml:space="preserve">. It is important to note that increasing drug resistance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strains to β-lactams and aminoglycosides in the coming years will lead to the ineffectiveness of these antibiotics in the treatment of human listeriosis. </w:t>
      </w:r>
    </w:p>
    <w:p w14:paraId="743F8930" w14:textId="03F76C1A" w:rsidR="00510012" w:rsidRPr="00682C4E" w:rsidRDefault="001B61A7" w:rsidP="00FC1600">
      <w:pPr>
        <w:snapToGrid w:val="0"/>
        <w:spacing w:line="360" w:lineRule="auto"/>
        <w:ind w:firstLineChars="200" w:firstLine="480"/>
        <w:jc w:val="both"/>
        <w:rPr>
          <w:rFonts w:ascii="Book Antiqua" w:eastAsia="Book Antiqua" w:hAnsi="Book Antiqua" w:cs="Book Antiqua"/>
          <w:color w:val="000000"/>
        </w:rPr>
      </w:pPr>
      <w:r w:rsidRPr="00682C4E">
        <w:rPr>
          <w:rFonts w:ascii="Book Antiqua" w:eastAsia="Book Antiqua" w:hAnsi="Book Antiqua" w:cs="Book Antiqua"/>
          <w:color w:val="000000"/>
        </w:rPr>
        <w:t xml:space="preserve">Our meta-analysis has several limitations as following: (1) The population sample size was low; (2) Heterogeneity was significant; (3) There is a slight publication bias; and (4) We included only available articles in Persian, Arabic, and English. Overall, our results showed that there is a significant relationship between </w:t>
      </w:r>
      <w:r w:rsidRPr="00682C4E">
        <w:rPr>
          <w:rFonts w:ascii="Book Antiqua" w:eastAsia="Book Antiqua" w:hAnsi="Book Antiqua" w:cs="Book Antiqua"/>
          <w:i/>
          <w:iCs/>
          <w:color w:val="000000"/>
        </w:rPr>
        <w:t xml:space="preserve">L. monocytogenes </w:t>
      </w:r>
      <w:r w:rsidRPr="00682C4E">
        <w:rPr>
          <w:rFonts w:ascii="Book Antiqua" w:eastAsia="Book Antiqua" w:hAnsi="Book Antiqua" w:cs="Book Antiqua"/>
          <w:color w:val="000000"/>
        </w:rPr>
        <w:t xml:space="preserve">infection and the increased risk of miscarriage during pregnancy. The results of the present analysis also showed that drug resistance is increasing among </w:t>
      </w:r>
      <w:r w:rsidRPr="00682C4E">
        <w:rPr>
          <w:rFonts w:ascii="Book Antiqua" w:eastAsia="Book Antiqua" w:hAnsi="Book Antiqua" w:cs="Book Antiqua"/>
          <w:i/>
          <w:iCs/>
          <w:color w:val="000000"/>
        </w:rPr>
        <w:t xml:space="preserve">L. monocytogenes </w:t>
      </w:r>
      <w:r w:rsidRPr="00682C4E">
        <w:rPr>
          <w:rFonts w:ascii="Book Antiqua" w:eastAsia="Book Antiqua" w:hAnsi="Book Antiqua" w:cs="Book Antiqua"/>
          <w:color w:val="000000"/>
        </w:rPr>
        <w:t>strains, which needs to be re-evaluate</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w:t>
      </w:r>
      <w:r w:rsidR="006A4CE9">
        <w:rPr>
          <w:rFonts w:ascii="Book Antiqua" w:eastAsia="Book Antiqua" w:hAnsi="Book Antiqua" w:cs="Book Antiqua"/>
          <w:color w:val="000000"/>
        </w:rPr>
        <w:t>I</w:t>
      </w:r>
      <w:r w:rsidRPr="00682C4E">
        <w:rPr>
          <w:rFonts w:ascii="Book Antiqua" w:eastAsia="Book Antiqua" w:hAnsi="Book Antiqua" w:cs="Book Antiqua"/>
          <w:color w:val="000000"/>
        </w:rPr>
        <w:t>f necessary, treatment guidelines should be updated to reduce the incidence of human listeriosis.</w:t>
      </w:r>
    </w:p>
    <w:p w14:paraId="447EFAD6" w14:textId="77777777" w:rsidR="00510012" w:rsidRPr="00682C4E" w:rsidRDefault="00510012" w:rsidP="00FC1600">
      <w:pPr>
        <w:snapToGrid w:val="0"/>
        <w:spacing w:line="360" w:lineRule="auto"/>
        <w:jc w:val="both"/>
        <w:rPr>
          <w:rFonts w:ascii="Book Antiqua" w:hAnsi="Book Antiqua"/>
        </w:rPr>
      </w:pPr>
    </w:p>
    <w:p w14:paraId="5669BC15"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aps/>
          <w:color w:val="000000"/>
          <w:u w:val="single"/>
        </w:rPr>
        <w:lastRenderedPageBreak/>
        <w:t>CONCLUSION</w:t>
      </w:r>
    </w:p>
    <w:p w14:paraId="31615163" w14:textId="3B79890F" w:rsidR="00510012" w:rsidRPr="00682C4E" w:rsidRDefault="001B61A7" w:rsidP="00FC1600">
      <w:pPr>
        <w:snapToGrid w:val="0"/>
        <w:spacing w:line="360" w:lineRule="auto"/>
        <w:jc w:val="both"/>
        <w:rPr>
          <w:rFonts w:ascii="Book Antiqua" w:eastAsia="Book Antiqua" w:hAnsi="Book Antiqua" w:cs="Book Antiqua"/>
          <w:color w:val="000000"/>
        </w:rPr>
      </w:pPr>
      <w:r w:rsidRPr="00682C4E">
        <w:rPr>
          <w:rFonts w:ascii="Book Antiqua" w:eastAsia="Book Antiqua" w:hAnsi="Book Antiqua" w:cs="Book Antiqua"/>
          <w:color w:val="000000"/>
        </w:rPr>
        <w:t xml:space="preserve">Overall, regarding the importance of microorganisms such as </w:t>
      </w:r>
      <w:r w:rsidRPr="00682C4E">
        <w:rPr>
          <w:rFonts w:ascii="Book Antiqua" w:eastAsia="Book Antiqua" w:hAnsi="Book Antiqua" w:cs="Book Antiqua"/>
          <w:i/>
          <w:iCs/>
          <w:color w:val="000000"/>
        </w:rPr>
        <w:t>Chlamydia trachomatis, Ureaplasma urealyticum, Mycoplasma hominis, L. monocytogenes</w:t>
      </w:r>
      <w:r w:rsidRPr="00682C4E">
        <w:rPr>
          <w:rFonts w:ascii="Book Antiqua" w:eastAsia="Book Antiqua" w:hAnsi="Book Antiqua" w:cs="Book Antiqua"/>
          <w:color w:val="000000"/>
        </w:rPr>
        <w:t xml:space="preserve">, herpes simplex viruses, adenoviruses, human polyomaviruses, and cytomegalovirus in </w:t>
      </w:r>
      <w:r w:rsidR="006A4CE9">
        <w:rPr>
          <w:rFonts w:ascii="Book Antiqua" w:eastAsia="Book Antiqua" w:hAnsi="Book Antiqua" w:cs="Book Antiqua"/>
          <w:color w:val="000000"/>
        </w:rPr>
        <w:t xml:space="preserve">the </w:t>
      </w:r>
      <w:r w:rsidRPr="00682C4E">
        <w:rPr>
          <w:rFonts w:ascii="Book Antiqua" w:eastAsia="Book Antiqua" w:hAnsi="Book Antiqua" w:cs="Book Antiqua"/>
          <w:color w:val="000000"/>
        </w:rPr>
        <w:t>induction of spontaneous abortion, it is important that all aspects of these pathogens</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such as diagnosis, treatment, control, and vaccination, be considered by all researchers around the world.</w:t>
      </w:r>
    </w:p>
    <w:p w14:paraId="7D7C220C" w14:textId="77777777" w:rsidR="00510012" w:rsidRPr="00682C4E" w:rsidRDefault="00510012" w:rsidP="00FC1600">
      <w:pPr>
        <w:snapToGrid w:val="0"/>
        <w:spacing w:line="360" w:lineRule="auto"/>
        <w:jc w:val="both"/>
        <w:rPr>
          <w:rFonts w:ascii="Book Antiqua" w:hAnsi="Book Antiqua"/>
        </w:rPr>
      </w:pPr>
    </w:p>
    <w:p w14:paraId="1E331375"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aps/>
          <w:color w:val="000000"/>
          <w:u w:val="single"/>
        </w:rPr>
        <w:t>ARTICLE HIGHLIGHTS</w:t>
      </w:r>
    </w:p>
    <w:p w14:paraId="287E34F7"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i/>
          <w:color w:val="000000"/>
        </w:rPr>
        <w:t>Research background</w:t>
      </w:r>
    </w:p>
    <w:p w14:paraId="0CC2A9D2" w14:textId="114AA7EA"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Spontaneous abortion is one of the most important concerning issue</w:t>
      </w:r>
      <w:r w:rsidR="006A4CE9">
        <w:rPr>
          <w:rFonts w:ascii="Book Antiqua" w:eastAsia="Book Antiqua" w:hAnsi="Book Antiqua" w:cs="Book Antiqua"/>
          <w:color w:val="000000"/>
        </w:rPr>
        <w:t>s</w:t>
      </w:r>
      <w:r w:rsidRPr="00682C4E">
        <w:rPr>
          <w:rFonts w:ascii="Book Antiqua" w:eastAsia="Book Antiqua" w:hAnsi="Book Antiqua" w:cs="Book Antiqua"/>
          <w:color w:val="000000"/>
        </w:rPr>
        <w:t xml:space="preserve"> in pregnant women, and it has been suggested that </w:t>
      </w:r>
      <w:r w:rsidRPr="00FC1600">
        <w:rPr>
          <w:rFonts w:ascii="Book Antiqua" w:eastAsia="Book Antiqua" w:hAnsi="Book Antiqua" w:cs="Book Antiqua"/>
          <w:i/>
          <w:iCs/>
          <w:color w:val="000000"/>
        </w:rPr>
        <w:t>Listeria monocytogenes</w:t>
      </w:r>
      <w:r w:rsidRPr="00682C4E">
        <w:rPr>
          <w:rFonts w:ascii="Book Antiqua" w:eastAsia="Book Antiqua" w:hAnsi="Book Antiqua" w:cs="Book Antiqua"/>
          <w:color w:val="000000"/>
        </w:rPr>
        <w:t xml:space="preserve"> </w:t>
      </w:r>
      <w:r w:rsidR="006A4CE9">
        <w:rPr>
          <w:rFonts w:ascii="Book Antiqua" w:eastAsia="Book Antiqua" w:hAnsi="Book Antiqua" w:cs="Book Antiqua"/>
          <w:color w:val="000000"/>
        </w:rPr>
        <w:t>(</w:t>
      </w:r>
      <w:r w:rsidR="006A4CE9">
        <w:rPr>
          <w:rFonts w:ascii="Book Antiqua" w:eastAsia="Book Antiqua" w:hAnsi="Book Antiqua" w:cs="Book Antiqua"/>
          <w:i/>
          <w:iCs/>
          <w:color w:val="000000"/>
        </w:rPr>
        <w:t xml:space="preserve">L. </w:t>
      </w:r>
      <w:r w:rsidR="006A4CE9" w:rsidRPr="006A4CE9">
        <w:rPr>
          <w:rFonts w:ascii="Book Antiqua" w:eastAsia="Book Antiqua" w:hAnsi="Book Antiqua" w:cs="Book Antiqua"/>
          <w:i/>
          <w:iCs/>
          <w:color w:val="000000"/>
        </w:rPr>
        <w:t>monocy</w:t>
      </w:r>
      <w:r w:rsidR="006A4CE9">
        <w:rPr>
          <w:rFonts w:ascii="Book Antiqua" w:eastAsia="Book Antiqua" w:hAnsi="Book Antiqua" w:cs="Book Antiqua"/>
          <w:i/>
          <w:iCs/>
          <w:color w:val="000000"/>
        </w:rPr>
        <w:t>t</w:t>
      </w:r>
      <w:r w:rsidR="006A4CE9" w:rsidRPr="006A4CE9">
        <w:rPr>
          <w:rFonts w:ascii="Book Antiqua" w:eastAsia="Book Antiqua" w:hAnsi="Book Antiqua" w:cs="Book Antiqua"/>
          <w:i/>
          <w:iCs/>
          <w:color w:val="000000"/>
        </w:rPr>
        <w:t>ogenes</w:t>
      </w:r>
      <w:r w:rsidR="006A4CE9">
        <w:rPr>
          <w:rFonts w:ascii="Book Antiqua" w:eastAsia="Book Antiqua" w:hAnsi="Book Antiqua" w:cs="Book Antiqua"/>
          <w:color w:val="000000"/>
        </w:rPr>
        <w:t xml:space="preserve">) </w:t>
      </w:r>
      <w:r w:rsidRPr="006A4CE9">
        <w:rPr>
          <w:rFonts w:ascii="Book Antiqua" w:eastAsia="Book Antiqua" w:hAnsi="Book Antiqua" w:cs="Book Antiqua"/>
          <w:color w:val="000000"/>
        </w:rPr>
        <w:t>infection</w:t>
      </w:r>
      <w:r w:rsidRPr="00682C4E">
        <w:rPr>
          <w:rFonts w:ascii="Book Antiqua" w:eastAsia="Book Antiqua" w:hAnsi="Book Antiqua" w:cs="Book Antiqua"/>
          <w:color w:val="000000"/>
        </w:rPr>
        <w:t xml:space="preserve"> can play</w:t>
      </w:r>
      <w:r w:rsidR="006A4CE9">
        <w:rPr>
          <w:rFonts w:ascii="Book Antiqua" w:eastAsia="Book Antiqua" w:hAnsi="Book Antiqua" w:cs="Book Antiqua"/>
          <w:color w:val="000000"/>
        </w:rPr>
        <w:t xml:space="preserve"> a</w:t>
      </w:r>
      <w:r w:rsidRPr="00682C4E">
        <w:rPr>
          <w:rFonts w:ascii="Book Antiqua" w:eastAsia="Book Antiqua" w:hAnsi="Book Antiqua" w:cs="Book Antiqua"/>
          <w:color w:val="000000"/>
        </w:rPr>
        <w:t xml:space="preserve"> key role in pathogenesis of this disease.</w:t>
      </w:r>
    </w:p>
    <w:p w14:paraId="22F998B6" w14:textId="77777777" w:rsidR="00510012" w:rsidRPr="00682C4E" w:rsidRDefault="00510012" w:rsidP="00FC1600">
      <w:pPr>
        <w:snapToGrid w:val="0"/>
        <w:spacing w:line="360" w:lineRule="auto"/>
        <w:jc w:val="both"/>
        <w:rPr>
          <w:rFonts w:ascii="Book Antiqua" w:hAnsi="Book Antiqua"/>
        </w:rPr>
      </w:pPr>
    </w:p>
    <w:p w14:paraId="5C64332A"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i/>
          <w:color w:val="000000"/>
        </w:rPr>
        <w:t>Research motivation</w:t>
      </w:r>
    </w:p>
    <w:p w14:paraId="0B0BC32E" w14:textId="25E1625A"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We conducted the present study to estimate the risk of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 </w:t>
      </w:r>
      <w:r w:rsidR="006A4CE9">
        <w:rPr>
          <w:rFonts w:ascii="Book Antiqua" w:eastAsia="Book Antiqua" w:hAnsi="Book Antiqua" w:cs="Book Antiqua"/>
          <w:color w:val="000000"/>
        </w:rPr>
        <w:t xml:space="preserve">the </w:t>
      </w:r>
      <w:r w:rsidRPr="00682C4E">
        <w:rPr>
          <w:rFonts w:ascii="Book Antiqua" w:eastAsia="Book Antiqua" w:hAnsi="Book Antiqua" w:cs="Book Antiqua"/>
          <w:color w:val="000000"/>
        </w:rPr>
        <w:t>development of spontaneous abortion during pregnancy.</w:t>
      </w:r>
    </w:p>
    <w:p w14:paraId="5D4B64EC" w14:textId="77777777" w:rsidR="00510012" w:rsidRPr="00682C4E" w:rsidRDefault="00510012" w:rsidP="00FC1600">
      <w:pPr>
        <w:snapToGrid w:val="0"/>
        <w:spacing w:line="360" w:lineRule="auto"/>
        <w:jc w:val="both"/>
        <w:rPr>
          <w:rFonts w:ascii="Book Antiqua" w:hAnsi="Book Antiqua"/>
        </w:rPr>
      </w:pPr>
    </w:p>
    <w:p w14:paraId="306B87D4"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i/>
          <w:color w:val="000000"/>
        </w:rPr>
        <w:t>Research objectives</w:t>
      </w:r>
    </w:p>
    <w:p w14:paraId="28469E8B"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The aim of this study was evaluation of the probable connection between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and risk of spontaneous abortion in pregnancy.</w:t>
      </w:r>
    </w:p>
    <w:p w14:paraId="383CFBC2" w14:textId="77777777" w:rsidR="00510012" w:rsidRPr="00682C4E" w:rsidRDefault="00510012" w:rsidP="00FC1600">
      <w:pPr>
        <w:snapToGrid w:val="0"/>
        <w:spacing w:line="360" w:lineRule="auto"/>
        <w:jc w:val="both"/>
        <w:rPr>
          <w:rFonts w:ascii="Book Antiqua" w:hAnsi="Book Antiqua"/>
        </w:rPr>
      </w:pPr>
    </w:p>
    <w:p w14:paraId="16932356"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i/>
          <w:color w:val="000000"/>
        </w:rPr>
        <w:t>Research methods</w:t>
      </w:r>
    </w:p>
    <w:p w14:paraId="25BF5643" w14:textId="19B03885"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We conducted a systematic literature review using several databases to search the relevant case-control studies on the association between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and spontaneous abortion. Finally, the impact of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and risk of spontaneous abortion was assessed </w:t>
      </w:r>
      <w:r w:rsidRPr="00682C4E">
        <w:rPr>
          <w:rFonts w:ascii="Book Antiqua" w:eastAsia="Book Antiqua" w:hAnsi="Book Antiqua" w:cs="Book Antiqua"/>
          <w:i/>
          <w:iCs/>
          <w:color w:val="000000"/>
        </w:rPr>
        <w:t>via</w:t>
      </w:r>
      <w:r w:rsidRPr="00682C4E">
        <w:rPr>
          <w:rFonts w:ascii="Book Antiqua" w:eastAsia="Book Antiqua" w:hAnsi="Book Antiqua" w:cs="Book Antiqua"/>
          <w:color w:val="000000"/>
        </w:rPr>
        <w:t xml:space="preserve"> odds ratio at corresponding 95% confidence intervals.</w:t>
      </w:r>
    </w:p>
    <w:p w14:paraId="385D0EC6" w14:textId="77777777" w:rsidR="00510012" w:rsidRPr="00682C4E" w:rsidRDefault="00510012" w:rsidP="00FC1600">
      <w:pPr>
        <w:snapToGrid w:val="0"/>
        <w:spacing w:line="360" w:lineRule="auto"/>
        <w:jc w:val="both"/>
        <w:rPr>
          <w:rFonts w:ascii="Book Antiqua" w:hAnsi="Book Antiqua"/>
        </w:rPr>
      </w:pPr>
    </w:p>
    <w:p w14:paraId="650C91E0"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i/>
          <w:color w:val="000000"/>
        </w:rPr>
        <w:t>Research results</w:t>
      </w:r>
    </w:p>
    <w:p w14:paraId="2E453750" w14:textId="0C33933C"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lastRenderedPageBreak/>
        <w:t xml:space="preserve">The frequency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infection was significantly increased in pregnant women with spontaneous abortion in comparison with healthy subjects. There is significant association between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and development of spontaneous abortion in pregnant women (</w:t>
      </w:r>
      <w:r w:rsidR="00682C4E">
        <w:rPr>
          <w:rFonts w:ascii="Book Antiqua" w:eastAsia="Book Antiqua" w:hAnsi="Book Antiqua" w:cs="Book Antiqua"/>
          <w:color w:val="000000"/>
        </w:rPr>
        <w:t>odds ratio</w:t>
      </w:r>
      <w:r w:rsidRPr="00682C4E">
        <w:rPr>
          <w:rFonts w:ascii="Book Antiqua" w:eastAsia="Book Antiqua" w:hAnsi="Book Antiqua" w:cs="Book Antiqua"/>
          <w:color w:val="000000"/>
        </w:rPr>
        <w:t>: 2.778; 2.130-3.623 with 95%</w:t>
      </w:r>
      <w:r w:rsidR="006A4CE9">
        <w:rPr>
          <w:rFonts w:ascii="Book Antiqua" w:eastAsia="Book Antiqua" w:hAnsi="Book Antiqua" w:cs="Book Antiqua"/>
          <w:color w:val="000000"/>
        </w:rPr>
        <w:t xml:space="preserve"> confidence interval</w:t>
      </w:r>
      <w:r w:rsidRPr="00682C4E">
        <w:rPr>
          <w:rFonts w:ascii="Book Antiqua" w:eastAsia="Book Antiqua" w:hAnsi="Book Antiqua" w:cs="Book Antiqua"/>
          <w:color w:val="000000"/>
        </w:rPr>
        <w:t>).</w:t>
      </w:r>
    </w:p>
    <w:p w14:paraId="3067B1FC" w14:textId="77777777" w:rsidR="00510012" w:rsidRPr="00682C4E" w:rsidRDefault="00510012" w:rsidP="00FC1600">
      <w:pPr>
        <w:snapToGrid w:val="0"/>
        <w:spacing w:line="360" w:lineRule="auto"/>
        <w:jc w:val="both"/>
        <w:rPr>
          <w:rFonts w:ascii="Book Antiqua" w:hAnsi="Book Antiqua"/>
        </w:rPr>
      </w:pPr>
    </w:p>
    <w:p w14:paraId="1523D3B0"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i/>
          <w:color w:val="000000"/>
        </w:rPr>
        <w:t>Research conclusions</w:t>
      </w:r>
    </w:p>
    <w:p w14:paraId="1A7CB0D3" w14:textId="31A41DE5"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 xml:space="preserve">Our results suggested the infection with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is a marker for prediction of </w:t>
      </w:r>
      <w:r w:rsidR="006A4CE9">
        <w:rPr>
          <w:rFonts w:ascii="Book Antiqua" w:eastAsia="Book Antiqua" w:hAnsi="Book Antiqua" w:cs="Book Antiqua"/>
          <w:color w:val="000000"/>
        </w:rPr>
        <w:t xml:space="preserve">the </w:t>
      </w:r>
      <w:r w:rsidRPr="00682C4E">
        <w:rPr>
          <w:rFonts w:ascii="Book Antiqua" w:eastAsia="Book Antiqua" w:hAnsi="Book Antiqua" w:cs="Book Antiqua"/>
          <w:color w:val="000000"/>
        </w:rPr>
        <w:t>risk of develop</w:t>
      </w:r>
      <w:r w:rsidR="006A4CE9">
        <w:rPr>
          <w:rFonts w:ascii="Book Antiqua" w:eastAsia="Book Antiqua" w:hAnsi="Book Antiqua" w:cs="Book Antiqua"/>
          <w:color w:val="000000"/>
        </w:rPr>
        <w:t>ment</w:t>
      </w:r>
      <w:r w:rsidRPr="00682C4E">
        <w:rPr>
          <w:rFonts w:ascii="Book Antiqua" w:eastAsia="Book Antiqua" w:hAnsi="Book Antiqua" w:cs="Book Antiqua"/>
          <w:color w:val="000000"/>
        </w:rPr>
        <w:t xml:space="preserve"> o</w:t>
      </w:r>
      <w:r w:rsidR="006A4CE9">
        <w:rPr>
          <w:rFonts w:ascii="Book Antiqua" w:eastAsia="Book Antiqua" w:hAnsi="Book Antiqua" w:cs="Book Antiqua"/>
          <w:color w:val="000000"/>
        </w:rPr>
        <w:t>f</w:t>
      </w:r>
      <w:r w:rsidRPr="00682C4E">
        <w:rPr>
          <w:rFonts w:ascii="Book Antiqua" w:eastAsia="Book Antiqua" w:hAnsi="Book Antiqua" w:cs="Book Antiqua"/>
          <w:color w:val="000000"/>
        </w:rPr>
        <w:t xml:space="preserve"> spontaneous abortion during pregnancy.</w:t>
      </w:r>
    </w:p>
    <w:p w14:paraId="3C9856BC" w14:textId="77777777" w:rsidR="00510012" w:rsidRPr="00682C4E" w:rsidRDefault="00510012" w:rsidP="00FC1600">
      <w:pPr>
        <w:snapToGrid w:val="0"/>
        <w:spacing w:line="360" w:lineRule="auto"/>
        <w:jc w:val="both"/>
        <w:rPr>
          <w:rFonts w:ascii="Book Antiqua" w:hAnsi="Book Antiqua"/>
        </w:rPr>
      </w:pPr>
    </w:p>
    <w:p w14:paraId="3B443A19"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i/>
          <w:color w:val="000000"/>
        </w:rPr>
        <w:t>Research perspectives</w:t>
      </w:r>
    </w:p>
    <w:p w14:paraId="437595B7" w14:textId="4265E42D" w:rsidR="00510012" w:rsidRPr="00682C4E" w:rsidRDefault="001B61A7" w:rsidP="00FC1600">
      <w:pPr>
        <w:snapToGrid w:val="0"/>
        <w:spacing w:line="360" w:lineRule="auto"/>
        <w:jc w:val="both"/>
        <w:rPr>
          <w:rFonts w:ascii="Book Antiqua" w:eastAsia="Book Antiqua" w:hAnsi="Book Antiqua" w:cs="Book Antiqua"/>
          <w:color w:val="000000"/>
        </w:rPr>
      </w:pPr>
      <w:r w:rsidRPr="00682C4E">
        <w:rPr>
          <w:rFonts w:ascii="Book Antiqua" w:eastAsia="Book Antiqua" w:hAnsi="Book Antiqua" w:cs="Book Antiqua"/>
          <w:color w:val="000000"/>
        </w:rPr>
        <w:t xml:space="preserve">Regarding the importance of </w:t>
      </w:r>
      <w:r w:rsidRPr="00682C4E">
        <w:rPr>
          <w:rFonts w:ascii="Book Antiqua" w:eastAsia="Book Antiqua" w:hAnsi="Book Antiqua" w:cs="Book Antiqua"/>
          <w:i/>
          <w:iCs/>
          <w:color w:val="000000"/>
        </w:rPr>
        <w:t>L. monocytogenes</w:t>
      </w:r>
      <w:r w:rsidRPr="00682C4E">
        <w:rPr>
          <w:rFonts w:ascii="Book Antiqua" w:eastAsia="Book Antiqua" w:hAnsi="Book Antiqua" w:cs="Book Antiqua"/>
          <w:color w:val="000000"/>
        </w:rPr>
        <w:t xml:space="preserve"> in the initiation and development of spontaneous abortion, it is important that all aspects of th</w:t>
      </w:r>
      <w:r w:rsidR="006A4CE9">
        <w:rPr>
          <w:rFonts w:ascii="Book Antiqua" w:eastAsia="Book Antiqua" w:hAnsi="Book Antiqua" w:cs="Book Antiqua"/>
          <w:color w:val="000000"/>
        </w:rPr>
        <w:t>i</w:t>
      </w:r>
      <w:r w:rsidRPr="00682C4E">
        <w:rPr>
          <w:rFonts w:ascii="Book Antiqua" w:eastAsia="Book Antiqua" w:hAnsi="Book Antiqua" w:cs="Book Antiqua"/>
          <w:color w:val="000000"/>
        </w:rPr>
        <w:t>s pathogen</w:t>
      </w:r>
      <w:r w:rsidR="006A4CE9">
        <w:rPr>
          <w:rFonts w:ascii="Book Antiqua" w:eastAsia="Book Antiqua" w:hAnsi="Book Antiqua" w:cs="Book Antiqua"/>
          <w:color w:val="000000"/>
        </w:rPr>
        <w:t>,</w:t>
      </w:r>
      <w:r w:rsidRPr="00682C4E">
        <w:rPr>
          <w:rFonts w:ascii="Book Antiqua" w:eastAsia="Book Antiqua" w:hAnsi="Book Antiqua" w:cs="Book Antiqua"/>
          <w:color w:val="000000"/>
        </w:rPr>
        <w:t xml:space="preserve"> such as diagnosis, treatment, control, and vaccination, be considered by all researchers around the world.</w:t>
      </w:r>
    </w:p>
    <w:p w14:paraId="10FD7602" w14:textId="77777777" w:rsidR="00510012" w:rsidRPr="00682C4E" w:rsidRDefault="00510012" w:rsidP="00FC1600">
      <w:pPr>
        <w:snapToGrid w:val="0"/>
        <w:spacing w:line="360" w:lineRule="auto"/>
        <w:jc w:val="both"/>
        <w:rPr>
          <w:rFonts w:ascii="Book Antiqua" w:hAnsi="Book Antiqua"/>
        </w:rPr>
      </w:pPr>
    </w:p>
    <w:p w14:paraId="66A4ED1C"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REFERENCES</w:t>
      </w:r>
    </w:p>
    <w:p w14:paraId="602948D3" w14:textId="77777777" w:rsidR="00510012" w:rsidRPr="00682C4E" w:rsidRDefault="001B61A7" w:rsidP="00FC1600">
      <w:pPr>
        <w:snapToGrid w:val="0"/>
        <w:spacing w:line="360" w:lineRule="auto"/>
        <w:jc w:val="both"/>
        <w:rPr>
          <w:rFonts w:ascii="Book Antiqua" w:hAnsi="Book Antiqua"/>
        </w:rPr>
      </w:pPr>
      <w:r w:rsidRPr="00682C4E">
        <w:rPr>
          <w:rFonts w:ascii="Book Antiqua" w:hAnsi="Book Antiqua"/>
        </w:rPr>
        <w:t xml:space="preserve">1 </w:t>
      </w:r>
      <w:r w:rsidRPr="00682C4E">
        <w:rPr>
          <w:rFonts w:ascii="Book Antiqua" w:hAnsi="Book Antiqua"/>
          <w:b/>
          <w:bCs/>
        </w:rPr>
        <w:t>Wang JX</w:t>
      </w:r>
      <w:r w:rsidRPr="00682C4E">
        <w:rPr>
          <w:rFonts w:ascii="Book Antiqua" w:hAnsi="Book Antiqua"/>
        </w:rPr>
        <w:t xml:space="preserve">, Norman RJ, Wilcox AJ. Incidence of spontaneous abortion among pregnancies produced by assisted reproductive technology. </w:t>
      </w:r>
      <w:r w:rsidRPr="00682C4E">
        <w:rPr>
          <w:rFonts w:ascii="Book Antiqua" w:hAnsi="Book Antiqua"/>
          <w:i/>
          <w:iCs/>
        </w:rPr>
        <w:t>Hum Reprod</w:t>
      </w:r>
      <w:r w:rsidRPr="00682C4E">
        <w:rPr>
          <w:rFonts w:ascii="Book Antiqua" w:hAnsi="Book Antiqua"/>
        </w:rPr>
        <w:t xml:space="preserve"> 2004; </w:t>
      </w:r>
      <w:r w:rsidRPr="00682C4E">
        <w:rPr>
          <w:rFonts w:ascii="Book Antiqua" w:hAnsi="Book Antiqua"/>
          <w:b/>
          <w:bCs/>
        </w:rPr>
        <w:t>19</w:t>
      </w:r>
      <w:r w:rsidRPr="00682C4E">
        <w:rPr>
          <w:rFonts w:ascii="Book Antiqua" w:hAnsi="Book Antiqua"/>
        </w:rPr>
        <w:t>: 272-277 [PMID: 14747166 DOI: 10.1093/humrep/deh078]</w:t>
      </w:r>
    </w:p>
    <w:p w14:paraId="2ADBB7F2" w14:textId="77777777" w:rsidR="00510012" w:rsidRPr="00682C4E" w:rsidRDefault="001B61A7" w:rsidP="00FC1600">
      <w:pPr>
        <w:snapToGrid w:val="0"/>
        <w:spacing w:line="360" w:lineRule="auto"/>
        <w:jc w:val="both"/>
        <w:rPr>
          <w:rFonts w:ascii="Book Antiqua" w:hAnsi="Book Antiqua"/>
        </w:rPr>
      </w:pPr>
      <w:r w:rsidRPr="00682C4E">
        <w:rPr>
          <w:rFonts w:ascii="Book Antiqua" w:hAnsi="Book Antiqua"/>
        </w:rPr>
        <w:t xml:space="preserve">2 Cohain JS, Buxbaum RE, Mankuta D. Spontaneous first trimester miscarriage rates per woman among parous women with 1 or more pregnancies of 24 weeks or more. </w:t>
      </w:r>
      <w:r w:rsidRPr="00682C4E">
        <w:rPr>
          <w:rFonts w:ascii="Book Antiqua" w:hAnsi="Book Antiqua"/>
          <w:i/>
          <w:iCs/>
        </w:rPr>
        <w:t>BMC Pregnancy Childbirth</w:t>
      </w:r>
      <w:r w:rsidRPr="00682C4E">
        <w:rPr>
          <w:rFonts w:ascii="Book Antiqua" w:hAnsi="Book Antiqua"/>
        </w:rPr>
        <w:t xml:space="preserve"> 2017; 17: 437 [PMID: 29272996 DOI: 10.1186/s12884-017-1620-1] </w:t>
      </w:r>
    </w:p>
    <w:p w14:paraId="4A2C8AF7" w14:textId="77777777" w:rsidR="00510012" w:rsidRPr="00682C4E" w:rsidRDefault="001B61A7" w:rsidP="00FC1600">
      <w:pPr>
        <w:snapToGrid w:val="0"/>
        <w:spacing w:line="360" w:lineRule="auto"/>
        <w:jc w:val="both"/>
        <w:rPr>
          <w:rFonts w:ascii="Book Antiqua" w:hAnsi="Book Antiqua"/>
        </w:rPr>
      </w:pPr>
      <w:r w:rsidRPr="00682C4E">
        <w:rPr>
          <w:rFonts w:ascii="Book Antiqua" w:hAnsi="Book Antiqua"/>
        </w:rPr>
        <w:t xml:space="preserve">3 </w:t>
      </w:r>
      <w:r w:rsidRPr="00682C4E">
        <w:rPr>
          <w:rFonts w:ascii="Book Antiqua" w:hAnsi="Book Antiqua"/>
          <w:b/>
          <w:bCs/>
        </w:rPr>
        <w:t xml:space="preserve">Alberman E. </w:t>
      </w:r>
      <w:r w:rsidRPr="00682C4E">
        <w:rPr>
          <w:rFonts w:ascii="Book Antiqua" w:hAnsi="Book Antiqua"/>
        </w:rPr>
        <w:t>Spontaneous abortions: epidemiology. Spontaneous Abortion: Springer; 1992: 9-20</w:t>
      </w:r>
    </w:p>
    <w:p w14:paraId="29DC0D95" w14:textId="77777777" w:rsidR="00510012" w:rsidRPr="00682C4E" w:rsidRDefault="001B61A7" w:rsidP="00FC1600">
      <w:pPr>
        <w:snapToGrid w:val="0"/>
        <w:spacing w:line="360" w:lineRule="auto"/>
        <w:jc w:val="both"/>
        <w:rPr>
          <w:rFonts w:ascii="Book Antiqua" w:hAnsi="Book Antiqua"/>
        </w:rPr>
      </w:pPr>
      <w:r w:rsidRPr="00682C4E">
        <w:rPr>
          <w:rFonts w:ascii="Book Antiqua" w:hAnsi="Book Antiqua"/>
        </w:rPr>
        <w:t xml:space="preserve">4 </w:t>
      </w:r>
      <w:r w:rsidRPr="00682C4E">
        <w:rPr>
          <w:rFonts w:ascii="Book Antiqua" w:hAnsi="Book Antiqua"/>
          <w:b/>
          <w:bCs/>
        </w:rPr>
        <w:t>Moradinazar M</w:t>
      </w:r>
      <w:r w:rsidRPr="00682C4E">
        <w:rPr>
          <w:rFonts w:ascii="Book Antiqua" w:hAnsi="Book Antiqua"/>
        </w:rPr>
        <w:t xml:space="preserve">, Najafi F, Nazar ZM, Hamzeh B, Pasdar Y, Shakiba E. Lifetime Prevalence of Abortion and Risk Factors in Women: Evidence from a Cohort Study. </w:t>
      </w:r>
      <w:r w:rsidRPr="00682C4E">
        <w:rPr>
          <w:rFonts w:ascii="Book Antiqua" w:hAnsi="Book Antiqua"/>
          <w:i/>
          <w:iCs/>
        </w:rPr>
        <w:t>J Pregnancy</w:t>
      </w:r>
      <w:r w:rsidRPr="00682C4E">
        <w:rPr>
          <w:rFonts w:ascii="Book Antiqua" w:hAnsi="Book Antiqua"/>
        </w:rPr>
        <w:t xml:space="preserve"> 2020; </w:t>
      </w:r>
      <w:r w:rsidRPr="00682C4E">
        <w:rPr>
          <w:rFonts w:ascii="Book Antiqua" w:hAnsi="Book Antiqua"/>
          <w:b/>
          <w:bCs/>
        </w:rPr>
        <w:t>2020</w:t>
      </w:r>
      <w:r w:rsidRPr="00682C4E">
        <w:rPr>
          <w:rFonts w:ascii="Book Antiqua" w:hAnsi="Book Antiqua"/>
        </w:rPr>
        <w:t>: 4871494 [PMID: 32395342 DOI: 10.1155/2020/4871494]</w:t>
      </w:r>
    </w:p>
    <w:p w14:paraId="7A01DD86" w14:textId="77777777" w:rsidR="00510012" w:rsidRPr="00682C4E" w:rsidRDefault="001B61A7" w:rsidP="00FC1600">
      <w:pPr>
        <w:snapToGrid w:val="0"/>
        <w:spacing w:line="360" w:lineRule="auto"/>
        <w:jc w:val="both"/>
        <w:rPr>
          <w:rFonts w:ascii="Book Antiqua" w:hAnsi="Book Antiqua"/>
        </w:rPr>
      </w:pPr>
      <w:r w:rsidRPr="00682C4E">
        <w:rPr>
          <w:rFonts w:ascii="Book Antiqua" w:hAnsi="Book Antiqua"/>
        </w:rPr>
        <w:t xml:space="preserve">5 </w:t>
      </w:r>
      <w:r w:rsidRPr="00682C4E">
        <w:rPr>
          <w:rFonts w:ascii="Book Antiqua" w:hAnsi="Book Antiqua"/>
          <w:b/>
          <w:bCs/>
        </w:rPr>
        <w:t>Otgonjargala B</w:t>
      </w:r>
      <w:r w:rsidRPr="00682C4E">
        <w:rPr>
          <w:rFonts w:ascii="Book Antiqua" w:hAnsi="Book Antiqua"/>
        </w:rPr>
        <w:t xml:space="preserve">, Becker K, Batbaatar G, Tsogtsaikhan S, Enkhtsetseg J, Enkhjargal A, Pfeffer K, Adams O, Battogtokh C, Henrich B. Effect of Mycoplasma hominis and cytomegalovirus infection on pregnancy outcome: A prospective study of 200 Mongolian </w:t>
      </w:r>
      <w:r w:rsidRPr="00682C4E">
        <w:rPr>
          <w:rFonts w:ascii="Book Antiqua" w:hAnsi="Book Antiqua"/>
        </w:rPr>
        <w:lastRenderedPageBreak/>
        <w:t xml:space="preserve">women and their newborns. </w:t>
      </w:r>
      <w:r w:rsidRPr="00682C4E">
        <w:rPr>
          <w:rFonts w:ascii="Book Antiqua" w:hAnsi="Book Antiqua"/>
          <w:i/>
          <w:iCs/>
        </w:rPr>
        <w:t>PLoS One</w:t>
      </w:r>
      <w:r w:rsidRPr="00682C4E">
        <w:rPr>
          <w:rFonts w:ascii="Book Antiqua" w:hAnsi="Book Antiqua"/>
        </w:rPr>
        <w:t xml:space="preserve"> 2017; </w:t>
      </w:r>
      <w:r w:rsidRPr="00682C4E">
        <w:rPr>
          <w:rFonts w:ascii="Book Antiqua" w:hAnsi="Book Antiqua"/>
          <w:b/>
          <w:bCs/>
        </w:rPr>
        <w:t>12</w:t>
      </w:r>
      <w:r w:rsidRPr="00682C4E">
        <w:rPr>
          <w:rFonts w:ascii="Book Antiqua" w:hAnsi="Book Antiqua"/>
        </w:rPr>
        <w:t>: e0173283 [PMID: 28257513 DOI: 10.1371/journal.pone.0173283]</w:t>
      </w:r>
    </w:p>
    <w:p w14:paraId="349C5A10" w14:textId="77777777" w:rsidR="00510012" w:rsidRPr="00682C4E" w:rsidRDefault="001B61A7" w:rsidP="00FC1600">
      <w:pPr>
        <w:snapToGrid w:val="0"/>
        <w:spacing w:line="360" w:lineRule="auto"/>
        <w:jc w:val="both"/>
        <w:rPr>
          <w:rFonts w:ascii="Book Antiqua" w:hAnsi="Book Antiqua"/>
        </w:rPr>
      </w:pPr>
      <w:r w:rsidRPr="00682C4E">
        <w:rPr>
          <w:rFonts w:ascii="Book Antiqua" w:hAnsi="Book Antiqua"/>
        </w:rPr>
        <w:t xml:space="preserve">6 </w:t>
      </w:r>
      <w:r w:rsidRPr="00682C4E">
        <w:rPr>
          <w:rFonts w:ascii="Book Antiqua" w:hAnsi="Book Antiqua"/>
          <w:b/>
          <w:bCs/>
        </w:rPr>
        <w:t>Giakoumelou S</w:t>
      </w:r>
      <w:r w:rsidRPr="00682C4E">
        <w:rPr>
          <w:rFonts w:ascii="Book Antiqua" w:hAnsi="Book Antiqua"/>
        </w:rPr>
        <w:t xml:space="preserve">, Wheelhouse N, Cuschieri K, Entrican G, Howie SE, Horne AW. The role of infection in miscarriage. </w:t>
      </w:r>
      <w:r w:rsidRPr="00682C4E">
        <w:rPr>
          <w:rFonts w:ascii="Book Antiqua" w:hAnsi="Book Antiqua"/>
          <w:i/>
          <w:iCs/>
        </w:rPr>
        <w:t>Hum Reprod Update</w:t>
      </w:r>
      <w:r w:rsidRPr="00682C4E">
        <w:rPr>
          <w:rFonts w:ascii="Book Antiqua" w:hAnsi="Book Antiqua"/>
        </w:rPr>
        <w:t xml:space="preserve"> 2016; </w:t>
      </w:r>
      <w:r w:rsidRPr="00682C4E">
        <w:rPr>
          <w:rFonts w:ascii="Book Antiqua" w:hAnsi="Book Antiqua"/>
          <w:b/>
          <w:bCs/>
        </w:rPr>
        <w:t>22</w:t>
      </w:r>
      <w:r w:rsidRPr="00682C4E">
        <w:rPr>
          <w:rFonts w:ascii="Book Antiqua" w:hAnsi="Book Antiqua"/>
        </w:rPr>
        <w:t>: 116-133 [PMID: 26386469 DOI: 10.1093/humupd/dmv041]</w:t>
      </w:r>
    </w:p>
    <w:p w14:paraId="6D37DF5E" w14:textId="77777777" w:rsidR="00510012" w:rsidRPr="00682C4E" w:rsidRDefault="001B61A7" w:rsidP="00FC1600">
      <w:pPr>
        <w:snapToGrid w:val="0"/>
        <w:spacing w:line="360" w:lineRule="auto"/>
        <w:jc w:val="both"/>
        <w:rPr>
          <w:rFonts w:ascii="Book Antiqua" w:hAnsi="Book Antiqua"/>
        </w:rPr>
      </w:pPr>
      <w:r w:rsidRPr="00682C4E">
        <w:rPr>
          <w:rFonts w:ascii="Book Antiqua" w:hAnsi="Book Antiqua"/>
        </w:rPr>
        <w:t xml:space="preserve">7 </w:t>
      </w:r>
      <w:r w:rsidRPr="00682C4E">
        <w:rPr>
          <w:rFonts w:ascii="Book Antiqua" w:hAnsi="Book Antiqua"/>
          <w:b/>
          <w:bCs/>
        </w:rPr>
        <w:t>Buchanan RL,</w:t>
      </w:r>
      <w:r w:rsidRPr="00682C4E">
        <w:rPr>
          <w:rFonts w:ascii="Book Antiqua" w:hAnsi="Book Antiqua"/>
        </w:rPr>
        <w:t xml:space="preserve"> Gorris LG, Hayman MM, Jackson TC, Whiting RC. A review of Listeria monocytogenes: an update on outbreaks, virulence, dose-response, ecology, and risk assessments. </w:t>
      </w:r>
      <w:r w:rsidRPr="00682C4E">
        <w:rPr>
          <w:rFonts w:ascii="Book Antiqua" w:hAnsi="Book Antiqua"/>
          <w:i/>
          <w:iCs/>
        </w:rPr>
        <w:t xml:space="preserve">Food control </w:t>
      </w:r>
      <w:r w:rsidRPr="00682C4E">
        <w:rPr>
          <w:rFonts w:ascii="Book Antiqua" w:hAnsi="Book Antiqua"/>
        </w:rPr>
        <w:t xml:space="preserve">2017; </w:t>
      </w:r>
      <w:r w:rsidRPr="00682C4E">
        <w:rPr>
          <w:rFonts w:ascii="Book Antiqua" w:hAnsi="Book Antiqua"/>
          <w:b/>
          <w:bCs/>
        </w:rPr>
        <w:t>75</w:t>
      </w:r>
      <w:r w:rsidRPr="00682C4E">
        <w:rPr>
          <w:rFonts w:ascii="Book Antiqua" w:hAnsi="Book Antiqua"/>
        </w:rPr>
        <w:t>: 1-13 [DOI: 10.1016/j.foodcont.2016.12.016]</w:t>
      </w:r>
    </w:p>
    <w:p w14:paraId="138104E6" w14:textId="77777777" w:rsidR="00510012" w:rsidRPr="00682C4E" w:rsidRDefault="001B61A7" w:rsidP="00FC1600">
      <w:pPr>
        <w:snapToGrid w:val="0"/>
        <w:spacing w:line="360" w:lineRule="auto"/>
        <w:jc w:val="both"/>
        <w:rPr>
          <w:rFonts w:ascii="Book Antiqua" w:hAnsi="Book Antiqua"/>
        </w:rPr>
      </w:pPr>
      <w:r w:rsidRPr="00682C4E">
        <w:rPr>
          <w:rFonts w:ascii="Book Antiqua" w:hAnsi="Book Antiqua"/>
        </w:rPr>
        <w:t xml:space="preserve">8 </w:t>
      </w:r>
      <w:r w:rsidRPr="00682C4E">
        <w:rPr>
          <w:rFonts w:ascii="Book Antiqua" w:hAnsi="Book Antiqua"/>
          <w:b/>
          <w:bCs/>
        </w:rPr>
        <w:t>Letchumanan V,</w:t>
      </w:r>
      <w:r w:rsidRPr="00682C4E">
        <w:rPr>
          <w:rFonts w:ascii="Book Antiqua" w:hAnsi="Book Antiqua"/>
        </w:rPr>
        <w:t xml:space="preserve"> Wong PC, Goh BH, Long CM, Lee LH. A review on the characteristics, taxanomy and prevalence of Listeria monocytogenes. </w:t>
      </w:r>
      <w:r w:rsidRPr="00682C4E">
        <w:rPr>
          <w:rFonts w:ascii="Book Antiqua" w:hAnsi="Book Antiqua"/>
          <w:i/>
          <w:iCs/>
        </w:rPr>
        <w:t xml:space="preserve">Microbe Mol Biol </w:t>
      </w:r>
      <w:r w:rsidRPr="00682C4E">
        <w:rPr>
          <w:rFonts w:ascii="Book Antiqua" w:hAnsi="Book Antiqua"/>
        </w:rPr>
        <w:t xml:space="preserve">2018; </w:t>
      </w:r>
      <w:r w:rsidRPr="00682C4E">
        <w:rPr>
          <w:rFonts w:ascii="Book Antiqua" w:hAnsi="Book Antiqua"/>
          <w:b/>
          <w:bCs/>
        </w:rPr>
        <w:t>1</w:t>
      </w:r>
      <w:r w:rsidRPr="00682C4E">
        <w:rPr>
          <w:rFonts w:ascii="Book Antiqua" w:hAnsi="Book Antiqua"/>
        </w:rPr>
        <w:t xml:space="preserve"> [DOI: 10.36877/pmmb.a0000007]</w:t>
      </w:r>
    </w:p>
    <w:p w14:paraId="57A5A6D2" w14:textId="77777777" w:rsidR="00510012" w:rsidRPr="00682C4E" w:rsidRDefault="001B61A7" w:rsidP="00FC1600">
      <w:pPr>
        <w:snapToGrid w:val="0"/>
        <w:spacing w:line="360" w:lineRule="auto"/>
        <w:jc w:val="both"/>
        <w:rPr>
          <w:rFonts w:ascii="Book Antiqua" w:hAnsi="Book Antiqua"/>
        </w:rPr>
      </w:pPr>
      <w:r w:rsidRPr="00682C4E">
        <w:rPr>
          <w:rFonts w:ascii="Book Antiqua" w:hAnsi="Book Antiqua"/>
        </w:rPr>
        <w:t xml:space="preserve">9 </w:t>
      </w:r>
      <w:r w:rsidRPr="00682C4E">
        <w:rPr>
          <w:rFonts w:ascii="Book Antiqua" w:hAnsi="Book Antiqua"/>
          <w:b/>
          <w:bCs/>
        </w:rPr>
        <w:t>Barikbin P</w:t>
      </w:r>
      <w:r w:rsidRPr="00682C4E">
        <w:rPr>
          <w:rFonts w:ascii="Book Antiqua" w:hAnsi="Book Antiqua"/>
        </w:rPr>
        <w:t xml:space="preserve">, Sallmon H, Hüseman D, Sarioglu N, Weichert A, von Weizsäcker K, Bührer C, Koehne P. Clinical, Laboratory, and Placental Findings in Perinatal Listeriosis. </w:t>
      </w:r>
      <w:r w:rsidRPr="00682C4E">
        <w:rPr>
          <w:rFonts w:ascii="Book Antiqua" w:hAnsi="Book Antiqua"/>
          <w:i/>
          <w:iCs/>
        </w:rPr>
        <w:t>Fetal Pediatr Pathol</w:t>
      </w:r>
      <w:r w:rsidRPr="00682C4E">
        <w:rPr>
          <w:rFonts w:ascii="Book Antiqua" w:hAnsi="Book Antiqua"/>
        </w:rPr>
        <w:t xml:space="preserve"> 2016; </w:t>
      </w:r>
      <w:r w:rsidRPr="00682C4E">
        <w:rPr>
          <w:rFonts w:ascii="Book Antiqua" w:hAnsi="Book Antiqua"/>
          <w:b/>
          <w:bCs/>
        </w:rPr>
        <w:t>35</w:t>
      </w:r>
      <w:r w:rsidRPr="00682C4E">
        <w:rPr>
          <w:rFonts w:ascii="Book Antiqua" w:hAnsi="Book Antiqua"/>
        </w:rPr>
        <w:t>: 307-314 [PMID: 27212240 DOI: 10.1080/15513815.2016.1179822]</w:t>
      </w:r>
    </w:p>
    <w:p w14:paraId="08FDBA22" w14:textId="77777777" w:rsidR="00510012" w:rsidRPr="00682C4E" w:rsidRDefault="001B61A7" w:rsidP="00FC1600">
      <w:pPr>
        <w:snapToGrid w:val="0"/>
        <w:spacing w:line="360" w:lineRule="auto"/>
        <w:jc w:val="both"/>
        <w:rPr>
          <w:rFonts w:ascii="Book Antiqua" w:hAnsi="Book Antiqua"/>
        </w:rPr>
      </w:pPr>
      <w:r w:rsidRPr="00682C4E">
        <w:rPr>
          <w:rFonts w:ascii="Book Antiqua" w:hAnsi="Book Antiqua"/>
        </w:rPr>
        <w:t xml:space="preserve">10 </w:t>
      </w:r>
      <w:r w:rsidRPr="00682C4E">
        <w:rPr>
          <w:rFonts w:ascii="Book Antiqua" w:hAnsi="Book Antiqua"/>
          <w:b/>
          <w:bCs/>
        </w:rPr>
        <w:t>Lamont RF</w:t>
      </w:r>
      <w:r w:rsidRPr="00682C4E">
        <w:rPr>
          <w:rFonts w:ascii="Book Antiqua" w:hAnsi="Book Antiqua"/>
        </w:rPr>
        <w:t xml:space="preserve">, Sobel J, Mazaki-Tovi S, Kusanovic JP, Vaisbuch E, Kim SK, Uldbjerg N, Romero R. Listeriosis in human pregnancy: a systematic review. </w:t>
      </w:r>
      <w:r w:rsidRPr="00682C4E">
        <w:rPr>
          <w:rFonts w:ascii="Book Antiqua" w:hAnsi="Book Antiqua"/>
          <w:i/>
          <w:iCs/>
        </w:rPr>
        <w:t>J Perinat Med</w:t>
      </w:r>
      <w:r w:rsidRPr="00682C4E">
        <w:rPr>
          <w:rFonts w:ascii="Book Antiqua" w:hAnsi="Book Antiqua"/>
        </w:rPr>
        <w:t xml:space="preserve"> 2011; </w:t>
      </w:r>
      <w:r w:rsidRPr="00682C4E">
        <w:rPr>
          <w:rFonts w:ascii="Book Antiqua" w:hAnsi="Book Antiqua"/>
          <w:b/>
          <w:bCs/>
        </w:rPr>
        <w:t>39</w:t>
      </w:r>
      <w:r w:rsidRPr="00682C4E">
        <w:rPr>
          <w:rFonts w:ascii="Book Antiqua" w:hAnsi="Book Antiqua"/>
        </w:rPr>
        <w:t>: 227-236 [PMID: 21517700 DOI: 10.1515/jpm.2011.035]</w:t>
      </w:r>
    </w:p>
    <w:p w14:paraId="08DA56CA" w14:textId="77777777" w:rsidR="00510012" w:rsidRPr="00682C4E" w:rsidRDefault="001B61A7" w:rsidP="00FC1600">
      <w:pPr>
        <w:snapToGrid w:val="0"/>
        <w:spacing w:line="360" w:lineRule="auto"/>
        <w:jc w:val="both"/>
        <w:rPr>
          <w:rFonts w:ascii="Book Antiqua" w:hAnsi="Book Antiqua"/>
        </w:rPr>
      </w:pPr>
      <w:r w:rsidRPr="00682C4E">
        <w:rPr>
          <w:rFonts w:ascii="Book Antiqua" w:hAnsi="Book Antiqua"/>
        </w:rPr>
        <w:t xml:space="preserve">11 </w:t>
      </w:r>
      <w:r w:rsidRPr="00682C4E">
        <w:rPr>
          <w:rFonts w:ascii="Book Antiqua" w:hAnsi="Book Antiqua"/>
          <w:b/>
          <w:bCs/>
        </w:rPr>
        <w:t>Mylonakis E</w:t>
      </w:r>
      <w:r w:rsidRPr="00682C4E">
        <w:rPr>
          <w:rFonts w:ascii="Book Antiqua" w:hAnsi="Book Antiqua"/>
        </w:rPr>
        <w:t xml:space="preserve">, Paliou M, Hohmann EL, Calderwood SB, Wing EJ. Listeriosis during pregnancy: a case series and review of 222 cases. </w:t>
      </w:r>
      <w:r w:rsidRPr="00682C4E">
        <w:rPr>
          <w:rFonts w:ascii="Book Antiqua" w:hAnsi="Book Antiqua"/>
          <w:i/>
          <w:iCs/>
        </w:rPr>
        <w:t>Medicine (Baltimore)</w:t>
      </w:r>
      <w:r w:rsidRPr="00682C4E">
        <w:rPr>
          <w:rFonts w:ascii="Book Antiqua" w:hAnsi="Book Antiqua"/>
        </w:rPr>
        <w:t xml:space="preserve"> 2002; </w:t>
      </w:r>
      <w:r w:rsidRPr="00682C4E">
        <w:rPr>
          <w:rFonts w:ascii="Book Antiqua" w:hAnsi="Book Antiqua"/>
          <w:b/>
          <w:bCs/>
        </w:rPr>
        <w:t>81</w:t>
      </w:r>
      <w:r w:rsidRPr="00682C4E">
        <w:rPr>
          <w:rFonts w:ascii="Book Antiqua" w:hAnsi="Book Antiqua"/>
        </w:rPr>
        <w:t>: 260-269 [PMID: 12169881 DOI: 10.1097/00005792-200207000-00002]</w:t>
      </w:r>
    </w:p>
    <w:p w14:paraId="3B402BD8" w14:textId="77777777" w:rsidR="00510012" w:rsidRPr="00682C4E" w:rsidRDefault="001B61A7" w:rsidP="00FC1600">
      <w:pPr>
        <w:snapToGrid w:val="0"/>
        <w:spacing w:line="360" w:lineRule="auto"/>
        <w:jc w:val="both"/>
        <w:rPr>
          <w:rFonts w:ascii="Book Antiqua" w:hAnsi="Book Antiqua"/>
        </w:rPr>
      </w:pPr>
      <w:r w:rsidRPr="00682C4E">
        <w:rPr>
          <w:rFonts w:ascii="Book Antiqua" w:hAnsi="Book Antiqua"/>
        </w:rPr>
        <w:t xml:space="preserve">12 </w:t>
      </w:r>
      <w:r w:rsidRPr="00682C4E">
        <w:rPr>
          <w:rFonts w:ascii="Book Antiqua" w:hAnsi="Book Antiqua"/>
          <w:b/>
          <w:bCs/>
        </w:rPr>
        <w:t>Stephen S,</w:t>
      </w:r>
      <w:r w:rsidRPr="00682C4E">
        <w:rPr>
          <w:rFonts w:ascii="Book Antiqua" w:hAnsi="Book Antiqua"/>
        </w:rPr>
        <w:t xml:space="preserve"> Indrani R, Achyutha Rao K, Padma Rao A. Listeriosis in human abortions—including a brief review of literature. </w:t>
      </w:r>
      <w:r w:rsidRPr="00682C4E">
        <w:rPr>
          <w:rFonts w:ascii="Book Antiqua" w:hAnsi="Book Antiqua"/>
          <w:i/>
          <w:iCs/>
        </w:rPr>
        <w:t>J Obstet Gynecol India</w:t>
      </w:r>
      <w:r w:rsidRPr="00682C4E">
        <w:rPr>
          <w:rFonts w:ascii="Book Antiqua" w:hAnsi="Book Antiqua"/>
        </w:rPr>
        <w:t xml:space="preserve"> 1978; </w:t>
      </w:r>
      <w:r w:rsidRPr="00682C4E">
        <w:rPr>
          <w:rFonts w:ascii="Book Antiqua" w:hAnsi="Book Antiqua"/>
          <w:b/>
          <w:bCs/>
        </w:rPr>
        <w:t>28</w:t>
      </w:r>
      <w:r w:rsidRPr="00682C4E">
        <w:rPr>
          <w:rFonts w:ascii="Book Antiqua" w:hAnsi="Book Antiqua"/>
        </w:rPr>
        <w:t>: 497-501</w:t>
      </w:r>
    </w:p>
    <w:p w14:paraId="27DEDA9B"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13</w:t>
      </w:r>
      <w:r w:rsidR="001B61A7" w:rsidRPr="00682C4E">
        <w:rPr>
          <w:rFonts w:ascii="Book Antiqua" w:hAnsi="Book Antiqua"/>
        </w:rPr>
        <w:t xml:space="preserve"> </w:t>
      </w:r>
      <w:r w:rsidR="001B61A7" w:rsidRPr="00682C4E">
        <w:rPr>
          <w:rFonts w:ascii="Book Antiqua" w:hAnsi="Book Antiqua"/>
          <w:b/>
          <w:bCs/>
        </w:rPr>
        <w:t>Aljicević M</w:t>
      </w:r>
      <w:r w:rsidR="001B61A7" w:rsidRPr="00682C4E">
        <w:rPr>
          <w:rFonts w:ascii="Book Antiqua" w:hAnsi="Book Antiqua"/>
        </w:rPr>
        <w:t xml:space="preserve">, Beslagić E, Zvizdić S, Hamzić S, Mahmutović S. Listeria monocytogenes as the possible cause of the spontanous abortion in female of the fertile age. </w:t>
      </w:r>
      <w:r w:rsidR="001B61A7" w:rsidRPr="00682C4E">
        <w:rPr>
          <w:rFonts w:ascii="Book Antiqua" w:hAnsi="Book Antiqua"/>
          <w:i/>
          <w:iCs/>
        </w:rPr>
        <w:t>Bosn J Basic Med Sci</w:t>
      </w:r>
      <w:r w:rsidR="001B61A7" w:rsidRPr="00682C4E">
        <w:rPr>
          <w:rFonts w:ascii="Book Antiqua" w:hAnsi="Book Antiqua"/>
        </w:rPr>
        <w:t xml:space="preserve"> 2005; </w:t>
      </w:r>
      <w:r w:rsidR="001B61A7" w:rsidRPr="00682C4E">
        <w:rPr>
          <w:rFonts w:ascii="Book Antiqua" w:hAnsi="Book Antiqua"/>
          <w:b/>
          <w:bCs/>
        </w:rPr>
        <w:t>5</w:t>
      </w:r>
      <w:r w:rsidR="001B61A7" w:rsidRPr="00682C4E">
        <w:rPr>
          <w:rFonts w:ascii="Book Antiqua" w:hAnsi="Book Antiqua"/>
        </w:rPr>
        <w:t>: 89-92 [PMID: 16351605 DOI: 10.17305/bjbms.2005.3241]</w:t>
      </w:r>
    </w:p>
    <w:p w14:paraId="2B753DAF"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14</w:t>
      </w:r>
      <w:r w:rsidR="001B61A7" w:rsidRPr="00682C4E">
        <w:rPr>
          <w:rFonts w:ascii="Book Antiqua" w:hAnsi="Book Antiqua"/>
        </w:rPr>
        <w:t xml:space="preserve"> </w:t>
      </w:r>
      <w:r w:rsidR="001B61A7" w:rsidRPr="00682C4E">
        <w:rPr>
          <w:rFonts w:ascii="Book Antiqua" w:hAnsi="Book Antiqua"/>
          <w:b/>
          <w:bCs/>
        </w:rPr>
        <w:t>Kaur S</w:t>
      </w:r>
      <w:r w:rsidR="001B61A7" w:rsidRPr="00682C4E">
        <w:rPr>
          <w:rFonts w:ascii="Book Antiqua" w:hAnsi="Book Antiqua"/>
        </w:rPr>
        <w:t xml:space="preserve">, Malik SV, Vaidya VM, Barbuddhe SB. Listeria monocytogenes in spontaneous abortions in humans and its detection by multiplex PCR. </w:t>
      </w:r>
      <w:r w:rsidR="001B61A7" w:rsidRPr="00682C4E">
        <w:rPr>
          <w:rFonts w:ascii="Book Antiqua" w:hAnsi="Book Antiqua"/>
          <w:i/>
          <w:iCs/>
        </w:rPr>
        <w:t>J Appl Microbiol</w:t>
      </w:r>
      <w:r w:rsidR="001B61A7" w:rsidRPr="00682C4E">
        <w:rPr>
          <w:rFonts w:ascii="Book Antiqua" w:hAnsi="Book Antiqua"/>
        </w:rPr>
        <w:t xml:space="preserve"> 2007; </w:t>
      </w:r>
      <w:r w:rsidR="001B61A7" w:rsidRPr="00682C4E">
        <w:rPr>
          <w:rFonts w:ascii="Book Antiqua" w:hAnsi="Book Antiqua"/>
          <w:b/>
          <w:bCs/>
        </w:rPr>
        <w:t>103</w:t>
      </w:r>
      <w:r w:rsidR="001B61A7" w:rsidRPr="00682C4E">
        <w:rPr>
          <w:rFonts w:ascii="Book Antiqua" w:hAnsi="Book Antiqua"/>
        </w:rPr>
        <w:t>: 1889-1896 [PMID: 17953598 DOI: 10.1111/j.1365-2672.2007.03414.x]</w:t>
      </w:r>
    </w:p>
    <w:p w14:paraId="4BCC2017"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lastRenderedPageBreak/>
        <w:t>15</w:t>
      </w:r>
      <w:r w:rsidR="001B61A7" w:rsidRPr="00682C4E">
        <w:rPr>
          <w:rFonts w:ascii="Book Antiqua" w:hAnsi="Book Antiqua"/>
        </w:rPr>
        <w:t xml:space="preserve"> </w:t>
      </w:r>
      <w:r w:rsidR="001B61A7" w:rsidRPr="00682C4E">
        <w:rPr>
          <w:rFonts w:ascii="Book Antiqua" w:hAnsi="Book Antiqua"/>
          <w:b/>
          <w:bCs/>
        </w:rPr>
        <w:t>Saeedi M,</w:t>
      </w:r>
      <w:r w:rsidR="001B61A7" w:rsidRPr="00682C4E">
        <w:rPr>
          <w:rFonts w:ascii="Book Antiqua" w:hAnsi="Book Antiqua"/>
        </w:rPr>
        <w:t xml:space="preserve"> Bakhshandeh Nosrat S, Moradi A, Hedayat Mofidi S, Behnampoor N. Comparative Study of Cytomegalovirus, Listeria monocytogen and Toxoplasma gondii infections in successful and non-successful pregnancy in Gorgan. </w:t>
      </w:r>
      <w:r w:rsidR="001B61A7" w:rsidRPr="00682C4E">
        <w:rPr>
          <w:rFonts w:ascii="Book Antiqua" w:hAnsi="Book Antiqua"/>
          <w:i/>
          <w:iCs/>
        </w:rPr>
        <w:t>Med Lab J</w:t>
      </w:r>
      <w:r w:rsidR="001B61A7" w:rsidRPr="00682C4E">
        <w:rPr>
          <w:rFonts w:ascii="Book Antiqua" w:hAnsi="Book Antiqua"/>
        </w:rPr>
        <w:t xml:space="preserve"> 2009; </w:t>
      </w:r>
      <w:r w:rsidR="001B61A7" w:rsidRPr="00682C4E">
        <w:rPr>
          <w:rFonts w:ascii="Book Antiqua" w:hAnsi="Book Antiqua"/>
          <w:b/>
          <w:bCs/>
        </w:rPr>
        <w:t>3</w:t>
      </w:r>
    </w:p>
    <w:p w14:paraId="70F7F110"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16</w:t>
      </w:r>
      <w:r w:rsidR="001B61A7" w:rsidRPr="00682C4E">
        <w:rPr>
          <w:rFonts w:ascii="Book Antiqua" w:hAnsi="Book Antiqua"/>
        </w:rPr>
        <w:t xml:space="preserve"> </w:t>
      </w:r>
      <w:r w:rsidR="001B61A7" w:rsidRPr="00682C4E">
        <w:rPr>
          <w:rFonts w:ascii="Book Antiqua" w:hAnsi="Book Antiqua"/>
          <w:b/>
          <w:bCs/>
        </w:rPr>
        <w:t>Jamshidi M</w:t>
      </w:r>
      <w:r w:rsidR="001B61A7" w:rsidRPr="00682C4E">
        <w:rPr>
          <w:rFonts w:ascii="Book Antiqua" w:hAnsi="Book Antiqua"/>
        </w:rPr>
        <w:t xml:space="preserve">, Jahromi AS, Davoodian P, Amirian M, Zangeneh M, Jadcareh F. Seropositivity for Listeria monocytogenes in women with spontaneous abortion: a case-control study in Iran. </w:t>
      </w:r>
      <w:r w:rsidR="001B61A7" w:rsidRPr="00682C4E">
        <w:rPr>
          <w:rFonts w:ascii="Book Antiqua" w:hAnsi="Book Antiqua"/>
          <w:i/>
          <w:iCs/>
        </w:rPr>
        <w:t>Taiwan J Obstet Gynecol</w:t>
      </w:r>
      <w:r w:rsidR="001B61A7" w:rsidRPr="00682C4E">
        <w:rPr>
          <w:rFonts w:ascii="Book Antiqua" w:hAnsi="Book Antiqua"/>
        </w:rPr>
        <w:t xml:space="preserve"> 2009; </w:t>
      </w:r>
      <w:r w:rsidR="001B61A7" w:rsidRPr="00682C4E">
        <w:rPr>
          <w:rFonts w:ascii="Book Antiqua" w:hAnsi="Book Antiqua"/>
          <w:b/>
          <w:bCs/>
        </w:rPr>
        <w:t>48</w:t>
      </w:r>
      <w:r w:rsidR="001B61A7" w:rsidRPr="00682C4E">
        <w:rPr>
          <w:rFonts w:ascii="Book Antiqua" w:hAnsi="Book Antiqua"/>
        </w:rPr>
        <w:t>: 46-48 [PMID: 19346191 DOI: 10.1016/S1028-4559(09)60034-6]</w:t>
      </w:r>
    </w:p>
    <w:p w14:paraId="72E7E36D"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17</w:t>
      </w:r>
      <w:r w:rsidR="001B61A7" w:rsidRPr="00682C4E">
        <w:rPr>
          <w:rFonts w:ascii="Book Antiqua" w:hAnsi="Book Antiqua"/>
        </w:rPr>
        <w:t xml:space="preserve"> </w:t>
      </w:r>
      <w:r w:rsidR="001B61A7" w:rsidRPr="00682C4E">
        <w:rPr>
          <w:rFonts w:ascii="Book Antiqua" w:hAnsi="Book Antiqua"/>
          <w:b/>
          <w:bCs/>
        </w:rPr>
        <w:t>Tahery Y,</w:t>
      </w:r>
      <w:r w:rsidR="001B61A7" w:rsidRPr="00682C4E">
        <w:rPr>
          <w:rFonts w:ascii="Book Antiqua" w:hAnsi="Book Antiqua"/>
        </w:rPr>
        <w:t xml:space="preserve"> Kafilzadeh F, Momtaz YA. Listeria monocytogenesis and abortion: A case study of pregnant women in Iran. </w:t>
      </w:r>
      <w:r w:rsidR="001B61A7" w:rsidRPr="00682C4E">
        <w:rPr>
          <w:rFonts w:ascii="Book Antiqua" w:hAnsi="Book Antiqua"/>
          <w:i/>
          <w:iCs/>
        </w:rPr>
        <w:t>Afr J Microbiol Res</w:t>
      </w:r>
      <w:r w:rsidR="001B61A7" w:rsidRPr="00682C4E">
        <w:rPr>
          <w:rFonts w:ascii="Book Antiqua" w:hAnsi="Book Antiqua"/>
        </w:rPr>
        <w:t xml:space="preserve"> 2009; </w:t>
      </w:r>
      <w:r w:rsidR="001B61A7" w:rsidRPr="00682C4E">
        <w:rPr>
          <w:rFonts w:ascii="Book Antiqua" w:hAnsi="Book Antiqua"/>
          <w:b/>
          <w:bCs/>
        </w:rPr>
        <w:t>3:</w:t>
      </w:r>
      <w:r w:rsidR="001B61A7" w:rsidRPr="00682C4E">
        <w:rPr>
          <w:rFonts w:ascii="Book Antiqua" w:hAnsi="Book Antiqua"/>
        </w:rPr>
        <w:t xml:space="preserve"> 826-832</w:t>
      </w:r>
    </w:p>
    <w:p w14:paraId="450CCD1A"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18</w:t>
      </w:r>
      <w:r w:rsidR="001B61A7" w:rsidRPr="00682C4E">
        <w:rPr>
          <w:rFonts w:ascii="Book Antiqua" w:hAnsi="Book Antiqua"/>
        </w:rPr>
        <w:t xml:space="preserve"> </w:t>
      </w:r>
      <w:r w:rsidR="001B61A7" w:rsidRPr="00682C4E">
        <w:rPr>
          <w:rFonts w:ascii="Book Antiqua" w:hAnsi="Book Antiqua"/>
          <w:b/>
          <w:bCs/>
        </w:rPr>
        <w:t>Nazeri M.</w:t>
      </w:r>
      <w:r w:rsidR="001B61A7" w:rsidRPr="00682C4E">
        <w:rPr>
          <w:rFonts w:ascii="Book Antiqua" w:hAnsi="Book Antiqua"/>
        </w:rPr>
        <w:t xml:space="preserve"> Evaluation of indirect immunofluorescence assay for diagnosis of Listeria monocytogenes in abortion. </w:t>
      </w:r>
      <w:r w:rsidR="001B61A7" w:rsidRPr="00682C4E">
        <w:rPr>
          <w:rFonts w:ascii="Book Antiqua" w:hAnsi="Book Antiqua"/>
          <w:i/>
          <w:iCs/>
        </w:rPr>
        <w:t>Adv Environ Biolo</w:t>
      </w:r>
      <w:r w:rsidR="001B61A7" w:rsidRPr="00682C4E">
        <w:rPr>
          <w:rFonts w:ascii="Book Antiqua" w:hAnsi="Book Antiqua"/>
        </w:rPr>
        <w:t xml:space="preserve"> 2011; </w:t>
      </w:r>
      <w:r w:rsidR="001B61A7" w:rsidRPr="00682C4E">
        <w:rPr>
          <w:rFonts w:ascii="Book Antiqua" w:hAnsi="Book Antiqua"/>
          <w:b/>
          <w:bCs/>
        </w:rPr>
        <w:t xml:space="preserve">5: </w:t>
      </w:r>
      <w:r w:rsidR="001B61A7" w:rsidRPr="00682C4E">
        <w:rPr>
          <w:rFonts w:ascii="Book Antiqua" w:hAnsi="Book Antiqua"/>
        </w:rPr>
        <w:t>1487-1490</w:t>
      </w:r>
    </w:p>
    <w:p w14:paraId="172525B4"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19</w:t>
      </w:r>
      <w:r w:rsidR="001B61A7" w:rsidRPr="00682C4E">
        <w:rPr>
          <w:rFonts w:ascii="Book Antiqua" w:hAnsi="Book Antiqua"/>
        </w:rPr>
        <w:t xml:space="preserve"> </w:t>
      </w:r>
      <w:r w:rsidR="001B61A7" w:rsidRPr="00682C4E">
        <w:rPr>
          <w:rFonts w:ascii="Book Antiqua" w:hAnsi="Book Antiqua"/>
          <w:b/>
          <w:bCs/>
        </w:rPr>
        <w:t>Lotfollahi L,</w:t>
      </w:r>
      <w:r w:rsidR="001B61A7" w:rsidRPr="00682C4E">
        <w:rPr>
          <w:rFonts w:ascii="Book Antiqua" w:hAnsi="Book Antiqua"/>
        </w:rPr>
        <w:t xml:space="preserve"> Nowrouzi J, Irajian G, Masjedian F, Kazemi B, Falahat LEA. Prevalence and antimicrobial resistance profiles of Listeria monocytogenes in spontaneous abortions in humans. </w:t>
      </w:r>
      <w:r w:rsidR="001B61A7" w:rsidRPr="00682C4E">
        <w:rPr>
          <w:rFonts w:ascii="Book Antiqua" w:hAnsi="Book Antiqua"/>
          <w:i/>
          <w:iCs/>
        </w:rPr>
        <w:t xml:space="preserve">Afr J Microbiol Res </w:t>
      </w:r>
      <w:r w:rsidR="001B61A7" w:rsidRPr="00682C4E">
        <w:rPr>
          <w:rFonts w:ascii="Book Antiqua" w:hAnsi="Book Antiqua"/>
        </w:rPr>
        <w:t xml:space="preserve">2011; </w:t>
      </w:r>
      <w:r w:rsidR="001B61A7" w:rsidRPr="00682C4E">
        <w:rPr>
          <w:rFonts w:ascii="Book Antiqua" w:hAnsi="Book Antiqua"/>
          <w:b/>
          <w:bCs/>
        </w:rPr>
        <w:t>5:</w:t>
      </w:r>
      <w:r w:rsidR="001B61A7" w:rsidRPr="00682C4E">
        <w:rPr>
          <w:rFonts w:ascii="Book Antiqua" w:hAnsi="Book Antiqua"/>
        </w:rPr>
        <w:t xml:space="preserve"> 1990-1993</w:t>
      </w:r>
    </w:p>
    <w:p w14:paraId="07243A45"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20</w:t>
      </w:r>
      <w:r w:rsidR="001B61A7" w:rsidRPr="00682C4E">
        <w:rPr>
          <w:rFonts w:ascii="Book Antiqua" w:hAnsi="Book Antiqua"/>
        </w:rPr>
        <w:t xml:space="preserve"> </w:t>
      </w:r>
      <w:r w:rsidR="001B61A7" w:rsidRPr="00682C4E">
        <w:rPr>
          <w:rFonts w:ascii="Book Antiqua" w:hAnsi="Book Antiqua"/>
          <w:b/>
          <w:bCs/>
        </w:rPr>
        <w:t>Jahangirisiskht A,</w:t>
      </w:r>
      <w:r w:rsidR="001B61A7" w:rsidRPr="00682C4E">
        <w:rPr>
          <w:rFonts w:ascii="Book Antiqua" w:hAnsi="Book Antiqua"/>
        </w:rPr>
        <w:t xml:space="preserve"> Kargar M, Mirzaee A, Aramesh S, Akbartabar M, Mohamadkhani N, Rezaee Z. Comparison the standard culture method and polymerase chain reaction in diagnosis of Listeria monocytogenes in pregnant women. </w:t>
      </w:r>
      <w:r w:rsidR="001B61A7" w:rsidRPr="00682C4E">
        <w:rPr>
          <w:rFonts w:ascii="Book Antiqua" w:hAnsi="Book Antiqua"/>
          <w:i/>
          <w:iCs/>
        </w:rPr>
        <w:t>Armaghane Danesh</w:t>
      </w:r>
      <w:r w:rsidR="001B61A7" w:rsidRPr="00682C4E">
        <w:rPr>
          <w:rFonts w:ascii="Book Antiqua" w:hAnsi="Book Antiqua"/>
        </w:rPr>
        <w:t xml:space="preserve"> 2012; </w:t>
      </w:r>
      <w:r w:rsidR="001B61A7" w:rsidRPr="00682C4E">
        <w:rPr>
          <w:rFonts w:ascii="Book Antiqua" w:hAnsi="Book Antiqua"/>
          <w:b/>
          <w:bCs/>
        </w:rPr>
        <w:t>17:</w:t>
      </w:r>
      <w:r w:rsidR="001B61A7" w:rsidRPr="00682C4E">
        <w:rPr>
          <w:rFonts w:ascii="Book Antiqua" w:hAnsi="Book Antiqua"/>
        </w:rPr>
        <w:t xml:space="preserve"> 156-163</w:t>
      </w:r>
    </w:p>
    <w:p w14:paraId="13DC0E4F"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21</w:t>
      </w:r>
      <w:r w:rsidR="001B61A7" w:rsidRPr="00682C4E">
        <w:rPr>
          <w:rFonts w:ascii="Book Antiqua" w:hAnsi="Book Antiqua"/>
        </w:rPr>
        <w:t xml:space="preserve"> </w:t>
      </w:r>
      <w:r w:rsidR="001B61A7" w:rsidRPr="00682C4E">
        <w:rPr>
          <w:rFonts w:ascii="Book Antiqua" w:hAnsi="Book Antiqua"/>
          <w:b/>
          <w:bCs/>
        </w:rPr>
        <w:t>Jahangirsisakht A,</w:t>
      </w:r>
      <w:r w:rsidR="001B61A7" w:rsidRPr="00682C4E">
        <w:rPr>
          <w:rFonts w:ascii="Book Antiqua" w:hAnsi="Book Antiqua"/>
        </w:rPr>
        <w:t xml:space="preserve"> Kargar M, Mirzaee A, Akbartabar M, Aramesh S, Mohamadkhani N. Assessing Listeria monocytogenes hly A genome in pregnant women with spontaneous abortion using PCR method in Yasuj, south west of Iran.</w:t>
      </w:r>
      <w:r w:rsidR="001B61A7" w:rsidRPr="00682C4E">
        <w:rPr>
          <w:rFonts w:ascii="Book Antiqua" w:hAnsi="Book Antiqua"/>
          <w:i/>
          <w:iCs/>
        </w:rPr>
        <w:t xml:space="preserve"> Afr J Microbiol Res</w:t>
      </w:r>
      <w:r w:rsidR="001B61A7" w:rsidRPr="00682C4E">
        <w:rPr>
          <w:rFonts w:ascii="Book Antiqua" w:hAnsi="Book Antiqua"/>
        </w:rPr>
        <w:t xml:space="preserve"> 2013; </w:t>
      </w:r>
      <w:r w:rsidR="001B61A7" w:rsidRPr="00682C4E">
        <w:rPr>
          <w:rFonts w:ascii="Book Antiqua" w:hAnsi="Book Antiqua"/>
          <w:b/>
          <w:bCs/>
        </w:rPr>
        <w:t>7:</w:t>
      </w:r>
      <w:r w:rsidR="001B61A7" w:rsidRPr="00682C4E">
        <w:rPr>
          <w:rFonts w:ascii="Book Antiqua" w:hAnsi="Book Antiqua"/>
        </w:rPr>
        <w:t xml:space="preserve"> 4257-4260</w:t>
      </w:r>
    </w:p>
    <w:p w14:paraId="7C1DAABD"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22</w:t>
      </w:r>
      <w:r w:rsidR="001B61A7" w:rsidRPr="00682C4E">
        <w:rPr>
          <w:rFonts w:ascii="Book Antiqua" w:hAnsi="Book Antiqua"/>
        </w:rPr>
        <w:t xml:space="preserve"> </w:t>
      </w:r>
      <w:r w:rsidR="001B61A7" w:rsidRPr="00682C4E">
        <w:rPr>
          <w:rFonts w:ascii="Book Antiqua" w:hAnsi="Book Antiqua"/>
          <w:b/>
          <w:bCs/>
        </w:rPr>
        <w:t>Shindang J,</w:t>
      </w:r>
      <w:r w:rsidR="001B61A7" w:rsidRPr="00682C4E">
        <w:rPr>
          <w:rFonts w:ascii="Book Antiqua" w:hAnsi="Book Antiqua"/>
        </w:rPr>
        <w:t xml:space="preserve"> Shindang CO, Ekwempu AI. Incidence of Listeria monocytogenes and other bacteria in spontaneous abortion cases in Jos. </w:t>
      </w:r>
      <w:r w:rsidR="001B61A7" w:rsidRPr="00682C4E">
        <w:rPr>
          <w:rFonts w:ascii="Book Antiqua" w:hAnsi="Book Antiqua"/>
          <w:i/>
          <w:iCs/>
        </w:rPr>
        <w:t xml:space="preserve">Niger J Biotechnol </w:t>
      </w:r>
      <w:r w:rsidR="001B61A7" w:rsidRPr="00682C4E">
        <w:rPr>
          <w:rFonts w:ascii="Book Antiqua" w:hAnsi="Book Antiqua"/>
        </w:rPr>
        <w:t>2013;</w:t>
      </w:r>
      <w:r w:rsidR="001B61A7" w:rsidRPr="00682C4E">
        <w:rPr>
          <w:rFonts w:ascii="Book Antiqua" w:hAnsi="Book Antiqua"/>
          <w:b/>
          <w:bCs/>
        </w:rPr>
        <w:t xml:space="preserve"> 25:</w:t>
      </w:r>
      <w:r w:rsidR="001B61A7" w:rsidRPr="00682C4E">
        <w:rPr>
          <w:rFonts w:ascii="Book Antiqua" w:hAnsi="Book Antiqua"/>
        </w:rPr>
        <w:t xml:space="preserve"> 1-7</w:t>
      </w:r>
    </w:p>
    <w:p w14:paraId="192BFDCA"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23</w:t>
      </w:r>
      <w:r w:rsidR="001B61A7" w:rsidRPr="00682C4E">
        <w:rPr>
          <w:rFonts w:ascii="Book Antiqua" w:hAnsi="Book Antiqua"/>
        </w:rPr>
        <w:t xml:space="preserve"> </w:t>
      </w:r>
      <w:r w:rsidR="001B61A7" w:rsidRPr="00682C4E">
        <w:rPr>
          <w:rFonts w:ascii="Book Antiqua" w:hAnsi="Book Antiqua"/>
          <w:b/>
          <w:bCs/>
        </w:rPr>
        <w:t>Eslami G,</w:t>
      </w:r>
      <w:r w:rsidR="001B61A7" w:rsidRPr="00682C4E">
        <w:rPr>
          <w:rFonts w:ascii="Book Antiqua" w:hAnsi="Book Antiqua"/>
        </w:rPr>
        <w:t xml:space="preserve"> Goudarzi H, Ohadi E, Taherpour A, Pourkaveh B, Taheri S. Identification of Listeria monocytogenes virulence factors in women with abortion by polymerase chain reaction. </w:t>
      </w:r>
      <w:r w:rsidR="001B61A7" w:rsidRPr="00682C4E">
        <w:rPr>
          <w:rFonts w:ascii="Book Antiqua" w:hAnsi="Book Antiqua"/>
          <w:i/>
          <w:iCs/>
        </w:rPr>
        <w:t>Arch Clin Infect Dis</w:t>
      </w:r>
      <w:r w:rsidR="001B61A7" w:rsidRPr="00682C4E">
        <w:rPr>
          <w:rFonts w:ascii="Book Antiqua" w:hAnsi="Book Antiqua"/>
        </w:rPr>
        <w:t xml:space="preserve"> 2014 [DOI: 10.5812/archcid.19931]</w:t>
      </w:r>
    </w:p>
    <w:p w14:paraId="47B3DBDD"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24</w:t>
      </w:r>
      <w:r w:rsidR="001B61A7" w:rsidRPr="00682C4E">
        <w:rPr>
          <w:rFonts w:ascii="Book Antiqua" w:hAnsi="Book Antiqua"/>
        </w:rPr>
        <w:t xml:space="preserve"> </w:t>
      </w:r>
      <w:r w:rsidR="001B61A7" w:rsidRPr="00682C4E">
        <w:rPr>
          <w:rFonts w:ascii="Book Antiqua" w:hAnsi="Book Antiqua"/>
          <w:b/>
          <w:bCs/>
        </w:rPr>
        <w:t>Shoukat S,</w:t>
      </w:r>
      <w:r w:rsidR="001B61A7" w:rsidRPr="00682C4E">
        <w:rPr>
          <w:rFonts w:ascii="Book Antiqua" w:hAnsi="Book Antiqua"/>
        </w:rPr>
        <w:t xml:space="preserve"> Malik S, Rawool D, Kumar A, Kumar S, Shrivastava S, Barbuddhe SB</w:t>
      </w:r>
      <w:r w:rsidR="001B61A7" w:rsidRPr="00682C4E">
        <w:rPr>
          <w:rFonts w:ascii="Book Antiqua" w:hAnsi="Book Antiqua"/>
          <w:lang w:eastAsia="zh-CN"/>
        </w:rPr>
        <w:t xml:space="preserve">, </w:t>
      </w:r>
      <w:r w:rsidR="001B61A7" w:rsidRPr="00682C4E">
        <w:rPr>
          <w:rFonts w:ascii="Book Antiqua" w:hAnsi="Book Antiqua"/>
        </w:rPr>
        <w:t>Das DP</w:t>
      </w:r>
      <w:r w:rsidR="001B61A7" w:rsidRPr="00682C4E">
        <w:rPr>
          <w:rFonts w:ascii="Book Antiqua" w:hAnsi="Book Antiqua"/>
          <w:lang w:eastAsia="zh-CN"/>
        </w:rPr>
        <w:t xml:space="preserve">, </w:t>
      </w:r>
      <w:r w:rsidR="001B61A7" w:rsidRPr="00682C4E">
        <w:rPr>
          <w:rFonts w:ascii="Book Antiqua" w:hAnsi="Book Antiqua"/>
        </w:rPr>
        <w:t xml:space="preserve">Das S. A study on detection of pathogenic Listeria monocytogenes in ovine’s of </w:t>
      </w:r>
      <w:r w:rsidR="001B61A7" w:rsidRPr="00682C4E">
        <w:rPr>
          <w:rFonts w:ascii="Book Antiqua" w:hAnsi="Book Antiqua"/>
        </w:rPr>
        <w:lastRenderedPageBreak/>
        <w:t xml:space="preserve">Kashmir region having abortion or history of abortion. </w:t>
      </w:r>
      <w:r w:rsidR="001B61A7" w:rsidRPr="00682C4E">
        <w:rPr>
          <w:rFonts w:ascii="Book Antiqua" w:hAnsi="Book Antiqua"/>
          <w:i/>
          <w:iCs/>
        </w:rPr>
        <w:t xml:space="preserve">Proc Nati Acad Sci India </w:t>
      </w:r>
      <w:r w:rsidR="001B61A7" w:rsidRPr="00682C4E">
        <w:rPr>
          <w:rFonts w:ascii="Book Antiqua" w:hAnsi="Book Antiqua"/>
        </w:rPr>
        <w:t>2014;</w:t>
      </w:r>
      <w:r w:rsidR="001B61A7" w:rsidRPr="00682C4E">
        <w:rPr>
          <w:rFonts w:ascii="Book Antiqua" w:hAnsi="Book Antiqua"/>
          <w:b/>
          <w:bCs/>
        </w:rPr>
        <w:t xml:space="preserve"> 84:</w:t>
      </w:r>
      <w:r w:rsidR="001B61A7" w:rsidRPr="00682C4E">
        <w:rPr>
          <w:rFonts w:ascii="Book Antiqua" w:hAnsi="Book Antiqua"/>
        </w:rPr>
        <w:t xml:space="preserve"> 311-316</w:t>
      </w:r>
    </w:p>
    <w:p w14:paraId="5A0690F0"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25</w:t>
      </w:r>
      <w:r w:rsidR="001B61A7" w:rsidRPr="00682C4E">
        <w:rPr>
          <w:rFonts w:ascii="Book Antiqua" w:hAnsi="Book Antiqua"/>
        </w:rPr>
        <w:t xml:space="preserve"> </w:t>
      </w:r>
      <w:r w:rsidR="001B61A7" w:rsidRPr="00682C4E">
        <w:rPr>
          <w:rFonts w:ascii="Book Antiqua" w:hAnsi="Book Antiqua"/>
          <w:b/>
          <w:bCs/>
        </w:rPr>
        <w:t>Haghroosta A,</w:t>
      </w:r>
      <w:r w:rsidR="001B61A7" w:rsidRPr="00682C4E">
        <w:rPr>
          <w:rFonts w:ascii="Book Antiqua" w:hAnsi="Book Antiqua"/>
        </w:rPr>
        <w:t xml:space="preserve"> Shakh AF, Shooshtari MM. Investigation on the seroprevalence of Listeria monocytogenes in women with spontaneous abortion.</w:t>
      </w:r>
      <w:r w:rsidR="001B61A7" w:rsidRPr="00682C4E">
        <w:rPr>
          <w:rFonts w:ascii="Book Antiqua" w:hAnsi="Book Antiqua"/>
          <w:i/>
          <w:iCs/>
        </w:rPr>
        <w:t xml:space="preserve"> Comp Clin Path</w:t>
      </w:r>
      <w:r w:rsidR="001B61A7" w:rsidRPr="00682C4E">
        <w:rPr>
          <w:rFonts w:ascii="Book Antiqua" w:hAnsi="Book Antiqua"/>
        </w:rPr>
        <w:t xml:space="preserve"> 2015; </w:t>
      </w:r>
      <w:r w:rsidR="001B61A7" w:rsidRPr="00682C4E">
        <w:rPr>
          <w:rFonts w:ascii="Book Antiqua" w:hAnsi="Book Antiqua"/>
          <w:b/>
          <w:bCs/>
        </w:rPr>
        <w:t>24:</w:t>
      </w:r>
      <w:r w:rsidR="001B61A7" w:rsidRPr="00682C4E">
        <w:rPr>
          <w:rFonts w:ascii="Book Antiqua" w:hAnsi="Book Antiqua"/>
        </w:rPr>
        <w:t xml:space="preserve"> 153-156</w:t>
      </w:r>
    </w:p>
    <w:p w14:paraId="48F3375B"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26</w:t>
      </w:r>
      <w:r w:rsidR="001B61A7" w:rsidRPr="00682C4E">
        <w:rPr>
          <w:rFonts w:ascii="Book Antiqua" w:hAnsi="Book Antiqua"/>
        </w:rPr>
        <w:t xml:space="preserve"> </w:t>
      </w:r>
      <w:r w:rsidR="001B61A7" w:rsidRPr="00682C4E">
        <w:rPr>
          <w:rFonts w:ascii="Book Antiqua" w:hAnsi="Book Antiqua"/>
          <w:b/>
          <w:bCs/>
        </w:rPr>
        <w:t>Pourkaveh B</w:t>
      </w:r>
      <w:r w:rsidR="001B61A7" w:rsidRPr="00682C4E">
        <w:rPr>
          <w:rFonts w:ascii="Book Antiqua" w:hAnsi="Book Antiqua"/>
        </w:rPr>
        <w:t xml:space="preserve">, Ahmadi M, Eslami G, Gachkar L. Factors contributes to spontaneous abortion caused by Listeria monocytogenes, in Tehran, Iran, 2015. </w:t>
      </w:r>
      <w:r w:rsidR="001B61A7" w:rsidRPr="00682C4E">
        <w:rPr>
          <w:rFonts w:ascii="Book Antiqua" w:hAnsi="Book Antiqua"/>
          <w:i/>
          <w:iCs/>
        </w:rPr>
        <w:t>Cell Mol Biol (Noisy-le-grand)</w:t>
      </w:r>
      <w:r w:rsidR="001B61A7" w:rsidRPr="00682C4E">
        <w:rPr>
          <w:rFonts w:ascii="Book Antiqua" w:hAnsi="Book Antiqua"/>
        </w:rPr>
        <w:t xml:space="preserve"> 2016; </w:t>
      </w:r>
      <w:r w:rsidR="001B61A7" w:rsidRPr="00682C4E">
        <w:rPr>
          <w:rFonts w:ascii="Book Antiqua" w:hAnsi="Book Antiqua"/>
          <w:b/>
          <w:bCs/>
        </w:rPr>
        <w:t>62</w:t>
      </w:r>
      <w:r w:rsidR="001B61A7" w:rsidRPr="00682C4E">
        <w:rPr>
          <w:rFonts w:ascii="Book Antiqua" w:hAnsi="Book Antiqua"/>
        </w:rPr>
        <w:t>: 3-10 [PMID: 27585255]</w:t>
      </w:r>
    </w:p>
    <w:p w14:paraId="359F74AD" w14:textId="77777777" w:rsidR="003E1E2E"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27</w:t>
      </w:r>
      <w:r w:rsidRPr="00682C4E">
        <w:rPr>
          <w:rFonts w:ascii="Book Antiqua" w:hAnsi="Book Antiqua"/>
        </w:rPr>
        <w:t xml:space="preserve"> </w:t>
      </w:r>
      <w:r w:rsidRPr="00682C4E">
        <w:rPr>
          <w:rFonts w:ascii="Book Antiqua" w:hAnsi="Book Antiqua"/>
          <w:b/>
          <w:bCs/>
        </w:rPr>
        <w:t>Bobade S,</w:t>
      </w:r>
      <w:r w:rsidRPr="00682C4E">
        <w:rPr>
          <w:rFonts w:ascii="Book Antiqua" w:hAnsi="Book Antiqua"/>
        </w:rPr>
        <w:t xml:space="preserve"> Warke S, Kalorey D. Virulence gene profiling and serotyping of Listeria monocytogenes from infertility cases of women. </w:t>
      </w:r>
      <w:r w:rsidRPr="00682C4E">
        <w:rPr>
          <w:rFonts w:ascii="Book Antiqua" w:hAnsi="Book Antiqua"/>
          <w:i/>
          <w:iCs/>
        </w:rPr>
        <w:t>Int J Health Sci Res</w:t>
      </w:r>
      <w:r w:rsidRPr="00682C4E">
        <w:rPr>
          <w:rFonts w:ascii="Book Antiqua" w:hAnsi="Book Antiqua"/>
        </w:rPr>
        <w:t xml:space="preserve"> 2016; </w:t>
      </w:r>
      <w:r w:rsidRPr="00682C4E">
        <w:rPr>
          <w:rFonts w:ascii="Book Antiqua" w:hAnsi="Book Antiqua"/>
          <w:b/>
          <w:bCs/>
        </w:rPr>
        <w:t>6</w:t>
      </w:r>
      <w:r w:rsidRPr="00682C4E">
        <w:rPr>
          <w:rFonts w:ascii="Book Antiqua" w:hAnsi="Book Antiqua"/>
        </w:rPr>
        <w:t>: 440-449</w:t>
      </w:r>
    </w:p>
    <w:p w14:paraId="414BE9CA" w14:textId="77777777" w:rsidR="003E1E2E"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28</w:t>
      </w:r>
      <w:r w:rsidRPr="00682C4E">
        <w:rPr>
          <w:rFonts w:ascii="Book Antiqua" w:hAnsi="Book Antiqua"/>
        </w:rPr>
        <w:t xml:space="preserve"> </w:t>
      </w:r>
      <w:r w:rsidRPr="00682C4E">
        <w:rPr>
          <w:rFonts w:ascii="Book Antiqua" w:hAnsi="Book Antiqua"/>
          <w:b/>
          <w:bCs/>
        </w:rPr>
        <w:t>Tajedini E,</w:t>
      </w:r>
      <w:r w:rsidRPr="00682C4E">
        <w:rPr>
          <w:rFonts w:ascii="Book Antiqua" w:hAnsi="Book Antiqua"/>
        </w:rPr>
        <w:t xml:space="preserve"> Talebi S, Vandyousefi J. Evaluation and Comparison of ELISA and Indirect Immunofluorescence Methods for the Detection of Anti-Listeria Antibodies Among Women with Spontaneous Abortion Referred to Kamali Hospital in Karaj, Iran. </w:t>
      </w:r>
      <w:r w:rsidRPr="00682C4E">
        <w:rPr>
          <w:rFonts w:ascii="Book Antiqua" w:hAnsi="Book Antiqua"/>
          <w:i/>
          <w:iCs/>
        </w:rPr>
        <w:t xml:space="preserve">Ira J Med Microbiol </w:t>
      </w:r>
      <w:r w:rsidRPr="00682C4E">
        <w:rPr>
          <w:rFonts w:ascii="Book Antiqua" w:hAnsi="Book Antiqua"/>
        </w:rPr>
        <w:t xml:space="preserve">2017; </w:t>
      </w:r>
      <w:r w:rsidRPr="00682C4E">
        <w:rPr>
          <w:rFonts w:ascii="Book Antiqua" w:hAnsi="Book Antiqua"/>
          <w:b/>
          <w:bCs/>
        </w:rPr>
        <w:t>11:</w:t>
      </w:r>
      <w:r w:rsidRPr="00682C4E">
        <w:rPr>
          <w:rFonts w:ascii="Book Antiqua" w:hAnsi="Book Antiqua"/>
        </w:rPr>
        <w:t xml:space="preserve"> 98-106</w:t>
      </w:r>
    </w:p>
    <w:p w14:paraId="1854B52A" w14:textId="77777777" w:rsidR="003E1E2E" w:rsidRPr="00682C4E" w:rsidRDefault="003E1E2E" w:rsidP="00FC1600">
      <w:pPr>
        <w:snapToGrid w:val="0"/>
        <w:spacing w:line="360" w:lineRule="auto"/>
        <w:jc w:val="both"/>
        <w:rPr>
          <w:rFonts w:ascii="Book Antiqua" w:hAnsi="Book Antiqua"/>
        </w:rPr>
      </w:pPr>
      <w:r w:rsidRPr="00682C4E">
        <w:rPr>
          <w:rFonts w:ascii="Book Antiqua" w:hAnsi="Book Antiqua"/>
        </w:rPr>
        <w:t>2</w:t>
      </w:r>
      <w:r w:rsidRPr="00682C4E">
        <w:rPr>
          <w:rFonts w:ascii="Book Antiqua" w:hAnsi="Book Antiqua"/>
          <w:lang w:eastAsia="zh-CN"/>
        </w:rPr>
        <w:t>9</w:t>
      </w:r>
      <w:r w:rsidRPr="00682C4E">
        <w:rPr>
          <w:rFonts w:ascii="Book Antiqua" w:hAnsi="Book Antiqua"/>
        </w:rPr>
        <w:t xml:space="preserve"> </w:t>
      </w:r>
      <w:r w:rsidRPr="00682C4E">
        <w:rPr>
          <w:rFonts w:ascii="Book Antiqua" w:hAnsi="Book Antiqua"/>
          <w:b/>
          <w:bCs/>
        </w:rPr>
        <w:t>Pour NK,</w:t>
      </w:r>
      <w:r w:rsidRPr="00682C4E">
        <w:rPr>
          <w:rFonts w:ascii="Book Antiqua" w:hAnsi="Book Antiqua"/>
        </w:rPr>
        <w:t xml:space="preserve"> Rezaei M, Vandyousefi J, Zamin FR, Irajian G. Determination of dominant serovars of Listeria monocytogenes strains isolated from spontaneous human abortion in Tehran/IRAN. </w:t>
      </w:r>
      <w:r w:rsidRPr="00682C4E">
        <w:rPr>
          <w:rFonts w:ascii="Book Antiqua" w:hAnsi="Book Antiqua"/>
          <w:i/>
          <w:iCs/>
        </w:rPr>
        <w:t xml:space="preserve">Eur J Bio Scis </w:t>
      </w:r>
      <w:r w:rsidRPr="00682C4E">
        <w:rPr>
          <w:rFonts w:ascii="Book Antiqua" w:hAnsi="Book Antiqua"/>
        </w:rPr>
        <w:t xml:space="preserve">2018; </w:t>
      </w:r>
      <w:r w:rsidRPr="00682C4E">
        <w:rPr>
          <w:rFonts w:ascii="Book Antiqua" w:hAnsi="Book Antiqua"/>
          <w:b/>
          <w:bCs/>
        </w:rPr>
        <w:t>12:</w:t>
      </w:r>
      <w:r w:rsidRPr="00682C4E">
        <w:rPr>
          <w:rFonts w:ascii="Book Antiqua" w:hAnsi="Book Antiqua"/>
        </w:rPr>
        <w:t xml:space="preserve"> 377-383</w:t>
      </w:r>
    </w:p>
    <w:p w14:paraId="04B6CA61"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3</w:t>
      </w:r>
      <w:r w:rsidR="001B61A7" w:rsidRPr="00682C4E">
        <w:rPr>
          <w:rFonts w:ascii="Book Antiqua" w:hAnsi="Book Antiqua"/>
        </w:rPr>
        <w:t xml:space="preserve">0 </w:t>
      </w:r>
      <w:r w:rsidR="001B61A7" w:rsidRPr="00682C4E">
        <w:rPr>
          <w:rFonts w:ascii="Book Antiqua" w:hAnsi="Book Antiqua"/>
          <w:b/>
          <w:bCs/>
        </w:rPr>
        <w:t>Heidari S,</w:t>
      </w:r>
      <w:r w:rsidR="001B61A7" w:rsidRPr="00682C4E">
        <w:rPr>
          <w:rFonts w:ascii="Book Antiqua" w:hAnsi="Book Antiqua"/>
        </w:rPr>
        <w:t xml:space="preserve"> Soltan Dallal MM. Prevalence of Listeria monocytogenes isolated from pregnant women with and without history of abortion and detection of hemolysin (hlyA) gene in clinical samples.</w:t>
      </w:r>
      <w:r w:rsidR="001B61A7" w:rsidRPr="00682C4E">
        <w:rPr>
          <w:rFonts w:ascii="Book Antiqua" w:hAnsi="Book Antiqua"/>
          <w:i/>
          <w:iCs/>
        </w:rPr>
        <w:t xml:space="preserve"> Sci J Kur Uni Med Sci</w:t>
      </w:r>
      <w:r w:rsidR="001B61A7" w:rsidRPr="00682C4E">
        <w:rPr>
          <w:rFonts w:ascii="Book Antiqua" w:hAnsi="Book Antiqua"/>
        </w:rPr>
        <w:t xml:space="preserve"> 2018; </w:t>
      </w:r>
      <w:r w:rsidR="001B61A7" w:rsidRPr="00682C4E">
        <w:rPr>
          <w:rFonts w:ascii="Book Antiqua" w:hAnsi="Book Antiqua"/>
          <w:b/>
          <w:bCs/>
        </w:rPr>
        <w:t>23:</w:t>
      </w:r>
      <w:r w:rsidR="001B61A7" w:rsidRPr="00682C4E">
        <w:rPr>
          <w:rFonts w:ascii="Book Antiqua" w:hAnsi="Book Antiqua"/>
        </w:rPr>
        <w:t xml:space="preserve"> 96-107</w:t>
      </w:r>
    </w:p>
    <w:p w14:paraId="737E8E9A"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3</w:t>
      </w:r>
      <w:r w:rsidR="001B61A7" w:rsidRPr="00682C4E">
        <w:rPr>
          <w:rFonts w:ascii="Book Antiqua" w:hAnsi="Book Antiqua"/>
        </w:rPr>
        <w:t xml:space="preserve">1 </w:t>
      </w:r>
      <w:r w:rsidR="001B61A7" w:rsidRPr="00682C4E">
        <w:rPr>
          <w:rFonts w:ascii="Book Antiqua" w:hAnsi="Book Antiqua"/>
          <w:b/>
          <w:bCs/>
        </w:rPr>
        <w:t>Al-dorri AZRa.</w:t>
      </w:r>
      <w:r w:rsidR="001B61A7" w:rsidRPr="00682C4E">
        <w:rPr>
          <w:rFonts w:ascii="Book Antiqua" w:hAnsi="Book Antiqua"/>
        </w:rPr>
        <w:t xml:space="preserve"> Study of bacteria Listeria monocytogenes in spontaneous aborted women in Salah Al-deen province. </w:t>
      </w:r>
      <w:r w:rsidR="001B61A7" w:rsidRPr="00682C4E">
        <w:rPr>
          <w:rFonts w:ascii="Book Antiqua" w:hAnsi="Book Antiqua"/>
          <w:i/>
          <w:iCs/>
        </w:rPr>
        <w:t xml:space="preserve">Tik J Pur Sci </w:t>
      </w:r>
      <w:r w:rsidR="001B61A7" w:rsidRPr="00682C4E">
        <w:rPr>
          <w:rFonts w:ascii="Book Antiqua" w:hAnsi="Book Antiqua"/>
        </w:rPr>
        <w:t xml:space="preserve">2018; </w:t>
      </w:r>
      <w:r w:rsidR="001B61A7" w:rsidRPr="00682C4E">
        <w:rPr>
          <w:rFonts w:ascii="Book Antiqua" w:hAnsi="Book Antiqua"/>
          <w:b/>
          <w:bCs/>
        </w:rPr>
        <w:t>21:</w:t>
      </w:r>
      <w:r w:rsidR="001B61A7" w:rsidRPr="00682C4E">
        <w:rPr>
          <w:rFonts w:ascii="Book Antiqua" w:hAnsi="Book Antiqua"/>
        </w:rPr>
        <w:t xml:space="preserve"> 12-17</w:t>
      </w:r>
    </w:p>
    <w:p w14:paraId="59319FF5"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3</w:t>
      </w:r>
      <w:r w:rsidR="001B61A7" w:rsidRPr="00682C4E">
        <w:rPr>
          <w:rFonts w:ascii="Book Antiqua" w:hAnsi="Book Antiqua"/>
        </w:rPr>
        <w:t xml:space="preserve">2 </w:t>
      </w:r>
      <w:r w:rsidR="001B61A7" w:rsidRPr="00682C4E">
        <w:rPr>
          <w:rFonts w:ascii="Book Antiqua" w:hAnsi="Book Antiqua"/>
          <w:b/>
          <w:bCs/>
        </w:rPr>
        <w:t>Ohadi E,</w:t>
      </w:r>
      <w:r w:rsidR="001B61A7" w:rsidRPr="00682C4E">
        <w:rPr>
          <w:rFonts w:ascii="Book Antiqua" w:hAnsi="Book Antiqua"/>
        </w:rPr>
        <w:t xml:space="preserve"> Goudarzi H, Kalani BS, Taherpour A, Shivaee A, Eslami G. Serotyping of Listeria monocytogenes Isolates from Women with Spontaneous Abortion Using Polymerase Chain Reaction Method. </w:t>
      </w:r>
      <w:r w:rsidR="001B61A7" w:rsidRPr="00682C4E">
        <w:rPr>
          <w:rFonts w:ascii="Book Antiqua" w:hAnsi="Book Antiqua"/>
          <w:i/>
          <w:iCs/>
        </w:rPr>
        <w:t xml:space="preserve">J Med Bacteriol </w:t>
      </w:r>
      <w:r w:rsidR="001B61A7" w:rsidRPr="00682C4E">
        <w:rPr>
          <w:rFonts w:ascii="Book Antiqua" w:hAnsi="Book Antiqua"/>
        </w:rPr>
        <w:t xml:space="preserve">2019; </w:t>
      </w:r>
      <w:r w:rsidR="001B61A7" w:rsidRPr="00682C4E">
        <w:rPr>
          <w:rFonts w:ascii="Book Antiqua" w:hAnsi="Book Antiqua"/>
          <w:b/>
          <w:bCs/>
        </w:rPr>
        <w:t xml:space="preserve">8: </w:t>
      </w:r>
      <w:r w:rsidR="001B61A7" w:rsidRPr="00682C4E">
        <w:rPr>
          <w:rFonts w:ascii="Book Antiqua" w:hAnsi="Book Antiqua"/>
        </w:rPr>
        <w:t>8-17</w:t>
      </w:r>
    </w:p>
    <w:p w14:paraId="5FD25723" w14:textId="59EF70E8"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3</w:t>
      </w:r>
      <w:r w:rsidR="001B61A7" w:rsidRPr="00682C4E">
        <w:rPr>
          <w:rFonts w:ascii="Book Antiqua" w:hAnsi="Book Antiqua"/>
        </w:rPr>
        <w:t xml:space="preserve">3 </w:t>
      </w:r>
      <w:r w:rsidR="001B61A7" w:rsidRPr="00682C4E">
        <w:rPr>
          <w:rFonts w:ascii="Book Antiqua" w:hAnsi="Book Antiqua"/>
          <w:b/>
          <w:bCs/>
        </w:rPr>
        <w:t>Mozaffari M,</w:t>
      </w:r>
      <w:r w:rsidR="001B61A7" w:rsidRPr="00682C4E">
        <w:rPr>
          <w:rFonts w:ascii="Book Antiqua" w:hAnsi="Book Antiqua"/>
        </w:rPr>
        <w:t xml:space="preserve"> Mozafari M, Mohebbi M. Clinical Significance and Seroprevalence of L. monocytogenes in Pregnant Women with Spontaneous Abortion: Personalized Medicine to improve Outcome (Diagnosis and monitoring).</w:t>
      </w:r>
      <w:r w:rsidR="001B61A7" w:rsidRPr="00682C4E">
        <w:rPr>
          <w:rFonts w:ascii="Book Antiqua" w:hAnsi="Book Antiqua"/>
          <w:i/>
          <w:iCs/>
        </w:rPr>
        <w:t xml:space="preserve"> City</w:t>
      </w:r>
      <w:r w:rsidR="001B61A7" w:rsidRPr="00682C4E">
        <w:rPr>
          <w:rFonts w:ascii="Book Antiqua" w:hAnsi="Book Antiqua"/>
        </w:rPr>
        <w:t xml:space="preserve"> 2019; </w:t>
      </w:r>
      <w:r w:rsidR="001B61A7" w:rsidRPr="00682C4E">
        <w:rPr>
          <w:rFonts w:ascii="Book Antiqua" w:hAnsi="Book Antiqua"/>
          <w:b/>
          <w:bCs/>
        </w:rPr>
        <w:t>72:</w:t>
      </w:r>
      <w:r w:rsidR="001B61A7" w:rsidRPr="00682C4E">
        <w:rPr>
          <w:rFonts w:ascii="Book Antiqua" w:hAnsi="Book Antiqua"/>
        </w:rPr>
        <w:t xml:space="preserve"> 51</w:t>
      </w:r>
    </w:p>
    <w:p w14:paraId="2365D174"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3</w:t>
      </w:r>
      <w:r w:rsidR="001B61A7" w:rsidRPr="00682C4E">
        <w:rPr>
          <w:rFonts w:ascii="Book Antiqua" w:hAnsi="Book Antiqua"/>
        </w:rPr>
        <w:t xml:space="preserve">4 </w:t>
      </w:r>
      <w:r w:rsidR="001B61A7" w:rsidRPr="00682C4E">
        <w:rPr>
          <w:rFonts w:ascii="Book Antiqua" w:hAnsi="Book Antiqua"/>
          <w:b/>
          <w:bCs/>
        </w:rPr>
        <w:t>Zahirnia Z</w:t>
      </w:r>
      <w:r w:rsidR="001B61A7" w:rsidRPr="00682C4E">
        <w:rPr>
          <w:rFonts w:ascii="Book Antiqua" w:hAnsi="Book Antiqua"/>
        </w:rPr>
        <w:t xml:space="preserve">, Mansouri S, Saffari F. Pregnancy-related listeriosis: frequency and genotypic characteristics of L. monocytogenes from human specimens in Kerman, Iran. </w:t>
      </w:r>
      <w:r w:rsidR="001B61A7" w:rsidRPr="00682C4E">
        <w:rPr>
          <w:rFonts w:ascii="Book Antiqua" w:hAnsi="Book Antiqua"/>
          <w:i/>
          <w:iCs/>
        </w:rPr>
        <w:lastRenderedPageBreak/>
        <w:t>Wien Med Wochenschr</w:t>
      </w:r>
      <w:r w:rsidR="001B61A7" w:rsidRPr="00682C4E">
        <w:rPr>
          <w:rFonts w:ascii="Book Antiqua" w:hAnsi="Book Antiqua"/>
        </w:rPr>
        <w:t xml:space="preserve"> 2019; </w:t>
      </w:r>
      <w:r w:rsidR="001B61A7" w:rsidRPr="00682C4E">
        <w:rPr>
          <w:rFonts w:ascii="Book Antiqua" w:hAnsi="Book Antiqua"/>
          <w:b/>
          <w:bCs/>
        </w:rPr>
        <w:t>169</w:t>
      </w:r>
      <w:r w:rsidR="001B61A7" w:rsidRPr="00682C4E">
        <w:rPr>
          <w:rFonts w:ascii="Book Antiqua" w:hAnsi="Book Antiqua"/>
        </w:rPr>
        <w:t>: 226-231 [PMID: 30178426 DOI: 10.1007/s10354-018-0648-9]</w:t>
      </w:r>
    </w:p>
    <w:p w14:paraId="14210CA9"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3</w:t>
      </w:r>
      <w:r w:rsidR="001B61A7" w:rsidRPr="00682C4E">
        <w:rPr>
          <w:rFonts w:ascii="Book Antiqua" w:hAnsi="Book Antiqua"/>
        </w:rPr>
        <w:t xml:space="preserve">5 </w:t>
      </w:r>
      <w:r w:rsidR="001B61A7" w:rsidRPr="00682C4E">
        <w:rPr>
          <w:rFonts w:ascii="Book Antiqua" w:hAnsi="Book Antiqua"/>
          <w:b/>
          <w:bCs/>
        </w:rPr>
        <w:t>Fall NS,</w:t>
      </w:r>
      <w:r w:rsidR="001B61A7" w:rsidRPr="00682C4E">
        <w:rPr>
          <w:rFonts w:ascii="Book Antiqua" w:hAnsi="Book Antiqua"/>
        </w:rPr>
        <w:t xml:space="preserve"> Sarr M, Diagne N, Bassène H, Sokhna C, Lagier JC, Raoult D. Listeria monocytogenes detected in vaginal self-samples of 2 women after spontaneous miscarriage, Senegal, West Africa. </w:t>
      </w:r>
      <w:r w:rsidR="001B61A7" w:rsidRPr="00682C4E">
        <w:rPr>
          <w:rFonts w:ascii="Book Antiqua" w:hAnsi="Book Antiqua"/>
          <w:i/>
          <w:iCs/>
        </w:rPr>
        <w:t>Eur J Clin Microbiol Infect Dis</w:t>
      </w:r>
      <w:r w:rsidR="001B61A7" w:rsidRPr="00682C4E">
        <w:rPr>
          <w:rFonts w:ascii="Book Antiqua" w:hAnsi="Book Antiqua"/>
        </w:rPr>
        <w:t xml:space="preserve"> 2020; </w:t>
      </w:r>
      <w:r w:rsidR="001B61A7" w:rsidRPr="00682C4E">
        <w:rPr>
          <w:rFonts w:ascii="Book Antiqua" w:hAnsi="Book Antiqua"/>
          <w:b/>
          <w:bCs/>
        </w:rPr>
        <w:t>39:</w:t>
      </w:r>
      <w:r w:rsidR="001B61A7" w:rsidRPr="00682C4E">
        <w:rPr>
          <w:rFonts w:ascii="Book Antiqua" w:hAnsi="Book Antiqua"/>
        </w:rPr>
        <w:t xml:space="preserve"> 393-394 [PMID: 31784865 DOI: 10.1007/s10096-019-03739-0]</w:t>
      </w:r>
    </w:p>
    <w:p w14:paraId="52EF67BD" w14:textId="77777777" w:rsidR="00510012" w:rsidRPr="00682C4E" w:rsidRDefault="003E1E2E" w:rsidP="00FC1600">
      <w:pPr>
        <w:snapToGrid w:val="0"/>
        <w:spacing w:line="360" w:lineRule="auto"/>
        <w:jc w:val="both"/>
        <w:rPr>
          <w:rFonts w:ascii="Book Antiqua" w:hAnsi="Book Antiqua"/>
        </w:rPr>
      </w:pPr>
      <w:r w:rsidRPr="00682C4E">
        <w:rPr>
          <w:rFonts w:ascii="Book Antiqua" w:hAnsi="Book Antiqua"/>
          <w:lang w:eastAsia="zh-CN"/>
        </w:rPr>
        <w:t>3</w:t>
      </w:r>
      <w:r w:rsidR="001B61A7" w:rsidRPr="00682C4E">
        <w:rPr>
          <w:rFonts w:ascii="Book Antiqua" w:hAnsi="Book Antiqua"/>
        </w:rPr>
        <w:t xml:space="preserve">6 </w:t>
      </w:r>
      <w:r w:rsidR="001B61A7" w:rsidRPr="00682C4E">
        <w:rPr>
          <w:rFonts w:ascii="Book Antiqua" w:hAnsi="Book Antiqua"/>
          <w:b/>
          <w:bCs/>
        </w:rPr>
        <w:t>Al-Mayahi FSA</w:t>
      </w:r>
      <w:r w:rsidR="001B61A7" w:rsidRPr="00682C4E">
        <w:rPr>
          <w:rFonts w:ascii="Book Antiqua" w:hAnsi="Book Antiqua"/>
        </w:rPr>
        <w:t xml:space="preserve">, Jaber SM. Multiple drug resistance of </w:t>
      </w:r>
      <w:r w:rsidR="001B61A7" w:rsidRPr="00682C4E">
        <w:rPr>
          <w:rFonts w:ascii="Book Antiqua" w:hAnsi="Book Antiqua"/>
          <w:i/>
          <w:iCs/>
        </w:rPr>
        <w:t>Listeria monocytogenes</w:t>
      </w:r>
      <w:r w:rsidR="001B61A7" w:rsidRPr="00682C4E">
        <w:rPr>
          <w:rFonts w:ascii="Book Antiqua" w:hAnsi="Book Antiqua"/>
        </w:rPr>
        <w:t xml:space="preserve"> isolated from aborted women by using serological and molecular techniques in Diwaniyah city/Iraq. </w:t>
      </w:r>
      <w:r w:rsidR="001B61A7" w:rsidRPr="00682C4E">
        <w:rPr>
          <w:rFonts w:ascii="Book Antiqua" w:hAnsi="Book Antiqua"/>
          <w:i/>
          <w:iCs/>
        </w:rPr>
        <w:t>Iran J Microbiol</w:t>
      </w:r>
      <w:r w:rsidR="001B61A7" w:rsidRPr="00682C4E">
        <w:rPr>
          <w:rFonts w:ascii="Book Antiqua" w:hAnsi="Book Antiqua"/>
        </w:rPr>
        <w:t xml:space="preserve"> 2020; </w:t>
      </w:r>
      <w:r w:rsidR="001B61A7" w:rsidRPr="00682C4E">
        <w:rPr>
          <w:rFonts w:ascii="Book Antiqua" w:hAnsi="Book Antiqua"/>
          <w:b/>
          <w:bCs/>
        </w:rPr>
        <w:t>12</w:t>
      </w:r>
      <w:r w:rsidR="001B61A7" w:rsidRPr="00682C4E">
        <w:rPr>
          <w:rFonts w:ascii="Book Antiqua" w:hAnsi="Book Antiqua"/>
        </w:rPr>
        <w:t>: 305-312 [PMID: 32994901 DOI: 10.18502/ijm.v12i4.3933]</w:t>
      </w:r>
    </w:p>
    <w:p w14:paraId="456BAE47" w14:textId="77777777" w:rsidR="005B3717" w:rsidRPr="00682C4E" w:rsidRDefault="005B3717" w:rsidP="00FC1600">
      <w:pPr>
        <w:snapToGrid w:val="0"/>
        <w:spacing w:line="360" w:lineRule="auto"/>
        <w:jc w:val="both"/>
        <w:rPr>
          <w:rFonts w:ascii="Book Antiqua" w:hAnsi="Book Antiqua"/>
        </w:rPr>
      </w:pPr>
      <w:r w:rsidRPr="00682C4E">
        <w:rPr>
          <w:rFonts w:ascii="Book Antiqua" w:hAnsi="Book Antiqua"/>
          <w:lang w:eastAsia="zh-CN"/>
        </w:rPr>
        <w:t>37</w:t>
      </w:r>
      <w:r w:rsidRPr="00682C4E">
        <w:rPr>
          <w:rFonts w:ascii="Book Antiqua" w:hAnsi="Book Antiqua"/>
        </w:rPr>
        <w:t xml:space="preserve"> </w:t>
      </w:r>
      <w:r w:rsidRPr="00682C4E">
        <w:rPr>
          <w:rFonts w:ascii="Book Antiqua" w:hAnsi="Book Antiqua"/>
          <w:b/>
          <w:bCs/>
        </w:rPr>
        <w:t>Martinez-Rios V,</w:t>
      </w:r>
      <w:r w:rsidRPr="00682C4E">
        <w:rPr>
          <w:rFonts w:ascii="Book Antiqua" w:hAnsi="Book Antiqua"/>
        </w:rPr>
        <w:t xml:space="preserve"> Dalgaard P. Prevalence of Listeria monocytogenes in European cheeses: A systematic review and meta-analysis. </w:t>
      </w:r>
      <w:r w:rsidRPr="00682C4E">
        <w:rPr>
          <w:rFonts w:ascii="Book Antiqua" w:hAnsi="Book Antiqua"/>
          <w:i/>
          <w:iCs/>
        </w:rPr>
        <w:t>Food Control</w:t>
      </w:r>
      <w:r w:rsidRPr="00682C4E">
        <w:rPr>
          <w:rFonts w:ascii="Book Antiqua" w:hAnsi="Book Antiqua"/>
        </w:rPr>
        <w:t xml:space="preserve"> 2018; </w:t>
      </w:r>
      <w:r w:rsidRPr="00682C4E">
        <w:rPr>
          <w:rFonts w:ascii="Book Antiqua" w:hAnsi="Book Antiqua"/>
          <w:b/>
          <w:bCs/>
        </w:rPr>
        <w:t>84</w:t>
      </w:r>
      <w:r w:rsidRPr="00682C4E">
        <w:rPr>
          <w:rFonts w:ascii="Book Antiqua" w:hAnsi="Book Antiqua"/>
        </w:rPr>
        <w:t>: 205-214</w:t>
      </w:r>
    </w:p>
    <w:p w14:paraId="4F09B3DB" w14:textId="77777777" w:rsidR="005B3717" w:rsidRPr="00682C4E" w:rsidRDefault="005B3717" w:rsidP="00FC1600">
      <w:pPr>
        <w:snapToGrid w:val="0"/>
        <w:spacing w:line="360" w:lineRule="auto"/>
        <w:jc w:val="both"/>
        <w:rPr>
          <w:rFonts w:ascii="Book Antiqua" w:hAnsi="Book Antiqua"/>
        </w:rPr>
      </w:pPr>
      <w:r w:rsidRPr="00682C4E">
        <w:rPr>
          <w:rFonts w:ascii="Book Antiqua" w:hAnsi="Book Antiqua"/>
          <w:lang w:eastAsia="zh-CN"/>
        </w:rPr>
        <w:t>38</w:t>
      </w:r>
      <w:r w:rsidRPr="00682C4E">
        <w:rPr>
          <w:rFonts w:ascii="Book Antiqua" w:hAnsi="Book Antiqua"/>
        </w:rPr>
        <w:t xml:space="preserve"> </w:t>
      </w:r>
      <w:r w:rsidRPr="00682C4E">
        <w:rPr>
          <w:rFonts w:ascii="Book Antiqua" w:hAnsi="Book Antiqua"/>
          <w:b/>
          <w:bCs/>
        </w:rPr>
        <w:t>Murray PR,</w:t>
      </w:r>
      <w:r w:rsidRPr="00682C4E">
        <w:rPr>
          <w:rFonts w:ascii="Book Antiqua" w:hAnsi="Book Antiqua"/>
        </w:rPr>
        <w:t xml:space="preserve"> Rosenthal KS, Pfaller MA. Medical microbiology: Elsevier Health Sciences. 2015</w:t>
      </w:r>
    </w:p>
    <w:p w14:paraId="4245BF23" w14:textId="77777777" w:rsidR="005B3717" w:rsidRPr="00682C4E" w:rsidRDefault="005B3717" w:rsidP="00FC1600">
      <w:pPr>
        <w:snapToGrid w:val="0"/>
        <w:spacing w:line="360" w:lineRule="auto"/>
        <w:jc w:val="both"/>
        <w:rPr>
          <w:rFonts w:ascii="Book Antiqua" w:hAnsi="Book Antiqua"/>
        </w:rPr>
      </w:pPr>
      <w:r w:rsidRPr="00682C4E">
        <w:rPr>
          <w:rFonts w:ascii="Book Antiqua" w:hAnsi="Book Antiqua"/>
          <w:lang w:eastAsia="zh-CN"/>
        </w:rPr>
        <w:t>39</w:t>
      </w:r>
      <w:r w:rsidRPr="00682C4E">
        <w:rPr>
          <w:rFonts w:ascii="Book Antiqua" w:hAnsi="Book Antiqua"/>
        </w:rPr>
        <w:t xml:space="preserve"> </w:t>
      </w:r>
      <w:r w:rsidRPr="00682C4E">
        <w:rPr>
          <w:rFonts w:ascii="Book Antiqua" w:hAnsi="Book Antiqua"/>
          <w:b/>
          <w:bCs/>
        </w:rPr>
        <w:t>Craig AM</w:t>
      </w:r>
      <w:r w:rsidRPr="00682C4E">
        <w:rPr>
          <w:rFonts w:ascii="Book Antiqua" w:hAnsi="Book Antiqua"/>
        </w:rPr>
        <w:t xml:space="preserve">, Dotters-Katz S, Kuller JA, Thompson JL. Listeriosis in Pregnancy: A Review. </w:t>
      </w:r>
      <w:r w:rsidRPr="00682C4E">
        <w:rPr>
          <w:rFonts w:ascii="Book Antiqua" w:hAnsi="Book Antiqua"/>
          <w:i/>
          <w:iCs/>
        </w:rPr>
        <w:t>Obstet Gynecol Surv</w:t>
      </w:r>
      <w:r w:rsidRPr="00682C4E">
        <w:rPr>
          <w:rFonts w:ascii="Book Antiqua" w:hAnsi="Book Antiqua"/>
        </w:rPr>
        <w:t xml:space="preserve"> 2019; </w:t>
      </w:r>
      <w:r w:rsidRPr="00682C4E">
        <w:rPr>
          <w:rFonts w:ascii="Book Antiqua" w:hAnsi="Book Antiqua"/>
          <w:b/>
          <w:bCs/>
        </w:rPr>
        <w:t>74</w:t>
      </w:r>
      <w:r w:rsidRPr="00682C4E">
        <w:rPr>
          <w:rFonts w:ascii="Book Antiqua" w:hAnsi="Book Antiqua"/>
        </w:rPr>
        <w:t>: 362-368 [PMID: 31216045 DOI: 10.1097/OGX.0000000000000683]</w:t>
      </w:r>
    </w:p>
    <w:p w14:paraId="08C26EBF" w14:textId="77777777" w:rsidR="005B3717" w:rsidRPr="00682C4E" w:rsidRDefault="005B3717" w:rsidP="00FC1600">
      <w:pPr>
        <w:snapToGrid w:val="0"/>
        <w:spacing w:line="360" w:lineRule="auto"/>
        <w:jc w:val="both"/>
        <w:rPr>
          <w:rFonts w:ascii="Book Antiqua" w:hAnsi="Book Antiqua"/>
        </w:rPr>
      </w:pPr>
      <w:r w:rsidRPr="00682C4E">
        <w:rPr>
          <w:rFonts w:ascii="Book Antiqua" w:hAnsi="Book Antiqua"/>
          <w:lang w:eastAsia="zh-CN"/>
        </w:rPr>
        <w:t>40</w:t>
      </w:r>
      <w:r w:rsidRPr="00682C4E">
        <w:rPr>
          <w:rFonts w:ascii="Book Antiqua" w:hAnsi="Book Antiqua"/>
        </w:rPr>
        <w:t xml:space="preserve"> </w:t>
      </w:r>
      <w:r w:rsidRPr="00682C4E">
        <w:rPr>
          <w:rFonts w:ascii="Book Antiqua" w:hAnsi="Book Antiqua"/>
          <w:b/>
          <w:bCs/>
        </w:rPr>
        <w:t>Overturf GD</w:t>
      </w:r>
      <w:r w:rsidRPr="00682C4E">
        <w:rPr>
          <w:rFonts w:ascii="Book Antiqua" w:hAnsi="Book Antiqua"/>
        </w:rPr>
        <w:t xml:space="preserve">. Indications for the immunological evaluation of patients with meningitis. </w:t>
      </w:r>
      <w:r w:rsidRPr="00682C4E">
        <w:rPr>
          <w:rFonts w:ascii="Book Antiqua" w:hAnsi="Book Antiqua"/>
          <w:i/>
          <w:iCs/>
        </w:rPr>
        <w:t>Clin Infect Dis</w:t>
      </w:r>
      <w:r w:rsidRPr="00682C4E">
        <w:rPr>
          <w:rFonts w:ascii="Book Antiqua" w:hAnsi="Book Antiqua"/>
        </w:rPr>
        <w:t xml:space="preserve"> 2003; </w:t>
      </w:r>
      <w:r w:rsidRPr="00682C4E">
        <w:rPr>
          <w:rFonts w:ascii="Book Antiqua" w:hAnsi="Book Antiqua"/>
          <w:b/>
          <w:bCs/>
        </w:rPr>
        <w:t>36</w:t>
      </w:r>
      <w:r w:rsidRPr="00682C4E">
        <w:rPr>
          <w:rFonts w:ascii="Book Antiqua" w:hAnsi="Book Antiqua"/>
        </w:rPr>
        <w:t>: 189-194 [PMID: 12522751 DOI: 10.1086/345527]</w:t>
      </w:r>
    </w:p>
    <w:p w14:paraId="261F3E60" w14:textId="77777777" w:rsidR="005B3717" w:rsidRPr="00682C4E" w:rsidRDefault="005B3717" w:rsidP="00FC1600">
      <w:pPr>
        <w:snapToGrid w:val="0"/>
        <w:spacing w:line="360" w:lineRule="auto"/>
        <w:jc w:val="both"/>
        <w:rPr>
          <w:rFonts w:ascii="Book Antiqua" w:hAnsi="Book Antiqua"/>
        </w:rPr>
      </w:pPr>
      <w:r w:rsidRPr="00682C4E">
        <w:rPr>
          <w:rFonts w:ascii="Book Antiqua" w:hAnsi="Book Antiqua"/>
          <w:lang w:eastAsia="zh-CN"/>
        </w:rPr>
        <w:t>41</w:t>
      </w:r>
      <w:r w:rsidRPr="00682C4E">
        <w:rPr>
          <w:rFonts w:ascii="Book Antiqua" w:hAnsi="Book Antiqua"/>
        </w:rPr>
        <w:t xml:space="preserve"> </w:t>
      </w:r>
      <w:r w:rsidRPr="00682C4E">
        <w:rPr>
          <w:rFonts w:ascii="Book Antiqua" w:hAnsi="Book Antiqua"/>
          <w:b/>
          <w:bCs/>
        </w:rPr>
        <w:t>Ranjbar R</w:t>
      </w:r>
      <w:r w:rsidRPr="00682C4E">
        <w:rPr>
          <w:rFonts w:ascii="Book Antiqua" w:hAnsi="Book Antiqua"/>
        </w:rPr>
        <w:t xml:space="preserve">, Halaji M. Epidemiology of Listeria monocytogenes prevalence in foods, animals and human origin from Iran: a systematic review and meta-analysis. </w:t>
      </w:r>
      <w:r w:rsidRPr="00682C4E">
        <w:rPr>
          <w:rFonts w:ascii="Book Antiqua" w:hAnsi="Book Antiqua"/>
          <w:i/>
          <w:iCs/>
        </w:rPr>
        <w:t>BMC Public Health</w:t>
      </w:r>
      <w:r w:rsidRPr="00682C4E">
        <w:rPr>
          <w:rFonts w:ascii="Book Antiqua" w:hAnsi="Book Antiqua"/>
        </w:rPr>
        <w:t xml:space="preserve"> 2018; </w:t>
      </w:r>
      <w:r w:rsidRPr="00682C4E">
        <w:rPr>
          <w:rFonts w:ascii="Book Antiqua" w:hAnsi="Book Antiqua"/>
          <w:b/>
          <w:bCs/>
        </w:rPr>
        <w:t>18</w:t>
      </w:r>
      <w:r w:rsidRPr="00682C4E">
        <w:rPr>
          <w:rFonts w:ascii="Book Antiqua" w:hAnsi="Book Antiqua"/>
        </w:rPr>
        <w:t>: 1057 [PMID: 30139345 DOI: 10.1186/s12889-018-5966-8]</w:t>
      </w:r>
    </w:p>
    <w:p w14:paraId="17A8AA11" w14:textId="77777777" w:rsidR="005B3717" w:rsidRPr="00682C4E" w:rsidRDefault="005B3717" w:rsidP="00FC1600">
      <w:pPr>
        <w:snapToGrid w:val="0"/>
        <w:spacing w:line="360" w:lineRule="auto"/>
        <w:jc w:val="both"/>
        <w:rPr>
          <w:rFonts w:ascii="Book Antiqua" w:hAnsi="Book Antiqua"/>
        </w:rPr>
      </w:pPr>
      <w:r w:rsidRPr="00682C4E">
        <w:rPr>
          <w:rFonts w:ascii="Book Antiqua" w:hAnsi="Book Antiqua"/>
          <w:lang w:eastAsia="zh-CN"/>
        </w:rPr>
        <w:t>42</w:t>
      </w:r>
      <w:r w:rsidRPr="00682C4E">
        <w:rPr>
          <w:rFonts w:ascii="Book Antiqua" w:hAnsi="Book Antiqua"/>
        </w:rPr>
        <w:t xml:space="preserve"> </w:t>
      </w:r>
      <w:r w:rsidRPr="00682C4E">
        <w:rPr>
          <w:rFonts w:ascii="Book Antiqua" w:hAnsi="Book Antiqua"/>
          <w:b/>
          <w:bCs/>
        </w:rPr>
        <w:t>Parida SK</w:t>
      </w:r>
      <w:r w:rsidRPr="00682C4E">
        <w:rPr>
          <w:rFonts w:ascii="Book Antiqua" w:hAnsi="Book Antiqua"/>
        </w:rPr>
        <w:t xml:space="preserve">, Domann E, Rohde M, Müller S, Darji A, Hain T, Wehland J, Chakraborty T. Internalin B is essential for adhesion and mediates the invasion of Listeria monocytogenes into human endothelial cells. </w:t>
      </w:r>
      <w:r w:rsidRPr="00682C4E">
        <w:rPr>
          <w:rFonts w:ascii="Book Antiqua" w:hAnsi="Book Antiqua"/>
          <w:i/>
          <w:iCs/>
        </w:rPr>
        <w:t>Mol Microbiol</w:t>
      </w:r>
      <w:r w:rsidRPr="00682C4E">
        <w:rPr>
          <w:rFonts w:ascii="Book Antiqua" w:hAnsi="Book Antiqua"/>
        </w:rPr>
        <w:t xml:space="preserve"> 1998; </w:t>
      </w:r>
      <w:r w:rsidRPr="00682C4E">
        <w:rPr>
          <w:rFonts w:ascii="Book Antiqua" w:hAnsi="Book Antiqua"/>
          <w:b/>
          <w:bCs/>
        </w:rPr>
        <w:t>28</w:t>
      </w:r>
      <w:r w:rsidRPr="00682C4E">
        <w:rPr>
          <w:rFonts w:ascii="Book Antiqua" w:hAnsi="Book Antiqua"/>
        </w:rPr>
        <w:t>: 81-93 [PMID: 9593298 DOI: 10.1046/j.1365-2958.1998.00776.x]</w:t>
      </w:r>
    </w:p>
    <w:p w14:paraId="3C9102B3" w14:textId="77777777" w:rsidR="005B3717" w:rsidRPr="00682C4E" w:rsidRDefault="005B3717" w:rsidP="00FC1600">
      <w:pPr>
        <w:snapToGrid w:val="0"/>
        <w:spacing w:line="360" w:lineRule="auto"/>
        <w:jc w:val="both"/>
        <w:rPr>
          <w:rFonts w:ascii="Book Antiqua" w:hAnsi="Book Antiqua"/>
        </w:rPr>
      </w:pPr>
      <w:r w:rsidRPr="00682C4E">
        <w:rPr>
          <w:rFonts w:ascii="Book Antiqua" w:hAnsi="Book Antiqua"/>
          <w:lang w:eastAsia="zh-CN"/>
        </w:rPr>
        <w:t>43</w:t>
      </w:r>
      <w:r w:rsidRPr="00682C4E">
        <w:rPr>
          <w:rFonts w:ascii="Book Antiqua" w:hAnsi="Book Antiqua"/>
        </w:rPr>
        <w:t xml:space="preserve"> </w:t>
      </w:r>
      <w:r w:rsidRPr="00682C4E">
        <w:rPr>
          <w:rFonts w:ascii="Book Antiqua" w:hAnsi="Book Antiqua"/>
          <w:b/>
          <w:bCs/>
        </w:rPr>
        <w:t>Johnson J</w:t>
      </w:r>
      <w:r w:rsidRPr="00682C4E">
        <w:rPr>
          <w:rFonts w:ascii="Book Antiqua" w:hAnsi="Book Antiqua"/>
        </w:rPr>
        <w:t xml:space="preserve">, Jinneman K, Stelma G, Smith BG, Lye D, Messer J, Ulaszek J, Evsen L, Gendel S, Bennett RW, Swaminathan B, Pruckler J, Steigerwalt A, Kathariou S, Yildirim S, Volokhov D, Rasooly A, Chizhikov V, Wiedmann M, Fortes E, Duvall RE, Hitchins AD. Natural atypical Listeria innocua strains with Listeria monocytogenes pathogenicity </w:t>
      </w:r>
      <w:r w:rsidRPr="00682C4E">
        <w:rPr>
          <w:rFonts w:ascii="Book Antiqua" w:hAnsi="Book Antiqua"/>
        </w:rPr>
        <w:lastRenderedPageBreak/>
        <w:t xml:space="preserve">island 1 genes. </w:t>
      </w:r>
      <w:r w:rsidRPr="00682C4E">
        <w:rPr>
          <w:rFonts w:ascii="Book Antiqua" w:hAnsi="Book Antiqua"/>
          <w:i/>
          <w:iCs/>
        </w:rPr>
        <w:t>Appl Environ Microbiol</w:t>
      </w:r>
      <w:r w:rsidRPr="00682C4E">
        <w:rPr>
          <w:rFonts w:ascii="Book Antiqua" w:hAnsi="Book Antiqua"/>
        </w:rPr>
        <w:t xml:space="preserve"> 2004; </w:t>
      </w:r>
      <w:r w:rsidRPr="00682C4E">
        <w:rPr>
          <w:rFonts w:ascii="Book Antiqua" w:hAnsi="Book Antiqua"/>
          <w:b/>
          <w:bCs/>
        </w:rPr>
        <w:t>70</w:t>
      </w:r>
      <w:r w:rsidRPr="00682C4E">
        <w:rPr>
          <w:rFonts w:ascii="Book Antiqua" w:hAnsi="Book Antiqua"/>
        </w:rPr>
        <w:t>: 4256-4266 [PMID: 15240309 DOI: 10.1128/AEM.70.7.4256-4266.2004]</w:t>
      </w:r>
    </w:p>
    <w:p w14:paraId="22217388" w14:textId="77777777" w:rsidR="005B3717" w:rsidRPr="00682C4E" w:rsidRDefault="005B3717" w:rsidP="00FC1600">
      <w:pPr>
        <w:snapToGrid w:val="0"/>
        <w:spacing w:line="360" w:lineRule="auto"/>
        <w:jc w:val="both"/>
        <w:rPr>
          <w:rFonts w:ascii="Book Antiqua" w:hAnsi="Book Antiqua"/>
        </w:rPr>
      </w:pPr>
      <w:r w:rsidRPr="00682C4E">
        <w:rPr>
          <w:rFonts w:ascii="Book Antiqua" w:hAnsi="Book Antiqua"/>
          <w:lang w:eastAsia="zh-CN"/>
        </w:rPr>
        <w:t>44</w:t>
      </w:r>
      <w:r w:rsidRPr="00682C4E">
        <w:rPr>
          <w:rFonts w:ascii="Book Antiqua" w:hAnsi="Book Antiqua"/>
        </w:rPr>
        <w:t xml:space="preserve"> </w:t>
      </w:r>
      <w:r w:rsidRPr="00682C4E">
        <w:rPr>
          <w:rFonts w:ascii="Book Antiqua" w:hAnsi="Book Antiqua"/>
          <w:b/>
          <w:bCs/>
        </w:rPr>
        <w:t xml:space="preserve">Khademi F, </w:t>
      </w:r>
      <w:r w:rsidRPr="00682C4E">
        <w:rPr>
          <w:rFonts w:ascii="Book Antiqua" w:hAnsi="Book Antiqua"/>
        </w:rPr>
        <w:t xml:space="preserve">Sahebkar A. A systematic review and meta-analysis on the prevalence of antibiotic-resistant Listeria species in food, animal and human specimens in Iran. </w:t>
      </w:r>
      <w:r w:rsidRPr="00682C4E">
        <w:rPr>
          <w:rFonts w:ascii="Book Antiqua" w:hAnsi="Book Antiqua"/>
          <w:i/>
          <w:iCs/>
        </w:rPr>
        <w:t xml:space="preserve">J Food Sci Technol </w:t>
      </w:r>
      <w:r w:rsidRPr="00682C4E">
        <w:rPr>
          <w:rFonts w:ascii="Book Antiqua" w:hAnsi="Book Antiqua"/>
        </w:rPr>
        <w:t xml:space="preserve">2019; </w:t>
      </w:r>
      <w:r w:rsidRPr="00682C4E">
        <w:rPr>
          <w:rFonts w:ascii="Book Antiqua" w:hAnsi="Book Antiqua"/>
          <w:b/>
          <w:bCs/>
        </w:rPr>
        <w:t>56:</w:t>
      </w:r>
      <w:r w:rsidRPr="00682C4E">
        <w:rPr>
          <w:rFonts w:ascii="Book Antiqua" w:hAnsi="Book Antiqua"/>
        </w:rPr>
        <w:t xml:space="preserve"> 5167-5183 [PMID: 31749464 DOI: 10.1007/s13197-019-04040-w] </w:t>
      </w:r>
    </w:p>
    <w:p w14:paraId="7859EE76" w14:textId="77777777" w:rsidR="005B3717" w:rsidRPr="00682C4E" w:rsidRDefault="005B3717" w:rsidP="00FC1600">
      <w:pPr>
        <w:snapToGrid w:val="0"/>
        <w:spacing w:line="360" w:lineRule="auto"/>
        <w:jc w:val="both"/>
        <w:rPr>
          <w:rFonts w:ascii="Book Antiqua" w:hAnsi="Book Antiqua"/>
        </w:rPr>
      </w:pPr>
      <w:r w:rsidRPr="00682C4E">
        <w:rPr>
          <w:rFonts w:ascii="Book Antiqua" w:hAnsi="Book Antiqua"/>
          <w:lang w:eastAsia="zh-CN"/>
        </w:rPr>
        <w:t>45</w:t>
      </w:r>
      <w:r w:rsidRPr="00682C4E">
        <w:rPr>
          <w:rFonts w:ascii="Book Antiqua" w:hAnsi="Book Antiqua"/>
        </w:rPr>
        <w:t xml:space="preserve"> </w:t>
      </w:r>
      <w:r w:rsidRPr="00682C4E">
        <w:rPr>
          <w:rFonts w:ascii="Book Antiqua" w:hAnsi="Book Antiqua"/>
          <w:b/>
          <w:bCs/>
        </w:rPr>
        <w:t>Lambotte O</w:t>
      </w:r>
      <w:r w:rsidRPr="00682C4E">
        <w:rPr>
          <w:rFonts w:ascii="Book Antiqua" w:hAnsi="Book Antiqua"/>
        </w:rPr>
        <w:t xml:space="preserve">, Fihman V, Poyart C, Buzyn A, Berche P, Soumelis V. Listeria monocytogenes skin infection with cerebritis and haemophagocytosis syndrome in a bone marrow transplant recipient. </w:t>
      </w:r>
      <w:r w:rsidRPr="00682C4E">
        <w:rPr>
          <w:rFonts w:ascii="Book Antiqua" w:hAnsi="Book Antiqua"/>
          <w:i/>
          <w:iCs/>
        </w:rPr>
        <w:t>J Infect</w:t>
      </w:r>
      <w:r w:rsidRPr="00682C4E">
        <w:rPr>
          <w:rFonts w:ascii="Book Antiqua" w:hAnsi="Book Antiqua"/>
        </w:rPr>
        <w:t xml:space="preserve"> 2005; </w:t>
      </w:r>
      <w:r w:rsidRPr="00682C4E">
        <w:rPr>
          <w:rFonts w:ascii="Book Antiqua" w:hAnsi="Book Antiqua"/>
          <w:b/>
          <w:bCs/>
        </w:rPr>
        <w:t>50</w:t>
      </w:r>
      <w:r w:rsidRPr="00682C4E">
        <w:rPr>
          <w:rFonts w:ascii="Book Antiqua" w:hAnsi="Book Antiqua"/>
        </w:rPr>
        <w:t>: 356-358 [PMID: 15845437 DOI: 10.1016/j.jinf.2004.03.016]</w:t>
      </w:r>
    </w:p>
    <w:p w14:paraId="1A982D00" w14:textId="00D3FDAD" w:rsidR="006A4CE9" w:rsidRDefault="005B3717" w:rsidP="00FC1600">
      <w:pPr>
        <w:snapToGrid w:val="0"/>
        <w:spacing w:line="360" w:lineRule="auto"/>
        <w:jc w:val="both"/>
        <w:rPr>
          <w:rFonts w:ascii="Book Antiqua" w:eastAsia="Book Antiqua" w:hAnsi="Book Antiqua" w:cs="Book Antiqua"/>
          <w:b/>
          <w:color w:val="000000"/>
        </w:rPr>
      </w:pPr>
      <w:r w:rsidRPr="00682C4E">
        <w:rPr>
          <w:rFonts w:ascii="Book Antiqua" w:hAnsi="Book Antiqua"/>
          <w:lang w:eastAsia="zh-CN"/>
        </w:rPr>
        <w:t>46</w:t>
      </w:r>
      <w:r w:rsidRPr="00682C4E">
        <w:rPr>
          <w:rFonts w:ascii="Book Antiqua" w:hAnsi="Book Antiqua"/>
        </w:rPr>
        <w:t xml:space="preserve"> </w:t>
      </w:r>
      <w:r w:rsidRPr="00682C4E">
        <w:rPr>
          <w:rFonts w:ascii="Book Antiqua" w:hAnsi="Book Antiqua"/>
          <w:b/>
          <w:bCs/>
        </w:rPr>
        <w:t>Quentin C</w:t>
      </w:r>
      <w:r w:rsidRPr="00682C4E">
        <w:rPr>
          <w:rFonts w:ascii="Book Antiqua" w:hAnsi="Book Antiqua"/>
        </w:rPr>
        <w:t xml:space="preserve">, Thibaut MC, Horovitz J, Bebear C. Multiresistant strain of Listeria monocytogenes in septic abortion. </w:t>
      </w:r>
      <w:r w:rsidRPr="00682C4E">
        <w:rPr>
          <w:rFonts w:ascii="Book Antiqua" w:hAnsi="Book Antiqua"/>
          <w:i/>
          <w:iCs/>
        </w:rPr>
        <w:t>Lancet</w:t>
      </w:r>
      <w:r w:rsidRPr="00682C4E">
        <w:rPr>
          <w:rFonts w:ascii="Book Antiqua" w:hAnsi="Book Antiqua"/>
        </w:rPr>
        <w:t xml:space="preserve"> 1990; </w:t>
      </w:r>
      <w:r w:rsidRPr="00682C4E">
        <w:rPr>
          <w:rFonts w:ascii="Book Antiqua" w:hAnsi="Book Antiqua"/>
          <w:b/>
          <w:bCs/>
        </w:rPr>
        <w:t>336</w:t>
      </w:r>
      <w:r w:rsidRPr="00682C4E">
        <w:rPr>
          <w:rFonts w:ascii="Book Antiqua" w:hAnsi="Book Antiqua"/>
        </w:rPr>
        <w:t>: 375 [PMID: 1975353 DOI: 10.1016/0140-6736(90)91916-x]</w:t>
      </w:r>
      <w:r w:rsidR="006A4CE9">
        <w:rPr>
          <w:rFonts w:ascii="Book Antiqua" w:eastAsia="Book Antiqua" w:hAnsi="Book Antiqua" w:cs="Book Antiqua"/>
          <w:b/>
          <w:color w:val="000000"/>
        </w:rPr>
        <w:br w:type="page"/>
      </w:r>
    </w:p>
    <w:p w14:paraId="68F0890A" w14:textId="4D24DF52"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lastRenderedPageBreak/>
        <w:t>Footnotes</w:t>
      </w:r>
    </w:p>
    <w:p w14:paraId="6EC637A5" w14:textId="20E7F223"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Conflict-of-interest statement: </w:t>
      </w:r>
      <w:r w:rsidRPr="00682C4E">
        <w:rPr>
          <w:rFonts w:ascii="Book Antiqua" w:eastAsia="Book Antiqua" w:hAnsi="Book Antiqua" w:cs="Book Antiqua"/>
          <w:color w:val="000000"/>
        </w:rPr>
        <w:t>There is no conflict of interest among the authors.</w:t>
      </w:r>
    </w:p>
    <w:p w14:paraId="4551AE2D" w14:textId="77777777" w:rsidR="00510012" w:rsidRPr="00682C4E" w:rsidRDefault="00510012" w:rsidP="00FC1600">
      <w:pPr>
        <w:snapToGrid w:val="0"/>
        <w:spacing w:line="360" w:lineRule="auto"/>
        <w:jc w:val="both"/>
        <w:rPr>
          <w:rFonts w:ascii="Book Antiqua" w:hAnsi="Book Antiqua"/>
        </w:rPr>
      </w:pPr>
    </w:p>
    <w:p w14:paraId="6993CA4A"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PRISMA 2009 Checklist statement: </w:t>
      </w:r>
      <w:r w:rsidRPr="00682C4E">
        <w:rPr>
          <w:rFonts w:ascii="Book Antiqua" w:eastAsia="Book Antiqua" w:hAnsi="Book Antiqua" w:cs="Book Antiqua"/>
          <w:color w:val="000000"/>
        </w:rPr>
        <w:t>The authors have read the PRISMA 2009 Checklist, and the manuscript was prepared and revised according to the PRISMA 2009 Checklist.</w:t>
      </w:r>
    </w:p>
    <w:p w14:paraId="65C45FD5" w14:textId="77777777" w:rsidR="00510012" w:rsidRPr="00682C4E" w:rsidRDefault="00510012" w:rsidP="00FC1600">
      <w:pPr>
        <w:snapToGrid w:val="0"/>
        <w:spacing w:line="360" w:lineRule="auto"/>
        <w:jc w:val="both"/>
        <w:rPr>
          <w:rFonts w:ascii="Book Antiqua" w:hAnsi="Book Antiqua"/>
        </w:rPr>
      </w:pPr>
    </w:p>
    <w:p w14:paraId="399D5E3F"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bCs/>
          <w:color w:val="000000"/>
        </w:rPr>
        <w:t xml:space="preserve">Open-Access: </w:t>
      </w:r>
      <w:r w:rsidRPr="00682C4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3577FE" w14:textId="77777777" w:rsidR="00510012" w:rsidRPr="00682C4E" w:rsidRDefault="00510012" w:rsidP="00FC1600">
      <w:pPr>
        <w:snapToGrid w:val="0"/>
        <w:spacing w:line="360" w:lineRule="auto"/>
        <w:jc w:val="both"/>
        <w:rPr>
          <w:rFonts w:ascii="Book Antiqua" w:hAnsi="Book Antiqua"/>
        </w:rPr>
      </w:pPr>
    </w:p>
    <w:p w14:paraId="4F4934B2"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Manuscript source: </w:t>
      </w:r>
      <w:r w:rsidRPr="00682C4E">
        <w:rPr>
          <w:rFonts w:ascii="Book Antiqua" w:eastAsia="Book Antiqua" w:hAnsi="Book Antiqua" w:cs="Book Antiqua"/>
          <w:color w:val="000000"/>
        </w:rPr>
        <w:t>Unsolicited manuscript</w:t>
      </w:r>
    </w:p>
    <w:p w14:paraId="4677804F" w14:textId="77777777" w:rsidR="00510012" w:rsidRPr="00682C4E" w:rsidRDefault="00510012" w:rsidP="00FC1600">
      <w:pPr>
        <w:snapToGrid w:val="0"/>
        <w:spacing w:line="360" w:lineRule="auto"/>
        <w:jc w:val="both"/>
        <w:rPr>
          <w:rFonts w:ascii="Book Antiqua" w:hAnsi="Book Antiqua"/>
        </w:rPr>
      </w:pPr>
    </w:p>
    <w:p w14:paraId="718222E6"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Peer-review started: </w:t>
      </w:r>
      <w:r w:rsidRPr="00682C4E">
        <w:rPr>
          <w:rFonts w:ascii="Book Antiqua" w:eastAsia="Book Antiqua" w:hAnsi="Book Antiqua" w:cs="Book Antiqua"/>
          <w:color w:val="000000"/>
        </w:rPr>
        <w:t>April 23, 2021</w:t>
      </w:r>
    </w:p>
    <w:p w14:paraId="2881C758"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First decision: </w:t>
      </w:r>
      <w:r w:rsidRPr="00682C4E">
        <w:rPr>
          <w:rFonts w:ascii="Book Antiqua" w:eastAsia="Book Antiqua" w:hAnsi="Book Antiqua" w:cs="Book Antiqua"/>
          <w:color w:val="000000"/>
        </w:rPr>
        <w:t>June 7, 2021</w:t>
      </w:r>
    </w:p>
    <w:p w14:paraId="15C94321"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Article in press: </w:t>
      </w:r>
    </w:p>
    <w:p w14:paraId="6520F964" w14:textId="77777777" w:rsidR="00510012" w:rsidRPr="00682C4E" w:rsidRDefault="00510012" w:rsidP="00FC1600">
      <w:pPr>
        <w:snapToGrid w:val="0"/>
        <w:spacing w:line="360" w:lineRule="auto"/>
        <w:jc w:val="both"/>
        <w:rPr>
          <w:rFonts w:ascii="Book Antiqua" w:hAnsi="Book Antiqua"/>
        </w:rPr>
      </w:pPr>
    </w:p>
    <w:p w14:paraId="3D0C5835"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Specialty type: </w:t>
      </w:r>
      <w:r w:rsidRPr="00682C4E">
        <w:rPr>
          <w:rFonts w:ascii="Book Antiqua" w:eastAsia="Microsoft YaHei" w:hAnsi="Book Antiqua" w:cs="SimSun"/>
        </w:rPr>
        <w:t>Medicine, research and experimental</w:t>
      </w:r>
    </w:p>
    <w:p w14:paraId="1DA0ABCB"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 xml:space="preserve">Country/Territory of origin: </w:t>
      </w:r>
      <w:r w:rsidRPr="00682C4E">
        <w:rPr>
          <w:rFonts w:ascii="Book Antiqua" w:eastAsia="Book Antiqua" w:hAnsi="Book Antiqua" w:cs="Book Antiqua"/>
          <w:color w:val="000000"/>
        </w:rPr>
        <w:t>Iran</w:t>
      </w:r>
    </w:p>
    <w:p w14:paraId="37EB499D"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t>Peer-review report’s scientific quality classification</w:t>
      </w:r>
    </w:p>
    <w:p w14:paraId="5873CEB8"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Grade A (Excellent): 0</w:t>
      </w:r>
    </w:p>
    <w:p w14:paraId="6DCE5C02"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Grade B (Very good): 0</w:t>
      </w:r>
    </w:p>
    <w:p w14:paraId="20AC9989"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Grade C (Good): C</w:t>
      </w:r>
    </w:p>
    <w:p w14:paraId="188AEA53"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Grade D (Fair): 0</w:t>
      </w:r>
    </w:p>
    <w:p w14:paraId="244C258E" w14:textId="77777777"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color w:val="000000"/>
        </w:rPr>
        <w:t>Grade E (Poor): 0</w:t>
      </w:r>
    </w:p>
    <w:p w14:paraId="1849834B" w14:textId="77777777" w:rsidR="00510012" w:rsidRPr="00682C4E" w:rsidRDefault="00510012" w:rsidP="00FC1600">
      <w:pPr>
        <w:snapToGrid w:val="0"/>
        <w:spacing w:line="360" w:lineRule="auto"/>
        <w:jc w:val="both"/>
        <w:rPr>
          <w:rFonts w:ascii="Book Antiqua" w:hAnsi="Book Antiqua"/>
        </w:rPr>
      </w:pPr>
    </w:p>
    <w:p w14:paraId="573E8B64" w14:textId="7D40E002" w:rsidR="00510012" w:rsidRPr="00682C4E" w:rsidRDefault="001B61A7" w:rsidP="00FC1600">
      <w:pPr>
        <w:snapToGrid w:val="0"/>
        <w:spacing w:line="360" w:lineRule="auto"/>
        <w:jc w:val="both"/>
        <w:rPr>
          <w:rFonts w:ascii="Book Antiqua" w:eastAsia="Book Antiqua" w:hAnsi="Book Antiqua" w:cs="Book Antiqua"/>
          <w:b/>
          <w:color w:val="000000"/>
        </w:rPr>
      </w:pPr>
      <w:r w:rsidRPr="00682C4E">
        <w:rPr>
          <w:rFonts w:ascii="Book Antiqua" w:eastAsia="Book Antiqua" w:hAnsi="Book Antiqua" w:cs="Book Antiqua"/>
          <w:b/>
          <w:color w:val="000000"/>
        </w:rPr>
        <w:t xml:space="preserve">P-Reviewer: </w:t>
      </w:r>
      <w:r w:rsidRPr="00682C4E">
        <w:rPr>
          <w:rFonts w:ascii="Book Antiqua" w:eastAsia="Book Antiqua" w:hAnsi="Book Antiqua" w:cs="Book Antiqua"/>
          <w:color w:val="000000"/>
        </w:rPr>
        <w:t>Zhang LL</w:t>
      </w:r>
      <w:r w:rsidRPr="00682C4E">
        <w:rPr>
          <w:rFonts w:ascii="Book Antiqua" w:eastAsia="Book Antiqua" w:hAnsi="Book Antiqua" w:cs="Book Antiqua"/>
          <w:b/>
          <w:color w:val="000000"/>
        </w:rPr>
        <w:t xml:space="preserve"> S-Editor: </w:t>
      </w:r>
      <w:r w:rsidRPr="00682C4E">
        <w:rPr>
          <w:rFonts w:ascii="Book Antiqua" w:eastAsia="Book Antiqua" w:hAnsi="Book Antiqua" w:cs="Book Antiqua"/>
          <w:color w:val="000000"/>
        </w:rPr>
        <w:t>Fan JR</w:t>
      </w:r>
      <w:r w:rsidRPr="00682C4E">
        <w:rPr>
          <w:rFonts w:ascii="Book Antiqua" w:eastAsia="Book Antiqua" w:hAnsi="Book Antiqua" w:cs="Book Antiqua"/>
          <w:b/>
          <w:color w:val="000000"/>
        </w:rPr>
        <w:t xml:space="preserve"> L-Editor: </w:t>
      </w:r>
      <w:r w:rsidR="00C15454" w:rsidRPr="00682C4E">
        <w:rPr>
          <w:rFonts w:ascii="Book Antiqua" w:eastAsia="Book Antiqua" w:hAnsi="Book Antiqua" w:cs="Book Antiqua"/>
          <w:bCs/>
          <w:color w:val="000000"/>
        </w:rPr>
        <w:t>Filipodia</w:t>
      </w:r>
      <w:r w:rsidRPr="00682C4E">
        <w:rPr>
          <w:rFonts w:ascii="Book Antiqua" w:eastAsia="Book Antiqua" w:hAnsi="Book Antiqua" w:cs="Book Antiqua"/>
          <w:b/>
          <w:color w:val="000000"/>
        </w:rPr>
        <w:t xml:space="preserve"> P-Editor: </w:t>
      </w:r>
    </w:p>
    <w:p w14:paraId="3C398B0C" w14:textId="77777777" w:rsidR="00682C4E" w:rsidRDefault="00682C4E" w:rsidP="00FC1600">
      <w:pPr>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0F84C427" w14:textId="09D7F0B2" w:rsidR="00510012" w:rsidRPr="00682C4E" w:rsidRDefault="001B61A7" w:rsidP="00FC1600">
      <w:pPr>
        <w:snapToGrid w:val="0"/>
        <w:spacing w:line="360" w:lineRule="auto"/>
        <w:jc w:val="both"/>
        <w:rPr>
          <w:rFonts w:ascii="Book Antiqua" w:hAnsi="Book Antiqua"/>
        </w:rPr>
      </w:pPr>
      <w:r w:rsidRPr="00682C4E">
        <w:rPr>
          <w:rFonts w:ascii="Book Antiqua" w:eastAsia="Book Antiqua" w:hAnsi="Book Antiqua" w:cs="Book Antiqua"/>
          <w:b/>
          <w:color w:val="000000"/>
        </w:rPr>
        <w:lastRenderedPageBreak/>
        <w:t>Figure Legends</w:t>
      </w:r>
    </w:p>
    <w:p w14:paraId="7365C4E3" w14:textId="77777777" w:rsidR="00510012" w:rsidRPr="00682C4E" w:rsidRDefault="001B61A7" w:rsidP="00FC1600">
      <w:pPr>
        <w:snapToGrid w:val="0"/>
        <w:spacing w:line="360" w:lineRule="auto"/>
        <w:jc w:val="both"/>
        <w:rPr>
          <w:rFonts w:ascii="Book Antiqua" w:eastAsia="Book Antiqua" w:hAnsi="Book Antiqua" w:cs="Book Antiqua"/>
          <w:color w:val="000000"/>
        </w:rPr>
      </w:pPr>
      <w:r w:rsidRPr="00682C4E">
        <w:rPr>
          <w:rFonts w:ascii="Book Antiqua" w:hAnsi="Book Antiqua"/>
          <w:noProof/>
        </w:rPr>
        <w:drawing>
          <wp:inline distT="0" distB="0" distL="0" distR="0" wp14:anchorId="0D5B3ED0" wp14:editId="75F2CEB2">
            <wp:extent cx="5943600" cy="3343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23F2590" w14:textId="45E7B4D8" w:rsidR="00510012" w:rsidRPr="00682C4E" w:rsidRDefault="001B61A7" w:rsidP="00FC1600">
      <w:pPr>
        <w:snapToGrid w:val="0"/>
        <w:spacing w:line="360" w:lineRule="auto"/>
        <w:jc w:val="both"/>
        <w:rPr>
          <w:rFonts w:ascii="Book Antiqua" w:eastAsia="Book Antiqua" w:hAnsi="Book Antiqua" w:cs="Book Antiqua"/>
          <w:b/>
          <w:bCs/>
          <w:color w:val="000000"/>
        </w:rPr>
      </w:pPr>
      <w:commentRangeStart w:id="0"/>
      <w:commentRangeStart w:id="1"/>
      <w:r w:rsidRPr="00682C4E">
        <w:rPr>
          <w:rFonts w:ascii="Book Antiqua" w:eastAsia="Book Antiqua" w:hAnsi="Book Antiqua" w:cs="Book Antiqua"/>
          <w:b/>
          <w:bCs/>
          <w:color w:val="000000"/>
        </w:rPr>
        <w:t>Figure 1</w:t>
      </w:r>
      <w:commentRangeEnd w:id="0"/>
      <w:r w:rsidR="00682C4E">
        <w:rPr>
          <w:rStyle w:val="CommentReference"/>
        </w:rPr>
        <w:commentReference w:id="0"/>
      </w:r>
      <w:commentRangeEnd w:id="1"/>
      <w:r w:rsidR="00BB7A1B">
        <w:rPr>
          <w:rStyle w:val="CommentReference"/>
        </w:rPr>
        <w:commentReference w:id="1"/>
      </w:r>
      <w:r w:rsidRPr="00682C4E">
        <w:rPr>
          <w:rFonts w:ascii="Book Antiqua" w:eastAsia="Book Antiqua" w:hAnsi="Book Antiqua" w:cs="Book Antiqua"/>
          <w:b/>
          <w:bCs/>
          <w:color w:val="000000"/>
        </w:rPr>
        <w:t xml:space="preserve"> </w:t>
      </w:r>
      <w:r w:rsidR="00B444FE">
        <w:rPr>
          <w:rFonts w:ascii="Book Antiqua" w:eastAsia="Book Antiqua" w:hAnsi="Book Antiqua" w:cs="Book Antiqua"/>
          <w:b/>
          <w:bCs/>
          <w:color w:val="000000"/>
        </w:rPr>
        <w:t>F</w:t>
      </w:r>
      <w:r w:rsidRPr="00682C4E">
        <w:rPr>
          <w:rFonts w:ascii="Book Antiqua" w:eastAsia="Book Antiqua" w:hAnsi="Book Antiqua" w:cs="Book Antiqua"/>
          <w:b/>
          <w:bCs/>
          <w:color w:val="000000"/>
        </w:rPr>
        <w:t>lowchart of search strategy and study selection.</w:t>
      </w:r>
    </w:p>
    <w:p w14:paraId="6B90CAC5" w14:textId="77777777" w:rsidR="00510012" w:rsidRPr="00682C4E" w:rsidRDefault="001B61A7" w:rsidP="00FC1600">
      <w:pPr>
        <w:snapToGrid w:val="0"/>
        <w:spacing w:line="360" w:lineRule="auto"/>
        <w:jc w:val="both"/>
        <w:rPr>
          <w:rFonts w:ascii="Book Antiqua" w:hAnsi="Book Antiqua"/>
        </w:rPr>
      </w:pPr>
      <w:r w:rsidRPr="00682C4E">
        <w:rPr>
          <w:rFonts w:ascii="Book Antiqua" w:hAnsi="Book Antiqua"/>
        </w:rPr>
        <w:br w:type="page"/>
      </w:r>
      <w:r w:rsidRPr="00682C4E">
        <w:rPr>
          <w:rFonts w:ascii="Book Antiqua" w:hAnsi="Book Antiqua"/>
          <w:noProof/>
        </w:rPr>
        <w:lastRenderedPageBreak/>
        <w:drawing>
          <wp:inline distT="0" distB="0" distL="0" distR="0" wp14:anchorId="16EF946A" wp14:editId="001D5B0A">
            <wp:extent cx="5943600" cy="4305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943600" cy="4305300"/>
                    </a:xfrm>
                    <a:prstGeom prst="rect">
                      <a:avLst/>
                    </a:prstGeom>
                  </pic:spPr>
                </pic:pic>
              </a:graphicData>
            </a:graphic>
          </wp:inline>
        </w:drawing>
      </w:r>
    </w:p>
    <w:p w14:paraId="2CBFD005" w14:textId="77777777" w:rsidR="00510012" w:rsidRPr="00682C4E" w:rsidRDefault="001B61A7" w:rsidP="00FC1600">
      <w:pPr>
        <w:snapToGrid w:val="0"/>
        <w:spacing w:line="360" w:lineRule="auto"/>
        <w:jc w:val="both"/>
        <w:rPr>
          <w:rFonts w:ascii="Book Antiqua" w:eastAsia="Book Antiqua" w:hAnsi="Book Antiqua" w:cs="Book Antiqua"/>
          <w:b/>
          <w:bCs/>
          <w:color w:val="000000"/>
        </w:rPr>
      </w:pPr>
      <w:r w:rsidRPr="00682C4E">
        <w:rPr>
          <w:rFonts w:ascii="Book Antiqua" w:eastAsia="Book Antiqua" w:hAnsi="Book Antiqua" w:cs="Book Antiqua"/>
          <w:b/>
          <w:bCs/>
          <w:color w:val="000000"/>
        </w:rPr>
        <w:t xml:space="preserve">Figure 2 Forest plot for frequency of infection with </w:t>
      </w:r>
      <w:r w:rsidRPr="00682C4E">
        <w:rPr>
          <w:rFonts w:ascii="Book Antiqua" w:eastAsia="Book Antiqua" w:hAnsi="Book Antiqua" w:cs="Book Antiqua"/>
          <w:b/>
          <w:bCs/>
          <w:i/>
          <w:iCs/>
          <w:color w:val="000000"/>
        </w:rPr>
        <w:t>Listeria</w:t>
      </w:r>
      <w:r w:rsidRPr="00682C4E">
        <w:rPr>
          <w:rFonts w:ascii="Book Antiqua" w:eastAsia="Book Antiqua" w:hAnsi="Book Antiqua" w:cs="Book Antiqua"/>
          <w:b/>
          <w:bCs/>
          <w:color w:val="000000"/>
        </w:rPr>
        <w:t xml:space="preserve"> </w:t>
      </w:r>
      <w:r w:rsidRPr="00682C4E">
        <w:rPr>
          <w:rFonts w:ascii="Book Antiqua" w:eastAsia="Book Antiqua" w:hAnsi="Book Antiqua" w:cs="Book Antiqua"/>
          <w:b/>
          <w:bCs/>
          <w:i/>
          <w:iCs/>
          <w:color w:val="000000"/>
        </w:rPr>
        <w:t>monocytogenes</w:t>
      </w:r>
      <w:r w:rsidRPr="00682C4E">
        <w:rPr>
          <w:rFonts w:ascii="Book Antiqua" w:eastAsia="Book Antiqua" w:hAnsi="Book Antiqua" w:cs="Book Antiqua"/>
          <w:b/>
          <w:bCs/>
          <w:color w:val="000000"/>
        </w:rPr>
        <w:t xml:space="preserve"> among spontaneous abortion cases.</w:t>
      </w:r>
    </w:p>
    <w:p w14:paraId="559C0B62" w14:textId="77777777" w:rsidR="00510012" w:rsidRPr="00682C4E" w:rsidRDefault="001B61A7" w:rsidP="00FC1600">
      <w:pPr>
        <w:snapToGrid w:val="0"/>
        <w:spacing w:line="360" w:lineRule="auto"/>
        <w:jc w:val="both"/>
        <w:rPr>
          <w:rFonts w:ascii="Book Antiqua" w:hAnsi="Book Antiqua"/>
          <w:b/>
          <w:bCs/>
        </w:rPr>
      </w:pPr>
      <w:r w:rsidRPr="00682C4E">
        <w:rPr>
          <w:rFonts w:ascii="Book Antiqua" w:eastAsia="Book Antiqua" w:hAnsi="Book Antiqua" w:cs="Book Antiqua"/>
          <w:b/>
          <w:bCs/>
          <w:color w:val="000000"/>
        </w:rPr>
        <w:br w:type="page"/>
      </w:r>
      <w:r w:rsidRPr="00682C4E">
        <w:rPr>
          <w:rFonts w:ascii="Book Antiqua" w:hAnsi="Book Antiqua"/>
          <w:noProof/>
        </w:rPr>
        <w:lastRenderedPageBreak/>
        <w:drawing>
          <wp:inline distT="0" distB="0" distL="0" distR="0" wp14:anchorId="013A33EA" wp14:editId="30E6465B">
            <wp:extent cx="5943600" cy="27654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943600" cy="2765425"/>
                    </a:xfrm>
                    <a:prstGeom prst="rect">
                      <a:avLst/>
                    </a:prstGeom>
                  </pic:spPr>
                </pic:pic>
              </a:graphicData>
            </a:graphic>
          </wp:inline>
        </w:drawing>
      </w:r>
    </w:p>
    <w:p w14:paraId="5E6D97F3" w14:textId="77777777" w:rsidR="00510012" w:rsidRPr="00682C4E" w:rsidRDefault="001B61A7" w:rsidP="00FC1600">
      <w:pPr>
        <w:snapToGrid w:val="0"/>
        <w:spacing w:line="360" w:lineRule="auto"/>
        <w:jc w:val="both"/>
        <w:rPr>
          <w:rFonts w:ascii="Book Antiqua" w:eastAsia="Book Antiqua" w:hAnsi="Book Antiqua" w:cs="Book Antiqua"/>
          <w:b/>
          <w:bCs/>
          <w:color w:val="000000"/>
        </w:rPr>
      </w:pPr>
      <w:r w:rsidRPr="00682C4E">
        <w:rPr>
          <w:rFonts w:ascii="Book Antiqua" w:eastAsia="Book Antiqua" w:hAnsi="Book Antiqua" w:cs="Book Antiqua"/>
          <w:b/>
          <w:bCs/>
          <w:color w:val="000000"/>
        </w:rPr>
        <w:t xml:space="preserve">Figure 3 Forest plot for relationship between </w:t>
      </w:r>
      <w:r w:rsidRPr="00682C4E">
        <w:rPr>
          <w:rFonts w:ascii="Book Antiqua" w:eastAsia="Book Antiqua" w:hAnsi="Book Antiqua" w:cs="Book Antiqua"/>
          <w:b/>
          <w:bCs/>
          <w:i/>
          <w:iCs/>
          <w:color w:val="000000"/>
        </w:rPr>
        <w:t>Listeria</w:t>
      </w:r>
      <w:r w:rsidRPr="00682C4E">
        <w:rPr>
          <w:rFonts w:ascii="Book Antiqua" w:eastAsia="Book Antiqua" w:hAnsi="Book Antiqua" w:cs="Book Antiqua"/>
          <w:b/>
          <w:bCs/>
          <w:color w:val="000000"/>
        </w:rPr>
        <w:t xml:space="preserve"> </w:t>
      </w:r>
      <w:r w:rsidRPr="00682C4E">
        <w:rPr>
          <w:rFonts w:ascii="Book Antiqua" w:eastAsia="Book Antiqua" w:hAnsi="Book Antiqua" w:cs="Book Antiqua"/>
          <w:b/>
          <w:bCs/>
          <w:i/>
          <w:iCs/>
          <w:color w:val="000000"/>
        </w:rPr>
        <w:t>monocytogenes</w:t>
      </w:r>
      <w:r w:rsidRPr="00682C4E">
        <w:rPr>
          <w:rFonts w:ascii="Book Antiqua" w:eastAsia="Book Antiqua" w:hAnsi="Book Antiqua" w:cs="Book Antiqua"/>
          <w:b/>
          <w:bCs/>
          <w:color w:val="000000"/>
        </w:rPr>
        <w:t xml:space="preserve"> infection and susceptibility to spontaneous abortion.</w:t>
      </w:r>
    </w:p>
    <w:p w14:paraId="2D6B2DF4" w14:textId="77777777" w:rsidR="00510012" w:rsidRPr="00682C4E" w:rsidRDefault="00510012" w:rsidP="00FC1600">
      <w:pPr>
        <w:snapToGrid w:val="0"/>
        <w:spacing w:line="360" w:lineRule="auto"/>
        <w:jc w:val="both"/>
        <w:rPr>
          <w:rFonts w:ascii="Book Antiqua" w:eastAsia="Book Antiqua" w:hAnsi="Book Antiqua" w:cs="Book Antiqua"/>
          <w:b/>
          <w:color w:val="000000"/>
        </w:rPr>
      </w:pPr>
    </w:p>
    <w:p w14:paraId="03CEB9F8" w14:textId="77777777" w:rsidR="00510012" w:rsidRPr="00682C4E" w:rsidRDefault="00510012" w:rsidP="00FC1600">
      <w:pPr>
        <w:snapToGrid w:val="0"/>
        <w:spacing w:line="360" w:lineRule="auto"/>
        <w:jc w:val="both"/>
        <w:rPr>
          <w:rFonts w:ascii="Book Antiqua" w:hAnsi="Book Antiqua"/>
        </w:rPr>
        <w:sectPr w:rsidR="00510012" w:rsidRPr="00682C4E" w:rsidSect="00682C4E">
          <w:footerReference w:type="default" r:id="rId14"/>
          <w:type w:val="continuous"/>
          <w:pgSz w:w="12240" w:h="15840"/>
          <w:pgMar w:top="1440" w:right="1440" w:bottom="1440" w:left="1440" w:header="720" w:footer="720" w:gutter="0"/>
          <w:cols w:space="720"/>
          <w:docGrid w:linePitch="360"/>
        </w:sectPr>
      </w:pPr>
    </w:p>
    <w:p w14:paraId="2CC107C8" w14:textId="77777777" w:rsidR="00510012" w:rsidRPr="00682C4E" w:rsidRDefault="001B61A7" w:rsidP="00FC1600">
      <w:pPr>
        <w:snapToGrid w:val="0"/>
        <w:spacing w:line="360" w:lineRule="auto"/>
        <w:jc w:val="both"/>
        <w:rPr>
          <w:rFonts w:ascii="Book Antiqua" w:hAnsi="Book Antiqua"/>
          <w:b/>
          <w:bCs/>
        </w:rPr>
      </w:pPr>
      <w:r w:rsidRPr="00682C4E">
        <w:rPr>
          <w:rFonts w:ascii="Book Antiqua" w:eastAsia="Calibri" w:hAnsi="Book Antiqua"/>
          <w:b/>
          <w:bCs/>
          <w:color w:val="000000"/>
        </w:rPr>
        <w:lastRenderedPageBreak/>
        <w:t>Table 1 Characteristics of included studies</w:t>
      </w:r>
    </w:p>
    <w:tbl>
      <w:tblPr>
        <w:tblStyle w:val="GridTable6Colorful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64"/>
        <w:gridCol w:w="2161"/>
        <w:gridCol w:w="964"/>
        <w:gridCol w:w="1058"/>
        <w:gridCol w:w="1428"/>
        <w:gridCol w:w="1058"/>
        <w:gridCol w:w="1159"/>
        <w:gridCol w:w="1514"/>
        <w:gridCol w:w="1654"/>
      </w:tblGrid>
      <w:tr w:rsidR="00510012" w:rsidRPr="00682C4E" w14:paraId="69A35F5B" w14:textId="77777777" w:rsidTr="00682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8" w:type="pct"/>
            <w:vMerge w:val="restart"/>
            <w:tcBorders>
              <w:top w:val="single" w:sz="4" w:space="0" w:color="auto"/>
              <w:bottom w:val="single" w:sz="4" w:space="0" w:color="auto"/>
            </w:tcBorders>
            <w:shd w:val="clear" w:color="auto" w:fill="auto"/>
          </w:tcPr>
          <w:p w14:paraId="04544F56" w14:textId="77777777" w:rsidR="00510012" w:rsidRPr="00682C4E" w:rsidRDefault="001B61A7" w:rsidP="00FC1600">
            <w:pPr>
              <w:snapToGrid w:val="0"/>
              <w:spacing w:line="360" w:lineRule="auto"/>
              <w:jc w:val="both"/>
              <w:rPr>
                <w:rFonts w:ascii="Book Antiqua" w:eastAsia="Calibri" w:hAnsi="Book Antiqua"/>
                <w:b w:val="0"/>
                <w:bCs w:val="0"/>
                <w:lang w:eastAsia="zh-CN"/>
              </w:rPr>
            </w:pPr>
            <w:r w:rsidRPr="00682C4E">
              <w:rPr>
                <w:rFonts w:ascii="Book Antiqua" w:eastAsia="Calibri" w:hAnsi="Book Antiqua"/>
                <w:lang w:eastAsia="zh-CN"/>
              </w:rPr>
              <w:t>Ref.</w:t>
            </w:r>
          </w:p>
        </w:tc>
        <w:tc>
          <w:tcPr>
            <w:tcW w:w="834" w:type="pct"/>
            <w:vMerge w:val="restart"/>
            <w:tcBorders>
              <w:top w:val="single" w:sz="4" w:space="0" w:color="auto"/>
              <w:bottom w:val="single" w:sz="4" w:space="0" w:color="auto"/>
            </w:tcBorders>
            <w:shd w:val="clear" w:color="auto" w:fill="auto"/>
          </w:tcPr>
          <w:p w14:paraId="31745B41" w14:textId="77777777" w:rsidR="00510012" w:rsidRPr="00682C4E" w:rsidRDefault="001B61A7" w:rsidP="00FC1600">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bCs w:val="0"/>
                <w:lang w:eastAsia="zh-CN"/>
              </w:rPr>
            </w:pPr>
            <w:r w:rsidRPr="00682C4E">
              <w:rPr>
                <w:rFonts w:ascii="Book Antiqua" w:eastAsia="Calibri" w:hAnsi="Book Antiqua"/>
                <w:lang w:eastAsia="zh-CN"/>
              </w:rPr>
              <w:t>City</w:t>
            </w:r>
          </w:p>
        </w:tc>
        <w:tc>
          <w:tcPr>
            <w:tcW w:w="779" w:type="pct"/>
            <w:gridSpan w:val="2"/>
            <w:tcBorders>
              <w:top w:val="single" w:sz="4" w:space="0" w:color="auto"/>
              <w:bottom w:val="single" w:sz="4" w:space="0" w:color="auto"/>
            </w:tcBorders>
            <w:shd w:val="clear" w:color="auto" w:fill="auto"/>
          </w:tcPr>
          <w:p w14:paraId="57DD8B41" w14:textId="77777777" w:rsidR="00510012" w:rsidRPr="00682C4E" w:rsidRDefault="001B61A7" w:rsidP="00FC1600">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bCs w:val="0"/>
                <w:lang w:eastAsia="zh-CN"/>
              </w:rPr>
            </w:pPr>
            <w:r w:rsidRPr="00682C4E">
              <w:rPr>
                <w:rFonts w:ascii="Book Antiqua" w:eastAsia="Calibri" w:hAnsi="Book Antiqua"/>
                <w:lang w:eastAsia="zh-CN"/>
              </w:rPr>
              <w:t>Number of patients</w:t>
            </w:r>
          </w:p>
        </w:tc>
        <w:tc>
          <w:tcPr>
            <w:tcW w:w="958" w:type="pct"/>
            <w:gridSpan w:val="2"/>
            <w:tcBorders>
              <w:top w:val="single" w:sz="4" w:space="0" w:color="auto"/>
              <w:bottom w:val="single" w:sz="4" w:space="0" w:color="auto"/>
            </w:tcBorders>
            <w:shd w:val="clear" w:color="auto" w:fill="auto"/>
          </w:tcPr>
          <w:p w14:paraId="693410C1" w14:textId="6511AAC4" w:rsidR="00510012" w:rsidRPr="00682C4E" w:rsidRDefault="001B61A7" w:rsidP="00FC1600">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bCs w:val="0"/>
                <w:lang w:eastAsia="zh-CN"/>
              </w:rPr>
            </w:pPr>
            <w:r w:rsidRPr="00682C4E">
              <w:rPr>
                <w:rFonts w:ascii="Book Antiqua" w:eastAsia="Calibri" w:hAnsi="Book Antiqua"/>
                <w:lang w:eastAsia="zh-CN"/>
              </w:rPr>
              <w:t xml:space="preserve">Number of positive culture for </w:t>
            </w:r>
            <w:r w:rsidRPr="00682C4E">
              <w:rPr>
                <w:rFonts w:ascii="Book Antiqua" w:eastAsia="Calibri" w:hAnsi="Book Antiqua"/>
                <w:i/>
                <w:iCs/>
                <w:lang w:eastAsia="zh-CN"/>
              </w:rPr>
              <w:t>L. monocytogenes</w:t>
            </w:r>
          </w:p>
        </w:tc>
        <w:tc>
          <w:tcPr>
            <w:tcW w:w="447" w:type="pct"/>
            <w:vMerge w:val="restart"/>
            <w:tcBorders>
              <w:top w:val="single" w:sz="4" w:space="0" w:color="auto"/>
              <w:bottom w:val="single" w:sz="4" w:space="0" w:color="auto"/>
            </w:tcBorders>
            <w:shd w:val="clear" w:color="auto" w:fill="auto"/>
          </w:tcPr>
          <w:p w14:paraId="0D73BBA5" w14:textId="77777777" w:rsidR="00510012" w:rsidRPr="00682C4E" w:rsidRDefault="001B61A7" w:rsidP="00FC1600">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bCs w:val="0"/>
                <w:lang w:eastAsia="zh-CN"/>
              </w:rPr>
            </w:pPr>
            <w:r w:rsidRPr="00682C4E">
              <w:rPr>
                <w:rFonts w:ascii="Book Antiqua" w:eastAsia="Calibri" w:hAnsi="Book Antiqua"/>
                <w:lang w:eastAsia="zh-CN"/>
              </w:rPr>
              <w:t xml:space="preserve">Number of </w:t>
            </w:r>
            <w:r w:rsidRPr="00FC1600">
              <w:rPr>
                <w:rFonts w:ascii="Book Antiqua" w:eastAsia="Calibri" w:hAnsi="Book Antiqua"/>
                <w:i/>
                <w:iCs/>
                <w:lang w:eastAsia="zh-CN"/>
              </w:rPr>
              <w:t>hylA</w:t>
            </w:r>
            <w:r w:rsidRPr="00682C4E">
              <w:rPr>
                <w:rFonts w:ascii="Book Antiqua" w:eastAsia="Calibri" w:hAnsi="Book Antiqua"/>
                <w:lang w:eastAsia="zh-CN"/>
              </w:rPr>
              <w:t xml:space="preserve"> positive strains</w:t>
            </w:r>
          </w:p>
        </w:tc>
        <w:tc>
          <w:tcPr>
            <w:tcW w:w="584" w:type="pct"/>
            <w:vMerge w:val="restart"/>
            <w:tcBorders>
              <w:top w:val="single" w:sz="4" w:space="0" w:color="auto"/>
              <w:bottom w:val="single" w:sz="4" w:space="0" w:color="auto"/>
            </w:tcBorders>
            <w:shd w:val="clear" w:color="auto" w:fill="auto"/>
          </w:tcPr>
          <w:p w14:paraId="2BF26243" w14:textId="77777777" w:rsidR="00510012" w:rsidRPr="00682C4E" w:rsidRDefault="001B61A7" w:rsidP="00FC1600">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bCs w:val="0"/>
                <w:lang w:eastAsia="zh-CN"/>
              </w:rPr>
            </w:pPr>
            <w:r w:rsidRPr="00682C4E">
              <w:rPr>
                <w:rFonts w:ascii="Book Antiqua" w:eastAsia="Calibri" w:hAnsi="Book Antiqua"/>
                <w:lang w:eastAsia="zh-CN"/>
              </w:rPr>
              <w:t>Frequency of serotypes</w:t>
            </w:r>
          </w:p>
        </w:tc>
        <w:tc>
          <w:tcPr>
            <w:tcW w:w="639" w:type="pct"/>
            <w:vMerge w:val="restart"/>
            <w:tcBorders>
              <w:top w:val="single" w:sz="4" w:space="0" w:color="auto"/>
              <w:bottom w:val="single" w:sz="4" w:space="0" w:color="auto"/>
            </w:tcBorders>
            <w:shd w:val="clear" w:color="auto" w:fill="auto"/>
          </w:tcPr>
          <w:p w14:paraId="0CB07C75" w14:textId="77777777" w:rsidR="00510012" w:rsidRPr="00682C4E" w:rsidRDefault="001B61A7" w:rsidP="00FC1600">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b w:val="0"/>
                <w:bCs w:val="0"/>
                <w:lang w:eastAsia="zh-CN"/>
              </w:rPr>
            </w:pPr>
            <w:r w:rsidRPr="00682C4E">
              <w:rPr>
                <w:rFonts w:ascii="Book Antiqua" w:eastAsia="Calibri" w:hAnsi="Book Antiqua"/>
                <w:lang w:eastAsia="zh-CN"/>
              </w:rPr>
              <w:t>Diagnostic method</w:t>
            </w:r>
          </w:p>
        </w:tc>
      </w:tr>
      <w:tr w:rsidR="00510012" w:rsidRPr="00682C4E" w14:paraId="21D7DBE8" w14:textId="77777777" w:rsidTr="00682C4E">
        <w:tc>
          <w:tcPr>
            <w:cnfStyle w:val="001000000000" w:firstRow="0" w:lastRow="0" w:firstColumn="1" w:lastColumn="0" w:oddVBand="0" w:evenVBand="0" w:oddHBand="0" w:evenHBand="0" w:firstRowFirstColumn="0" w:firstRowLastColumn="0" w:lastRowFirstColumn="0" w:lastRowLastColumn="0"/>
            <w:tcW w:w="758" w:type="pct"/>
            <w:vMerge/>
            <w:tcBorders>
              <w:top w:val="nil"/>
              <w:bottom w:val="single" w:sz="4" w:space="0" w:color="auto"/>
            </w:tcBorders>
            <w:shd w:val="clear" w:color="auto" w:fill="auto"/>
          </w:tcPr>
          <w:p w14:paraId="3B8E1182" w14:textId="77777777" w:rsidR="00510012" w:rsidRPr="00682C4E" w:rsidRDefault="00510012" w:rsidP="00FC1600">
            <w:pPr>
              <w:snapToGrid w:val="0"/>
              <w:spacing w:line="360" w:lineRule="auto"/>
              <w:jc w:val="both"/>
              <w:rPr>
                <w:rFonts w:ascii="Book Antiqua" w:eastAsia="Calibri" w:hAnsi="Book Antiqua"/>
                <w:lang w:eastAsia="zh-CN"/>
              </w:rPr>
            </w:pPr>
          </w:p>
        </w:tc>
        <w:tc>
          <w:tcPr>
            <w:tcW w:w="834" w:type="pct"/>
            <w:vMerge/>
            <w:tcBorders>
              <w:top w:val="nil"/>
              <w:bottom w:val="single" w:sz="4" w:space="0" w:color="auto"/>
            </w:tcBorders>
            <w:shd w:val="clear" w:color="auto" w:fill="auto"/>
          </w:tcPr>
          <w:p w14:paraId="54426DD6" w14:textId="77777777" w:rsidR="00510012" w:rsidRPr="00682C4E" w:rsidRDefault="00510012"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p>
        </w:tc>
        <w:tc>
          <w:tcPr>
            <w:tcW w:w="372" w:type="pct"/>
            <w:tcBorders>
              <w:top w:val="single" w:sz="4" w:space="0" w:color="auto"/>
              <w:bottom w:val="single" w:sz="4" w:space="0" w:color="auto"/>
            </w:tcBorders>
            <w:shd w:val="clear" w:color="auto" w:fill="auto"/>
          </w:tcPr>
          <w:p w14:paraId="137C7AC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b/>
                <w:bCs/>
                <w:lang w:eastAsia="zh-CN"/>
              </w:rPr>
            </w:pPr>
            <w:r w:rsidRPr="00682C4E">
              <w:rPr>
                <w:rFonts w:ascii="Book Antiqua" w:eastAsia="Calibri" w:hAnsi="Book Antiqua"/>
                <w:b/>
                <w:bCs/>
                <w:lang w:eastAsia="zh-CN"/>
              </w:rPr>
              <w:t>Case</w:t>
            </w:r>
          </w:p>
        </w:tc>
        <w:tc>
          <w:tcPr>
            <w:tcW w:w="408" w:type="pct"/>
            <w:tcBorders>
              <w:top w:val="single" w:sz="4" w:space="0" w:color="auto"/>
              <w:bottom w:val="single" w:sz="4" w:space="0" w:color="auto"/>
            </w:tcBorders>
            <w:shd w:val="clear" w:color="auto" w:fill="auto"/>
          </w:tcPr>
          <w:p w14:paraId="297E8AB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b/>
                <w:bCs/>
                <w:lang w:eastAsia="zh-CN"/>
              </w:rPr>
            </w:pPr>
            <w:r w:rsidRPr="00682C4E">
              <w:rPr>
                <w:rFonts w:ascii="Book Antiqua" w:eastAsia="Calibri" w:hAnsi="Book Antiqua"/>
                <w:b/>
                <w:bCs/>
                <w:lang w:eastAsia="zh-CN"/>
              </w:rPr>
              <w:t>Control</w:t>
            </w:r>
          </w:p>
        </w:tc>
        <w:tc>
          <w:tcPr>
            <w:tcW w:w="551" w:type="pct"/>
            <w:tcBorders>
              <w:top w:val="single" w:sz="4" w:space="0" w:color="auto"/>
              <w:bottom w:val="single" w:sz="4" w:space="0" w:color="auto"/>
            </w:tcBorders>
            <w:shd w:val="clear" w:color="auto" w:fill="auto"/>
          </w:tcPr>
          <w:p w14:paraId="769D772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b/>
                <w:bCs/>
                <w:lang w:eastAsia="zh-CN"/>
              </w:rPr>
            </w:pPr>
            <w:r w:rsidRPr="00682C4E">
              <w:rPr>
                <w:rFonts w:ascii="Book Antiqua" w:eastAsia="Calibri" w:hAnsi="Book Antiqua"/>
                <w:b/>
                <w:bCs/>
                <w:lang w:eastAsia="zh-CN"/>
              </w:rPr>
              <w:t>Case</w:t>
            </w:r>
          </w:p>
        </w:tc>
        <w:tc>
          <w:tcPr>
            <w:tcW w:w="408" w:type="pct"/>
            <w:tcBorders>
              <w:top w:val="single" w:sz="4" w:space="0" w:color="auto"/>
              <w:bottom w:val="single" w:sz="4" w:space="0" w:color="auto"/>
            </w:tcBorders>
            <w:shd w:val="clear" w:color="auto" w:fill="auto"/>
          </w:tcPr>
          <w:p w14:paraId="11F22FF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b/>
                <w:bCs/>
                <w:lang w:eastAsia="zh-CN"/>
              </w:rPr>
            </w:pPr>
            <w:r w:rsidRPr="00682C4E">
              <w:rPr>
                <w:rFonts w:ascii="Book Antiqua" w:eastAsia="Calibri" w:hAnsi="Book Antiqua"/>
                <w:b/>
                <w:bCs/>
                <w:lang w:eastAsia="zh-CN"/>
              </w:rPr>
              <w:t>Control</w:t>
            </w:r>
          </w:p>
        </w:tc>
        <w:tc>
          <w:tcPr>
            <w:tcW w:w="447" w:type="pct"/>
            <w:vMerge/>
            <w:tcBorders>
              <w:top w:val="single" w:sz="4" w:space="0" w:color="auto"/>
              <w:bottom w:val="single" w:sz="4" w:space="0" w:color="auto"/>
            </w:tcBorders>
            <w:shd w:val="clear" w:color="auto" w:fill="auto"/>
          </w:tcPr>
          <w:p w14:paraId="13264A15" w14:textId="77777777" w:rsidR="00510012" w:rsidRPr="00682C4E" w:rsidRDefault="00510012"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p>
        </w:tc>
        <w:tc>
          <w:tcPr>
            <w:tcW w:w="584" w:type="pct"/>
            <w:vMerge/>
            <w:tcBorders>
              <w:top w:val="single" w:sz="4" w:space="0" w:color="auto"/>
              <w:bottom w:val="single" w:sz="4" w:space="0" w:color="auto"/>
            </w:tcBorders>
            <w:shd w:val="clear" w:color="auto" w:fill="auto"/>
          </w:tcPr>
          <w:p w14:paraId="3EF4C213" w14:textId="77777777" w:rsidR="00510012" w:rsidRPr="00682C4E" w:rsidRDefault="00510012"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p>
        </w:tc>
        <w:tc>
          <w:tcPr>
            <w:tcW w:w="639" w:type="pct"/>
            <w:vMerge/>
            <w:tcBorders>
              <w:top w:val="single" w:sz="4" w:space="0" w:color="auto"/>
              <w:bottom w:val="single" w:sz="4" w:space="0" w:color="auto"/>
            </w:tcBorders>
            <w:shd w:val="clear" w:color="auto" w:fill="auto"/>
          </w:tcPr>
          <w:p w14:paraId="4EC62074" w14:textId="77777777" w:rsidR="00510012" w:rsidRPr="00682C4E" w:rsidRDefault="00510012"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p>
        </w:tc>
      </w:tr>
      <w:tr w:rsidR="00510012" w:rsidRPr="00682C4E" w14:paraId="06D06CC9" w14:textId="77777777" w:rsidTr="00682C4E">
        <w:tc>
          <w:tcPr>
            <w:cnfStyle w:val="001000000000" w:firstRow="0" w:lastRow="0" w:firstColumn="1" w:lastColumn="0" w:oddVBand="0" w:evenVBand="0" w:oddHBand="0" w:evenHBand="0" w:firstRowFirstColumn="0" w:firstRowLastColumn="0" w:lastRowFirstColumn="0" w:lastRowLastColumn="0"/>
            <w:tcW w:w="758" w:type="pct"/>
            <w:tcBorders>
              <w:top w:val="single" w:sz="4" w:space="0" w:color="auto"/>
            </w:tcBorders>
            <w:shd w:val="clear" w:color="auto" w:fill="auto"/>
          </w:tcPr>
          <w:p w14:paraId="711C1DFB"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hAnsi="Book Antiqua"/>
                <w:b w:val="0"/>
                <w:bCs w:val="0"/>
                <w:lang w:eastAsia="zh-CN"/>
              </w:rPr>
              <w:t>Aljicević</w:t>
            </w:r>
            <w:r w:rsidRPr="00682C4E">
              <w:rPr>
                <w:rFonts w:ascii="Book Antiqua" w:eastAsia="Calibri" w:hAnsi="Book Antiqua"/>
                <w:b w:val="0"/>
                <w:bCs w:val="0"/>
                <w:lang w:eastAsia="zh-CN"/>
              </w:rPr>
              <w:t xml:space="preserve"> </w:t>
            </w:r>
            <w:r w:rsidRPr="00682C4E">
              <w:rPr>
                <w:rFonts w:ascii="Book Antiqua" w:eastAsia="Calibri" w:hAnsi="Book Antiqua"/>
                <w:b w:val="0"/>
                <w:bCs w:val="0"/>
                <w:i/>
                <w:iCs/>
                <w:lang w:eastAsia="zh-CN"/>
              </w:rPr>
              <w:t>et al</w:t>
            </w:r>
            <w:r w:rsidRPr="00682C4E">
              <w:rPr>
                <w:rFonts w:ascii="Book Antiqua" w:eastAsia="Calibri" w:hAnsi="Book Antiqua"/>
                <w:b w:val="0"/>
                <w:bCs w:val="0"/>
                <w:vertAlign w:val="superscript"/>
                <w:lang w:eastAsia="zh-CN"/>
              </w:rPr>
              <w:t>[</w:t>
            </w:r>
            <w:r w:rsidR="005B3717" w:rsidRPr="00682C4E">
              <w:rPr>
                <w:rFonts w:ascii="Book Antiqua" w:hAnsi="Book Antiqua"/>
                <w:b w:val="0"/>
                <w:bCs w:val="0"/>
                <w:vertAlign w:val="superscript"/>
                <w:lang w:eastAsia="zh-CN"/>
              </w:rPr>
              <w:t>13</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2005</w:t>
            </w:r>
          </w:p>
        </w:tc>
        <w:tc>
          <w:tcPr>
            <w:tcW w:w="834" w:type="pct"/>
            <w:tcBorders>
              <w:top w:val="single" w:sz="4" w:space="0" w:color="auto"/>
            </w:tcBorders>
            <w:shd w:val="clear" w:color="auto" w:fill="auto"/>
          </w:tcPr>
          <w:p w14:paraId="5EB72A0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Bosnia and Herzegovina</w:t>
            </w:r>
          </w:p>
        </w:tc>
        <w:tc>
          <w:tcPr>
            <w:tcW w:w="372" w:type="pct"/>
            <w:tcBorders>
              <w:top w:val="single" w:sz="4" w:space="0" w:color="auto"/>
            </w:tcBorders>
            <w:shd w:val="clear" w:color="auto" w:fill="auto"/>
          </w:tcPr>
          <w:p w14:paraId="33D54F4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30</w:t>
            </w:r>
          </w:p>
        </w:tc>
        <w:tc>
          <w:tcPr>
            <w:tcW w:w="408" w:type="pct"/>
            <w:tcBorders>
              <w:top w:val="single" w:sz="4" w:space="0" w:color="auto"/>
            </w:tcBorders>
            <w:shd w:val="clear" w:color="auto" w:fill="auto"/>
          </w:tcPr>
          <w:p w14:paraId="19500C4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30</w:t>
            </w:r>
          </w:p>
        </w:tc>
        <w:tc>
          <w:tcPr>
            <w:tcW w:w="551" w:type="pct"/>
            <w:tcBorders>
              <w:top w:val="single" w:sz="4" w:space="0" w:color="auto"/>
            </w:tcBorders>
            <w:shd w:val="clear" w:color="auto" w:fill="auto"/>
          </w:tcPr>
          <w:p w14:paraId="2EF2AD7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18</w:t>
            </w:r>
          </w:p>
        </w:tc>
        <w:tc>
          <w:tcPr>
            <w:tcW w:w="408" w:type="pct"/>
            <w:tcBorders>
              <w:top w:val="single" w:sz="4" w:space="0" w:color="auto"/>
            </w:tcBorders>
            <w:shd w:val="clear" w:color="auto" w:fill="auto"/>
          </w:tcPr>
          <w:p w14:paraId="2EF5B39B"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8</w:t>
            </w:r>
          </w:p>
        </w:tc>
        <w:tc>
          <w:tcPr>
            <w:tcW w:w="447" w:type="pct"/>
            <w:tcBorders>
              <w:top w:val="single" w:sz="4" w:space="0" w:color="auto"/>
            </w:tcBorders>
            <w:shd w:val="clear" w:color="auto" w:fill="auto"/>
          </w:tcPr>
          <w:p w14:paraId="22F8011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tcBorders>
              <w:top w:val="single" w:sz="4" w:space="0" w:color="auto"/>
            </w:tcBorders>
            <w:shd w:val="clear" w:color="auto" w:fill="auto"/>
          </w:tcPr>
          <w:p w14:paraId="1F4DFF7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tcBorders>
              <w:top w:val="single" w:sz="4" w:space="0" w:color="auto"/>
            </w:tcBorders>
            <w:shd w:val="clear" w:color="auto" w:fill="auto"/>
          </w:tcPr>
          <w:p w14:paraId="0E4EF9C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Serology</w:t>
            </w:r>
          </w:p>
        </w:tc>
      </w:tr>
      <w:tr w:rsidR="00510012" w:rsidRPr="00682C4E" w14:paraId="11434A01"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04E9FE51"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Kaur</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5B3717" w:rsidRPr="00682C4E">
              <w:rPr>
                <w:rFonts w:ascii="Book Antiqua" w:hAnsi="Book Antiqua"/>
                <w:b w:val="0"/>
                <w:bCs w:val="0"/>
                <w:vertAlign w:val="superscript"/>
                <w:lang w:eastAsia="zh-CN"/>
              </w:rPr>
              <w:t>14</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2007</w:t>
            </w:r>
          </w:p>
        </w:tc>
        <w:tc>
          <w:tcPr>
            <w:tcW w:w="834" w:type="pct"/>
            <w:shd w:val="clear" w:color="auto" w:fill="auto"/>
          </w:tcPr>
          <w:p w14:paraId="1FCE0BB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India</w:t>
            </w:r>
          </w:p>
        </w:tc>
        <w:tc>
          <w:tcPr>
            <w:tcW w:w="372" w:type="pct"/>
            <w:shd w:val="clear" w:color="auto" w:fill="auto"/>
          </w:tcPr>
          <w:p w14:paraId="3EA5593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61</w:t>
            </w:r>
          </w:p>
        </w:tc>
        <w:tc>
          <w:tcPr>
            <w:tcW w:w="408" w:type="pct"/>
            <w:shd w:val="clear" w:color="auto" w:fill="auto"/>
          </w:tcPr>
          <w:p w14:paraId="685C104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2EE985A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4</w:t>
            </w:r>
          </w:p>
        </w:tc>
        <w:tc>
          <w:tcPr>
            <w:tcW w:w="408" w:type="pct"/>
            <w:shd w:val="clear" w:color="auto" w:fill="auto"/>
          </w:tcPr>
          <w:p w14:paraId="4FBA30C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34EE814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3</w:t>
            </w:r>
          </w:p>
        </w:tc>
        <w:tc>
          <w:tcPr>
            <w:tcW w:w="584" w:type="pct"/>
            <w:shd w:val="clear" w:color="auto" w:fill="auto"/>
          </w:tcPr>
          <w:p w14:paraId="3CE2A76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5E3E25F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Convectional</w:t>
            </w:r>
          </w:p>
        </w:tc>
      </w:tr>
      <w:tr w:rsidR="00510012" w:rsidRPr="00682C4E" w14:paraId="0246E559"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5D7AB099"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hAnsi="Book Antiqua"/>
                <w:b w:val="0"/>
                <w:bCs w:val="0"/>
                <w:lang w:eastAsia="zh-CN"/>
              </w:rPr>
              <w:t>Saeedi</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5B3717" w:rsidRPr="00682C4E">
              <w:rPr>
                <w:rFonts w:ascii="Book Antiqua" w:hAnsi="Book Antiqua"/>
                <w:b w:val="0"/>
                <w:bCs w:val="0"/>
                <w:vertAlign w:val="superscript"/>
                <w:lang w:eastAsia="zh-CN"/>
              </w:rPr>
              <w:t>15</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2009</w:t>
            </w:r>
          </w:p>
        </w:tc>
        <w:tc>
          <w:tcPr>
            <w:tcW w:w="834" w:type="pct"/>
            <w:shd w:val="clear" w:color="auto" w:fill="auto"/>
          </w:tcPr>
          <w:p w14:paraId="46D5CC2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1306B81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118</w:t>
            </w:r>
          </w:p>
        </w:tc>
        <w:tc>
          <w:tcPr>
            <w:tcW w:w="408" w:type="pct"/>
            <w:shd w:val="clear" w:color="auto" w:fill="auto"/>
          </w:tcPr>
          <w:p w14:paraId="03D0E06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99</w:t>
            </w:r>
          </w:p>
        </w:tc>
        <w:tc>
          <w:tcPr>
            <w:tcW w:w="551" w:type="pct"/>
            <w:shd w:val="clear" w:color="auto" w:fill="auto"/>
          </w:tcPr>
          <w:p w14:paraId="7F3CF8D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9</w:t>
            </w:r>
          </w:p>
        </w:tc>
        <w:tc>
          <w:tcPr>
            <w:tcW w:w="408" w:type="pct"/>
            <w:shd w:val="clear" w:color="auto" w:fill="auto"/>
          </w:tcPr>
          <w:p w14:paraId="61248B1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3</w:t>
            </w:r>
          </w:p>
        </w:tc>
        <w:tc>
          <w:tcPr>
            <w:tcW w:w="447" w:type="pct"/>
            <w:shd w:val="clear" w:color="auto" w:fill="auto"/>
          </w:tcPr>
          <w:p w14:paraId="51F8791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44499C9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5708A8F7"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IgG</w:t>
            </w:r>
          </w:p>
        </w:tc>
      </w:tr>
      <w:tr w:rsidR="00510012" w:rsidRPr="00682C4E" w14:paraId="242BAB80"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74D94419"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Jamshidi</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5B3717" w:rsidRPr="00682C4E">
              <w:rPr>
                <w:rFonts w:ascii="Book Antiqua" w:hAnsi="Book Antiqua"/>
                <w:b w:val="0"/>
                <w:bCs w:val="0"/>
                <w:vertAlign w:val="superscript"/>
                <w:lang w:eastAsia="zh-CN"/>
              </w:rPr>
              <w:t>16</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2009</w:t>
            </w:r>
          </w:p>
        </w:tc>
        <w:tc>
          <w:tcPr>
            <w:tcW w:w="834" w:type="pct"/>
            <w:shd w:val="clear" w:color="auto" w:fill="auto"/>
          </w:tcPr>
          <w:p w14:paraId="4E1658D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4A5AEDE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250</w:t>
            </w:r>
          </w:p>
        </w:tc>
        <w:tc>
          <w:tcPr>
            <w:tcW w:w="408" w:type="pct"/>
            <w:shd w:val="clear" w:color="auto" w:fill="auto"/>
          </w:tcPr>
          <w:p w14:paraId="1D664AF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200</w:t>
            </w:r>
          </w:p>
        </w:tc>
        <w:tc>
          <w:tcPr>
            <w:tcW w:w="551" w:type="pct"/>
            <w:shd w:val="clear" w:color="auto" w:fill="auto"/>
          </w:tcPr>
          <w:p w14:paraId="785652C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89</w:t>
            </w:r>
          </w:p>
        </w:tc>
        <w:tc>
          <w:tcPr>
            <w:tcW w:w="408" w:type="pct"/>
            <w:shd w:val="clear" w:color="auto" w:fill="auto"/>
          </w:tcPr>
          <w:p w14:paraId="22B2517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35</w:t>
            </w:r>
          </w:p>
        </w:tc>
        <w:tc>
          <w:tcPr>
            <w:tcW w:w="447" w:type="pct"/>
            <w:shd w:val="clear" w:color="auto" w:fill="auto"/>
          </w:tcPr>
          <w:p w14:paraId="2DED276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7E0DE2C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75C1BAE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IgG</w:t>
            </w:r>
          </w:p>
        </w:tc>
      </w:tr>
      <w:tr w:rsidR="00510012" w:rsidRPr="00682C4E" w14:paraId="75C67C2E"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3A5F0BEA"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Tahery</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5B3717" w:rsidRPr="00682C4E">
              <w:rPr>
                <w:rFonts w:ascii="Book Antiqua" w:hAnsi="Book Antiqua"/>
                <w:b w:val="0"/>
                <w:bCs w:val="0"/>
                <w:vertAlign w:val="superscript"/>
                <w:lang w:eastAsia="zh-CN"/>
              </w:rPr>
              <w:t>17</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2009</w:t>
            </w:r>
          </w:p>
        </w:tc>
        <w:tc>
          <w:tcPr>
            <w:tcW w:w="834" w:type="pct"/>
            <w:shd w:val="clear" w:color="auto" w:fill="auto"/>
          </w:tcPr>
          <w:p w14:paraId="6B58F59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4ED3473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102</w:t>
            </w:r>
          </w:p>
        </w:tc>
        <w:tc>
          <w:tcPr>
            <w:tcW w:w="408" w:type="pct"/>
            <w:shd w:val="clear" w:color="auto" w:fill="auto"/>
          </w:tcPr>
          <w:p w14:paraId="1A5F4E2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102</w:t>
            </w:r>
          </w:p>
        </w:tc>
        <w:tc>
          <w:tcPr>
            <w:tcW w:w="551" w:type="pct"/>
            <w:shd w:val="clear" w:color="auto" w:fill="auto"/>
          </w:tcPr>
          <w:p w14:paraId="5546648B"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82</w:t>
            </w:r>
          </w:p>
        </w:tc>
        <w:tc>
          <w:tcPr>
            <w:tcW w:w="408" w:type="pct"/>
            <w:shd w:val="clear" w:color="auto" w:fill="auto"/>
          </w:tcPr>
          <w:p w14:paraId="088C06A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20</w:t>
            </w:r>
          </w:p>
        </w:tc>
        <w:tc>
          <w:tcPr>
            <w:tcW w:w="447" w:type="pct"/>
            <w:shd w:val="clear" w:color="auto" w:fill="auto"/>
          </w:tcPr>
          <w:p w14:paraId="7EE9276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5199DE0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16E8A31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IFA</w:t>
            </w:r>
          </w:p>
        </w:tc>
      </w:tr>
      <w:tr w:rsidR="00510012" w:rsidRPr="00682C4E" w14:paraId="39BFCD8D"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5A96D916"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Nazeri</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18</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2011</w:t>
            </w:r>
          </w:p>
        </w:tc>
        <w:tc>
          <w:tcPr>
            <w:tcW w:w="834" w:type="pct"/>
            <w:shd w:val="clear" w:color="auto" w:fill="auto"/>
          </w:tcPr>
          <w:p w14:paraId="6812FBE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3B55CD3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512</w:t>
            </w:r>
          </w:p>
        </w:tc>
        <w:tc>
          <w:tcPr>
            <w:tcW w:w="408" w:type="pct"/>
            <w:shd w:val="clear" w:color="auto" w:fill="auto"/>
          </w:tcPr>
          <w:p w14:paraId="65AF899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1A3DEC9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6</w:t>
            </w:r>
          </w:p>
        </w:tc>
        <w:tc>
          <w:tcPr>
            <w:tcW w:w="408" w:type="pct"/>
            <w:shd w:val="clear" w:color="auto" w:fill="auto"/>
          </w:tcPr>
          <w:p w14:paraId="54AA90C2"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2E8040E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0946193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6141F0C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0AE4CEAB"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0E3D7557"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Lotfollahi</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19</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2011</w:t>
            </w:r>
          </w:p>
        </w:tc>
        <w:tc>
          <w:tcPr>
            <w:tcW w:w="834" w:type="pct"/>
            <w:shd w:val="clear" w:color="auto" w:fill="auto"/>
          </w:tcPr>
          <w:p w14:paraId="66CB394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1D61859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100</w:t>
            </w:r>
          </w:p>
        </w:tc>
        <w:tc>
          <w:tcPr>
            <w:tcW w:w="408" w:type="pct"/>
            <w:shd w:val="clear" w:color="auto" w:fill="auto"/>
          </w:tcPr>
          <w:p w14:paraId="414E535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74E0CD0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9</w:t>
            </w:r>
          </w:p>
        </w:tc>
        <w:tc>
          <w:tcPr>
            <w:tcW w:w="408" w:type="pct"/>
            <w:shd w:val="clear" w:color="auto" w:fill="auto"/>
          </w:tcPr>
          <w:p w14:paraId="6F26993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36D12082"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0FD8FE5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12A2CED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Convectional</w:t>
            </w:r>
          </w:p>
        </w:tc>
      </w:tr>
      <w:tr w:rsidR="00510012" w:rsidRPr="00682C4E" w14:paraId="72456A68"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06D92614"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hAnsi="Book Antiqua"/>
                <w:b w:val="0"/>
                <w:bCs w:val="0"/>
                <w:lang w:eastAsia="zh-CN"/>
              </w:rPr>
              <w:t>Jahangirisiskht</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20</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2012</w:t>
            </w:r>
          </w:p>
        </w:tc>
        <w:tc>
          <w:tcPr>
            <w:tcW w:w="834" w:type="pct"/>
            <w:shd w:val="clear" w:color="auto" w:fill="auto"/>
          </w:tcPr>
          <w:p w14:paraId="53968A5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5145BA2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190</w:t>
            </w:r>
          </w:p>
        </w:tc>
        <w:tc>
          <w:tcPr>
            <w:tcW w:w="408" w:type="pct"/>
            <w:shd w:val="clear" w:color="auto" w:fill="auto"/>
          </w:tcPr>
          <w:p w14:paraId="7B02DA0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120</w:t>
            </w:r>
          </w:p>
        </w:tc>
        <w:tc>
          <w:tcPr>
            <w:tcW w:w="551" w:type="pct"/>
            <w:shd w:val="clear" w:color="auto" w:fill="auto"/>
          </w:tcPr>
          <w:p w14:paraId="3774494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9</w:t>
            </w:r>
          </w:p>
        </w:tc>
        <w:tc>
          <w:tcPr>
            <w:tcW w:w="408" w:type="pct"/>
            <w:shd w:val="clear" w:color="auto" w:fill="auto"/>
          </w:tcPr>
          <w:p w14:paraId="032B8B0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w:t>
            </w:r>
          </w:p>
        </w:tc>
        <w:tc>
          <w:tcPr>
            <w:tcW w:w="447" w:type="pct"/>
            <w:shd w:val="clear" w:color="auto" w:fill="auto"/>
          </w:tcPr>
          <w:p w14:paraId="388220E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11/107</w:t>
            </w:r>
          </w:p>
        </w:tc>
        <w:tc>
          <w:tcPr>
            <w:tcW w:w="584" w:type="pct"/>
            <w:shd w:val="clear" w:color="auto" w:fill="auto"/>
          </w:tcPr>
          <w:p w14:paraId="73360E92"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7BD9EC2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Convectional</w:t>
            </w:r>
          </w:p>
        </w:tc>
      </w:tr>
      <w:tr w:rsidR="00510012" w:rsidRPr="00682C4E" w14:paraId="1601D5EE"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6C101AAE"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hAnsi="Book Antiqua"/>
                <w:b w:val="0"/>
                <w:bCs w:val="0"/>
                <w:lang w:eastAsia="zh-CN"/>
              </w:rPr>
              <w:lastRenderedPageBreak/>
              <w:t>Jahangirsisakht</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21</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2013</w:t>
            </w:r>
          </w:p>
        </w:tc>
        <w:tc>
          <w:tcPr>
            <w:tcW w:w="834" w:type="pct"/>
            <w:shd w:val="clear" w:color="auto" w:fill="auto"/>
          </w:tcPr>
          <w:p w14:paraId="40DC6BA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631A31B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64</w:t>
            </w:r>
          </w:p>
        </w:tc>
        <w:tc>
          <w:tcPr>
            <w:tcW w:w="408" w:type="pct"/>
            <w:shd w:val="clear" w:color="auto" w:fill="auto"/>
          </w:tcPr>
          <w:p w14:paraId="7EF3249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50CF4AC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7</w:t>
            </w:r>
          </w:p>
        </w:tc>
        <w:tc>
          <w:tcPr>
            <w:tcW w:w="408" w:type="pct"/>
            <w:shd w:val="clear" w:color="auto" w:fill="auto"/>
          </w:tcPr>
          <w:p w14:paraId="3B75C99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30C31F9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10.28</w:t>
            </w:r>
          </w:p>
        </w:tc>
        <w:tc>
          <w:tcPr>
            <w:tcW w:w="584" w:type="pct"/>
            <w:shd w:val="clear" w:color="auto" w:fill="auto"/>
          </w:tcPr>
          <w:p w14:paraId="489EA74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098387E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1C33FF3A"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5F78CE98"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Shindang</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22</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2013</w:t>
            </w:r>
          </w:p>
        </w:tc>
        <w:tc>
          <w:tcPr>
            <w:tcW w:w="834" w:type="pct"/>
            <w:shd w:val="clear" w:color="auto" w:fill="auto"/>
          </w:tcPr>
          <w:p w14:paraId="389A93D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Nigeria</w:t>
            </w:r>
          </w:p>
        </w:tc>
        <w:tc>
          <w:tcPr>
            <w:tcW w:w="372" w:type="pct"/>
            <w:shd w:val="clear" w:color="auto" w:fill="auto"/>
          </w:tcPr>
          <w:p w14:paraId="1D261A7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200</w:t>
            </w:r>
          </w:p>
        </w:tc>
        <w:tc>
          <w:tcPr>
            <w:tcW w:w="408" w:type="pct"/>
            <w:shd w:val="clear" w:color="auto" w:fill="auto"/>
          </w:tcPr>
          <w:p w14:paraId="59D1F0A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660A94C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14</w:t>
            </w:r>
          </w:p>
        </w:tc>
        <w:tc>
          <w:tcPr>
            <w:tcW w:w="408" w:type="pct"/>
            <w:shd w:val="clear" w:color="auto" w:fill="auto"/>
          </w:tcPr>
          <w:p w14:paraId="3EF998A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08618DF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2190140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4b (71%);</w:t>
            </w:r>
            <w:r w:rsidRPr="00682C4E">
              <w:rPr>
                <w:rFonts w:ascii="Book Antiqua" w:hAnsi="Book Antiqua"/>
                <w:lang w:eastAsia="zh-CN"/>
              </w:rPr>
              <w:t xml:space="preserve"> </w:t>
            </w:r>
            <w:r w:rsidRPr="00682C4E">
              <w:rPr>
                <w:rFonts w:ascii="Book Antiqua" w:eastAsia="Calibri" w:hAnsi="Book Antiqua"/>
                <w:lang w:eastAsia="zh-CN"/>
              </w:rPr>
              <w:t>1/2a (28)</w:t>
            </w:r>
          </w:p>
        </w:tc>
        <w:tc>
          <w:tcPr>
            <w:tcW w:w="639" w:type="pct"/>
            <w:shd w:val="clear" w:color="auto" w:fill="auto"/>
          </w:tcPr>
          <w:p w14:paraId="2F5CF51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Convectional</w:t>
            </w:r>
          </w:p>
        </w:tc>
      </w:tr>
      <w:tr w:rsidR="00510012" w:rsidRPr="00682C4E" w14:paraId="08368117"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11D31590"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Eslami</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23</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2014</w:t>
            </w:r>
          </w:p>
        </w:tc>
        <w:tc>
          <w:tcPr>
            <w:tcW w:w="834" w:type="pct"/>
            <w:shd w:val="clear" w:color="auto" w:fill="auto"/>
          </w:tcPr>
          <w:p w14:paraId="69EEDF5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0BFB2F5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96</w:t>
            </w:r>
          </w:p>
        </w:tc>
        <w:tc>
          <w:tcPr>
            <w:tcW w:w="408" w:type="pct"/>
            <w:shd w:val="clear" w:color="auto" w:fill="auto"/>
          </w:tcPr>
          <w:p w14:paraId="3E54574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44A41DF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16</w:t>
            </w:r>
          </w:p>
        </w:tc>
        <w:tc>
          <w:tcPr>
            <w:tcW w:w="408" w:type="pct"/>
            <w:shd w:val="clear" w:color="auto" w:fill="auto"/>
          </w:tcPr>
          <w:p w14:paraId="671FA11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4374E1C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16</w:t>
            </w:r>
          </w:p>
        </w:tc>
        <w:tc>
          <w:tcPr>
            <w:tcW w:w="584" w:type="pct"/>
            <w:shd w:val="clear" w:color="auto" w:fill="auto"/>
          </w:tcPr>
          <w:p w14:paraId="76075082"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11A87FAB"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2779D774"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2E030B26"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Shoukat</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24</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2014</w:t>
            </w:r>
          </w:p>
        </w:tc>
        <w:tc>
          <w:tcPr>
            <w:tcW w:w="834" w:type="pct"/>
            <w:shd w:val="clear" w:color="auto" w:fill="auto"/>
          </w:tcPr>
          <w:p w14:paraId="45CF88B2"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India</w:t>
            </w:r>
          </w:p>
        </w:tc>
        <w:tc>
          <w:tcPr>
            <w:tcW w:w="372" w:type="pct"/>
            <w:shd w:val="clear" w:color="auto" w:fill="auto"/>
          </w:tcPr>
          <w:p w14:paraId="45BBF0F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141</w:t>
            </w:r>
          </w:p>
        </w:tc>
        <w:tc>
          <w:tcPr>
            <w:tcW w:w="408" w:type="pct"/>
            <w:shd w:val="clear" w:color="auto" w:fill="auto"/>
          </w:tcPr>
          <w:p w14:paraId="5618784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03CAB38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4</w:t>
            </w:r>
          </w:p>
        </w:tc>
        <w:tc>
          <w:tcPr>
            <w:tcW w:w="408" w:type="pct"/>
            <w:shd w:val="clear" w:color="auto" w:fill="auto"/>
          </w:tcPr>
          <w:p w14:paraId="125702D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2F13B03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4</w:t>
            </w:r>
          </w:p>
        </w:tc>
        <w:tc>
          <w:tcPr>
            <w:tcW w:w="584" w:type="pct"/>
            <w:shd w:val="clear" w:color="auto" w:fill="auto"/>
          </w:tcPr>
          <w:p w14:paraId="215B1E5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3FA7E7F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Convectional</w:t>
            </w:r>
          </w:p>
        </w:tc>
      </w:tr>
      <w:tr w:rsidR="00510012" w:rsidRPr="00682C4E" w14:paraId="4B9D4EF5"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084B3AE3"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Haghroosta</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25</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2015</w:t>
            </w:r>
          </w:p>
        </w:tc>
        <w:tc>
          <w:tcPr>
            <w:tcW w:w="834" w:type="pct"/>
            <w:shd w:val="clear" w:color="auto" w:fill="auto"/>
          </w:tcPr>
          <w:p w14:paraId="491EBD5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3B5309F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120</w:t>
            </w:r>
          </w:p>
        </w:tc>
        <w:tc>
          <w:tcPr>
            <w:tcW w:w="408" w:type="pct"/>
            <w:shd w:val="clear" w:color="auto" w:fill="auto"/>
          </w:tcPr>
          <w:p w14:paraId="7BB18A7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60</w:t>
            </w:r>
          </w:p>
        </w:tc>
        <w:tc>
          <w:tcPr>
            <w:tcW w:w="551" w:type="pct"/>
            <w:shd w:val="clear" w:color="auto" w:fill="auto"/>
          </w:tcPr>
          <w:p w14:paraId="6519D33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25</w:t>
            </w:r>
          </w:p>
        </w:tc>
        <w:tc>
          <w:tcPr>
            <w:tcW w:w="408" w:type="pct"/>
            <w:shd w:val="clear" w:color="auto" w:fill="auto"/>
          </w:tcPr>
          <w:p w14:paraId="2AC9CD7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4</w:t>
            </w:r>
          </w:p>
        </w:tc>
        <w:tc>
          <w:tcPr>
            <w:tcW w:w="447" w:type="pct"/>
            <w:shd w:val="clear" w:color="auto" w:fill="auto"/>
          </w:tcPr>
          <w:p w14:paraId="1ADBFCD7"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047F76D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28FEA21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IFA</w:t>
            </w:r>
          </w:p>
        </w:tc>
      </w:tr>
      <w:tr w:rsidR="00510012" w:rsidRPr="00682C4E" w14:paraId="7D7CA57F"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6CEAD77B"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Pourkaveh</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26</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2016</w:t>
            </w:r>
          </w:p>
        </w:tc>
        <w:tc>
          <w:tcPr>
            <w:tcW w:w="834" w:type="pct"/>
            <w:shd w:val="clear" w:color="auto" w:fill="auto"/>
          </w:tcPr>
          <w:p w14:paraId="085978A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6B7678F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317</w:t>
            </w:r>
          </w:p>
        </w:tc>
        <w:tc>
          <w:tcPr>
            <w:tcW w:w="408" w:type="pct"/>
            <w:shd w:val="clear" w:color="auto" w:fill="auto"/>
          </w:tcPr>
          <w:p w14:paraId="3B0B242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3575A04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54</w:t>
            </w:r>
          </w:p>
        </w:tc>
        <w:tc>
          <w:tcPr>
            <w:tcW w:w="408" w:type="pct"/>
            <w:shd w:val="clear" w:color="auto" w:fill="auto"/>
          </w:tcPr>
          <w:p w14:paraId="7C93075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2F8E0B0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w:t>
            </w:r>
          </w:p>
        </w:tc>
        <w:tc>
          <w:tcPr>
            <w:tcW w:w="584" w:type="pct"/>
            <w:shd w:val="clear" w:color="auto" w:fill="auto"/>
          </w:tcPr>
          <w:p w14:paraId="774A8EDE" w14:textId="77777777" w:rsidR="00510012" w:rsidRPr="00682C4E" w:rsidRDefault="00510012"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p>
        </w:tc>
        <w:tc>
          <w:tcPr>
            <w:tcW w:w="639" w:type="pct"/>
            <w:shd w:val="clear" w:color="auto" w:fill="auto"/>
          </w:tcPr>
          <w:p w14:paraId="0257CDB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39A305F0"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31E5F12D"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Bobade</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27</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2016</w:t>
            </w:r>
          </w:p>
        </w:tc>
        <w:tc>
          <w:tcPr>
            <w:tcW w:w="834" w:type="pct"/>
            <w:shd w:val="clear" w:color="auto" w:fill="auto"/>
          </w:tcPr>
          <w:p w14:paraId="5D62157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Nagpur</w:t>
            </w:r>
          </w:p>
        </w:tc>
        <w:tc>
          <w:tcPr>
            <w:tcW w:w="372" w:type="pct"/>
            <w:shd w:val="clear" w:color="auto" w:fill="auto"/>
          </w:tcPr>
          <w:p w14:paraId="16DDCF4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113</w:t>
            </w:r>
          </w:p>
        </w:tc>
        <w:tc>
          <w:tcPr>
            <w:tcW w:w="408" w:type="pct"/>
            <w:shd w:val="clear" w:color="auto" w:fill="auto"/>
          </w:tcPr>
          <w:p w14:paraId="5665528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081BAAF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w:t>
            </w:r>
          </w:p>
        </w:tc>
        <w:tc>
          <w:tcPr>
            <w:tcW w:w="408" w:type="pct"/>
            <w:shd w:val="clear" w:color="auto" w:fill="auto"/>
          </w:tcPr>
          <w:p w14:paraId="287A4F6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7744C01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w:t>
            </w:r>
          </w:p>
        </w:tc>
        <w:tc>
          <w:tcPr>
            <w:tcW w:w="584" w:type="pct"/>
            <w:shd w:val="clear" w:color="auto" w:fill="auto"/>
          </w:tcPr>
          <w:p w14:paraId="238A098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tl/>
                <w:lang w:eastAsia="zh-CN"/>
              </w:rPr>
            </w:pPr>
            <w:r w:rsidRPr="00682C4E">
              <w:rPr>
                <w:rFonts w:ascii="Book Antiqua" w:eastAsia="Calibri" w:hAnsi="Book Antiqua"/>
                <w:lang w:eastAsia="zh-CN"/>
              </w:rPr>
              <w:t>4b (81%);</w:t>
            </w:r>
            <w:r w:rsidRPr="00682C4E">
              <w:rPr>
                <w:rFonts w:ascii="Book Antiqua" w:hAnsi="Book Antiqua"/>
                <w:lang w:eastAsia="zh-CN"/>
              </w:rPr>
              <w:t xml:space="preserve"> </w:t>
            </w:r>
            <w:r w:rsidRPr="00682C4E">
              <w:rPr>
                <w:rFonts w:ascii="Book Antiqua" w:eastAsia="Calibri" w:hAnsi="Book Antiqua"/>
                <w:lang w:eastAsia="zh-CN"/>
              </w:rPr>
              <w:t>1/2b (18%)</w:t>
            </w:r>
          </w:p>
        </w:tc>
        <w:tc>
          <w:tcPr>
            <w:tcW w:w="639" w:type="pct"/>
            <w:shd w:val="clear" w:color="auto" w:fill="auto"/>
          </w:tcPr>
          <w:p w14:paraId="019B3092"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08E4A612"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3E27AB2B"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Tajedini</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28</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2017</w:t>
            </w:r>
          </w:p>
        </w:tc>
        <w:tc>
          <w:tcPr>
            <w:tcW w:w="834" w:type="pct"/>
            <w:shd w:val="clear" w:color="auto" w:fill="auto"/>
          </w:tcPr>
          <w:p w14:paraId="12DE73E7"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7B11323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58</w:t>
            </w:r>
          </w:p>
        </w:tc>
        <w:tc>
          <w:tcPr>
            <w:tcW w:w="408" w:type="pct"/>
            <w:shd w:val="clear" w:color="auto" w:fill="auto"/>
          </w:tcPr>
          <w:p w14:paraId="5DC15FB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5E82F987"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21</w:t>
            </w:r>
          </w:p>
        </w:tc>
        <w:tc>
          <w:tcPr>
            <w:tcW w:w="408" w:type="pct"/>
            <w:shd w:val="clear" w:color="auto" w:fill="auto"/>
          </w:tcPr>
          <w:p w14:paraId="61AB936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0E42845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28DC316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226146C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IFA</w:t>
            </w:r>
          </w:p>
        </w:tc>
      </w:tr>
      <w:tr w:rsidR="00510012" w:rsidRPr="00682C4E" w14:paraId="218891A4"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46C3C459"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hAnsi="Book Antiqua"/>
                <w:b w:val="0"/>
                <w:bCs w:val="0"/>
                <w:lang w:eastAsia="zh-CN"/>
              </w:rPr>
              <w:t>Pour</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[2</w:t>
            </w:r>
            <w:r w:rsidR="003E1E2E" w:rsidRPr="00682C4E">
              <w:rPr>
                <w:rFonts w:ascii="Book Antiqua" w:hAnsi="Book Antiqua"/>
                <w:b w:val="0"/>
                <w:bCs w:val="0"/>
                <w:vertAlign w:val="superscript"/>
                <w:lang w:eastAsia="zh-CN"/>
              </w:rPr>
              <w:t>9</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2018</w:t>
            </w:r>
          </w:p>
        </w:tc>
        <w:tc>
          <w:tcPr>
            <w:tcW w:w="834" w:type="pct"/>
            <w:shd w:val="clear" w:color="auto" w:fill="auto"/>
          </w:tcPr>
          <w:p w14:paraId="5F5072E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2C56042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123</w:t>
            </w:r>
          </w:p>
        </w:tc>
        <w:tc>
          <w:tcPr>
            <w:tcW w:w="408" w:type="pct"/>
            <w:shd w:val="clear" w:color="auto" w:fill="auto"/>
          </w:tcPr>
          <w:p w14:paraId="7AEB2BE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2AFF486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28</w:t>
            </w:r>
          </w:p>
        </w:tc>
        <w:tc>
          <w:tcPr>
            <w:tcW w:w="408" w:type="pct"/>
            <w:shd w:val="clear" w:color="auto" w:fill="auto"/>
          </w:tcPr>
          <w:p w14:paraId="1E89866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1CF55E2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28</w:t>
            </w:r>
          </w:p>
        </w:tc>
        <w:tc>
          <w:tcPr>
            <w:tcW w:w="584" w:type="pct"/>
            <w:shd w:val="clear" w:color="auto" w:fill="auto"/>
          </w:tcPr>
          <w:p w14:paraId="0C2AD8D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rtl/>
                <w:lang w:eastAsia="zh-CN"/>
              </w:rPr>
            </w:pPr>
            <w:r w:rsidRPr="00682C4E">
              <w:rPr>
                <w:rFonts w:ascii="Book Antiqua" w:eastAsia="Calibri" w:hAnsi="Book Antiqua"/>
                <w:lang w:eastAsia="zh-CN"/>
              </w:rPr>
              <w:t>1/2a (50%);</w:t>
            </w:r>
            <w:r w:rsidRPr="00682C4E">
              <w:rPr>
                <w:rFonts w:ascii="Book Antiqua" w:hAnsi="Book Antiqua"/>
                <w:lang w:eastAsia="zh-CN"/>
              </w:rPr>
              <w:t xml:space="preserve"> </w:t>
            </w:r>
            <w:r w:rsidRPr="00682C4E">
              <w:rPr>
                <w:rFonts w:ascii="Book Antiqua" w:eastAsia="Calibri" w:hAnsi="Book Antiqua"/>
                <w:lang w:eastAsia="zh-CN"/>
              </w:rPr>
              <w:t>4b (35%)</w:t>
            </w:r>
          </w:p>
        </w:tc>
        <w:tc>
          <w:tcPr>
            <w:tcW w:w="639" w:type="pct"/>
            <w:shd w:val="clear" w:color="auto" w:fill="auto"/>
          </w:tcPr>
          <w:p w14:paraId="62CE5B1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5639B99B"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0F47FABA"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Heidari</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30</w:t>
            </w:r>
            <w:r w:rsidRPr="00682C4E">
              <w:rPr>
                <w:rFonts w:ascii="Book Antiqua" w:eastAsia="Calibri" w:hAnsi="Book Antiqua"/>
                <w:b w:val="0"/>
                <w:bCs w:val="0"/>
                <w:vertAlign w:val="superscript"/>
                <w:lang w:eastAsia="zh-CN"/>
              </w:rPr>
              <w:t>]</w:t>
            </w:r>
            <w:r w:rsidRPr="00682C4E">
              <w:rPr>
                <w:rFonts w:ascii="Book Antiqua" w:eastAsia="Calibri" w:hAnsi="Book Antiqua"/>
                <w:b w:val="0"/>
                <w:bCs w:val="0"/>
                <w:lang w:eastAsia="zh-CN"/>
              </w:rPr>
              <w:t>, 2018</w:t>
            </w:r>
          </w:p>
        </w:tc>
        <w:tc>
          <w:tcPr>
            <w:tcW w:w="834" w:type="pct"/>
            <w:shd w:val="clear" w:color="auto" w:fill="auto"/>
          </w:tcPr>
          <w:p w14:paraId="576A633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276E522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100</w:t>
            </w:r>
          </w:p>
        </w:tc>
        <w:tc>
          <w:tcPr>
            <w:tcW w:w="408" w:type="pct"/>
            <w:shd w:val="clear" w:color="auto" w:fill="auto"/>
          </w:tcPr>
          <w:p w14:paraId="4E51D1EB"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33EF0FF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4</w:t>
            </w:r>
          </w:p>
        </w:tc>
        <w:tc>
          <w:tcPr>
            <w:tcW w:w="408" w:type="pct"/>
            <w:shd w:val="clear" w:color="auto" w:fill="auto"/>
          </w:tcPr>
          <w:p w14:paraId="754470A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5DA20B5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4</w:t>
            </w:r>
          </w:p>
        </w:tc>
        <w:tc>
          <w:tcPr>
            <w:tcW w:w="584" w:type="pct"/>
            <w:shd w:val="clear" w:color="auto" w:fill="auto"/>
          </w:tcPr>
          <w:p w14:paraId="2C9AA2D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4366B4F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Convectional</w:t>
            </w:r>
          </w:p>
        </w:tc>
      </w:tr>
      <w:tr w:rsidR="00510012" w:rsidRPr="00682C4E" w14:paraId="7A6F79FB"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7F924087"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hAnsi="Book Antiqua"/>
                <w:b w:val="0"/>
                <w:bCs w:val="0"/>
                <w:lang w:eastAsia="zh-CN"/>
              </w:rPr>
              <w:t>Al-dorri</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3</w:t>
            </w:r>
            <w:r w:rsidRPr="00682C4E">
              <w:rPr>
                <w:rFonts w:ascii="Book Antiqua" w:eastAsia="Calibri" w:hAnsi="Book Antiqua"/>
                <w:b w:val="0"/>
                <w:bCs w:val="0"/>
                <w:vertAlign w:val="superscript"/>
                <w:lang w:eastAsia="zh-CN"/>
              </w:rPr>
              <w:t>1]</w:t>
            </w:r>
            <w:r w:rsidRPr="00682C4E">
              <w:rPr>
                <w:rFonts w:ascii="Book Antiqua" w:eastAsia="Calibri" w:hAnsi="Book Antiqua"/>
                <w:b w:val="0"/>
                <w:bCs w:val="0"/>
                <w:lang w:eastAsia="zh-CN"/>
              </w:rPr>
              <w:t>, 2018</w:t>
            </w:r>
          </w:p>
        </w:tc>
        <w:tc>
          <w:tcPr>
            <w:tcW w:w="834" w:type="pct"/>
            <w:shd w:val="clear" w:color="auto" w:fill="auto"/>
          </w:tcPr>
          <w:p w14:paraId="28C2775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Iraq</w:t>
            </w:r>
          </w:p>
        </w:tc>
        <w:tc>
          <w:tcPr>
            <w:tcW w:w="372" w:type="pct"/>
            <w:shd w:val="clear" w:color="auto" w:fill="auto"/>
          </w:tcPr>
          <w:p w14:paraId="4769785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94</w:t>
            </w:r>
          </w:p>
        </w:tc>
        <w:tc>
          <w:tcPr>
            <w:tcW w:w="408" w:type="pct"/>
            <w:shd w:val="clear" w:color="auto" w:fill="auto"/>
          </w:tcPr>
          <w:p w14:paraId="343B31E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5DF5FB2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w:t>
            </w:r>
          </w:p>
        </w:tc>
        <w:tc>
          <w:tcPr>
            <w:tcW w:w="408" w:type="pct"/>
            <w:shd w:val="clear" w:color="auto" w:fill="auto"/>
          </w:tcPr>
          <w:p w14:paraId="40B1D72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0197929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w:t>
            </w:r>
          </w:p>
        </w:tc>
        <w:tc>
          <w:tcPr>
            <w:tcW w:w="584" w:type="pct"/>
            <w:shd w:val="clear" w:color="auto" w:fill="auto"/>
          </w:tcPr>
          <w:p w14:paraId="2EDE7C4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28525ABB"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68B61F58"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21A783AA"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lastRenderedPageBreak/>
              <w:t>Ohadi</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3</w:t>
            </w:r>
            <w:r w:rsidRPr="00682C4E">
              <w:rPr>
                <w:rFonts w:ascii="Book Antiqua" w:eastAsia="Calibri" w:hAnsi="Book Antiqua"/>
                <w:b w:val="0"/>
                <w:bCs w:val="0"/>
                <w:vertAlign w:val="superscript"/>
                <w:lang w:eastAsia="zh-CN"/>
              </w:rPr>
              <w:t>2]</w:t>
            </w:r>
            <w:r w:rsidRPr="00682C4E">
              <w:rPr>
                <w:rFonts w:ascii="Book Antiqua" w:eastAsia="Calibri" w:hAnsi="Book Antiqua"/>
                <w:b w:val="0"/>
                <w:bCs w:val="0"/>
                <w:lang w:eastAsia="zh-CN"/>
              </w:rPr>
              <w:t>, 2019</w:t>
            </w:r>
          </w:p>
        </w:tc>
        <w:tc>
          <w:tcPr>
            <w:tcW w:w="834" w:type="pct"/>
            <w:shd w:val="clear" w:color="auto" w:fill="auto"/>
          </w:tcPr>
          <w:p w14:paraId="3272DB2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7B4E9BE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96</w:t>
            </w:r>
          </w:p>
        </w:tc>
        <w:tc>
          <w:tcPr>
            <w:tcW w:w="408" w:type="pct"/>
            <w:shd w:val="clear" w:color="auto" w:fill="auto"/>
          </w:tcPr>
          <w:p w14:paraId="11BF7E87"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7A65CEE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16</w:t>
            </w:r>
          </w:p>
        </w:tc>
        <w:tc>
          <w:tcPr>
            <w:tcW w:w="408" w:type="pct"/>
            <w:shd w:val="clear" w:color="auto" w:fill="auto"/>
          </w:tcPr>
          <w:p w14:paraId="2EBEF67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6F0213F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16</w:t>
            </w:r>
          </w:p>
        </w:tc>
        <w:tc>
          <w:tcPr>
            <w:tcW w:w="584" w:type="pct"/>
            <w:shd w:val="clear" w:color="auto" w:fill="auto"/>
          </w:tcPr>
          <w:p w14:paraId="3DC4B15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1/2b (31%);</w:t>
            </w:r>
            <w:r w:rsidRPr="00682C4E">
              <w:rPr>
                <w:rFonts w:ascii="Book Antiqua" w:hAnsi="Book Antiqua"/>
                <w:lang w:eastAsia="zh-CN"/>
              </w:rPr>
              <w:t xml:space="preserve"> </w:t>
            </w:r>
            <w:r w:rsidRPr="00682C4E">
              <w:rPr>
                <w:rFonts w:ascii="Book Antiqua" w:eastAsia="Calibri" w:hAnsi="Book Antiqua"/>
                <w:lang w:eastAsia="zh-CN"/>
              </w:rPr>
              <w:t>1/2a (25%);</w:t>
            </w:r>
            <w:r w:rsidRPr="00682C4E">
              <w:rPr>
                <w:rFonts w:ascii="Book Antiqua" w:hAnsi="Book Antiqua"/>
                <w:lang w:eastAsia="zh-CN"/>
              </w:rPr>
              <w:t xml:space="preserve"> </w:t>
            </w:r>
            <w:r w:rsidRPr="00682C4E">
              <w:rPr>
                <w:rFonts w:ascii="Book Antiqua" w:eastAsia="Calibri" w:hAnsi="Book Antiqua"/>
                <w:lang w:eastAsia="zh-CN"/>
              </w:rPr>
              <w:t>4b (12.5%)</w:t>
            </w:r>
          </w:p>
        </w:tc>
        <w:tc>
          <w:tcPr>
            <w:tcW w:w="639" w:type="pct"/>
            <w:shd w:val="clear" w:color="auto" w:fill="auto"/>
          </w:tcPr>
          <w:p w14:paraId="3DD3281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27C6EC8C"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2DDD7220"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Mozaffari</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3</w:t>
            </w:r>
            <w:r w:rsidRPr="00682C4E">
              <w:rPr>
                <w:rFonts w:ascii="Book Antiqua" w:eastAsia="Calibri" w:hAnsi="Book Antiqua"/>
                <w:b w:val="0"/>
                <w:bCs w:val="0"/>
                <w:vertAlign w:val="superscript"/>
                <w:lang w:eastAsia="zh-CN"/>
              </w:rPr>
              <w:t>3]</w:t>
            </w:r>
            <w:r w:rsidRPr="00682C4E">
              <w:rPr>
                <w:rFonts w:ascii="Book Antiqua" w:eastAsia="Calibri" w:hAnsi="Book Antiqua"/>
                <w:b w:val="0"/>
                <w:bCs w:val="0"/>
                <w:lang w:eastAsia="zh-CN"/>
              </w:rPr>
              <w:t>, 2019</w:t>
            </w:r>
          </w:p>
        </w:tc>
        <w:tc>
          <w:tcPr>
            <w:tcW w:w="834" w:type="pct"/>
            <w:shd w:val="clear" w:color="auto" w:fill="auto"/>
          </w:tcPr>
          <w:p w14:paraId="236FF27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18B5ABF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130</w:t>
            </w:r>
          </w:p>
        </w:tc>
        <w:tc>
          <w:tcPr>
            <w:tcW w:w="408" w:type="pct"/>
            <w:shd w:val="clear" w:color="auto" w:fill="auto"/>
          </w:tcPr>
          <w:p w14:paraId="0C9278A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100</w:t>
            </w:r>
          </w:p>
        </w:tc>
        <w:tc>
          <w:tcPr>
            <w:tcW w:w="551" w:type="pct"/>
            <w:shd w:val="clear" w:color="auto" w:fill="auto"/>
          </w:tcPr>
          <w:p w14:paraId="6A2A427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 xml:space="preserve">35 </w:t>
            </w:r>
          </w:p>
        </w:tc>
        <w:tc>
          <w:tcPr>
            <w:tcW w:w="408" w:type="pct"/>
            <w:shd w:val="clear" w:color="auto" w:fill="auto"/>
          </w:tcPr>
          <w:p w14:paraId="72443C0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11</w:t>
            </w:r>
          </w:p>
        </w:tc>
        <w:tc>
          <w:tcPr>
            <w:tcW w:w="447" w:type="pct"/>
            <w:shd w:val="clear" w:color="auto" w:fill="auto"/>
          </w:tcPr>
          <w:p w14:paraId="3EC08561"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7AC9BF2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28B7A1C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IFA</w:t>
            </w:r>
          </w:p>
        </w:tc>
      </w:tr>
      <w:tr w:rsidR="00510012" w:rsidRPr="00682C4E" w14:paraId="5B430FAB"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156D7DBF"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Zahirnia</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3</w:t>
            </w:r>
            <w:r w:rsidRPr="00682C4E">
              <w:rPr>
                <w:rFonts w:ascii="Book Antiqua" w:eastAsia="Calibri" w:hAnsi="Book Antiqua"/>
                <w:b w:val="0"/>
                <w:bCs w:val="0"/>
                <w:vertAlign w:val="superscript"/>
                <w:lang w:eastAsia="zh-CN"/>
              </w:rPr>
              <w:t>4]</w:t>
            </w:r>
            <w:r w:rsidRPr="00682C4E">
              <w:rPr>
                <w:rFonts w:ascii="Book Antiqua" w:eastAsia="Calibri" w:hAnsi="Book Antiqua"/>
                <w:b w:val="0"/>
                <w:bCs w:val="0"/>
                <w:lang w:eastAsia="zh-CN"/>
              </w:rPr>
              <w:t>, 2019</w:t>
            </w:r>
          </w:p>
        </w:tc>
        <w:tc>
          <w:tcPr>
            <w:tcW w:w="834" w:type="pct"/>
            <w:shd w:val="clear" w:color="auto" w:fill="auto"/>
          </w:tcPr>
          <w:p w14:paraId="247DB56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Iran</w:t>
            </w:r>
          </w:p>
        </w:tc>
        <w:tc>
          <w:tcPr>
            <w:tcW w:w="372" w:type="pct"/>
            <w:shd w:val="clear" w:color="auto" w:fill="auto"/>
          </w:tcPr>
          <w:p w14:paraId="05A5AA1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124</w:t>
            </w:r>
          </w:p>
        </w:tc>
        <w:tc>
          <w:tcPr>
            <w:tcW w:w="408" w:type="pct"/>
            <w:shd w:val="clear" w:color="auto" w:fill="auto"/>
          </w:tcPr>
          <w:p w14:paraId="3F7AA3CC"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76</w:t>
            </w:r>
          </w:p>
        </w:tc>
        <w:tc>
          <w:tcPr>
            <w:tcW w:w="551" w:type="pct"/>
            <w:shd w:val="clear" w:color="auto" w:fill="auto"/>
          </w:tcPr>
          <w:p w14:paraId="5EEA9D7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31</w:t>
            </w:r>
          </w:p>
        </w:tc>
        <w:tc>
          <w:tcPr>
            <w:tcW w:w="408" w:type="pct"/>
            <w:shd w:val="clear" w:color="auto" w:fill="auto"/>
          </w:tcPr>
          <w:p w14:paraId="69A83F63"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28</w:t>
            </w:r>
          </w:p>
        </w:tc>
        <w:tc>
          <w:tcPr>
            <w:tcW w:w="447" w:type="pct"/>
            <w:shd w:val="clear" w:color="auto" w:fill="auto"/>
          </w:tcPr>
          <w:p w14:paraId="7694B2A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3</w:t>
            </w:r>
          </w:p>
        </w:tc>
        <w:tc>
          <w:tcPr>
            <w:tcW w:w="584" w:type="pct"/>
            <w:shd w:val="clear" w:color="auto" w:fill="auto"/>
          </w:tcPr>
          <w:p w14:paraId="4196638B"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4175B23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75155D59"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36BD0098"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Fall</w:t>
            </w:r>
            <w:r w:rsidRPr="00682C4E">
              <w:rPr>
                <w:rFonts w:ascii="Book Antiqua" w:eastAsia="Calibri" w:hAnsi="Book Antiqua"/>
                <w:b w:val="0"/>
                <w:bCs w:val="0"/>
                <w:i/>
                <w:iCs/>
                <w:lang w:eastAsia="zh-CN"/>
              </w:rPr>
              <w:t xml:space="preserve"> et al</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3</w:t>
            </w:r>
            <w:r w:rsidRPr="00682C4E">
              <w:rPr>
                <w:rFonts w:ascii="Book Antiqua" w:eastAsia="Calibri" w:hAnsi="Book Antiqua"/>
                <w:b w:val="0"/>
                <w:bCs w:val="0"/>
                <w:vertAlign w:val="superscript"/>
                <w:lang w:eastAsia="zh-CN"/>
              </w:rPr>
              <w:t>5]</w:t>
            </w:r>
            <w:r w:rsidRPr="00682C4E">
              <w:rPr>
                <w:rFonts w:ascii="Book Antiqua" w:eastAsia="Calibri" w:hAnsi="Book Antiqua"/>
                <w:b w:val="0"/>
                <w:bCs w:val="0"/>
                <w:lang w:eastAsia="zh-CN"/>
              </w:rPr>
              <w:t>, 2020</w:t>
            </w:r>
          </w:p>
        </w:tc>
        <w:tc>
          <w:tcPr>
            <w:tcW w:w="834" w:type="pct"/>
            <w:shd w:val="clear" w:color="auto" w:fill="auto"/>
          </w:tcPr>
          <w:p w14:paraId="0BCC8929"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Senegal</w:t>
            </w:r>
          </w:p>
        </w:tc>
        <w:tc>
          <w:tcPr>
            <w:tcW w:w="372" w:type="pct"/>
            <w:shd w:val="clear" w:color="auto" w:fill="auto"/>
          </w:tcPr>
          <w:p w14:paraId="40B6976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43</w:t>
            </w:r>
          </w:p>
        </w:tc>
        <w:tc>
          <w:tcPr>
            <w:tcW w:w="408" w:type="pct"/>
            <w:shd w:val="clear" w:color="auto" w:fill="auto"/>
          </w:tcPr>
          <w:p w14:paraId="37DA2188"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46452836"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2</w:t>
            </w:r>
          </w:p>
        </w:tc>
        <w:tc>
          <w:tcPr>
            <w:tcW w:w="408" w:type="pct"/>
            <w:shd w:val="clear" w:color="auto" w:fill="auto"/>
          </w:tcPr>
          <w:p w14:paraId="6624763B"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1FD8B4B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84" w:type="pct"/>
            <w:shd w:val="clear" w:color="auto" w:fill="auto"/>
          </w:tcPr>
          <w:p w14:paraId="579A8170"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5D648A2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r w:rsidR="00510012" w:rsidRPr="00682C4E" w14:paraId="33CDB7E5" w14:textId="77777777" w:rsidTr="00682C4E">
        <w:tc>
          <w:tcPr>
            <w:cnfStyle w:val="001000000000" w:firstRow="0" w:lastRow="0" w:firstColumn="1" w:lastColumn="0" w:oddVBand="0" w:evenVBand="0" w:oddHBand="0" w:evenHBand="0" w:firstRowFirstColumn="0" w:firstRowLastColumn="0" w:lastRowFirstColumn="0" w:lastRowLastColumn="0"/>
            <w:tcW w:w="758" w:type="pct"/>
            <w:shd w:val="clear" w:color="auto" w:fill="auto"/>
          </w:tcPr>
          <w:p w14:paraId="4FAB1558" w14:textId="77777777" w:rsidR="00510012" w:rsidRPr="00682C4E" w:rsidRDefault="001B61A7" w:rsidP="00FC1600">
            <w:pPr>
              <w:snapToGrid w:val="0"/>
              <w:spacing w:line="360" w:lineRule="auto"/>
              <w:jc w:val="both"/>
              <w:rPr>
                <w:rFonts w:ascii="Book Antiqua" w:eastAsia="Calibri" w:hAnsi="Book Antiqua"/>
                <w:lang w:eastAsia="zh-CN"/>
              </w:rPr>
            </w:pPr>
            <w:r w:rsidRPr="00682C4E">
              <w:rPr>
                <w:rFonts w:ascii="Book Antiqua" w:eastAsia="Calibri" w:hAnsi="Book Antiqua"/>
                <w:b w:val="0"/>
                <w:bCs w:val="0"/>
                <w:lang w:eastAsia="zh-CN"/>
              </w:rPr>
              <w:t>Al-Mayahi</w:t>
            </w:r>
            <w:r w:rsidRPr="00682C4E">
              <w:rPr>
                <w:rFonts w:ascii="Book Antiqua" w:eastAsia="Calibri" w:hAnsi="Book Antiqua"/>
                <w:b w:val="0"/>
                <w:bCs w:val="0"/>
                <w:i/>
                <w:iCs/>
                <w:lang w:eastAsia="zh-CN"/>
              </w:rPr>
              <w:t xml:space="preserve"> </w:t>
            </w:r>
            <w:r w:rsidRPr="00682C4E">
              <w:rPr>
                <w:rFonts w:ascii="Book Antiqua" w:eastAsia="Calibri" w:hAnsi="Book Antiqua"/>
                <w:b w:val="0"/>
                <w:bCs w:val="0"/>
                <w:lang w:eastAsia="zh-CN"/>
              </w:rPr>
              <w:t xml:space="preserve">and </w:t>
            </w:r>
            <w:r w:rsidRPr="00682C4E">
              <w:rPr>
                <w:rFonts w:ascii="Book Antiqua" w:hAnsi="Book Antiqua"/>
                <w:b w:val="0"/>
                <w:bCs w:val="0"/>
                <w:lang w:eastAsia="zh-CN"/>
              </w:rPr>
              <w:t>Jaber</w:t>
            </w:r>
            <w:r w:rsidRPr="00682C4E">
              <w:rPr>
                <w:rFonts w:ascii="Book Antiqua" w:eastAsia="Calibri" w:hAnsi="Book Antiqua"/>
                <w:b w:val="0"/>
                <w:bCs w:val="0"/>
                <w:vertAlign w:val="superscript"/>
                <w:lang w:eastAsia="zh-CN"/>
              </w:rPr>
              <w:t>[</w:t>
            </w:r>
            <w:r w:rsidR="003E1E2E" w:rsidRPr="00682C4E">
              <w:rPr>
                <w:rFonts w:ascii="Book Antiqua" w:hAnsi="Book Antiqua"/>
                <w:b w:val="0"/>
                <w:bCs w:val="0"/>
                <w:vertAlign w:val="superscript"/>
                <w:lang w:eastAsia="zh-CN"/>
              </w:rPr>
              <w:t>3</w:t>
            </w:r>
            <w:r w:rsidRPr="00682C4E">
              <w:rPr>
                <w:rFonts w:ascii="Book Antiqua" w:eastAsia="Calibri" w:hAnsi="Book Antiqua"/>
                <w:b w:val="0"/>
                <w:bCs w:val="0"/>
                <w:vertAlign w:val="superscript"/>
                <w:lang w:eastAsia="zh-CN"/>
              </w:rPr>
              <w:t>6]</w:t>
            </w:r>
            <w:r w:rsidRPr="00682C4E">
              <w:rPr>
                <w:rFonts w:ascii="Book Antiqua" w:eastAsia="Calibri" w:hAnsi="Book Antiqua"/>
                <w:b w:val="0"/>
                <w:bCs w:val="0"/>
                <w:lang w:eastAsia="zh-CN"/>
              </w:rPr>
              <w:t>, 2020</w:t>
            </w:r>
          </w:p>
        </w:tc>
        <w:tc>
          <w:tcPr>
            <w:tcW w:w="834" w:type="pct"/>
            <w:shd w:val="clear" w:color="auto" w:fill="auto"/>
          </w:tcPr>
          <w:p w14:paraId="715EAE1A"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Iraq</w:t>
            </w:r>
          </w:p>
        </w:tc>
        <w:tc>
          <w:tcPr>
            <w:tcW w:w="372" w:type="pct"/>
            <w:shd w:val="clear" w:color="auto" w:fill="auto"/>
          </w:tcPr>
          <w:p w14:paraId="584A132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90</w:t>
            </w:r>
          </w:p>
        </w:tc>
        <w:tc>
          <w:tcPr>
            <w:tcW w:w="408" w:type="pct"/>
            <w:shd w:val="clear" w:color="auto" w:fill="auto"/>
          </w:tcPr>
          <w:p w14:paraId="2CCEAFBE"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551" w:type="pct"/>
            <w:shd w:val="clear" w:color="auto" w:fill="auto"/>
          </w:tcPr>
          <w:p w14:paraId="1038D24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15</w:t>
            </w:r>
          </w:p>
        </w:tc>
        <w:tc>
          <w:tcPr>
            <w:tcW w:w="408" w:type="pct"/>
            <w:shd w:val="clear" w:color="auto" w:fill="auto"/>
          </w:tcPr>
          <w:p w14:paraId="6EE8E2B5"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447" w:type="pct"/>
            <w:shd w:val="clear" w:color="auto" w:fill="auto"/>
          </w:tcPr>
          <w:p w14:paraId="774E3AED"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15</w:t>
            </w:r>
          </w:p>
        </w:tc>
        <w:tc>
          <w:tcPr>
            <w:tcW w:w="584" w:type="pct"/>
            <w:shd w:val="clear" w:color="auto" w:fill="auto"/>
          </w:tcPr>
          <w:p w14:paraId="0F379BFF"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ND</w:t>
            </w:r>
          </w:p>
        </w:tc>
        <w:tc>
          <w:tcPr>
            <w:tcW w:w="639" w:type="pct"/>
            <w:shd w:val="clear" w:color="auto" w:fill="auto"/>
          </w:tcPr>
          <w:p w14:paraId="63684FE4" w14:textId="77777777" w:rsidR="00510012" w:rsidRPr="00682C4E" w:rsidRDefault="001B61A7" w:rsidP="00FC1600">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lang w:eastAsia="zh-CN"/>
              </w:rPr>
            </w:pPr>
            <w:r w:rsidRPr="00682C4E">
              <w:rPr>
                <w:rFonts w:ascii="Book Antiqua" w:eastAsia="Calibri" w:hAnsi="Book Antiqua"/>
                <w:lang w:eastAsia="zh-CN"/>
              </w:rPr>
              <w:t>PCR</w:t>
            </w:r>
          </w:p>
        </w:tc>
      </w:tr>
    </w:tbl>
    <w:p w14:paraId="76148C67" w14:textId="4FD877F9" w:rsidR="00510012" w:rsidRPr="00682C4E" w:rsidRDefault="00682C4E" w:rsidP="00FC1600">
      <w:pPr>
        <w:snapToGrid w:val="0"/>
        <w:spacing w:line="360" w:lineRule="auto"/>
        <w:jc w:val="both"/>
        <w:rPr>
          <w:rFonts w:ascii="Book Antiqua" w:hAnsi="Book Antiqua"/>
          <w:lang w:eastAsia="zh-CN"/>
        </w:rPr>
      </w:pPr>
      <w:r w:rsidRPr="00682C4E">
        <w:rPr>
          <w:rFonts w:ascii="Book Antiqua" w:eastAsia="Calibri" w:hAnsi="Book Antiqua"/>
          <w:i/>
          <w:iCs/>
          <w:lang w:eastAsia="zh-CN"/>
        </w:rPr>
        <w:t>L. monocytogenes</w:t>
      </w:r>
      <w:r>
        <w:rPr>
          <w:rFonts w:ascii="Book Antiqua" w:eastAsia="Calibri" w:hAnsi="Book Antiqua"/>
          <w:lang w:eastAsia="zh-CN"/>
        </w:rPr>
        <w:t>:</w:t>
      </w:r>
      <w:r>
        <w:rPr>
          <w:rFonts w:ascii="Book Antiqua" w:hAnsi="Book Antiqua"/>
          <w:i/>
          <w:iCs/>
          <w:lang w:eastAsia="zh-CN"/>
        </w:rPr>
        <w:t xml:space="preserve"> Listeria </w:t>
      </w:r>
      <w:r w:rsidRPr="00682C4E">
        <w:rPr>
          <w:rFonts w:ascii="Book Antiqua" w:hAnsi="Book Antiqua"/>
          <w:i/>
          <w:iCs/>
          <w:lang w:eastAsia="zh-CN"/>
        </w:rPr>
        <w:t>monocytogenes</w:t>
      </w:r>
      <w:r>
        <w:rPr>
          <w:rFonts w:ascii="Book Antiqua" w:hAnsi="Book Antiqua"/>
          <w:lang w:eastAsia="zh-CN"/>
        </w:rPr>
        <w:t>;</w:t>
      </w:r>
      <w:r w:rsidR="006A4CE9">
        <w:rPr>
          <w:rFonts w:ascii="Book Antiqua" w:hAnsi="Book Antiqua"/>
          <w:lang w:eastAsia="zh-CN"/>
        </w:rPr>
        <w:t xml:space="preserve"> </w:t>
      </w:r>
      <w:r w:rsidR="001B61A7" w:rsidRPr="00682C4E">
        <w:rPr>
          <w:rFonts w:ascii="Book Antiqua" w:hAnsi="Book Antiqua"/>
          <w:lang w:eastAsia="zh-CN"/>
        </w:rPr>
        <w:t xml:space="preserve">PCR: Polymerase chain reaction; ND: Not detected; IFA: Increased femoral anteversion; </w:t>
      </w:r>
      <w:r w:rsidR="001B61A7" w:rsidRPr="00682C4E">
        <w:rPr>
          <w:rFonts w:ascii="Book Antiqua" w:eastAsia="Calibri" w:hAnsi="Book Antiqua"/>
        </w:rPr>
        <w:t>IgG:</w:t>
      </w:r>
      <w:r w:rsidR="001B61A7" w:rsidRPr="00682C4E">
        <w:rPr>
          <w:rFonts w:ascii="Book Antiqua" w:hAnsi="Book Antiqua"/>
          <w:lang w:eastAsia="zh-CN"/>
        </w:rPr>
        <w:t xml:space="preserve"> Immunoglobulin G.</w:t>
      </w:r>
    </w:p>
    <w:sectPr w:rsidR="00510012" w:rsidRPr="00682C4E" w:rsidSect="00682C4E">
      <w:type w:val="continuous"/>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Author" w:initials="A">
    <w:p w14:paraId="266F4CDF" w14:textId="77777777" w:rsidR="00682C4E" w:rsidRDefault="00682C4E">
      <w:pPr>
        <w:pStyle w:val="CommentText"/>
      </w:pPr>
      <w:r>
        <w:rPr>
          <w:rStyle w:val="CommentReference"/>
        </w:rPr>
        <w:annotationRef/>
      </w:r>
      <w:r>
        <w:t>A space is needed between article and type in the second box down on the right.</w:t>
      </w:r>
    </w:p>
    <w:p w14:paraId="12992C94" w14:textId="6E884BA8" w:rsidR="00682C4E" w:rsidRDefault="00682C4E">
      <w:pPr>
        <w:pStyle w:val="CommentText"/>
      </w:pPr>
      <w:r>
        <w:t>A space is needed after the commas in the third box down on the right.</w:t>
      </w:r>
    </w:p>
  </w:comment>
  <w:comment w:id="1" w:author="Author" w:initials="A">
    <w:p w14:paraId="77D45C0A" w14:textId="1D2B361C" w:rsidR="00BB7A1B" w:rsidRDefault="00BB7A1B">
      <w:pPr>
        <w:pStyle w:val="CommentText"/>
      </w:pPr>
      <w:r>
        <w:rPr>
          <w:rStyle w:val="CommentReference"/>
        </w:rPr>
        <w:annotationRef/>
      </w:r>
      <w:r>
        <w:t>Is done.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2992C94" w15:done="0"/>
  <w15:commentEx w15:paraId="77D45C0A" w15:paraIdParent="12992C9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992C94" w16cid:durableId="24772B53"/>
  <w16cid:commentId w16cid:paraId="77D45C0A" w16cid:durableId="2478F4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347396" w14:textId="77777777" w:rsidR="00185CF6" w:rsidRDefault="00185CF6">
      <w:r>
        <w:separator/>
      </w:r>
    </w:p>
  </w:endnote>
  <w:endnote w:type="continuationSeparator" w:id="0">
    <w:p w14:paraId="03F59AA7" w14:textId="77777777" w:rsidR="00185CF6" w:rsidRDefault="00185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9DE18" w14:textId="59DF991E" w:rsidR="00510012" w:rsidRPr="00682C4E" w:rsidRDefault="001B61A7">
    <w:pPr>
      <w:pStyle w:val="Footer"/>
      <w:jc w:val="right"/>
      <w:rPr>
        <w:rFonts w:ascii="Book Antiqua" w:hAnsi="Book Antiqua"/>
        <w:sz w:val="24"/>
        <w:szCs w:val="24"/>
      </w:rPr>
    </w:pPr>
    <w:r>
      <w:rPr>
        <w:color w:val="4F81BD" w:themeColor="accent1"/>
        <w:lang w:val="zh-CN" w:eastAsia="zh-CN"/>
      </w:rPr>
      <w:t xml:space="preserve"> </w:t>
    </w:r>
    <w:r w:rsidRPr="00682C4E">
      <w:rPr>
        <w:rFonts w:ascii="Book Antiqua" w:hAnsi="Book Antiqua"/>
        <w:sz w:val="24"/>
        <w:szCs w:val="24"/>
      </w:rPr>
      <w:fldChar w:fldCharType="begin"/>
    </w:r>
    <w:r w:rsidRPr="00682C4E">
      <w:rPr>
        <w:rFonts w:ascii="Book Antiqua" w:hAnsi="Book Antiqua"/>
        <w:sz w:val="24"/>
        <w:szCs w:val="24"/>
      </w:rPr>
      <w:instrText>PAGE  \* Arabic  \* MERGEFORMAT</w:instrText>
    </w:r>
    <w:r w:rsidRPr="00682C4E">
      <w:rPr>
        <w:rFonts w:ascii="Book Antiqua" w:hAnsi="Book Antiqua"/>
        <w:sz w:val="24"/>
        <w:szCs w:val="24"/>
      </w:rPr>
      <w:fldChar w:fldCharType="separate"/>
    </w:r>
    <w:r w:rsidR="00BB7A1B" w:rsidRPr="00BB7A1B">
      <w:rPr>
        <w:rFonts w:ascii="Book Antiqua" w:hAnsi="Book Antiqua"/>
        <w:noProof/>
        <w:sz w:val="24"/>
        <w:szCs w:val="24"/>
        <w:lang w:val="zh-CN" w:eastAsia="zh-CN"/>
      </w:rPr>
      <w:t>20</w:t>
    </w:r>
    <w:r w:rsidRPr="00682C4E">
      <w:rPr>
        <w:rFonts w:ascii="Book Antiqua" w:hAnsi="Book Antiqua"/>
        <w:sz w:val="24"/>
        <w:szCs w:val="24"/>
      </w:rPr>
      <w:fldChar w:fldCharType="end"/>
    </w:r>
    <w:r w:rsidRPr="00682C4E">
      <w:rPr>
        <w:rFonts w:ascii="Book Antiqua" w:hAnsi="Book Antiqua"/>
        <w:sz w:val="24"/>
        <w:szCs w:val="24"/>
        <w:lang w:val="zh-CN" w:eastAsia="zh-CN"/>
      </w:rPr>
      <w:t xml:space="preserve"> / </w:t>
    </w:r>
    <w:r w:rsidRPr="00682C4E">
      <w:rPr>
        <w:rFonts w:ascii="Book Antiqua" w:hAnsi="Book Antiqua"/>
        <w:sz w:val="24"/>
        <w:szCs w:val="24"/>
      </w:rPr>
      <w:fldChar w:fldCharType="begin"/>
    </w:r>
    <w:r w:rsidRPr="00682C4E">
      <w:rPr>
        <w:rFonts w:ascii="Book Antiqua" w:hAnsi="Book Antiqua"/>
        <w:sz w:val="24"/>
        <w:szCs w:val="24"/>
      </w:rPr>
      <w:instrText>NUMPAGES  \* Arabic  \* MERGEFORMAT</w:instrText>
    </w:r>
    <w:r w:rsidRPr="00682C4E">
      <w:rPr>
        <w:rFonts w:ascii="Book Antiqua" w:hAnsi="Book Antiqua"/>
        <w:sz w:val="24"/>
        <w:szCs w:val="24"/>
      </w:rPr>
      <w:fldChar w:fldCharType="separate"/>
    </w:r>
    <w:r w:rsidR="00BB7A1B" w:rsidRPr="00BB7A1B">
      <w:rPr>
        <w:rFonts w:ascii="Book Antiqua" w:hAnsi="Book Antiqua"/>
        <w:noProof/>
        <w:sz w:val="24"/>
        <w:szCs w:val="24"/>
        <w:lang w:val="zh-CN" w:eastAsia="zh-CN"/>
      </w:rPr>
      <w:t>25</w:t>
    </w:r>
    <w:r w:rsidRPr="00682C4E">
      <w:rPr>
        <w:rFonts w:ascii="Book Antiqua" w:hAnsi="Book Antiqua"/>
        <w:sz w:val="24"/>
        <w:szCs w:val="24"/>
      </w:rPr>
      <w:fldChar w:fldCharType="end"/>
    </w:r>
  </w:p>
  <w:p w14:paraId="7AFA248B" w14:textId="77777777" w:rsidR="00510012" w:rsidRDefault="005100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7A01C" w14:textId="77777777" w:rsidR="00185CF6" w:rsidRDefault="00185CF6">
      <w:r>
        <w:separator/>
      </w:r>
    </w:p>
  </w:footnote>
  <w:footnote w:type="continuationSeparator" w:id="0">
    <w:p w14:paraId="2F4725B2" w14:textId="77777777" w:rsidR="00185CF6" w:rsidRDefault="00185C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41A"/>
    <w:rsid w:val="000054BC"/>
    <w:rsid w:val="0002042D"/>
    <w:rsid w:val="0003606C"/>
    <w:rsid w:val="000E7D3C"/>
    <w:rsid w:val="000F46F5"/>
    <w:rsid w:val="00136192"/>
    <w:rsid w:val="00165A97"/>
    <w:rsid w:val="00173067"/>
    <w:rsid w:val="00185CF6"/>
    <w:rsid w:val="001B61A7"/>
    <w:rsid w:val="001C6F6C"/>
    <w:rsid w:val="001D564F"/>
    <w:rsid w:val="001D6E69"/>
    <w:rsid w:val="001E3214"/>
    <w:rsid w:val="001F2ED5"/>
    <w:rsid w:val="002210C0"/>
    <w:rsid w:val="00231810"/>
    <w:rsid w:val="00244E05"/>
    <w:rsid w:val="00286279"/>
    <w:rsid w:val="002C4222"/>
    <w:rsid w:val="002F0CE5"/>
    <w:rsid w:val="00316ACC"/>
    <w:rsid w:val="003C4980"/>
    <w:rsid w:val="003E1E2E"/>
    <w:rsid w:val="004337AC"/>
    <w:rsid w:val="0045588B"/>
    <w:rsid w:val="004560E8"/>
    <w:rsid w:val="00467400"/>
    <w:rsid w:val="0048759B"/>
    <w:rsid w:val="004934F7"/>
    <w:rsid w:val="004A0BFD"/>
    <w:rsid w:val="004C434C"/>
    <w:rsid w:val="004F19AB"/>
    <w:rsid w:val="004F5052"/>
    <w:rsid w:val="00510012"/>
    <w:rsid w:val="0056433E"/>
    <w:rsid w:val="005737CA"/>
    <w:rsid w:val="005B3717"/>
    <w:rsid w:val="005B4423"/>
    <w:rsid w:val="005F31EF"/>
    <w:rsid w:val="00604936"/>
    <w:rsid w:val="006053CF"/>
    <w:rsid w:val="00682C4E"/>
    <w:rsid w:val="0068583F"/>
    <w:rsid w:val="006A22F4"/>
    <w:rsid w:val="006A4CE9"/>
    <w:rsid w:val="006E4DF5"/>
    <w:rsid w:val="00705D3D"/>
    <w:rsid w:val="007104FF"/>
    <w:rsid w:val="007152ED"/>
    <w:rsid w:val="0071549D"/>
    <w:rsid w:val="007471D6"/>
    <w:rsid w:val="00751DE6"/>
    <w:rsid w:val="00792F37"/>
    <w:rsid w:val="007D7396"/>
    <w:rsid w:val="0080255C"/>
    <w:rsid w:val="00811AA6"/>
    <w:rsid w:val="00824FC9"/>
    <w:rsid w:val="0085127A"/>
    <w:rsid w:val="00874951"/>
    <w:rsid w:val="008762FD"/>
    <w:rsid w:val="00891D8C"/>
    <w:rsid w:val="00893600"/>
    <w:rsid w:val="00895283"/>
    <w:rsid w:val="008B5FCF"/>
    <w:rsid w:val="0091391C"/>
    <w:rsid w:val="00945E40"/>
    <w:rsid w:val="009532E4"/>
    <w:rsid w:val="009618EC"/>
    <w:rsid w:val="00995131"/>
    <w:rsid w:val="009A6017"/>
    <w:rsid w:val="009B0ACD"/>
    <w:rsid w:val="009E6A70"/>
    <w:rsid w:val="00A041BE"/>
    <w:rsid w:val="00A771AD"/>
    <w:rsid w:val="00A77B3E"/>
    <w:rsid w:val="00A854DC"/>
    <w:rsid w:val="00A85996"/>
    <w:rsid w:val="00B444FE"/>
    <w:rsid w:val="00B90D0E"/>
    <w:rsid w:val="00BA37DC"/>
    <w:rsid w:val="00BA4D8B"/>
    <w:rsid w:val="00BB7271"/>
    <w:rsid w:val="00BB7A1B"/>
    <w:rsid w:val="00BC03BB"/>
    <w:rsid w:val="00BD3372"/>
    <w:rsid w:val="00C12986"/>
    <w:rsid w:val="00C15454"/>
    <w:rsid w:val="00C32295"/>
    <w:rsid w:val="00C342B1"/>
    <w:rsid w:val="00C43D5B"/>
    <w:rsid w:val="00C45C8F"/>
    <w:rsid w:val="00CA2A55"/>
    <w:rsid w:val="00CA555B"/>
    <w:rsid w:val="00CC20E3"/>
    <w:rsid w:val="00D55FA6"/>
    <w:rsid w:val="00D61A95"/>
    <w:rsid w:val="00D8617A"/>
    <w:rsid w:val="00D873C0"/>
    <w:rsid w:val="00DA3DAF"/>
    <w:rsid w:val="00DC56D5"/>
    <w:rsid w:val="00DC59AD"/>
    <w:rsid w:val="00DD0CA5"/>
    <w:rsid w:val="00DD2E5E"/>
    <w:rsid w:val="00E10348"/>
    <w:rsid w:val="00E35EB6"/>
    <w:rsid w:val="00E3756A"/>
    <w:rsid w:val="00E40D91"/>
    <w:rsid w:val="00E62FF4"/>
    <w:rsid w:val="00E660C1"/>
    <w:rsid w:val="00E97FB7"/>
    <w:rsid w:val="00EC2EC9"/>
    <w:rsid w:val="00EC7F7F"/>
    <w:rsid w:val="00EE4EE2"/>
    <w:rsid w:val="00F07057"/>
    <w:rsid w:val="00F547A0"/>
    <w:rsid w:val="00FA6387"/>
    <w:rsid w:val="00FC1600"/>
    <w:rsid w:val="02BD7E95"/>
    <w:rsid w:val="17C31F79"/>
    <w:rsid w:val="1B1860AA"/>
    <w:rsid w:val="529A636F"/>
    <w:rsid w:val="6E62725E"/>
    <w:rsid w:val="7DB037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D75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BalloonText">
    <w:name w:val="Balloon Text"/>
    <w:basedOn w:val="Normal"/>
    <w:link w:val="BalloonTextChar"/>
    <w:rPr>
      <w:rFonts w:ascii="Segoe UI" w:hAnsi="Segoe UI" w:cs="Segoe UI"/>
      <w:sz w:val="18"/>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rPr>
      <w:b/>
      <w:bCs/>
    </w:rPr>
  </w:style>
  <w:style w:type="character" w:styleId="Hyperlink">
    <w:name w:val="Hyperlink"/>
    <w:basedOn w:val="DefaultParagraphFont"/>
    <w:unhideWhenUsed/>
    <w:qFormat/>
    <w:rPr>
      <w:color w:val="0000FF" w:themeColor="hyperlink"/>
      <w:u w:val="single"/>
    </w:rPr>
  </w:style>
  <w:style w:type="character" w:styleId="CommentReference">
    <w:name w:val="annotation reference"/>
    <w:basedOn w:val="DefaultParagraphFont"/>
    <w:semiHidden/>
    <w:unhideWhenUsed/>
    <w:rPr>
      <w:sz w:val="21"/>
      <w:szCs w:val="21"/>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GridTable6Colorful1">
    <w:name w:val="Grid Table 6 Colorful1"/>
    <w:basedOn w:val="TableNormal"/>
    <w:rPr>
      <w:rFonts w:eastAsia="Times New Roman"/>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ascii="Times New Roman" w:hAnsi="Times New Roman" w:cs="Times New Roman" w:hint="default"/>
        <w:b/>
        <w:bCs/>
      </w:rPr>
      <w:tblPr/>
      <w:tcPr>
        <w:tcBorders>
          <w:bottom w:val="single" w:sz="12" w:space="0" w:color="666666"/>
        </w:tcBorders>
      </w:tcPr>
    </w:tblStylePr>
    <w:tblStylePr w:type="lastRow">
      <w:rPr>
        <w:rFonts w:ascii="Times New Roman" w:hAnsi="Times New Roman" w:cs="Times New Roman" w:hint="default"/>
        <w:b/>
        <w:bCs/>
      </w:rPr>
      <w:tblPr/>
      <w:tcPr>
        <w:tcBorders>
          <w:top w:val="double" w:sz="2" w:space="0" w:color="666666"/>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CCCCCC"/>
      </w:tcPr>
    </w:tblStylePr>
    <w:tblStylePr w:type="band1Horz">
      <w:tblPr/>
      <w:tcPr>
        <w:shd w:val="clear" w:color="auto" w:fill="CCCCCC"/>
      </w:tcPr>
    </w:tblStylePr>
  </w:style>
  <w:style w:type="character" w:customStyle="1" w:styleId="jlqj4b">
    <w:name w:val="jlqj4b"/>
    <w:basedOn w:val="DefaultParagraphFont"/>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rPr>
      <w:b/>
      <w:bCs/>
      <w:sz w:val="24"/>
      <w:szCs w:val="24"/>
    </w:rPr>
  </w:style>
  <w:style w:type="character" w:customStyle="1" w:styleId="15">
    <w:name w:val="15"/>
    <w:basedOn w:val="DefaultParagraphFont"/>
    <w:qFormat/>
    <w:rPr>
      <w:rFonts w:ascii="Times New Roman" w:hAnsi="Times New Roman" w:cs="Times New Roman" w:hint="default"/>
      <w:color w:val="0000FF"/>
      <w:u w:val="single"/>
    </w:rPr>
  </w:style>
  <w:style w:type="character" w:customStyle="1" w:styleId="BalloonTextChar">
    <w:name w:val="Balloon Text Char"/>
    <w:basedOn w:val="DefaultParagraphFont"/>
    <w:link w:val="BalloonText"/>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masoud.keykha90@gmail.com" TargetMode="Externa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4888</Words>
  <Characters>27866</Characters>
  <Application>Microsoft Office Word</Application>
  <DocSecurity>0</DocSecurity>
  <Lines>232</Lines>
  <Paragraphs>65</Paragraphs>
  <ScaleCrop>false</ScaleCrop>
  <Manager/>
  <Company/>
  <LinksUpToDate>false</LinksUpToDate>
  <CharactersWithSpaces>32689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2021-06-20T04:54:00Z</dcterms:created>
  <dcterms:modified xsi:type="dcterms:W3CDTF">2021-06-20T04:54:00Z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239B2A1CFBF74355944E0B1375257F61</vt:lpwstr>
  </property>
</Properties>
</file>