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67493</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rPr>
        <w:t>f</w:t>
      </w:r>
      <w:r>
        <w:rPr>
          <w:rFonts w:ascii="Book Antiqua" w:hAnsi="Book Antiqua" w:eastAsia="Book Antiqua" w:cs="Book Antiqua"/>
          <w:b/>
          <w:color w:val="000000"/>
        </w:rPr>
        <w:t>ocal nodular hyperplasia associated with a giant hepatocellular adenoma: A case report and review of literature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 xml:space="preserve">Gaspar-Figueiredo S </w:t>
      </w:r>
      <w:r>
        <w:rPr>
          <w:rFonts w:ascii="Book Antiqua" w:hAnsi="Book Antiqua" w:eastAsia="Book Antiqua" w:cs="Book Antiqua"/>
          <w:i/>
          <w:iCs/>
          <w:color w:val="000000"/>
        </w:rPr>
        <w:t>et al</w:t>
      </w:r>
      <w:r>
        <w:rPr>
          <w:rFonts w:ascii="Book Antiqua" w:hAnsi="Book Antiqua" w:eastAsia="Book Antiqua" w:cs="Book Antiqua"/>
          <w:color w:val="000000"/>
        </w:rPr>
        <w:t>. Simultaneous benign liver tumors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Sérgio Gaspar-Figueiredo, Amaniel Kefleyesus, Christine Sempoux, Emilie Uldry, Nermin Halkic</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b/>
        </w:rPr>
        <w:t>Sergio Gaspar-Figueiredo</w:t>
      </w:r>
      <w:r>
        <w:rPr>
          <w:rFonts w:ascii="Book Antiqua" w:hAnsi="Book Antiqua"/>
        </w:rPr>
        <w:t xml:space="preserve">, </w:t>
      </w:r>
      <w:r>
        <w:rPr>
          <w:rFonts w:ascii="Book Antiqua" w:hAnsi="Book Antiqua"/>
          <w:b/>
        </w:rPr>
        <w:t>Amaniel Kefleyesus</w:t>
      </w:r>
      <w:r>
        <w:rPr>
          <w:rFonts w:ascii="Book Antiqua" w:hAnsi="Book Antiqua"/>
        </w:rPr>
        <w:t xml:space="preserve">, </w:t>
      </w:r>
      <w:r>
        <w:rPr>
          <w:rFonts w:ascii="Book Antiqua" w:hAnsi="Book Antiqua"/>
          <w:b/>
        </w:rPr>
        <w:t>Emilie Uldry</w:t>
      </w:r>
      <w:r>
        <w:rPr>
          <w:rFonts w:ascii="Book Antiqua" w:hAnsi="Book Antiqua"/>
        </w:rPr>
        <w:t xml:space="preserve">, </w:t>
      </w:r>
      <w:r>
        <w:rPr>
          <w:rFonts w:ascii="Book Antiqua" w:hAnsi="Book Antiqua"/>
          <w:b/>
        </w:rPr>
        <w:t>Nermin</w:t>
      </w:r>
      <w:r>
        <w:rPr>
          <w:rFonts w:ascii="Book Antiqua" w:hAnsi="Book Antiqua"/>
        </w:rPr>
        <w:t xml:space="preserve"> </w:t>
      </w:r>
      <w:r>
        <w:rPr>
          <w:rFonts w:ascii="Book Antiqua" w:hAnsi="Book Antiqua"/>
          <w:b/>
        </w:rPr>
        <w:t>Halkic</w:t>
      </w:r>
      <w:r>
        <w:rPr>
          <w:rFonts w:ascii="Book Antiqua" w:hAnsi="Book Antiqua"/>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Department of Visceral Surgery, Lausanne University Hospital, Lausanne 1011, Switzerland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Christine Sempoux, </w:t>
      </w:r>
      <w:r>
        <w:rPr>
          <w:rFonts w:ascii="Book Antiqua" w:hAnsi="Book Antiqua"/>
        </w:rPr>
        <w:t>Department of</w:t>
      </w:r>
      <w:r>
        <w:rPr>
          <w:rFonts w:ascii="Book Antiqua" w:hAnsi="Book Antiqua" w:eastAsia="Book Antiqua" w:cs="Book Antiqua"/>
          <w:color w:val="000000"/>
        </w:rPr>
        <w:t xml:space="preserve"> Pathology, Lausanne University Hospital, Lausanne 1011, Switzerland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Gaspar-Figueiredo S and Kefleyesus A performed the literature review, collected all the data related to the case report, and recorded/edited the video-vignette related to the case report; Sempoux C did the anatomopathological examination/appraisal; Halkic N and Uldry E did the surgical appraisal; all authors have read and approved the final manuscript.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Nermin Halkic, MD, PhD, Chief Doctor, Professor, </w:t>
      </w:r>
      <w:r>
        <w:rPr>
          <w:rFonts w:ascii="Book Antiqua" w:hAnsi="Book Antiqua" w:eastAsia="Book Antiqua" w:cs="Book Antiqua"/>
          <w:color w:val="000000"/>
        </w:rPr>
        <w:t>Department of Visceral Surgery, Lausanne University Hospital, Rue du Bugnon 46, Lausanne 1011, Switzerland. nermin.halkic@chuv.ch</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25,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15,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31,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Oct</w:t>
      </w:r>
      <w:r>
        <w:rPr>
          <w:rFonts w:hint="eastAsia" w:ascii="Book Antiqua" w:hAnsi="Book Antiqua" w:eastAsia="宋体" w:cs="Book Antiqua"/>
          <w:color w:val="000000"/>
          <w:lang w:eastAsia="zh-CN"/>
        </w:rPr>
        <w:t>ober</w:t>
      </w:r>
      <w:r>
        <w:rPr>
          <w:rFonts w:ascii="Book Antiqua" w:hAnsi="Book Antiqua" w:eastAsia="Book Antiqua" w:cs="Book Antiqua"/>
          <w:color w:val="000000"/>
        </w:rPr>
        <w:t xml:space="preserve"> 27</w:t>
      </w:r>
      <w:r>
        <w:rPr>
          <w:rFonts w:hint="eastAsia" w:ascii="Book Antiqua" w:hAnsi="Book Antiqua" w:eastAsia="宋体" w:cs="Book Antiqua"/>
          <w:color w:val="000000"/>
          <w:lang w:eastAsia="zh-CN"/>
        </w:rPr>
        <w:t>, 2021</w:t>
      </w:r>
    </w:p>
    <w:p>
      <w:pPr>
        <w:snapToGrid w:val="0"/>
        <w:spacing w:line="360" w:lineRule="auto"/>
        <w:jc w:val="both"/>
        <w:rPr>
          <w:rFonts w:ascii="Book Antiqua" w:hAnsi="Book Antiqua"/>
        </w:rPr>
      </w:pP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Abstract</w:t>
      </w:r>
    </w:p>
    <w:p>
      <w:pPr>
        <w:snapToGrid w:val="0"/>
        <w:spacing w:line="360" w:lineRule="auto"/>
        <w:jc w:val="both"/>
        <w:rPr>
          <w:rFonts w:ascii="Book Antiqua" w:hAnsi="Book Antiqua"/>
        </w:rPr>
      </w:pPr>
      <w:r>
        <w:rPr>
          <w:rFonts w:ascii="Book Antiqua" w:hAnsi="Book Antiqua" w:eastAsia="Book Antiqua" w:cs="Book Antiqua"/>
          <w:color w:val="000000"/>
        </w:rPr>
        <w:t>BACKGROUND</w:t>
      </w:r>
    </w:p>
    <w:p>
      <w:pPr>
        <w:snapToGrid w:val="0"/>
        <w:spacing w:line="360" w:lineRule="auto"/>
        <w:jc w:val="both"/>
        <w:rPr>
          <w:rFonts w:ascii="Book Antiqua" w:hAnsi="Book Antiqua"/>
        </w:rPr>
      </w:pPr>
      <w:r>
        <w:rPr>
          <w:rFonts w:ascii="Book Antiqua" w:hAnsi="Book Antiqua" w:eastAsia="Book Antiqua" w:cs="Book Antiqua"/>
          <w:color w:val="000000"/>
        </w:rPr>
        <w:t xml:space="preserve">Focal nodular hyperplasia (FNH) and hepatocellular adenoma (HCA) are well-known benign liver lesions. Surgical treatment is usually chosen for symptomatic patients, lesions more than 5 cm, and uncertainty of diagnosis.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CASE SUMMARY</w:t>
      </w:r>
    </w:p>
    <w:p>
      <w:pPr>
        <w:snapToGrid w:val="0"/>
        <w:spacing w:line="360" w:lineRule="auto"/>
        <w:jc w:val="both"/>
        <w:rPr>
          <w:rFonts w:ascii="Book Antiqua" w:hAnsi="Book Antiqua"/>
        </w:rPr>
      </w:pPr>
      <w:r>
        <w:rPr>
          <w:rFonts w:ascii="Book Antiqua" w:hAnsi="Book Antiqua" w:eastAsia="Book Antiqua" w:cs="Book Antiqua"/>
          <w:color w:val="000000"/>
        </w:rPr>
        <w:t xml:space="preserve">We described the case of a large liver composite tumor in an asymptomatic 34-year-old female under oral contraceptive for 17-years. The imaging work-out described two components in this liver tumor; measuring 6 cm </w:t>
      </w:r>
      <w:r>
        <w:rPr>
          <w:rFonts w:ascii="Book Antiqua" w:hAnsi="Book Antiqua"/>
          <w:lang w:val="pl-PL"/>
        </w:rPr>
        <w:t>×</w:t>
      </w:r>
      <w:r>
        <w:rPr>
          <w:rFonts w:ascii="Book Antiqua" w:hAnsi="Book Antiqua" w:eastAsia="Book Antiqua" w:cs="Book Antiqua"/>
          <w:color w:val="000000"/>
        </w:rPr>
        <w:t xml:space="preserve"> 6 cm and 14 cm </w:t>
      </w:r>
      <w:r>
        <w:rPr>
          <w:rFonts w:ascii="Book Antiqua" w:hAnsi="Book Antiqua"/>
          <w:lang w:val="pl-PL"/>
        </w:rPr>
        <w:t>×</w:t>
      </w:r>
      <w:r>
        <w:rPr>
          <w:rFonts w:ascii="Book Antiqua" w:hAnsi="Book Antiqua" w:eastAsia="Book Antiqua" w:cs="Book Antiqua"/>
          <w:color w:val="000000"/>
        </w:rPr>
        <w:t xml:space="preserve"> 12 cm </w:t>
      </w:r>
      <w:r>
        <w:rPr>
          <w:rFonts w:ascii="Book Antiqua" w:hAnsi="Book Antiqua"/>
          <w:lang w:val="pl-PL"/>
        </w:rPr>
        <w:t>×</w:t>
      </w:r>
      <w:r>
        <w:rPr>
          <w:rFonts w:ascii="Book Antiqua" w:hAnsi="Book Antiqua" w:eastAsia="Book Antiqua" w:cs="Book Antiqua"/>
          <w:color w:val="000000"/>
        </w:rPr>
        <w:t xml:space="preserve"> 6 cm. The multidisciplinary team suggested surgery for this young woman with an unclear HCA diagnosis. She underwent a laparoscopic left liver lobectomy, with an uneventful postoperative course. Final pathological examination confirmed FNH associated with a large HCA. This manuscript aimed to make a literature review of the current management in this particular situation of large simultaneous benign liver tumors.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CONCLUSION</w:t>
      </w:r>
    </w:p>
    <w:p>
      <w:pPr>
        <w:snapToGrid w:val="0"/>
        <w:spacing w:line="360" w:lineRule="auto"/>
        <w:jc w:val="both"/>
        <w:rPr>
          <w:rFonts w:ascii="Book Antiqua" w:hAnsi="Book Antiqua"/>
        </w:rPr>
      </w:pPr>
      <w:r>
        <w:rPr>
          <w:rFonts w:ascii="Book Antiqua" w:hAnsi="Book Antiqua" w:eastAsia="Book Antiqua" w:cs="Book Antiqua"/>
          <w:color w:val="000000"/>
        </w:rPr>
        <w:t>The simultaneous presence of benign composite liver tumors is rare. This case highlights the management in a multidisciplinary team setting.</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Liver; Focal nodular hyperplasia; Hepatocellular adenoma; Composite tumor; Video vignette; Case report</w:t>
      </w:r>
    </w:p>
    <w:p>
      <w:pPr>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napToGrid w:val="0"/>
        <w:spacing w:line="360" w:lineRule="auto"/>
        <w:jc w:val="both"/>
        <w:rPr>
          <w:rFonts w:ascii="Book Antiqua" w:hAnsi="Book Antiqua"/>
        </w:rPr>
      </w:pPr>
    </w:p>
    <w:p>
      <w:pPr>
        <w:snapToGrid w:val="0"/>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Gaspar-Figueiredo S, Kefleyesus A, Sempoux C, Uldry E, Halkic N. Focal nodular hyperplasia associated with a giant hepatocellular adenoma: A case report and review of literature.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 xml:space="preserve">13(10): </w:t>
      </w:r>
      <w:r>
        <w:rPr>
          <w:rFonts w:hint="default" w:ascii="Book Antiqua" w:hAnsi="Book Antiqua" w:eastAsia="Book Antiqua" w:cs="Book Antiqua"/>
          <w:i w:val="0"/>
          <w:iCs w:val="0"/>
          <w:color w:val="000000"/>
          <w:kern w:val="0"/>
          <w:sz w:val="24"/>
          <w:szCs w:val="24"/>
          <w:u w:val="none"/>
          <w:lang w:val="en-US" w:eastAsia="zh-CN" w:bidi="ar"/>
        </w:rPr>
        <w:t>1450-1458</w:t>
      </w:r>
    </w:p>
    <w:p>
      <w:pPr>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https://www.wjgnet.com/1948-5182/full/v13/i10/</w:t>
      </w:r>
      <w:r>
        <w:rPr>
          <w:rFonts w:hint="eastAsia" w:ascii="Book Antiqua" w:hAnsi="Book Antiqua" w:eastAsia="宋体" w:cs="Book Antiqua"/>
          <w:color w:val="000000"/>
          <w:lang w:val="en-US" w:eastAsia="zh-CN"/>
        </w:rPr>
        <w:t>1450</w:t>
      </w:r>
      <w:r>
        <w:rPr>
          <w:rFonts w:hint="eastAsia" w:ascii="Book Antiqua" w:hAnsi="Book Antiqua" w:eastAsia="Book Antiqua" w:cs="Book Antiqua"/>
          <w:color w:val="000000"/>
        </w:rPr>
        <w:t xml:space="preserve">.htm </w:t>
      </w:r>
    </w:p>
    <w:p>
      <w:pPr>
        <w:snapToGrid w:val="0"/>
        <w:spacing w:line="360" w:lineRule="auto"/>
        <w:jc w:val="both"/>
        <w:rPr>
          <w:rFonts w:hint="default" w:ascii="Book Antiqua" w:hAnsi="Book Antiqua"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https://dx.doi.org/10.4254/wjh.v13.i10.</w:t>
      </w:r>
      <w:r>
        <w:rPr>
          <w:rFonts w:hint="eastAsia" w:ascii="Book Antiqua" w:hAnsi="Book Antiqua" w:eastAsia="宋体" w:cs="Book Antiqua"/>
          <w:color w:val="000000"/>
          <w:lang w:val="en-US" w:eastAsia="zh-CN"/>
        </w:rPr>
        <w:t>1450</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Focal nodular hyperplasia and hepatocellular adenoma (HCA) are frequent but non-malignant tumors. There is rarely indication for surgery. Combination of these two masses is a very unusual situation. Their diagnosis is mainly based on radiology. Oral contraception is a risk factor for HCA. Malignant transformation of HCA is the predominant argument for surgery. All these cases, especially composite tumors, must be discussed in a multidisciplinary team.</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snapToGrid w:val="0"/>
        <w:spacing w:line="360" w:lineRule="auto"/>
        <w:jc w:val="both"/>
        <w:rPr>
          <w:rFonts w:ascii="Book Antiqua" w:hAnsi="Book Antiqua"/>
        </w:rPr>
      </w:pPr>
      <w:r>
        <w:rPr>
          <w:rFonts w:ascii="Book Antiqua" w:hAnsi="Book Antiqua" w:eastAsia="Book Antiqua" w:cs="Book Antiqua"/>
          <w:color w:val="000000"/>
        </w:rPr>
        <w:t>Focal nodular hyperplasia (FNH) has become a pretty well-known disease in the past two decades. It is defined by a benign hyperplasic nodule with a central scar, appearing in the normal liver parenchyma, and is composed of normal hepatocytes in a multinodular structure</w:t>
      </w:r>
      <w:r>
        <w:rPr>
          <w:rFonts w:ascii="Book Antiqua" w:hAnsi="Book Antiqua" w:eastAsia="Book Antiqua" w:cs="Book Antiqua"/>
          <w:color w:val="000000"/>
          <w:vertAlign w:val="superscript"/>
        </w:rPr>
        <w:t>[1]</w:t>
      </w:r>
      <w:r>
        <w:rPr>
          <w:rFonts w:ascii="Book Antiqua" w:hAnsi="Book Antiqua" w:eastAsia="Book Antiqua" w:cs="Book Antiqua"/>
          <w:color w:val="000000"/>
        </w:rPr>
        <w:t>. Its incidence is between 0.6%-3%, predominantly affecting females patients (80%-90%) in their third or fourth decade. The pathophysiology is thought to be due to an increased arterial flow that leads to secondary hepatocellular hyperplasia</w:t>
      </w:r>
      <w:r>
        <w:rPr>
          <w:rFonts w:ascii="Book Antiqua" w:hAnsi="Book Antiqua" w:eastAsia="Book Antiqua" w:cs="Book Antiqua"/>
          <w:color w:val="000000"/>
          <w:vertAlign w:val="superscript"/>
        </w:rPr>
        <w:t>[2,3]</w:t>
      </w:r>
      <w:r>
        <w:rPr>
          <w:rFonts w:ascii="Book Antiqua" w:hAnsi="Book Antiqua" w:eastAsia="Book Antiqua" w:cs="Book Antiqua"/>
          <w:color w:val="000000"/>
        </w:rPr>
        <w:t>. The correlation with oral contraceptives (OCs) is unproven but very likely, given that OCs are taken almost exclusively by women (sex ratio 9:1) and the proven correlation between OCs and change in lesion size</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Hepatocellular adenoma (HCA) is a benign lesion with a malignant potential between 4% and 8%, according to recent works of Farges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and Sempoux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It classically arises in a noncirrhotic liver, in young females with an OC background. However, the understanding of HCA has evolved dramatically and we now know that it can also develop in patients with non-alcoholic steatohepatitis, certain vascular malformations, or alcoholic cirrhosis. Moreover, there are a wide variety of subtypes of this complex disease, making it very difficult to establish treatment guidelines</w:t>
      </w:r>
      <w:r>
        <w:rPr>
          <w:rFonts w:ascii="Book Antiqua" w:hAnsi="Book Antiqua" w:eastAsia="Book Antiqua" w:cs="Book Antiqua"/>
          <w:color w:val="000000"/>
          <w:vertAlign w:val="superscript"/>
        </w:rPr>
        <w:t>[8-10]</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In this present article, we aimed to describe the detailed management of a rare simultaneous case of FNH and HCA and a brief review of the literature.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snapToGrid w:val="0"/>
        <w:spacing w:line="360" w:lineRule="auto"/>
        <w:jc w:val="both"/>
        <w:rPr>
          <w:rFonts w:ascii="Book Antiqua" w:hAnsi="Book Antiqua"/>
        </w:rPr>
      </w:pPr>
      <w:r>
        <w:rPr>
          <w:rFonts w:ascii="Book Antiqua" w:hAnsi="Book Antiqua" w:eastAsia="Book Antiqua" w:cs="Book Antiqua"/>
          <w:color w:val="000000"/>
        </w:rPr>
        <w:t xml:space="preserve">A 34-year-old woman in general good health, with a medical history of oral contraceptives (desogestrel, ethinylestradiol) for 17 years consulted her general practitioner (GP) for a check-up.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snapToGrid w:val="0"/>
        <w:spacing w:line="360" w:lineRule="auto"/>
        <w:jc w:val="both"/>
        <w:rPr>
          <w:rFonts w:ascii="Book Antiqua" w:hAnsi="Book Antiqua"/>
        </w:rPr>
      </w:pPr>
      <w:r>
        <w:rPr>
          <w:rFonts w:ascii="Book Antiqua" w:hAnsi="Book Antiqua" w:eastAsia="Book Antiqua" w:cs="Book Antiqua"/>
          <w:color w:val="000000"/>
        </w:rPr>
        <w:t>She was completely asymptomatic.</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snapToGrid w:val="0"/>
        <w:spacing w:line="360" w:lineRule="auto"/>
        <w:jc w:val="both"/>
        <w:rPr>
          <w:rFonts w:ascii="Book Antiqua" w:hAnsi="Book Antiqua"/>
        </w:rPr>
      </w:pPr>
      <w:r>
        <w:rPr>
          <w:rFonts w:ascii="Book Antiqua" w:hAnsi="Book Antiqua" w:eastAsia="Book Antiqua" w:cs="Book Antiqua"/>
          <w:color w:val="000000"/>
        </w:rPr>
        <w:t>She had no past illness.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snapToGrid w:val="0"/>
        <w:spacing w:line="360" w:lineRule="auto"/>
        <w:jc w:val="both"/>
        <w:rPr>
          <w:rFonts w:ascii="Book Antiqua" w:hAnsi="Book Antiqua"/>
        </w:rPr>
      </w:pPr>
      <w:r>
        <w:rPr>
          <w:rFonts w:ascii="Book Antiqua" w:hAnsi="Book Antiqua" w:eastAsia="Book Antiqua" w:cs="Book Antiqua"/>
          <w:color w:val="000000"/>
        </w:rPr>
        <w:t>The patient had no past medical history except a knee orthopedic surgery 1 year before, had a stable weight with normal body mass index (21.1 kg/m</w:t>
      </w:r>
      <w:r>
        <w:rPr>
          <w:rFonts w:ascii="Book Antiqua" w:hAnsi="Book Antiqua" w:eastAsia="Book Antiqua" w:cs="Book Antiqua"/>
          <w:color w:val="000000"/>
          <w:vertAlign w:val="superscript"/>
        </w:rPr>
        <w:t>2</w:t>
      </w:r>
      <w:r>
        <w:rPr>
          <w:rFonts w:ascii="Book Antiqua" w:hAnsi="Book Antiqua" w:eastAsia="Book Antiqua" w:cs="Book Antiqua"/>
          <w:color w:val="000000"/>
        </w:rPr>
        <w:t>) and no familial medical history.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snapToGrid w:val="0"/>
        <w:spacing w:line="360" w:lineRule="auto"/>
        <w:jc w:val="both"/>
        <w:rPr>
          <w:rFonts w:ascii="Book Antiqua" w:hAnsi="Book Antiqua"/>
        </w:rPr>
      </w:pPr>
      <w:r>
        <w:rPr>
          <w:rFonts w:ascii="Book Antiqua" w:hAnsi="Book Antiqua" w:eastAsia="Book Antiqua" w:cs="Book Antiqua"/>
          <w:color w:val="000000"/>
        </w:rPr>
        <w:t xml:space="preserve">During the examination, her GP found a mobile and palpable abdominal mass of more than 10 cm in diameter, with no skin bulging at the Valsalva's maneuver (Figure 1).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snapToGrid w:val="0"/>
        <w:spacing w:line="360" w:lineRule="auto"/>
        <w:jc w:val="both"/>
        <w:rPr>
          <w:rFonts w:ascii="Book Antiqua" w:hAnsi="Book Antiqua"/>
        </w:rPr>
      </w:pPr>
      <w:r>
        <w:rPr>
          <w:rFonts w:ascii="Book Antiqua" w:hAnsi="Book Antiqua" w:eastAsia="Book Antiqua" w:cs="Book Antiqua"/>
          <w:color w:val="000000"/>
        </w:rPr>
        <w:t>The blood exams were normal, except for an elevation in alkaline phosphate level of 519 U/L (normal range = 36-108). Tumoral markers were normal.</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snapToGrid w:val="0"/>
        <w:spacing w:line="360" w:lineRule="auto"/>
        <w:jc w:val="both"/>
        <w:rPr>
          <w:rFonts w:ascii="Book Antiqua" w:hAnsi="Book Antiqua"/>
        </w:rPr>
      </w:pPr>
      <w:r>
        <w:rPr>
          <w:rFonts w:ascii="Book Antiqua" w:hAnsi="Book Antiqua" w:eastAsia="Book Antiqua" w:cs="Book Antiqua"/>
          <w:color w:val="000000"/>
        </w:rPr>
        <w:t xml:space="preserve">Abdominal ultrasound revealed an aspecific giant mass next to the left hepatic lobe. A computed tomography (CT scan) revealed a double mass attached to the left lobe of the liver. The first one had the typical characteristics of FNH and the second one of uncertain dignity. Further magnetic resonance imaging (MRI) confirmed a 6 cm x 6 cm mass suggestive of FNH in the inferior part of segment III. This 6 cm lesion was right next to a second one measuring 14 cm </w:t>
      </w:r>
      <w:r>
        <w:rPr>
          <w:rFonts w:ascii="Book Antiqua" w:hAnsi="Book Antiqua"/>
          <w:lang w:val="pl-PL"/>
        </w:rPr>
        <w:t>×</w:t>
      </w:r>
      <w:r>
        <w:rPr>
          <w:rFonts w:ascii="Book Antiqua" w:hAnsi="Book Antiqua" w:eastAsia="Book Antiqua" w:cs="Book Antiqua"/>
          <w:color w:val="000000"/>
        </w:rPr>
        <w:t xml:space="preserve"> 12 cm </w:t>
      </w:r>
      <w:r>
        <w:rPr>
          <w:rFonts w:ascii="Book Antiqua" w:hAnsi="Book Antiqua"/>
          <w:lang w:val="pl-PL"/>
        </w:rPr>
        <w:t>×</w:t>
      </w:r>
      <w:r>
        <w:rPr>
          <w:rFonts w:ascii="Book Antiqua" w:hAnsi="Book Antiqua" w:eastAsia="Book Antiqua" w:cs="Book Antiqua"/>
          <w:color w:val="000000"/>
        </w:rPr>
        <w:t xml:space="preserve"> 6 cm which dignity was unclear. The differential diagnosis was between an HCA, a hepatocellular carcinoma (fibrolamellar variant), or an atypical FNH (Figures 2-5).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napToGrid w:val="0"/>
        <w:spacing w:line="360" w:lineRule="auto"/>
        <w:jc w:val="both"/>
        <w:rPr>
          <w:rFonts w:ascii="Book Antiqua" w:hAnsi="Book Antiqua"/>
        </w:rPr>
      </w:pPr>
      <w:r>
        <w:rPr>
          <w:rFonts w:ascii="Book Antiqua" w:hAnsi="Book Antiqua" w:eastAsia="Book Antiqua" w:cs="Book Antiqua"/>
          <w:color w:val="000000"/>
        </w:rPr>
        <w:t>The pathologist’s report confirmed the diagnosis of 6 cm FNH resected with good margin and showed a non-beta-catenin</w:t>
      </w:r>
      <w:r>
        <w:rPr>
          <w:rFonts w:ascii="Book Antiqua" w:hAnsi="Book Antiqua" w:eastAsia="Book Antiqua" w:cs="Book Antiqua"/>
          <w:color w:val="000000"/>
          <w:shd w:val="clear" w:color="auto" w:fill="FFFFFF"/>
        </w:rPr>
        <w:t xml:space="preserve">–mutated </w:t>
      </w:r>
      <w:r>
        <w:rPr>
          <w:rFonts w:ascii="Book Antiqua" w:hAnsi="Book Antiqua" w:eastAsia="Book Antiqua" w:cs="Book Antiqua"/>
          <w:color w:val="000000"/>
        </w:rPr>
        <w:t xml:space="preserve">HCA (inflammatory subtype </w:t>
      </w:r>
      <w:r>
        <w:rPr>
          <w:rFonts w:ascii="Book Antiqua" w:hAnsi="Book Antiqua" w:eastAsia="Book Antiqua" w:cs="Book Antiqua"/>
          <w:color w:val="000000"/>
          <w:shd w:val="clear" w:color="auto" w:fill="FFFFFF"/>
        </w:rPr>
        <w:t>with more risk of malignant transformation</w:t>
      </w:r>
      <w:r>
        <w:rPr>
          <w:rFonts w:ascii="Book Antiqua" w:hAnsi="Book Antiqua" w:eastAsia="Book Antiqua" w:cs="Book Antiqua"/>
          <w:color w:val="000000"/>
        </w:rPr>
        <w:t xml:space="preserve">) (Figure 6).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snapToGrid w:val="0"/>
        <w:spacing w:line="360" w:lineRule="auto"/>
        <w:jc w:val="both"/>
        <w:rPr>
          <w:rFonts w:ascii="Book Antiqua" w:hAnsi="Book Antiqua"/>
        </w:rPr>
      </w:pPr>
      <w:r>
        <w:rPr>
          <w:rFonts w:ascii="Book Antiqua" w:hAnsi="Book Antiqua" w:eastAsia="Book Antiqua" w:cs="Book Antiqua"/>
          <w:color w:val="000000"/>
        </w:rPr>
        <w:t>Indication for surgery was retained during a multidisciplinary team (MDT) meeting as the first option for definitive diagnosis and treatment.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surgery was completed without complication. We summarize hereafter the key points of the minimally invasive procedure. After inserting 4 trocars for the laparoscopy (para-umbilical, right and left flank, subxiphoid) and staying away from the large dual mass which limited the range movements, we performed an ultrasound confirming a pedunculated mass (FNH) highly vascularized attached to segment III and a second component pedunculated between segment II and III. The mass showed no adhesion with the segment IV and the gallbladder allowing a left lobectomy. Dissection was performed with ultrasonic shears (Ultracision Harmonic, Ethicon Inc., NJ, United States) and transsection was completed with a 60mm stapler (tri-staple vascular cartridge, Endo-GIA, Medtronic, Minneapolis, MN, United States). We extracted the specimen with both lesions through a suprapubic (Pfannenstiel) incision. The operative time was 122 min. Blood loss was minimal (50 mL) (Video 1).</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postoperative course was uneventful and the patient was discharged on postoperative day 3.</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napToGrid w:val="0"/>
        <w:spacing w:line="360" w:lineRule="auto"/>
        <w:jc w:val="both"/>
        <w:rPr>
          <w:rFonts w:ascii="Book Antiqua" w:hAnsi="Book Antiqua"/>
        </w:rPr>
      </w:pPr>
      <w:r>
        <w:rPr>
          <w:rFonts w:ascii="Book Antiqua" w:hAnsi="Book Antiqua" w:eastAsia="Book Antiqua" w:cs="Book Antiqua"/>
          <w:color w:val="000000"/>
        </w:rPr>
        <w:t>The MDT meeting proposed a 1-year MRI follow-up with oral contraceptive discontinuation.</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One month after surgery, the patient was good without any complaint, her scar evolution was satisfactory and there was no sign of an early incisional hernia.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snapToGrid w:val="0"/>
        <w:spacing w:line="360" w:lineRule="auto"/>
        <w:jc w:val="both"/>
        <w:rPr>
          <w:rFonts w:ascii="Book Antiqua" w:hAnsi="Book Antiqua"/>
        </w:rPr>
      </w:pPr>
      <w:r>
        <w:rPr>
          <w:rFonts w:ascii="Book Antiqua" w:hAnsi="Book Antiqua" w:eastAsia="Book Antiqua" w:cs="Book Antiqua"/>
          <w:color w:val="000000"/>
        </w:rPr>
        <w:t>The interest of this case lies in the simultaneous discovery of 2 adjacent but pathologically different benign liver lesions: the first one (FNH) without a strong indication for surgery and the second one requiring surgery because of its uncertain diagnosis.</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FNH has no recognized risk of malignant transformation or bleeding and usually has an uneventful course. Therapeutic abstention is usually recommended for asymptomatic patients with a definitive diagnosis</w:t>
      </w:r>
      <w:r>
        <w:rPr>
          <w:rFonts w:ascii="Book Antiqua" w:hAnsi="Book Antiqua" w:eastAsia="Book Antiqua" w:cs="Book Antiqua"/>
          <w:color w:val="000000"/>
          <w:vertAlign w:val="superscript"/>
        </w:rPr>
        <w:t>[11]</w:t>
      </w:r>
      <w:r>
        <w:rPr>
          <w:rFonts w:ascii="Book Antiqua" w:hAnsi="Book Antiqua" w:eastAsia="Book Antiqua" w:cs="Book Antiqua"/>
          <w:color w:val="000000"/>
        </w:rPr>
        <w:t>. Surgical management is reserved for symptomatic patients or with diagnosis uncertainty despite a complete workup</w:t>
      </w:r>
      <w:r>
        <w:rPr>
          <w:rFonts w:ascii="Book Antiqua" w:hAnsi="Book Antiqua" w:eastAsia="Book Antiqua" w:cs="Book Antiqua"/>
          <w:color w:val="000000"/>
          <w:vertAlign w:val="superscript"/>
        </w:rPr>
        <w:t>[12,13]</w:t>
      </w:r>
      <w:r>
        <w:rPr>
          <w:rFonts w:ascii="Book Antiqua" w:hAnsi="Book Antiqua" w:eastAsia="Book Antiqua" w:cs="Book Antiqua"/>
          <w:color w:val="000000"/>
        </w:rPr>
        <w:t>. Twelve cases of spontaneous rupture of FNH are described and considering these extremely rare events, conservative treatment is the actual well-established standard of care [English-language literature until 2019; NCBI.gov with terms “spontaneous; rupture; FNH]. Close follow-up is however recommended for FNH more than 5 cm. Some authors advocate for upfront surgery with FNH larger than 5 cm</w:t>
      </w:r>
      <w:r>
        <w:rPr>
          <w:rFonts w:ascii="Book Antiqua" w:hAnsi="Book Antiqua" w:eastAsia="Book Antiqua" w:cs="Book Antiqua"/>
          <w:color w:val="000000"/>
          <w:vertAlign w:val="superscript"/>
        </w:rPr>
        <w:t>[14-16]</w:t>
      </w:r>
      <w:r>
        <w:rPr>
          <w:rFonts w:ascii="Book Antiqua" w:hAnsi="Book Antiqua" w:eastAsia="Book Antiqua" w:cs="Book Antiqua"/>
          <w:color w:val="000000"/>
        </w:rPr>
        <w:t>. However, we do not recommend a surgical resection in our daily practice but advocate for a close follow-up strategy. In the present case report, the diagnosis of FNH of the segment III lesion was radiologically typical and in the absence of the HCA component, a 1-year MRI follow-up would have been recommended.</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On the contrary, the risk of malignant transformation of HCA is 4%-5%. As reported by Sempoux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risk factors for complications of HCA (bleeding or malignant transformation) are the size (&gt; 5 cm), male gender, activating mutation in β-catenin, and specific clinical background (glycogen storage disease, androgens, vascular diseases). The resulting recommendations for surgery are based on initial size (&gt; 5 cm), imaging or histological signs of malignancy, size progression after OC discontinuation, and male patients. Selected patients and those who are not fit for surgery can benefit from embolization</w:t>
      </w:r>
      <w:r>
        <w:rPr>
          <w:rFonts w:ascii="Book Antiqua" w:hAnsi="Book Antiqua" w:eastAsia="Book Antiqua" w:cs="Book Antiqua"/>
          <w:color w:val="000000"/>
          <w:vertAlign w:val="superscript"/>
        </w:rPr>
        <w:t>[17-19]</w:t>
      </w:r>
      <w:r>
        <w:rPr>
          <w:rFonts w:ascii="Book Antiqua" w:hAnsi="Book Antiqua" w:eastAsia="Book Antiqua" w:cs="Book Antiqua"/>
          <w:color w:val="000000"/>
        </w:rPr>
        <w:t>. When the diagnosis cannot be achieved with imaging, a percutaneous biopsy or resection may be required</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Moreover, Bröker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2012 advocated the surgery for adenoma greater than 5 cm with patients who had planned a pregnancy. Our patient didn’t have a pregnancy plan but size and uncertainty of diagnosis were our principal arguments for surgery.</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We made a literature review of the simultaneous cases of FNH and HA. Although there is some case reports in the eighties, the article was not available for consulting</w:t>
      </w:r>
      <w:r>
        <w:rPr>
          <w:rFonts w:ascii="Book Antiqua" w:hAnsi="Book Antiqua" w:eastAsia="Book Antiqua" w:cs="Book Antiqua"/>
          <w:color w:val="000000"/>
          <w:vertAlign w:val="superscript"/>
        </w:rPr>
        <w:t>[22-25]</w:t>
      </w:r>
      <w:r>
        <w:rPr>
          <w:rFonts w:ascii="Book Antiqua" w:hAnsi="Book Antiqua" w:eastAsia="Book Antiqua" w:cs="Book Antiqua"/>
          <w:color w:val="000000"/>
        </w:rPr>
        <w:t>. Table 1 summarizes the other cases with enough data.</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Case 1 was operated on because of the lack of obvious radiological evidence</w:t>
      </w:r>
      <w:r>
        <w:rPr>
          <w:rFonts w:ascii="Book Antiqua" w:hAnsi="Book Antiqua" w:eastAsia="Book Antiqua" w:cs="Book Antiqua"/>
          <w:color w:val="000000"/>
          <w:vertAlign w:val="superscript"/>
        </w:rPr>
        <w:t>[26]</w:t>
      </w:r>
      <w:r>
        <w:rPr>
          <w:rFonts w:ascii="Book Antiqua" w:hAnsi="Book Antiqua" w:eastAsia="Book Antiqua" w:cs="Book Antiqua"/>
          <w:color w:val="000000"/>
        </w:rPr>
        <w:t>. The authors of case 2 don’t clearly explain the indication for the operative procedure but they interestingly explain the possible same pathophysiological etiology for 4 different simultaneous hepatic masses</w:t>
      </w:r>
      <w:r>
        <w:rPr>
          <w:rFonts w:ascii="Book Antiqua" w:hAnsi="Book Antiqua" w:eastAsia="Book Antiqua" w:cs="Book Antiqua"/>
          <w:color w:val="000000"/>
          <w:vertAlign w:val="superscript"/>
        </w:rPr>
        <w:t>[27]</w:t>
      </w:r>
      <w:r>
        <w:rPr>
          <w:rFonts w:ascii="Book Antiqua" w:hAnsi="Book Antiqua" w:eastAsia="Book Antiqua" w:cs="Book Antiqua"/>
          <w:i/>
          <w:iCs/>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Shih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made a left hepatectomy for a case with common features between FNH and HA and operate for the uncertainty of diagnosis.</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French group of Laurent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found in their records 5 over 30 patients operated for </w:t>
      </w:r>
      <w:r>
        <w:rPr>
          <w:rFonts w:ascii="Book Antiqua" w:hAnsi="Book Antiqua" w:eastAsia="Book Antiqua" w:cs="Book Antiqua"/>
          <w:color w:val="000000"/>
          <w:shd w:val="clear" w:color="auto" w:fill="FFFFFF"/>
        </w:rPr>
        <w:t>“benign hepatocytic nodules" with simultaneous HNF and adenoma. All of them went under surgery when the radiology reports an HA or unidentified mass. The diagnosis of FNH was already known at the time of the surgical procedure except for one case where the FNH was too small</w:t>
      </w:r>
      <w:r>
        <w:rPr>
          <w:rFonts w:ascii="Book Antiqua" w:hAnsi="Book Antiqua" w:eastAsia="Book Antiqua" w:cs="Book Antiqua"/>
          <w:color w:val="000000"/>
          <w:vertAlign w:val="superscript"/>
        </w:rPr>
        <w:t>[29]</w:t>
      </w:r>
      <w:r>
        <w:rPr>
          <w:rFonts w:ascii="Book Antiqua" w:hAnsi="Book Antiqua" w:eastAsia="Book Antiqua" w:cs="Book Antiqua"/>
          <w:color w:val="000000"/>
          <w:shd w:val="clear" w:color="auto" w:fill="FFFFFF"/>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Concerning the surgical technique, the laparoscopic approach is relatively recent. Unfortunately, Shih </w:t>
      </w:r>
      <w:r>
        <w:rPr>
          <w:rFonts w:ascii="Book Antiqua" w:hAnsi="Book Antiqua" w:eastAsia="Book Antiqua" w:cs="Book Antiqua"/>
          <w:i/>
          <w:iCs/>
          <w:color w:val="000000"/>
        </w:rPr>
        <w:t>et al</w:t>
      </w:r>
      <w:r>
        <w:rPr>
          <w:rFonts w:ascii="Book Antiqua" w:hAnsi="Book Antiqua"/>
          <w:vertAlign w:val="superscript"/>
        </w:rPr>
        <w:t>[28]</w:t>
      </w:r>
      <w:r>
        <w:rPr>
          <w:rFonts w:ascii="Book Antiqua" w:hAnsi="Book Antiqua" w:eastAsia="Book Antiqua" w:cs="Book Antiqua"/>
          <w:color w:val="000000"/>
        </w:rPr>
        <w:t xml:space="preserve"> didn’t report this in their paper although they did the same procedure for a similar patient. Despite the lack of high-level evidence data (randomized control trials, meta-analysis), current literature about laparoscopic </w:t>
      </w:r>
      <w:r>
        <w:rPr>
          <w:rFonts w:ascii="Book Antiqua" w:hAnsi="Book Antiqua" w:eastAsia="Book Antiqua" w:cs="Book Antiqua"/>
          <w:i/>
          <w:iCs/>
          <w:color w:val="000000"/>
        </w:rPr>
        <w:t>vs</w:t>
      </w:r>
      <w:r>
        <w:rPr>
          <w:rFonts w:ascii="Book Antiqua" w:hAnsi="Book Antiqua" w:eastAsia="Book Antiqua" w:cs="Book Antiqua"/>
          <w:color w:val="000000"/>
        </w:rPr>
        <w:t xml:space="preserve"> open liver surgery for benign tumors suggests an advantage for the minimal-invasive technique</w:t>
      </w:r>
      <w:r>
        <w:rPr>
          <w:rFonts w:ascii="Book Antiqua" w:hAnsi="Book Antiqua" w:eastAsia="Book Antiqua" w:cs="Book Antiqua"/>
          <w:color w:val="000000"/>
          <w:vertAlign w:val="superscript"/>
        </w:rPr>
        <w:t>[30,31]</w:t>
      </w:r>
      <w:r>
        <w:rPr>
          <w:rFonts w:ascii="Book Antiqua" w:hAnsi="Book Antiqua" w:eastAsia="Book Antiqua" w:cs="Book Antiqua"/>
          <w:color w:val="000000"/>
        </w:rPr>
        <w:t>. On the other hand, evidence for laparoscopic malign liver resection is much more consistent. Furthermore, safety, feasibility, and long-term results confirmed the advantages of laparoscopy for malign liver tumors</w:t>
      </w:r>
      <w:r>
        <w:rPr>
          <w:rFonts w:ascii="Book Antiqua" w:hAnsi="Book Antiqua" w:eastAsia="Book Antiqua" w:cs="Book Antiqua"/>
          <w:color w:val="000000"/>
          <w:vertAlign w:val="superscript"/>
        </w:rPr>
        <w:t>[32-34]</w:t>
      </w:r>
      <w:r>
        <w:rPr>
          <w:rFonts w:ascii="Book Antiqua" w:hAnsi="Book Antiqua" w:eastAsia="Book Antiqua" w:cs="Book Antiqua"/>
          <w:color w:val="000000"/>
        </w:rPr>
        <w: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snapToGrid w:val="0"/>
        <w:spacing w:line="360" w:lineRule="auto"/>
        <w:jc w:val="both"/>
        <w:rPr>
          <w:rFonts w:ascii="Book Antiqua" w:hAnsi="Book Antiqua"/>
        </w:rPr>
      </w:pPr>
      <w:r>
        <w:rPr>
          <w:rFonts w:ascii="Book Antiqua" w:hAnsi="Book Antiqua" w:eastAsia="Book Antiqua" w:cs="Book Antiqua"/>
          <w:color w:val="000000"/>
        </w:rPr>
        <w:t>We hereby report a laparoscopic resection of a macro-adenoma associated with focal nodular hyperplasia. The review of the literature shows that the simultaneous presence of these two masses is rare and that every case must be discussed in a multidisciplinary board. Factors like age, pregnancy wish, size, and uncertainty of diagnosis must be considered for shared decision in the setting of a multidisciplinary team. The laparoscopic approach should be preferred as much as possible.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napToGrid w:val="0"/>
        <w:spacing w:line="360" w:lineRule="auto"/>
        <w:jc w:val="both"/>
        <w:rPr>
          <w:rFonts w:ascii="Book Antiqua" w:hAnsi="Book Antiqua"/>
        </w:rPr>
      </w:pPr>
      <w:r>
        <w:rPr>
          <w:rFonts w:ascii="Book Antiqua" w:hAnsi="Book Antiqua" w:eastAsia="Book Antiqua" w:cs="Book Antiqua"/>
          <w:color w:val="000000"/>
        </w:rPr>
        <w:t>We thank Dr. Giulia Piazza for her graphic representation of the case (Figure 2) which she has kindly drawn and for her courtesy in publishing it.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REFERENCES</w:t>
      </w:r>
    </w:p>
    <w:p>
      <w:pPr>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Rebouissou S</w:t>
      </w:r>
      <w:r>
        <w:rPr>
          <w:rFonts w:ascii="Book Antiqua" w:hAnsi="Book Antiqua" w:eastAsia="Book Antiqua" w:cs="Book Antiqua"/>
          <w:color w:val="000000"/>
        </w:rPr>
        <w:t xml:space="preserve">, Bioulac-Sage P, Zucman-Rossi J. Molecular pathogenesis of focal nodular hyperplasia and hepatocellular adenoma.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2008; </w:t>
      </w:r>
      <w:r>
        <w:rPr>
          <w:rFonts w:ascii="Book Antiqua" w:hAnsi="Book Antiqua" w:eastAsia="Book Antiqua" w:cs="Book Antiqua"/>
          <w:b/>
          <w:bCs/>
          <w:color w:val="000000"/>
        </w:rPr>
        <w:t>48</w:t>
      </w:r>
      <w:r>
        <w:rPr>
          <w:rFonts w:ascii="Book Antiqua" w:hAnsi="Book Antiqua" w:eastAsia="Book Antiqua" w:cs="Book Antiqua"/>
          <w:color w:val="000000"/>
        </w:rPr>
        <w:t>: 163-170 [PMID: 17997499 DOI: 10.1016/j.jhep.2007.10.003]</w:t>
      </w:r>
    </w:p>
    <w:p>
      <w:pPr>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Fukukura Y</w:t>
      </w:r>
      <w:r>
        <w:rPr>
          <w:rFonts w:ascii="Book Antiqua" w:hAnsi="Book Antiqua" w:eastAsia="Book Antiqua" w:cs="Book Antiqua"/>
          <w:color w:val="000000"/>
        </w:rPr>
        <w:t xml:space="preserve">, Nakashima O, Kusaba A, Kage M, Kojiro M. Angioarchitecture and blood circulation in focal nodular hyperplasia of the liver.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1998; </w:t>
      </w:r>
      <w:r>
        <w:rPr>
          <w:rFonts w:ascii="Book Antiqua" w:hAnsi="Book Antiqua" w:eastAsia="Book Antiqua" w:cs="Book Antiqua"/>
          <w:b/>
          <w:bCs/>
          <w:color w:val="000000"/>
        </w:rPr>
        <w:t>29</w:t>
      </w:r>
      <w:r>
        <w:rPr>
          <w:rFonts w:ascii="Book Antiqua" w:hAnsi="Book Antiqua" w:eastAsia="Book Antiqua" w:cs="Book Antiqua"/>
          <w:color w:val="000000"/>
        </w:rPr>
        <w:t>: 470-475 [PMID: 9764996 DOI: 10.1016/s0168-8278(98)80067-6]</w:t>
      </w:r>
    </w:p>
    <w:p>
      <w:pPr>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Gaiani S</w:t>
      </w:r>
      <w:r>
        <w:rPr>
          <w:rFonts w:ascii="Book Antiqua" w:hAnsi="Book Antiqua" w:eastAsia="Book Antiqua" w:cs="Book Antiqua"/>
          <w:color w:val="000000"/>
        </w:rPr>
        <w:t xml:space="preserve">, Piscaglia F, Serra C, Bolondi L. Hemodynamics in focal nodular hyperplasia.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1999; </w:t>
      </w:r>
      <w:r>
        <w:rPr>
          <w:rFonts w:ascii="Book Antiqua" w:hAnsi="Book Antiqua" w:eastAsia="Book Antiqua" w:cs="Book Antiqua"/>
          <w:b/>
          <w:bCs/>
          <w:color w:val="000000"/>
        </w:rPr>
        <w:t>31</w:t>
      </w:r>
      <w:r>
        <w:rPr>
          <w:rFonts w:ascii="Book Antiqua" w:hAnsi="Book Antiqua" w:eastAsia="Book Antiqua" w:cs="Book Antiqua"/>
          <w:color w:val="000000"/>
        </w:rPr>
        <w:t>: 576 [PMID: 10488724 DOI: 10.1016/s0168-8278(99)80057-9]</w:t>
      </w:r>
    </w:p>
    <w:p>
      <w:pPr>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Giannitrapani L</w:t>
      </w:r>
      <w:r>
        <w:rPr>
          <w:rFonts w:ascii="Book Antiqua" w:hAnsi="Book Antiqua" w:eastAsia="Book Antiqua" w:cs="Book Antiqua"/>
          <w:color w:val="000000"/>
        </w:rPr>
        <w:t xml:space="preserve">, Soresi M, La Spada E, Cervello M, D'Alessandro N, Montalto G. Sex hormones and risk of liver tumor. </w:t>
      </w:r>
      <w:r>
        <w:rPr>
          <w:rFonts w:ascii="Book Antiqua" w:hAnsi="Book Antiqua" w:eastAsia="Book Antiqua" w:cs="Book Antiqua"/>
          <w:i/>
          <w:iCs/>
          <w:color w:val="000000"/>
        </w:rPr>
        <w:t>Ann N Y Acad Sci</w:t>
      </w:r>
      <w:r>
        <w:rPr>
          <w:rFonts w:ascii="Book Antiqua" w:hAnsi="Book Antiqua" w:eastAsia="Book Antiqua" w:cs="Book Antiqua"/>
          <w:color w:val="000000"/>
        </w:rPr>
        <w:t xml:space="preserve"> 2006; </w:t>
      </w:r>
      <w:r>
        <w:rPr>
          <w:rFonts w:ascii="Book Antiqua" w:hAnsi="Book Antiqua" w:eastAsia="Book Antiqua" w:cs="Book Antiqua"/>
          <w:b/>
          <w:bCs/>
          <w:color w:val="000000"/>
        </w:rPr>
        <w:t>1089</w:t>
      </w:r>
      <w:r>
        <w:rPr>
          <w:rFonts w:ascii="Book Antiqua" w:hAnsi="Book Antiqua" w:eastAsia="Book Antiqua" w:cs="Book Antiqua"/>
          <w:color w:val="000000"/>
        </w:rPr>
        <w:t>: 228-236 [PMID: 17261770 DOI: 10.1196/annals.1386.044]</w:t>
      </w:r>
    </w:p>
    <w:p>
      <w:pPr>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Fukahori S</w:t>
      </w:r>
      <w:r>
        <w:rPr>
          <w:rFonts w:ascii="Book Antiqua" w:hAnsi="Book Antiqua" w:eastAsia="Book Antiqua" w:cs="Book Antiqua"/>
          <w:color w:val="000000"/>
        </w:rPr>
        <w:t xml:space="preserve">, Kawano T, Obase Y, Umeyama Y, Sugasaki N, Kinoshita A, Fukushima C, Yamakawa M, Omagari K, Mukae H. Fluctuation of Hepatic Focal Nodular Hyperplasia Size with Oral Contraceptives Use. </w:t>
      </w:r>
      <w:r>
        <w:rPr>
          <w:rFonts w:ascii="Book Antiqua" w:hAnsi="Book Antiqua" w:eastAsia="Book Antiqua" w:cs="Book Antiqua"/>
          <w:i/>
          <w:iCs/>
          <w:color w:val="000000"/>
        </w:rPr>
        <w:t>Am J Case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1124-1127 [PMID: 31358723 DOI: 10.12659/AJCR.916398]</w:t>
      </w:r>
    </w:p>
    <w:p>
      <w:pPr>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Farges O</w:t>
      </w:r>
      <w:r>
        <w:rPr>
          <w:rFonts w:ascii="Book Antiqua" w:hAnsi="Book Antiqua" w:eastAsia="Book Antiqua" w:cs="Book Antiqua"/>
          <w:color w:val="000000"/>
        </w:rPr>
        <w:t xml:space="preserve">, Ferreira N, Dokmak S, Belghiti J, Bedossa P, Paradis V. Changing trends in malignant transformation of hepatocellular adenoma. </w:t>
      </w:r>
      <w:r>
        <w:rPr>
          <w:rFonts w:ascii="Book Antiqua" w:hAnsi="Book Antiqua" w:eastAsia="Book Antiqua" w:cs="Book Antiqua"/>
          <w:i/>
          <w:iCs/>
          <w:color w:val="000000"/>
        </w:rPr>
        <w:t>Gut</w:t>
      </w:r>
      <w:r>
        <w:rPr>
          <w:rFonts w:ascii="Book Antiqua" w:hAnsi="Book Antiqua" w:eastAsia="Book Antiqua" w:cs="Book Antiqua"/>
          <w:color w:val="000000"/>
        </w:rPr>
        <w:t xml:space="preserve"> 2011; </w:t>
      </w:r>
      <w:r>
        <w:rPr>
          <w:rFonts w:ascii="Book Antiqua" w:hAnsi="Book Antiqua" w:eastAsia="Book Antiqua" w:cs="Book Antiqua"/>
          <w:b/>
          <w:bCs/>
          <w:color w:val="000000"/>
        </w:rPr>
        <w:t>60</w:t>
      </w:r>
      <w:r>
        <w:rPr>
          <w:rFonts w:ascii="Book Antiqua" w:hAnsi="Book Antiqua" w:eastAsia="Book Antiqua" w:cs="Book Antiqua"/>
          <w:color w:val="000000"/>
        </w:rPr>
        <w:t>: 85-89 [PMID: 21148580 DOI: 10.1136/gut.2010.222109]</w:t>
      </w:r>
    </w:p>
    <w:p>
      <w:pPr>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Sempoux C</w:t>
      </w:r>
      <w:r>
        <w:rPr>
          <w:rFonts w:ascii="Book Antiqua" w:hAnsi="Book Antiqua" w:eastAsia="Book Antiqua" w:cs="Book Antiqua"/>
          <w:color w:val="000000"/>
        </w:rPr>
        <w:t xml:space="preserve">, Balabaud C, Bioulac-Sage P. Pictures of focal nodular hyperplasia and hepatocellular adenomas.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6</w:t>
      </w:r>
      <w:r>
        <w:rPr>
          <w:rFonts w:ascii="Book Antiqua" w:hAnsi="Book Antiqua" w:eastAsia="Book Antiqua" w:cs="Book Antiqua"/>
          <w:color w:val="000000"/>
        </w:rPr>
        <w:t>: 580-595 [PMID: 25232451 DOI: 10.4254/wjh.v6.i8.580]</w:t>
      </w:r>
    </w:p>
    <w:p>
      <w:pPr>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Calderaro J</w:t>
      </w:r>
      <w:r>
        <w:rPr>
          <w:rFonts w:ascii="Book Antiqua" w:hAnsi="Book Antiqua" w:eastAsia="Book Antiqua" w:cs="Book Antiqua"/>
          <w:color w:val="000000"/>
        </w:rPr>
        <w:t xml:space="preserve">, Nault JC, Balabaud C, Couchy G, Saint-Paul MC, Azoulay D, Mehdaoui D, Luciani A, Zafrani ES, Bioulac-Sage P, Zucman-Rossi J. Inflammatory hepatocellular adenomas developed in the setting of chronic liver disease and cirrhosis.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29</w:t>
      </w:r>
      <w:r>
        <w:rPr>
          <w:rFonts w:ascii="Book Antiqua" w:hAnsi="Book Antiqua" w:eastAsia="Book Antiqua" w:cs="Book Antiqua"/>
          <w:color w:val="000000"/>
        </w:rPr>
        <w:t>: 43-50 [PMID: 26516697 DOI: 10.1038/modpathol.2015.119]</w:t>
      </w:r>
    </w:p>
    <w:p>
      <w:pPr>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Bioulac-Sage P</w:t>
      </w:r>
      <w:r>
        <w:rPr>
          <w:rFonts w:ascii="Book Antiqua" w:hAnsi="Book Antiqua" w:eastAsia="Book Antiqua" w:cs="Book Antiqua"/>
          <w:color w:val="000000"/>
        </w:rPr>
        <w:t xml:space="preserve">, Sempoux C, Balabaud C. Hepatocellular adenoma: Classification, variants and clinical relevance. </w:t>
      </w:r>
      <w:r>
        <w:rPr>
          <w:rFonts w:ascii="Book Antiqua" w:hAnsi="Book Antiqua" w:eastAsia="Book Antiqua" w:cs="Book Antiqua"/>
          <w:i/>
          <w:iCs/>
          <w:color w:val="000000"/>
        </w:rPr>
        <w:t>Semin Diagn Pathol</w:t>
      </w:r>
      <w:r>
        <w:rPr>
          <w:rFonts w:ascii="Book Antiqua" w:hAnsi="Book Antiqua" w:eastAsia="Book Antiqua" w:cs="Book Antiqua"/>
          <w:color w:val="000000"/>
        </w:rPr>
        <w:t xml:space="preserve"> 2017; </w:t>
      </w:r>
      <w:r>
        <w:rPr>
          <w:rFonts w:ascii="Book Antiqua" w:hAnsi="Book Antiqua" w:eastAsia="Book Antiqua" w:cs="Book Antiqua"/>
          <w:b/>
          <w:bCs/>
          <w:color w:val="000000"/>
        </w:rPr>
        <w:t>34</w:t>
      </w:r>
      <w:r>
        <w:rPr>
          <w:rFonts w:ascii="Book Antiqua" w:hAnsi="Book Antiqua" w:eastAsia="Book Antiqua" w:cs="Book Antiqua"/>
          <w:color w:val="000000"/>
        </w:rPr>
        <w:t>: 112-125 [PMID: 28131467 DOI: 10.1053/j.semdp.2016.12.007]</w:t>
      </w:r>
    </w:p>
    <w:p>
      <w:pPr>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Blanc JF</w:t>
      </w:r>
      <w:r>
        <w:rPr>
          <w:rFonts w:ascii="Book Antiqua" w:hAnsi="Book Antiqua" w:eastAsia="Book Antiqua" w:cs="Book Antiqua"/>
          <w:color w:val="000000"/>
        </w:rPr>
        <w:t xml:space="preserve">, Frulio N, Chiche L, Sempoux C, Annet L, Hubert C, Gouw AS, de Jong KP, Bioulac-Sage P, Balabaud C. Hepatocellular adenoma management: call for shared guidelines and multidisciplinary approach. </w:t>
      </w:r>
      <w:r>
        <w:rPr>
          <w:rFonts w:ascii="Book Antiqua" w:hAnsi="Book Antiqua" w:eastAsia="Book Antiqua" w:cs="Book Antiqua"/>
          <w:i/>
          <w:iCs/>
          <w:color w:val="000000"/>
        </w:rPr>
        <w:t>Clin Res Hepatol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39</w:t>
      </w:r>
      <w:r>
        <w:rPr>
          <w:rFonts w:ascii="Book Antiqua" w:hAnsi="Book Antiqua" w:eastAsia="Book Antiqua" w:cs="Book Antiqua"/>
          <w:color w:val="000000"/>
        </w:rPr>
        <w:t>: 180-187 [PMID: 25434466 DOI: 10.1016/j.clinre.2014.10.003]</w:t>
      </w:r>
    </w:p>
    <w:p>
      <w:pPr>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Ashby PF</w:t>
      </w:r>
      <w:r>
        <w:rPr>
          <w:rFonts w:ascii="Book Antiqua" w:hAnsi="Book Antiqua" w:eastAsia="Book Antiqua" w:cs="Book Antiqua"/>
          <w:color w:val="000000"/>
        </w:rPr>
        <w:t xml:space="preserve">, Alfafara C, Amini A, Amini R. Spontaneous Rupture of a Hepatic Adenoma: Diagnostic Nuances and the Necessity of Followup.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e1975 [PMID: 29492364 DOI: 10.7759/cureus.1975]</w:t>
      </w:r>
    </w:p>
    <w:p>
      <w:pPr>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Navarro AP</w:t>
      </w:r>
      <w:r>
        <w:rPr>
          <w:rFonts w:ascii="Book Antiqua" w:hAnsi="Book Antiqua" w:eastAsia="Book Antiqua" w:cs="Book Antiqua"/>
          <w:color w:val="000000"/>
        </w:rPr>
        <w:t xml:space="preserve">, Gomez D, Lamb CM, Brooks A, Cameron IC. Focal nodular hyperplasia: a review of current indications for and outcomes of hepatic resection.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2014; </w:t>
      </w:r>
      <w:r>
        <w:rPr>
          <w:rFonts w:ascii="Book Antiqua" w:hAnsi="Book Antiqua" w:eastAsia="Book Antiqua" w:cs="Book Antiqua"/>
          <w:b/>
          <w:bCs/>
          <w:color w:val="000000"/>
        </w:rPr>
        <w:t>16</w:t>
      </w:r>
      <w:r>
        <w:rPr>
          <w:rFonts w:ascii="Book Antiqua" w:hAnsi="Book Antiqua" w:eastAsia="Book Antiqua" w:cs="Book Antiqua"/>
          <w:color w:val="000000"/>
        </w:rPr>
        <w:t>: 503-511 [PMID: 24127684 DOI: 10.1111/hpb.12169]</w:t>
      </w:r>
    </w:p>
    <w:p>
      <w:pPr>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Jung JM</w:t>
      </w:r>
      <w:r>
        <w:rPr>
          <w:rFonts w:ascii="Book Antiqua" w:hAnsi="Book Antiqua" w:eastAsia="Book Antiqua" w:cs="Book Antiqua"/>
          <w:color w:val="000000"/>
        </w:rPr>
        <w:t xml:space="preserve">, Hwang S, Kim KH, Ahn CS, Moon DB, Ha TY, Song GW, Jung DH. Surgical indications for focal nodular hyperplasia of the liver: Single-center experience of 48 adult cases. </w:t>
      </w:r>
      <w:r>
        <w:rPr>
          <w:rFonts w:ascii="Book Antiqua" w:hAnsi="Book Antiqua" w:eastAsia="Book Antiqua" w:cs="Book Antiqua"/>
          <w:i/>
          <w:iCs/>
          <w:color w:val="000000"/>
        </w:rPr>
        <w:t>Ann Hepatobiliary Pancreat 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23</w:t>
      </w:r>
      <w:r>
        <w:rPr>
          <w:rFonts w:ascii="Book Antiqua" w:hAnsi="Book Antiqua" w:eastAsia="Book Antiqua" w:cs="Book Antiqua"/>
          <w:color w:val="000000"/>
        </w:rPr>
        <w:t>: 8-12 [PMID: 30863802 DOI: 10.14701/ahbps.2019.23.1.8]</w:t>
      </w:r>
    </w:p>
    <w:p>
      <w:pPr>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Kinoshita M</w:t>
      </w:r>
      <w:r>
        <w:rPr>
          <w:rFonts w:ascii="Book Antiqua" w:hAnsi="Book Antiqua" w:eastAsia="Book Antiqua" w:cs="Book Antiqua"/>
          <w:color w:val="000000"/>
        </w:rPr>
        <w:t xml:space="preserve">, Takemura S, Tanaka S, Hamano G, Ito T, Aota T, Koda M, Ohsawa M, Kubo S. Ruptured focal nodular hyperplasia observed during follow-up: a case report. </w:t>
      </w:r>
      <w:r>
        <w:rPr>
          <w:rFonts w:ascii="Book Antiqua" w:hAnsi="Book Antiqua" w:eastAsia="Book Antiqua" w:cs="Book Antiqua"/>
          <w:i/>
          <w:iCs/>
          <w:color w:val="000000"/>
        </w:rPr>
        <w:t>Surg Case Rep</w:t>
      </w:r>
      <w:r>
        <w:rPr>
          <w:rFonts w:ascii="Book Antiqua" w:hAnsi="Book Antiqua" w:eastAsia="Book Antiqua" w:cs="Book Antiqua"/>
          <w:color w:val="000000"/>
        </w:rPr>
        <w:t xml:space="preserve"> 2017; </w:t>
      </w:r>
      <w:r>
        <w:rPr>
          <w:rFonts w:ascii="Book Antiqua" w:hAnsi="Book Antiqua" w:eastAsia="Book Antiqua" w:cs="Book Antiqua"/>
          <w:b/>
          <w:bCs/>
          <w:color w:val="000000"/>
        </w:rPr>
        <w:t>3</w:t>
      </w:r>
      <w:r>
        <w:rPr>
          <w:rFonts w:ascii="Book Antiqua" w:hAnsi="Book Antiqua" w:eastAsia="Book Antiqua" w:cs="Book Antiqua"/>
          <w:color w:val="000000"/>
        </w:rPr>
        <w:t>: 44 [PMID: 28315131 DOI: 10.1186/s40792-017-0320-4]</w:t>
      </w:r>
    </w:p>
    <w:p>
      <w:pPr>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Velíšková M</w:t>
      </w:r>
      <w:r>
        <w:rPr>
          <w:rFonts w:ascii="Book Antiqua" w:hAnsi="Book Antiqua" w:eastAsia="Book Antiqua" w:cs="Book Antiqua"/>
          <w:color w:val="000000"/>
        </w:rPr>
        <w:t xml:space="preserve">, Vlk R, Halaška MJ, Minajev G, Krejčí T, Rob L. [Rupture of focal nodular hyperplasia in the 37th week of pregnanacy - case report]. </w:t>
      </w:r>
      <w:r>
        <w:rPr>
          <w:rFonts w:ascii="Book Antiqua" w:hAnsi="Book Antiqua" w:eastAsia="Book Antiqua" w:cs="Book Antiqua"/>
          <w:i/>
          <w:iCs/>
          <w:color w:val="000000"/>
        </w:rPr>
        <w:t>Ceska Gynekol</w:t>
      </w:r>
      <w:r>
        <w:rPr>
          <w:rFonts w:ascii="Book Antiqua" w:hAnsi="Book Antiqua" w:eastAsia="Book Antiqua" w:cs="Book Antiqua"/>
          <w:color w:val="000000"/>
        </w:rPr>
        <w:t xml:space="preserve"> Summer; </w:t>
      </w:r>
      <w:r>
        <w:rPr>
          <w:rFonts w:ascii="Book Antiqua" w:hAnsi="Book Antiqua" w:eastAsia="Book Antiqua" w:cs="Book Antiqua"/>
          <w:b/>
          <w:bCs/>
          <w:color w:val="000000"/>
        </w:rPr>
        <w:t>81</w:t>
      </w:r>
      <w:r>
        <w:rPr>
          <w:rFonts w:ascii="Book Antiqua" w:hAnsi="Book Antiqua" w:eastAsia="Book Antiqua" w:cs="Book Antiqua"/>
          <w:color w:val="000000"/>
        </w:rPr>
        <w:t>: 218-221 [PMID: 27882766]</w:t>
      </w:r>
    </w:p>
    <w:p>
      <w:pPr>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Li T</w:t>
      </w:r>
      <w:r>
        <w:rPr>
          <w:rFonts w:ascii="Book Antiqua" w:hAnsi="Book Antiqua" w:eastAsia="Book Antiqua" w:cs="Book Antiqua"/>
          <w:color w:val="000000"/>
        </w:rPr>
        <w:t xml:space="preserve">, Qin LX, Ji Y, Sun HC, Ye QH, Wang L, Pan Q, Fan J, Tang ZY. Atypical hepatic focal nodular hyperplasia presenting as acute abdomen and misdiagnosed as hepatocellular carcinoma. </w:t>
      </w:r>
      <w:r>
        <w:rPr>
          <w:rFonts w:ascii="Book Antiqua" w:hAnsi="Book Antiqua" w:eastAsia="Book Antiqua" w:cs="Book Antiqua"/>
          <w:i/>
          <w:iCs/>
          <w:color w:val="000000"/>
        </w:rPr>
        <w:t>Hepatol Res</w:t>
      </w:r>
      <w:r>
        <w:rPr>
          <w:rFonts w:ascii="Book Antiqua" w:hAnsi="Book Antiqua" w:eastAsia="Book Antiqua" w:cs="Book Antiqua"/>
          <w:color w:val="000000"/>
        </w:rPr>
        <w:t xml:space="preserve"> 2007; </w:t>
      </w:r>
      <w:r>
        <w:rPr>
          <w:rFonts w:ascii="Book Antiqua" w:hAnsi="Book Antiqua" w:eastAsia="Book Antiqua" w:cs="Book Antiqua"/>
          <w:b/>
          <w:bCs/>
          <w:color w:val="000000"/>
        </w:rPr>
        <w:t>37</w:t>
      </w:r>
      <w:r>
        <w:rPr>
          <w:rFonts w:ascii="Book Antiqua" w:hAnsi="Book Antiqua" w:eastAsia="Book Antiqua" w:cs="Book Antiqua"/>
          <w:color w:val="000000"/>
        </w:rPr>
        <w:t>: 1100-1105 [PMID: 17608671 DOI: 10.1111/j.1872-034X.2007.00164.x]</w:t>
      </w:r>
    </w:p>
    <w:p>
      <w:pPr>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Dokmak S</w:t>
      </w:r>
      <w:r>
        <w:rPr>
          <w:rFonts w:ascii="Book Antiqua" w:hAnsi="Book Antiqua" w:eastAsia="Book Antiqua" w:cs="Book Antiqua"/>
          <w:color w:val="000000"/>
        </w:rPr>
        <w:t xml:space="preserve">, Paradis V, Vilgrain V, Sauvanet A, Farges O, Valla D, Bedossa P, Belghiti J. A single-center surgical experience of 122 patients with single and multiple hepatocellular adenomas.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2009; </w:t>
      </w:r>
      <w:r>
        <w:rPr>
          <w:rFonts w:ascii="Book Antiqua" w:hAnsi="Book Antiqua" w:eastAsia="Book Antiqua" w:cs="Book Antiqua"/>
          <w:b/>
          <w:bCs/>
          <w:color w:val="000000"/>
        </w:rPr>
        <w:t>137</w:t>
      </w:r>
      <w:r>
        <w:rPr>
          <w:rFonts w:ascii="Book Antiqua" w:hAnsi="Book Antiqua" w:eastAsia="Book Antiqua" w:cs="Book Antiqua"/>
          <w:color w:val="000000"/>
        </w:rPr>
        <w:t>: 1698-1705 [PMID: 19664629 DOI: 10.1053/j.gastro.2009.07.061]</w:t>
      </w:r>
    </w:p>
    <w:p>
      <w:pPr>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van Vledder MG</w:t>
      </w:r>
      <w:r>
        <w:rPr>
          <w:rFonts w:ascii="Book Antiqua" w:hAnsi="Book Antiqua" w:eastAsia="Book Antiqua" w:cs="Book Antiqua"/>
          <w:color w:val="000000"/>
        </w:rPr>
        <w:t xml:space="preserve">, van Aalten SM, Terkivatan T, de Man RA, Leertouwer T, Ijzermans JN. Safety and efficacy of radiofrequency ablation for hepatocellular adenoma.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22</w:t>
      </w:r>
      <w:r>
        <w:rPr>
          <w:rFonts w:ascii="Book Antiqua" w:hAnsi="Book Antiqua" w:eastAsia="Book Antiqua" w:cs="Book Antiqua"/>
          <w:color w:val="000000"/>
        </w:rPr>
        <w:t>: 787-793 [PMID: 21616431 DOI: 10.1016/j.jvir.2011.02.024]</w:t>
      </w:r>
    </w:p>
    <w:p>
      <w:pPr>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Karkar AM</w:t>
      </w:r>
      <w:r>
        <w:rPr>
          <w:rFonts w:ascii="Book Antiqua" w:hAnsi="Book Antiqua" w:eastAsia="Book Antiqua" w:cs="Book Antiqua"/>
          <w:color w:val="000000"/>
        </w:rPr>
        <w:t xml:space="preserve">, Tang LH, Kashikar ND, Gonen M, Solomon SB, Dematteo RP, D' Angelica MI, Correa-Gallego C, Jarnagin WR, Fong Y, Getrajdman GI, Allen P, Kingham TP. Management of hepatocellular adenoma: comparison of resection, embolization and observation.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2013; </w:t>
      </w:r>
      <w:r>
        <w:rPr>
          <w:rFonts w:ascii="Book Antiqua" w:hAnsi="Book Antiqua" w:eastAsia="Book Antiqua" w:cs="Book Antiqua"/>
          <w:b/>
          <w:bCs/>
          <w:color w:val="000000"/>
        </w:rPr>
        <w:t>15</w:t>
      </w:r>
      <w:r>
        <w:rPr>
          <w:rFonts w:ascii="Book Antiqua" w:hAnsi="Book Antiqua" w:eastAsia="Book Antiqua" w:cs="Book Antiqua"/>
          <w:color w:val="000000"/>
        </w:rPr>
        <w:t>: 235-243 [PMID: 23374365 DOI: 10.1111/j.1477-2574.2012.00584.x]</w:t>
      </w:r>
    </w:p>
    <w:p>
      <w:pPr>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European Association for the Study of the Liver (EASL)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EASL Clinical Practice Guidelines on the management of benign liver tumours.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65</w:t>
      </w:r>
      <w:r>
        <w:rPr>
          <w:rFonts w:ascii="Book Antiqua" w:hAnsi="Book Antiqua" w:eastAsia="Book Antiqua" w:cs="Book Antiqua"/>
          <w:color w:val="000000"/>
        </w:rPr>
        <w:t>: 386-398 [PMID: 27085809 DOI: 10.1016/j.jhep.2016.04.001]</w:t>
      </w:r>
    </w:p>
    <w:p>
      <w:pPr>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Bröker ME</w:t>
      </w:r>
      <w:r>
        <w:rPr>
          <w:rFonts w:ascii="Book Antiqua" w:hAnsi="Book Antiqua" w:eastAsia="Book Antiqua" w:cs="Book Antiqua"/>
          <w:color w:val="000000"/>
        </w:rPr>
        <w:t xml:space="preserve">, Ijzermans JN, van Aalten SM, de Man RA, Terkivatan T. The management of pregnancy in women with hepatocellular adenoma: a plea for an individualized approach. </w:t>
      </w:r>
      <w:r>
        <w:rPr>
          <w:rFonts w:ascii="Book Antiqua" w:hAnsi="Book Antiqua" w:eastAsia="Book Antiqua" w:cs="Book Antiqua"/>
          <w:i/>
          <w:iCs/>
          <w:color w:val="000000"/>
        </w:rPr>
        <w:t>Int J Hepatol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2012</w:t>
      </w:r>
      <w:r>
        <w:rPr>
          <w:rFonts w:ascii="Book Antiqua" w:hAnsi="Book Antiqua" w:eastAsia="Book Antiqua" w:cs="Book Antiqua"/>
          <w:color w:val="000000"/>
        </w:rPr>
        <w:t>: 725735 [PMID: 23320183 DOI: 10.1155/2012/725735]</w:t>
      </w:r>
    </w:p>
    <w:p>
      <w:pPr>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Reichlin B</w:t>
      </w:r>
      <w:r>
        <w:rPr>
          <w:rFonts w:ascii="Book Antiqua" w:hAnsi="Book Antiqua" w:eastAsia="Book Antiqua" w:cs="Book Antiqua"/>
          <w:color w:val="000000"/>
        </w:rPr>
        <w:t xml:space="preserve">, Stalder GA, Rüedi T, Bianchi L. [Co-occurring liver cell adenoma and focal nodular hyperplasia due to contraceptives. Case report]. </w:t>
      </w:r>
      <w:r>
        <w:rPr>
          <w:rFonts w:ascii="Book Antiqua" w:hAnsi="Book Antiqua" w:eastAsia="Book Antiqua" w:cs="Book Antiqua"/>
          <w:i/>
          <w:iCs/>
          <w:color w:val="000000"/>
        </w:rPr>
        <w:t>Schweiz Med Wochenschr</w:t>
      </w:r>
      <w:r>
        <w:rPr>
          <w:rFonts w:ascii="Book Antiqua" w:hAnsi="Book Antiqua" w:eastAsia="Book Antiqua" w:cs="Book Antiqua"/>
          <w:color w:val="000000"/>
        </w:rPr>
        <w:t xml:space="preserve"> 1980; </w:t>
      </w:r>
      <w:r>
        <w:rPr>
          <w:rFonts w:ascii="Book Antiqua" w:hAnsi="Book Antiqua" w:eastAsia="Book Antiqua" w:cs="Book Antiqua"/>
          <w:b/>
          <w:bCs/>
          <w:color w:val="000000"/>
        </w:rPr>
        <w:t>110</w:t>
      </w:r>
      <w:r>
        <w:rPr>
          <w:rFonts w:ascii="Book Antiqua" w:hAnsi="Book Antiqua" w:eastAsia="Book Antiqua" w:cs="Book Antiqua"/>
          <w:color w:val="000000"/>
        </w:rPr>
        <w:t>: 873-874 [PMID: 6250211]</w:t>
      </w:r>
    </w:p>
    <w:p>
      <w:pPr>
        <w:snapToGrid w:val="0"/>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Bartók I</w:t>
      </w:r>
      <w:r>
        <w:rPr>
          <w:rFonts w:ascii="Book Antiqua" w:hAnsi="Book Antiqua" w:eastAsia="Book Antiqua" w:cs="Book Antiqua"/>
          <w:color w:val="000000"/>
        </w:rPr>
        <w:t xml:space="preserve">, Decastello A, Csikós F, Nagy I. Focal nodular hyperplasia of the liver and hepatic cell adenoma in women on oral contraceptives. </w:t>
      </w:r>
      <w:r>
        <w:rPr>
          <w:rFonts w:ascii="Book Antiqua" w:hAnsi="Book Antiqua" w:eastAsia="Book Antiqua" w:cs="Book Antiqua"/>
          <w:i/>
          <w:iCs/>
          <w:color w:val="000000"/>
        </w:rPr>
        <w:t>Hepatogastroenterology</w:t>
      </w:r>
      <w:r>
        <w:rPr>
          <w:rFonts w:ascii="Book Antiqua" w:hAnsi="Book Antiqua" w:eastAsia="Book Antiqua" w:cs="Book Antiqua"/>
          <w:color w:val="000000"/>
        </w:rPr>
        <w:t xml:space="preserve"> 1980; </w:t>
      </w:r>
      <w:r>
        <w:rPr>
          <w:rFonts w:ascii="Book Antiqua" w:hAnsi="Book Antiqua" w:eastAsia="Book Antiqua" w:cs="Book Antiqua"/>
          <w:b/>
          <w:bCs/>
          <w:color w:val="000000"/>
        </w:rPr>
        <w:t>27</w:t>
      </w:r>
      <w:r>
        <w:rPr>
          <w:rFonts w:ascii="Book Antiqua" w:hAnsi="Book Antiqua" w:eastAsia="Book Antiqua" w:cs="Book Antiqua"/>
          <w:color w:val="000000"/>
        </w:rPr>
        <w:t>: 435-440 [PMID: 6259038]</w:t>
      </w:r>
    </w:p>
    <w:p>
      <w:pPr>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Defrance R</w:t>
      </w:r>
      <w:r>
        <w:rPr>
          <w:rFonts w:ascii="Book Antiqua" w:hAnsi="Book Antiqua" w:eastAsia="Book Antiqua" w:cs="Book Antiqua"/>
          <w:color w:val="000000"/>
        </w:rPr>
        <w:t xml:space="preserve">, Zafrani ES, Hannoun S, Saada M, Fagniez PL, Métreau JM. [Association of hepatocellular adenoma and focal nodular hyperplasia of the liver in a woman on oral contraceptives]. </w:t>
      </w:r>
      <w:r>
        <w:rPr>
          <w:rFonts w:ascii="Book Antiqua" w:hAnsi="Book Antiqua" w:eastAsia="Book Antiqua" w:cs="Book Antiqua"/>
          <w:i/>
          <w:iCs/>
          <w:color w:val="000000"/>
        </w:rPr>
        <w:t>Gastroenterol Clin Biol</w:t>
      </w:r>
      <w:r>
        <w:rPr>
          <w:rFonts w:ascii="Book Antiqua" w:hAnsi="Book Antiqua" w:eastAsia="Book Antiqua" w:cs="Book Antiqua"/>
          <w:color w:val="000000"/>
        </w:rPr>
        <w:t xml:space="preserve"> 1982; </w:t>
      </w:r>
      <w:r>
        <w:rPr>
          <w:rFonts w:ascii="Book Antiqua" w:hAnsi="Book Antiqua" w:eastAsia="Book Antiqua" w:cs="Book Antiqua"/>
          <w:b/>
          <w:bCs/>
          <w:color w:val="000000"/>
        </w:rPr>
        <w:t>6</w:t>
      </w:r>
      <w:r>
        <w:rPr>
          <w:rFonts w:ascii="Book Antiqua" w:hAnsi="Book Antiqua" w:eastAsia="Book Antiqua" w:cs="Book Antiqua"/>
          <w:color w:val="000000"/>
        </w:rPr>
        <w:t>: 949-950 [PMID: 6295869]</w:t>
      </w:r>
    </w:p>
    <w:p>
      <w:pPr>
        <w:snapToGrid w:val="0"/>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Tajada M</w:t>
      </w:r>
      <w:r>
        <w:rPr>
          <w:rFonts w:ascii="Book Antiqua" w:hAnsi="Book Antiqua" w:eastAsia="Book Antiqua" w:cs="Book Antiqua"/>
          <w:color w:val="000000"/>
        </w:rPr>
        <w:t xml:space="preserve">, Nerín J, Ruiz MM, Sánchez-Dehesa M, Fabre E. Liver adenoma and focal nodular hyperplasia associated with oral contraceptives. </w:t>
      </w:r>
      <w:r>
        <w:rPr>
          <w:rFonts w:ascii="Book Antiqua" w:hAnsi="Book Antiqua" w:eastAsia="Book Antiqua" w:cs="Book Antiqua"/>
          <w:i/>
          <w:iCs/>
          <w:color w:val="000000"/>
        </w:rPr>
        <w:t>Eur J Contracept Reprod Health Care</w:t>
      </w:r>
      <w:r>
        <w:rPr>
          <w:rFonts w:ascii="Book Antiqua" w:hAnsi="Book Antiqua" w:eastAsia="Book Antiqua" w:cs="Book Antiqua"/>
          <w:color w:val="000000"/>
        </w:rPr>
        <w:t xml:space="preserve"> 2001; </w:t>
      </w:r>
      <w:r>
        <w:rPr>
          <w:rFonts w:ascii="Book Antiqua" w:hAnsi="Book Antiqua" w:eastAsia="Book Antiqua" w:cs="Book Antiqua"/>
          <w:b/>
          <w:bCs/>
          <w:color w:val="000000"/>
        </w:rPr>
        <w:t>6</w:t>
      </w:r>
      <w:r>
        <w:rPr>
          <w:rFonts w:ascii="Book Antiqua" w:hAnsi="Book Antiqua" w:eastAsia="Book Antiqua" w:cs="Book Antiqua"/>
          <w:color w:val="000000"/>
        </w:rPr>
        <w:t>: 227-230 [PMID: 11848652]</w:t>
      </w:r>
    </w:p>
    <w:p>
      <w:pPr>
        <w:snapToGrid w:val="0"/>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Dimitroulis D</w:t>
      </w:r>
      <w:r>
        <w:rPr>
          <w:rFonts w:ascii="Book Antiqua" w:hAnsi="Book Antiqua" w:eastAsia="Book Antiqua" w:cs="Book Antiqua"/>
          <w:color w:val="000000"/>
        </w:rPr>
        <w:t xml:space="preserve">, Charalampoudis P, Lainas P, Papanikolaou IG, Kykalos S, Kouraklis G. Focal nodular hyperplasia and hepatocellular adenoma: current views. </w:t>
      </w:r>
      <w:r>
        <w:rPr>
          <w:rFonts w:ascii="Book Antiqua" w:hAnsi="Book Antiqua" w:eastAsia="Book Antiqua" w:cs="Book Antiqua"/>
          <w:i/>
          <w:iCs/>
          <w:color w:val="000000"/>
        </w:rPr>
        <w:t>Acta Chir Belg</w:t>
      </w:r>
      <w:r>
        <w:rPr>
          <w:rFonts w:ascii="Book Antiqua" w:hAnsi="Book Antiqua" w:eastAsia="Book Antiqua" w:cs="Book Antiqua"/>
          <w:color w:val="000000"/>
        </w:rPr>
        <w:t xml:space="preserve"> 2013; </w:t>
      </w:r>
      <w:r>
        <w:rPr>
          <w:rFonts w:ascii="Book Antiqua" w:hAnsi="Book Antiqua" w:eastAsia="Book Antiqua" w:cs="Book Antiqua"/>
          <w:b/>
          <w:bCs/>
          <w:color w:val="000000"/>
        </w:rPr>
        <w:t>113</w:t>
      </w:r>
      <w:r>
        <w:rPr>
          <w:rFonts w:ascii="Book Antiqua" w:hAnsi="Book Antiqua" w:eastAsia="Book Antiqua" w:cs="Book Antiqua"/>
          <w:color w:val="000000"/>
        </w:rPr>
        <w:t>: 162-169 [PMID: 24941710 DOI: 10.1080/00015458.2013.11680905]</w:t>
      </w:r>
    </w:p>
    <w:p>
      <w:pPr>
        <w:snapToGrid w:val="0"/>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Di Carlo I</w:t>
      </w:r>
      <w:r>
        <w:rPr>
          <w:rFonts w:ascii="Book Antiqua" w:hAnsi="Book Antiqua" w:eastAsia="Book Antiqua" w:cs="Book Antiqua"/>
          <w:color w:val="000000"/>
        </w:rPr>
        <w:t xml:space="preserve">, Urrico GS, Ursino V, Russello D, Puleo S, Latteri F. Simultaneous occurrence of adenoma, focal nodular hyperplasia, and hemangioma of the liver: are they derived from a common origin?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18</w:t>
      </w:r>
      <w:r>
        <w:rPr>
          <w:rFonts w:ascii="Book Antiqua" w:hAnsi="Book Antiqua" w:eastAsia="Book Antiqua" w:cs="Book Antiqua"/>
          <w:color w:val="000000"/>
        </w:rPr>
        <w:t>: 227-230 [PMID: 12542613 DOI: 10.1046/j.1440-1746.2003.02840.x]</w:t>
      </w:r>
    </w:p>
    <w:p>
      <w:pPr>
        <w:snapToGrid w:val="0"/>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Shih A</w:t>
      </w:r>
      <w:r>
        <w:rPr>
          <w:rFonts w:ascii="Book Antiqua" w:hAnsi="Book Antiqua" w:eastAsia="Book Antiqua" w:cs="Book Antiqua"/>
          <w:color w:val="000000"/>
        </w:rPr>
        <w:t xml:space="preserve">, Lauwers GY, Balabaud C, Bioulac-Sage P, Misdraji J. Simultaneous occurrence of focal nodular hyperplasia and HNF1A-inactivated hepatocellular adenoma: a collision tumor simulating a composite FNH-HCA.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39</w:t>
      </w:r>
      <w:r>
        <w:rPr>
          <w:rFonts w:ascii="Book Antiqua" w:hAnsi="Book Antiqua" w:eastAsia="Book Antiqua" w:cs="Book Antiqua"/>
          <w:color w:val="000000"/>
        </w:rPr>
        <w:t>: 1296-1300 [PMID: 26274031 DOI: 10.1097/PAS.0000000000000477]</w:t>
      </w:r>
    </w:p>
    <w:p>
      <w:pPr>
        <w:snapToGrid w:val="0"/>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Laurent C</w:t>
      </w:r>
      <w:r>
        <w:rPr>
          <w:rFonts w:ascii="Book Antiqua" w:hAnsi="Book Antiqua" w:eastAsia="Book Antiqua" w:cs="Book Antiqua"/>
          <w:color w:val="000000"/>
        </w:rPr>
        <w:t xml:space="preserve">, Trillaud H, Lepreux S, Balabaud C, Bioulac-Sage P. Association of adenoma and focal nodular hyperplasia: experience of a single French academic center. </w:t>
      </w:r>
      <w:r>
        <w:rPr>
          <w:rFonts w:ascii="Book Antiqua" w:hAnsi="Book Antiqua" w:eastAsia="Book Antiqua" w:cs="Book Antiqua"/>
          <w:i/>
          <w:iCs/>
          <w:color w:val="000000"/>
        </w:rPr>
        <w:t>Comp Hepatol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2</w:t>
      </w:r>
      <w:r>
        <w:rPr>
          <w:rFonts w:ascii="Book Antiqua" w:hAnsi="Book Antiqua" w:eastAsia="Book Antiqua" w:cs="Book Antiqua"/>
          <w:color w:val="000000"/>
        </w:rPr>
        <w:t>: 6 [PMID: 12812524 DOI: 10.1186/1476-5926-2-6]</w:t>
      </w:r>
    </w:p>
    <w:p>
      <w:pPr>
        <w:snapToGrid w:val="0"/>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Wabitsch S</w:t>
      </w:r>
      <w:r>
        <w:rPr>
          <w:rFonts w:ascii="Book Antiqua" w:hAnsi="Book Antiqua" w:eastAsia="Book Antiqua" w:cs="Book Antiqua"/>
          <w:color w:val="000000"/>
        </w:rPr>
        <w:t xml:space="preserve">, Kästner A, Haber PK, Benzing C, Krenzien F, Andreou A, Kamali C, Lenz K, Pratschke J, Schmelzle M. Laparoscopic Versus Open Liver Resection for Benign Tumors and Lesions: A Case Matched Study with Propensity Score Matching. </w:t>
      </w:r>
      <w:r>
        <w:rPr>
          <w:rFonts w:ascii="Book Antiqua" w:hAnsi="Book Antiqua" w:eastAsia="Book Antiqua" w:cs="Book Antiqua"/>
          <w:i/>
          <w:iCs/>
          <w:color w:val="000000"/>
        </w:rPr>
        <w:t>J Laparoendosc Adv Surg Tech A</w:t>
      </w:r>
      <w:r>
        <w:rPr>
          <w:rFonts w:ascii="Book Antiqua" w:hAnsi="Book Antiqua" w:eastAsia="Book Antiqua" w:cs="Book Antiqua"/>
          <w:color w:val="000000"/>
        </w:rPr>
        <w:t xml:space="preserve"> 2019; </w:t>
      </w:r>
      <w:r>
        <w:rPr>
          <w:rFonts w:ascii="Book Antiqua" w:hAnsi="Book Antiqua" w:eastAsia="Book Antiqua" w:cs="Book Antiqua"/>
          <w:b/>
          <w:bCs/>
          <w:color w:val="000000"/>
        </w:rPr>
        <w:t>29</w:t>
      </w:r>
      <w:r>
        <w:rPr>
          <w:rFonts w:ascii="Book Antiqua" w:hAnsi="Book Antiqua" w:eastAsia="Book Antiqua" w:cs="Book Antiqua"/>
          <w:color w:val="000000"/>
        </w:rPr>
        <w:t>: 1518-1525 [PMID: 31670608 DOI: 10.1089/lap.2019.0427]</w:t>
      </w:r>
    </w:p>
    <w:p>
      <w:pPr>
        <w:snapToGrid w:val="0"/>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Schmelzle M</w:t>
      </w:r>
      <w:r>
        <w:rPr>
          <w:rFonts w:ascii="Book Antiqua" w:hAnsi="Book Antiqua" w:eastAsia="Book Antiqua" w:cs="Book Antiqua"/>
          <w:color w:val="000000"/>
        </w:rPr>
        <w:t xml:space="preserve">, Krenzien F, Schöning W, Pratschke J. Laparoscopic liver resection: indications, limitations, and economic aspects. </w:t>
      </w:r>
      <w:r>
        <w:rPr>
          <w:rFonts w:ascii="Book Antiqua" w:hAnsi="Book Antiqua" w:eastAsia="Book Antiqua" w:cs="Book Antiqua"/>
          <w:i/>
          <w:iCs/>
          <w:color w:val="000000"/>
        </w:rPr>
        <w:t>Langenbecks Arch Surg</w:t>
      </w:r>
      <w:r>
        <w:rPr>
          <w:rFonts w:ascii="Book Antiqua" w:hAnsi="Book Antiqua" w:eastAsia="Book Antiqua" w:cs="Book Antiqua"/>
          <w:color w:val="000000"/>
        </w:rPr>
        <w:t xml:space="preserve"> 2020; </w:t>
      </w:r>
      <w:r>
        <w:rPr>
          <w:rFonts w:ascii="Book Antiqua" w:hAnsi="Book Antiqua" w:eastAsia="Book Antiqua" w:cs="Book Antiqua"/>
          <w:b/>
          <w:bCs/>
          <w:color w:val="000000"/>
        </w:rPr>
        <w:t>405</w:t>
      </w:r>
      <w:r>
        <w:rPr>
          <w:rFonts w:ascii="Book Antiqua" w:hAnsi="Book Antiqua" w:eastAsia="Book Antiqua" w:cs="Book Antiqua"/>
          <w:color w:val="000000"/>
        </w:rPr>
        <w:t>: 725-735 [PMID: 32607841 DOI: 10.1007/s00423-020-01918-8]</w:t>
      </w:r>
    </w:p>
    <w:p>
      <w:pPr>
        <w:snapToGrid w:val="0"/>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Jiang S</w:t>
      </w:r>
      <w:r>
        <w:rPr>
          <w:rFonts w:ascii="Book Antiqua" w:hAnsi="Book Antiqua" w:eastAsia="Book Antiqua" w:cs="Book Antiqua"/>
          <w:color w:val="000000"/>
        </w:rPr>
        <w:t xml:space="preserve">, Wang Z, Ou M, Pang Q, Fan D, Cui P. Laparoscopic Versus Open Hepatectomy in Short- and Long-Term Outcomes of the Hepatocellular Carcinoma Patients with Cirrhosis: A Systematic Review and Meta-Analysis. </w:t>
      </w:r>
      <w:r>
        <w:rPr>
          <w:rFonts w:ascii="Book Antiqua" w:hAnsi="Book Antiqua" w:eastAsia="Book Antiqua" w:cs="Book Antiqua"/>
          <w:i/>
          <w:iCs/>
          <w:color w:val="000000"/>
        </w:rPr>
        <w:t>J Laparoendosc Adv Surg Tech A</w:t>
      </w:r>
      <w:r>
        <w:rPr>
          <w:rFonts w:ascii="Book Antiqua" w:hAnsi="Book Antiqua" w:eastAsia="Book Antiqua" w:cs="Book Antiqua"/>
          <w:color w:val="000000"/>
        </w:rPr>
        <w:t xml:space="preserve"> 2019; </w:t>
      </w:r>
      <w:r>
        <w:rPr>
          <w:rFonts w:ascii="Book Antiqua" w:hAnsi="Book Antiqua" w:eastAsia="Book Antiqua" w:cs="Book Antiqua"/>
          <w:b/>
          <w:bCs/>
          <w:color w:val="000000"/>
        </w:rPr>
        <w:t>29</w:t>
      </w:r>
      <w:r>
        <w:rPr>
          <w:rFonts w:ascii="Book Antiqua" w:hAnsi="Book Antiqua" w:eastAsia="Book Antiqua" w:cs="Book Antiqua"/>
          <w:color w:val="000000"/>
        </w:rPr>
        <w:t>: 643-654 [PMID: 30702362 DOI: 10.1089/lap.2018.0588]</w:t>
      </w:r>
    </w:p>
    <w:p>
      <w:pPr>
        <w:snapToGrid w:val="0"/>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Yin Z</w:t>
      </w:r>
      <w:r>
        <w:rPr>
          <w:rFonts w:ascii="Book Antiqua" w:hAnsi="Book Antiqua" w:eastAsia="Book Antiqua" w:cs="Book Antiqua"/>
          <w:color w:val="000000"/>
        </w:rPr>
        <w:t xml:space="preserve">, Fan X, Ye H, Yin D, Wang J. Short- and long-term outcomes after laparoscopic and open hepatectomy for hepatocellular carcinoma: a global systematic review and meta-analysis.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20</w:t>
      </w:r>
      <w:r>
        <w:rPr>
          <w:rFonts w:ascii="Book Antiqua" w:hAnsi="Book Antiqua" w:eastAsia="Book Antiqua" w:cs="Book Antiqua"/>
          <w:color w:val="000000"/>
        </w:rPr>
        <w:t>: 1203-1215 [PMID: 23099728 DOI: 10.1245/s10434-012-2705-8]</w:t>
      </w:r>
    </w:p>
    <w:p>
      <w:pPr>
        <w:snapToGrid w:val="0"/>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Cipriani F</w:t>
      </w:r>
      <w:r>
        <w:rPr>
          <w:rFonts w:ascii="Book Antiqua" w:hAnsi="Book Antiqua" w:eastAsia="Book Antiqua" w:cs="Book Antiqua"/>
          <w:color w:val="000000"/>
        </w:rPr>
        <w:t xml:space="preserve">, Rawashdeh M, Stanton L, Armstrong T, Takhar A, Pearce NW, Primrose J, Abu Hilal M. Propensity score-based analysis of outcomes of laparoscopic versus open liver resection for colorectal metastases.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103</w:t>
      </w:r>
      <w:r>
        <w:rPr>
          <w:rFonts w:ascii="Book Antiqua" w:hAnsi="Book Antiqua" w:eastAsia="Book Antiqua" w:cs="Book Antiqua"/>
          <w:color w:val="000000"/>
        </w:rPr>
        <w:t>: 1504-1512 [PMID: 27484847 DOI: 10.1002/bjs.10211]</w:t>
      </w:r>
    </w:p>
    <w:p>
      <w:pPr>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t>Footnotes</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cs="TimesNewRomanPSMT"/>
          <w:lang w:val="en-GB"/>
        </w:rPr>
        <w:t>Informed written consent was obtained from the patient for publication of this report and any accompanying images.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no conflicts-of-interest related to this</w:t>
      </w:r>
      <w:r>
        <w:rPr>
          <w:rFonts w:hint="eastAsia" w:ascii="Book Antiqua" w:hAnsi="Book Antiqua"/>
          <w:lang w:eastAsia="zh-CN"/>
        </w:rPr>
        <w:t xml:space="preserve"> </w:t>
      </w:r>
      <w:r>
        <w:rPr>
          <w:rFonts w:ascii="Book Antiqua" w:hAnsi="Book Antiqua" w:eastAsia="Book Antiqua" w:cs="Book Antiqua"/>
          <w:color w:val="000000"/>
        </w:rPr>
        <w:t>article.</w:t>
      </w:r>
    </w:p>
    <w:p>
      <w:pPr>
        <w:snapToGrid w:val="0"/>
        <w:spacing w:line="360" w:lineRule="auto"/>
        <w:jc w:val="both"/>
        <w:rPr>
          <w:rFonts w:ascii="Book Antiqua" w:hAnsi="Book Antiqua"/>
        </w:rPr>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Unsolicited manuscript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25, 2021</w:t>
      </w:r>
    </w:p>
    <w:p>
      <w:pPr>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4, 2021</w:t>
      </w:r>
    </w:p>
    <w:p>
      <w:pPr>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31, 2021</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Switzerland</w:t>
      </w:r>
    </w:p>
    <w:p>
      <w:pPr>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napToGrid w:val="0"/>
        <w:spacing w:line="360" w:lineRule="auto"/>
        <w:jc w:val="both"/>
        <w:rPr>
          <w:rFonts w:ascii="Book Antiqua" w:hAnsi="Book Antiqua"/>
        </w:rPr>
      </w:pPr>
      <w:r>
        <w:rPr>
          <w:rFonts w:ascii="Book Antiqua" w:hAnsi="Book Antiqua" w:eastAsia="Book Antiqua" w:cs="Book Antiqua"/>
          <w:color w:val="000000"/>
        </w:rPr>
        <w:t>Grade A (Excellent): A</w:t>
      </w:r>
    </w:p>
    <w:p>
      <w:pPr>
        <w:snapToGrid w:val="0"/>
        <w:spacing w:line="360" w:lineRule="auto"/>
        <w:jc w:val="both"/>
        <w:rPr>
          <w:rFonts w:ascii="Book Antiqua" w:hAnsi="Book Antiqua"/>
        </w:rPr>
      </w:pPr>
      <w:r>
        <w:rPr>
          <w:rFonts w:ascii="Book Antiqua" w:hAnsi="Book Antiqua" w:eastAsia="Book Antiqua" w:cs="Book Antiqua"/>
          <w:color w:val="000000"/>
        </w:rPr>
        <w:t>Grade B (Very good): 0</w:t>
      </w:r>
    </w:p>
    <w:p>
      <w:pPr>
        <w:snapToGrid w:val="0"/>
        <w:spacing w:line="360" w:lineRule="auto"/>
        <w:jc w:val="both"/>
        <w:rPr>
          <w:rFonts w:ascii="Book Antiqua" w:hAnsi="Book Antiqua"/>
        </w:rPr>
      </w:pPr>
      <w:r>
        <w:rPr>
          <w:rFonts w:ascii="Book Antiqua" w:hAnsi="Book Antiqua" w:eastAsia="Book Antiqua" w:cs="Book Antiqua"/>
          <w:color w:val="000000"/>
        </w:rPr>
        <w:t>Grade C (Good): 0</w:t>
      </w:r>
    </w:p>
    <w:p>
      <w:pPr>
        <w:snapToGrid w:val="0"/>
        <w:spacing w:line="360" w:lineRule="auto"/>
        <w:jc w:val="both"/>
        <w:rPr>
          <w:rFonts w:ascii="Book Antiqua" w:hAnsi="Book Antiqua"/>
        </w:rPr>
      </w:pPr>
      <w:r>
        <w:rPr>
          <w:rFonts w:ascii="Book Antiqua" w:hAnsi="Book Antiqua" w:eastAsia="Book Antiqua" w:cs="Book Antiqua"/>
          <w:color w:val="000000"/>
        </w:rPr>
        <w:t>Grade D (Fair): 0</w:t>
      </w:r>
    </w:p>
    <w:p>
      <w:pPr>
        <w:snapToGrid w:val="0"/>
        <w:spacing w:line="360" w:lineRule="auto"/>
        <w:jc w:val="both"/>
        <w:rPr>
          <w:rFonts w:ascii="Book Antiqua" w:hAnsi="Book Antiqua"/>
        </w:rPr>
      </w:pPr>
      <w:r>
        <w:rPr>
          <w:rFonts w:ascii="Book Antiqua" w:hAnsi="Book Antiqua" w:eastAsia="Book Antiqua" w:cs="Book Antiqua"/>
          <w:color w:val="000000"/>
        </w:rPr>
        <w:t>Grade E (Poor): 0</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Beraldo RF</w:t>
      </w:r>
      <w:r>
        <w:rPr>
          <w:rFonts w:ascii="Book Antiqua" w:hAnsi="Book Antiqua" w:eastAsia="Book Antiqua" w:cs="Book Antiqua"/>
          <w:b/>
          <w:color w:val="000000"/>
        </w:rPr>
        <w:t xml:space="preserve"> 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hint="eastAsia" w:ascii="Book Antiqua" w:hAnsi="Book Antiqua" w:eastAsia="宋体" w:cs="Book Antiqua"/>
          <w:bCs/>
          <w:color w:val="000000"/>
          <w:lang w:eastAsia="zh-CN"/>
        </w:rPr>
        <w:t>A</w:t>
      </w:r>
      <w:r>
        <w:rPr>
          <w:rFonts w:ascii="Book Antiqua" w:hAnsi="Book Antiqua" w:eastAsia="Book Antiqua" w:cs="Book Antiqua"/>
          <w:b/>
          <w:color w:val="000000"/>
        </w:rPr>
        <w:t xml:space="preserve"> P-Editor: </w:t>
      </w:r>
      <w:r>
        <w:rPr>
          <w:rFonts w:hint="eastAsia" w:ascii="Book Antiqua" w:hAnsi="Book Antiqua" w:eastAsia="宋体" w:cs="Book Antiqua"/>
          <w:bCs/>
          <w:color w:val="000000"/>
          <w:lang w:eastAsia="zh-CN"/>
        </w:rPr>
        <w:t>Guo X</w:t>
      </w:r>
    </w:p>
    <w:p>
      <w:pPr>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napToGrid w:val="0"/>
        <w:spacing w:line="360" w:lineRule="auto"/>
        <w:jc w:val="both"/>
        <w:rPr>
          <w:rFonts w:ascii="Book Antiqua" w:hAnsi="Book Antiqua"/>
        </w:rPr>
      </w:pPr>
      <w:r>
        <w:rPr>
          <w:rFonts w:ascii="Book Antiqua" w:hAnsi="Book Antiqua"/>
          <w:lang w:eastAsia="zh-CN"/>
        </w:rPr>
        <w:drawing>
          <wp:inline distT="0" distB="0" distL="0" distR="0">
            <wp:extent cx="5943600" cy="2255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943600" cy="2255520"/>
                    </a:xfrm>
                    <a:prstGeom prst="rect">
                      <a:avLst/>
                    </a:prstGeom>
                  </pic:spPr>
                </pic:pic>
              </a:graphicData>
            </a:graphic>
          </wp:inline>
        </w:drawing>
      </w:r>
    </w:p>
    <w:p>
      <w:pPr>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Pre-operative patient’s supine and stand-up picture – no external signs of tumor.</w:t>
      </w:r>
    </w:p>
    <w:p>
      <w:pPr>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r>
        <w:rPr>
          <w:rFonts w:ascii="Book Antiqua" w:hAnsi="Book Antiqua"/>
          <w:lang w:eastAsia="zh-CN"/>
        </w:rPr>
        <w:drawing>
          <wp:inline distT="0" distB="0" distL="0" distR="0">
            <wp:extent cx="4020185" cy="3838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026622" cy="3844514"/>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Figure 2 Preoperative drawing – tumor and liver major vessels’ relationship (credits: Dr. Giulia Piazza). </w:t>
      </w:r>
      <w:r>
        <w:rPr>
          <w:rFonts w:ascii="Book Antiqua" w:hAnsi="Book Antiqua" w:eastAsia="Book Antiqua" w:cs="Book Antiqua"/>
          <w:color w:val="000000"/>
        </w:rPr>
        <w:t>FNH: Focal nodular hyperplasia; HCA: Hepatocellular adenoma.</w:t>
      </w:r>
    </w:p>
    <w:p>
      <w:pPr>
        <w:snapToGrid w:val="0"/>
        <w:spacing w:line="360" w:lineRule="auto"/>
        <w:jc w:val="both"/>
        <w:rPr>
          <w:rFonts w:ascii="Book Antiqua" w:hAnsi="Book Antiqua"/>
        </w:rPr>
      </w:pPr>
      <w:r>
        <w:rPr>
          <w:rFonts w:ascii="Book Antiqua" w:hAnsi="Book Antiqua"/>
        </w:rPr>
        <w:br w:type="page"/>
      </w:r>
      <w:r>
        <w:rPr>
          <w:rFonts w:ascii="Book Antiqua" w:hAnsi="Book Antiqua"/>
          <w:lang w:eastAsia="zh-CN"/>
        </w:rPr>
        <w:drawing>
          <wp:inline distT="0" distB="0" distL="0" distR="0">
            <wp:extent cx="4695825" cy="2835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701099" cy="2838740"/>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Ultrasonography with a sagittal view of focal nodular hyperplasia and hepatocellular adenoma. </w:t>
      </w:r>
      <w:r>
        <w:rPr>
          <w:rFonts w:ascii="Book Antiqua" w:hAnsi="Book Antiqua" w:eastAsia="Book Antiqua" w:cs="Book Antiqua"/>
          <w:color w:val="000000"/>
        </w:rPr>
        <w:t>D1: Greater axis length. FNH: Focal nodular hyperplasia; HCA: Hepatocellular adenoma.</w:t>
      </w:r>
    </w:p>
    <w:p>
      <w:pPr>
        <w:snapToGrid w:val="0"/>
        <w:spacing w:line="360" w:lineRule="auto"/>
        <w:jc w:val="both"/>
        <w:rPr>
          <w:rFonts w:ascii="Book Antiqua" w:hAnsi="Book Antiqua"/>
        </w:rPr>
      </w:pPr>
      <w:r>
        <w:rPr>
          <w:rFonts w:ascii="Book Antiqua" w:hAnsi="Book Antiqua" w:eastAsia="Book Antiqua" w:cs="Book Antiqua"/>
          <w:color w:val="000000"/>
        </w:rPr>
        <w:br w:type="page"/>
      </w:r>
      <w:r>
        <w:rPr>
          <w:rFonts w:ascii="Book Antiqua" w:hAnsi="Book Antiqua"/>
          <w:lang w:eastAsia="zh-CN"/>
        </w:rPr>
        <w:drawing>
          <wp:inline distT="0" distB="0" distL="0" distR="0">
            <wp:extent cx="5943600" cy="2101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943600" cy="2101850"/>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Figure 4 Computed tomography late portal phase, with a multiplanar reconstruction of focal nodular hyperplasia and hepatocellular adenoma.</w:t>
      </w:r>
    </w:p>
    <w:p>
      <w:pPr>
        <w:snapToGrid w:val="0"/>
        <w:spacing w:line="360" w:lineRule="auto"/>
        <w:jc w:val="both"/>
        <w:rPr>
          <w:rFonts w:ascii="Book Antiqua" w:hAnsi="Book Antiqua"/>
        </w:rPr>
      </w:pPr>
      <w:r>
        <w:rPr>
          <w:rFonts w:ascii="Book Antiqua" w:hAnsi="Book Antiqua"/>
        </w:rPr>
        <w:br w:type="page"/>
      </w:r>
      <w:r>
        <w:rPr>
          <w:rFonts w:ascii="Book Antiqua" w:hAnsi="Book Antiqua"/>
          <w:lang w:eastAsia="zh-CN"/>
        </w:rPr>
        <w:drawing>
          <wp:inline distT="0" distB="0" distL="0" distR="0">
            <wp:extent cx="5943600" cy="36556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943600" cy="3655695"/>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Figure 5 Magnetic resonance imaging – T2 sequence.</w:t>
      </w:r>
      <w:r>
        <w:rPr>
          <w:rFonts w:hint="eastAsia" w:ascii="Book Antiqua" w:hAnsi="Book Antiqua"/>
          <w:lang w:eastAsia="zh-CN"/>
        </w:rPr>
        <w:t xml:space="preserve"> </w:t>
      </w:r>
      <w:r>
        <w:rPr>
          <w:rFonts w:ascii="Book Antiqua" w:hAnsi="Book Antiqua" w:eastAsia="Book Antiqua" w:cs="Book Antiqua"/>
          <w:color w:val="000000"/>
        </w:rPr>
        <w:t>Yellow arrow: Focal nodular hyperplasia; Green arrow: Hepatocellular adenoma.</w:t>
      </w:r>
    </w:p>
    <w:p>
      <w:pPr>
        <w:snapToGrid w:val="0"/>
        <w:spacing w:line="360" w:lineRule="auto"/>
        <w:jc w:val="both"/>
        <w:rPr>
          <w:rFonts w:ascii="Book Antiqua" w:hAnsi="Book Antiqua"/>
        </w:rPr>
      </w:pPr>
      <w:r>
        <w:rPr>
          <w:rFonts w:ascii="Book Antiqua" w:hAnsi="Book Antiqua"/>
        </w:rPr>
        <w:br w:type="page"/>
      </w:r>
      <w:r>
        <w:rPr>
          <w:rFonts w:ascii="Book Antiqua" w:hAnsi="Book Antiqua"/>
          <w:lang w:eastAsia="zh-CN"/>
        </w:rPr>
        <w:drawing>
          <wp:inline distT="0" distB="0" distL="0" distR="0">
            <wp:extent cx="4751070" cy="62788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759122" cy="6289242"/>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Figure 6 Anatomopathological pictures (top: fresh sample; bottom: formalin-fixed sample), sagittal section plane. </w:t>
      </w:r>
      <w:r>
        <w:rPr>
          <w:rFonts w:ascii="Book Antiqua" w:hAnsi="Book Antiqua" w:eastAsia="Book Antiqua" w:cs="Book Antiqua"/>
          <w:color w:val="000000"/>
        </w:rPr>
        <w:t xml:space="preserve">Yellow arrow: Focal nodular hyperplasia; Green arrow: Hepatocellular adenoma; </w:t>
      </w:r>
      <w:r>
        <w:rPr>
          <w:rFonts w:hint="eastAsia" w:ascii="Book Antiqua" w:hAnsi="Book Antiqua" w:eastAsia="宋体" w:cs="Book Antiqua"/>
          <w:color w:val="000000"/>
          <w:lang w:eastAsia="zh-CN"/>
        </w:rPr>
        <w:t>Orange</w:t>
      </w:r>
      <w:r>
        <w:rPr>
          <w:rFonts w:ascii="Book Antiqua" w:hAnsi="Book Antiqua" w:eastAsia="Book Antiqua" w:cs="Book Antiqua"/>
          <w:color w:val="000000"/>
        </w:rPr>
        <w:t xml:space="preserve"> arrow: Left liver (segment II).</w:t>
      </w:r>
    </w:p>
    <w:p>
      <w:pPr>
        <w:snapToGrid w:val="0"/>
        <w:spacing w:line="360" w:lineRule="auto"/>
        <w:rPr>
          <w:rFonts w:ascii="Book Antiqua" w:hAnsi="Book Antiqua"/>
          <w:b/>
          <w:bCs/>
        </w:rPr>
        <w:sectPr>
          <w:pgSz w:w="12240" w:h="15840"/>
          <w:pgMar w:top="1440" w:right="1440" w:bottom="1440" w:left="1440" w:header="720" w:footer="720" w:gutter="0"/>
          <w:cols w:space="720" w:num="1"/>
          <w:docGrid w:linePitch="360" w:charSpace="0"/>
        </w:sectPr>
      </w:pPr>
    </w:p>
    <w:p>
      <w:pPr>
        <w:snapToGrid w:val="0"/>
        <w:spacing w:line="360" w:lineRule="auto"/>
        <w:rPr>
          <w:rFonts w:ascii="Book Antiqua" w:hAnsi="Book Antiqua"/>
          <w:b/>
          <w:bCs/>
        </w:rPr>
      </w:pPr>
      <w:r>
        <w:rPr>
          <w:rFonts w:ascii="Book Antiqua" w:hAnsi="Book Antiqua"/>
          <w:b/>
          <w:bCs/>
        </w:rPr>
        <w:t>Table 1 Summary of current literature review</w:t>
      </w:r>
    </w:p>
    <w:tbl>
      <w:tblPr>
        <w:tblStyle w:val="7"/>
        <w:tblW w:w="15085" w:type="dxa"/>
        <w:tblInd w:w="-57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09"/>
        <w:gridCol w:w="1825"/>
        <w:gridCol w:w="1701"/>
        <w:gridCol w:w="992"/>
        <w:gridCol w:w="2693"/>
        <w:gridCol w:w="1843"/>
        <w:gridCol w:w="1134"/>
        <w:gridCol w:w="348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1409" w:type="dxa"/>
            <w:tcBorders>
              <w:top w:val="single" w:color="auto" w:sz="4" w:space="0"/>
              <w:bottom w:val="single" w:color="auto" w:sz="4" w:space="0"/>
            </w:tcBorders>
          </w:tcPr>
          <w:p>
            <w:pPr>
              <w:snapToGrid w:val="0"/>
              <w:spacing w:line="360" w:lineRule="auto"/>
              <w:rPr>
                <w:rFonts w:ascii="Book Antiqua" w:hAnsi="Book Antiqua" w:cstheme="minorBidi"/>
                <w:b/>
                <w:bCs/>
                <w:lang w:eastAsia="zh-CN"/>
              </w:rPr>
            </w:pPr>
            <w:r>
              <w:rPr>
                <w:rFonts w:hint="eastAsia" w:ascii="Book Antiqua" w:hAnsi="Book Antiqua" w:cstheme="minorBidi"/>
                <w:b/>
                <w:bCs/>
                <w:lang w:eastAsia="zh-CN"/>
              </w:rPr>
              <w:t>N</w:t>
            </w:r>
            <w:r>
              <w:rPr>
                <w:rFonts w:ascii="Book Antiqua" w:hAnsi="Book Antiqua" w:cstheme="minorBidi"/>
                <w:b/>
                <w:bCs/>
                <w:lang w:eastAsia="zh-CN"/>
              </w:rPr>
              <w:t>o.</w:t>
            </w:r>
          </w:p>
        </w:tc>
        <w:tc>
          <w:tcPr>
            <w:tcW w:w="1825" w:type="dxa"/>
            <w:tcBorders>
              <w:top w:val="single" w:color="auto" w:sz="4" w:space="0"/>
              <w:bottom w:val="single" w:color="auto" w:sz="4" w:space="0"/>
            </w:tcBorders>
          </w:tcPr>
          <w:p>
            <w:pPr>
              <w:snapToGrid w:val="0"/>
              <w:spacing w:line="360" w:lineRule="auto"/>
              <w:rPr>
                <w:rFonts w:ascii="Book Antiqua" w:hAnsi="Book Antiqua" w:cstheme="minorBidi"/>
                <w:b/>
                <w:bCs/>
              </w:rPr>
            </w:pPr>
            <w:r>
              <w:rPr>
                <w:rFonts w:ascii="Book Antiqua" w:hAnsi="Book Antiqua" w:cstheme="minorBidi"/>
                <w:b/>
                <w:bCs/>
              </w:rPr>
              <w:t xml:space="preserve">Ref. </w:t>
            </w:r>
          </w:p>
        </w:tc>
        <w:tc>
          <w:tcPr>
            <w:tcW w:w="1701" w:type="dxa"/>
            <w:tcBorders>
              <w:top w:val="single" w:color="auto" w:sz="4" w:space="0"/>
              <w:bottom w:val="single" w:color="auto" w:sz="4" w:space="0"/>
            </w:tcBorders>
          </w:tcPr>
          <w:p>
            <w:pPr>
              <w:snapToGrid w:val="0"/>
              <w:spacing w:line="360" w:lineRule="auto"/>
              <w:rPr>
                <w:rFonts w:ascii="Book Antiqua" w:hAnsi="Book Antiqua" w:cstheme="minorBidi"/>
                <w:b/>
                <w:bCs/>
              </w:rPr>
            </w:pPr>
            <w:r>
              <w:rPr>
                <w:rFonts w:ascii="Book Antiqua" w:hAnsi="Book Antiqua" w:cstheme="minorBidi"/>
                <w:b/>
                <w:bCs/>
              </w:rPr>
              <w:t>Sex, age</w:t>
            </w:r>
          </w:p>
        </w:tc>
        <w:tc>
          <w:tcPr>
            <w:tcW w:w="992" w:type="dxa"/>
            <w:tcBorders>
              <w:top w:val="single" w:color="auto" w:sz="4" w:space="0"/>
              <w:bottom w:val="single" w:color="auto" w:sz="4" w:space="0"/>
            </w:tcBorders>
          </w:tcPr>
          <w:p>
            <w:pPr>
              <w:snapToGrid w:val="0"/>
              <w:spacing w:line="360" w:lineRule="auto"/>
              <w:rPr>
                <w:rFonts w:ascii="Book Antiqua" w:hAnsi="Book Antiqua" w:cstheme="minorBidi"/>
                <w:b/>
                <w:bCs/>
              </w:rPr>
            </w:pPr>
            <w:r>
              <w:rPr>
                <w:rFonts w:ascii="Book Antiqua" w:hAnsi="Book Antiqua" w:cstheme="minorBidi"/>
                <w:b/>
                <w:bCs/>
              </w:rPr>
              <w:t>OC</w:t>
            </w:r>
          </w:p>
        </w:tc>
        <w:tc>
          <w:tcPr>
            <w:tcW w:w="2693" w:type="dxa"/>
            <w:tcBorders>
              <w:top w:val="single" w:color="auto" w:sz="4" w:space="0"/>
              <w:bottom w:val="single" w:color="auto" w:sz="4" w:space="0"/>
            </w:tcBorders>
          </w:tcPr>
          <w:p>
            <w:pPr>
              <w:snapToGrid w:val="0"/>
              <w:spacing w:line="360" w:lineRule="auto"/>
              <w:rPr>
                <w:rFonts w:ascii="Book Antiqua" w:hAnsi="Book Antiqua" w:cstheme="minorBidi"/>
                <w:b/>
                <w:bCs/>
              </w:rPr>
            </w:pPr>
            <w:r>
              <w:rPr>
                <w:rFonts w:ascii="Book Antiqua" w:hAnsi="Book Antiqua" w:cstheme="minorBidi"/>
                <w:b/>
                <w:bCs/>
              </w:rPr>
              <w:t>Pathology - Size (cm)</w:t>
            </w:r>
          </w:p>
        </w:tc>
        <w:tc>
          <w:tcPr>
            <w:tcW w:w="1843" w:type="dxa"/>
            <w:tcBorders>
              <w:top w:val="single" w:color="auto" w:sz="4" w:space="0"/>
              <w:bottom w:val="single" w:color="auto" w:sz="4" w:space="0"/>
            </w:tcBorders>
          </w:tcPr>
          <w:p>
            <w:pPr>
              <w:snapToGrid w:val="0"/>
              <w:spacing w:line="360" w:lineRule="auto"/>
              <w:rPr>
                <w:rFonts w:ascii="Book Antiqua" w:hAnsi="Book Antiqua" w:cstheme="minorBidi"/>
                <w:b/>
                <w:bCs/>
              </w:rPr>
            </w:pPr>
            <w:r>
              <w:rPr>
                <w:rFonts w:ascii="Book Antiqua" w:hAnsi="Book Antiqua" w:cstheme="minorBidi"/>
                <w:b/>
                <w:bCs/>
              </w:rPr>
              <w:t>Location (segment)</w:t>
            </w:r>
          </w:p>
        </w:tc>
        <w:tc>
          <w:tcPr>
            <w:tcW w:w="1134" w:type="dxa"/>
            <w:tcBorders>
              <w:top w:val="single" w:color="auto" w:sz="4" w:space="0"/>
              <w:bottom w:val="single" w:color="auto" w:sz="4" w:space="0"/>
            </w:tcBorders>
          </w:tcPr>
          <w:p>
            <w:pPr>
              <w:snapToGrid w:val="0"/>
              <w:spacing w:line="360" w:lineRule="auto"/>
              <w:rPr>
                <w:rFonts w:ascii="Book Antiqua" w:hAnsi="Book Antiqua" w:cstheme="minorBidi"/>
                <w:b/>
                <w:bCs/>
              </w:rPr>
            </w:pPr>
            <w:r>
              <w:rPr>
                <w:rFonts w:ascii="Book Antiqua" w:hAnsi="Book Antiqua" w:cstheme="minorBidi"/>
                <w:b/>
                <w:bCs/>
              </w:rPr>
              <w:t>Symptoms</w:t>
            </w:r>
          </w:p>
        </w:tc>
        <w:tc>
          <w:tcPr>
            <w:tcW w:w="3488" w:type="dxa"/>
            <w:tcBorders>
              <w:top w:val="single" w:color="auto" w:sz="4" w:space="0"/>
              <w:bottom w:val="single" w:color="auto" w:sz="4" w:space="0"/>
            </w:tcBorders>
          </w:tcPr>
          <w:p>
            <w:pPr>
              <w:snapToGrid w:val="0"/>
              <w:spacing w:line="360" w:lineRule="auto"/>
              <w:rPr>
                <w:rFonts w:ascii="Book Antiqua" w:hAnsi="Book Antiqua" w:cstheme="minorBidi"/>
                <w:b/>
                <w:bCs/>
              </w:rPr>
            </w:pPr>
            <w:r>
              <w:rPr>
                <w:rFonts w:ascii="Book Antiqua" w:hAnsi="Book Antiqua" w:cstheme="minorBidi"/>
                <w:b/>
                <w:bCs/>
              </w:rPr>
              <w:t>Treatment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1409" w:type="dxa"/>
            <w:vMerge w:val="restart"/>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#1</w:t>
            </w:r>
          </w:p>
        </w:tc>
        <w:tc>
          <w:tcPr>
            <w:tcW w:w="1825" w:type="dxa"/>
            <w:vMerge w:val="restart"/>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 xml:space="preserve">Dimitroulis </w:t>
            </w:r>
            <w:r>
              <w:rPr>
                <w:rFonts w:ascii="Book Antiqua" w:hAnsi="Book Antiqua" w:cstheme="minorBidi"/>
                <w:i/>
                <w:iCs/>
              </w:rPr>
              <w:t>et al</w:t>
            </w:r>
            <w:r>
              <w:rPr>
                <w:rFonts w:ascii="Book Antiqua" w:hAnsi="Book Antiqua" w:cstheme="minorBidi"/>
                <w:vertAlign w:val="superscript"/>
              </w:rPr>
              <w:t>[26]</w:t>
            </w:r>
            <w:r>
              <w:rPr>
                <w:rFonts w:ascii="Book Antiqua" w:hAnsi="Book Antiqua" w:cstheme="minorBidi"/>
              </w:rPr>
              <w:t>, 2012</w:t>
            </w:r>
          </w:p>
        </w:tc>
        <w:tc>
          <w:tcPr>
            <w:tcW w:w="1701" w:type="dxa"/>
            <w:vMerge w:val="restart"/>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 xml:space="preserve">F, 18 </w:t>
            </w:r>
            <w:r>
              <w:rPr>
                <w:rFonts w:ascii="Book Antiqua" w:hAnsi="Book Antiqua" w:cstheme="minorBidi"/>
                <w:bCs/>
                <w:iCs/>
                <w:lang w:val="fr-CH"/>
              </w:rPr>
              <w:t>yr</w:t>
            </w:r>
          </w:p>
        </w:tc>
        <w:tc>
          <w:tcPr>
            <w:tcW w:w="992" w:type="dxa"/>
            <w:vMerge w:val="restart"/>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No</w:t>
            </w:r>
          </w:p>
        </w:tc>
        <w:tc>
          <w:tcPr>
            <w:tcW w:w="2693" w:type="dxa"/>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FNH – 2.5</w:t>
            </w:r>
          </w:p>
        </w:tc>
        <w:tc>
          <w:tcPr>
            <w:tcW w:w="1843" w:type="dxa"/>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S3</w:t>
            </w:r>
          </w:p>
        </w:tc>
        <w:tc>
          <w:tcPr>
            <w:tcW w:w="1134" w:type="dxa"/>
            <w:vMerge w:val="restart"/>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RUQ pain</w:t>
            </w:r>
          </w:p>
        </w:tc>
        <w:tc>
          <w:tcPr>
            <w:tcW w:w="3488" w:type="dxa"/>
            <w:tcBorders>
              <w:top w:val="single" w:color="auto" w:sz="4" w:space="0"/>
            </w:tcBorders>
          </w:tcPr>
          <w:p>
            <w:pPr>
              <w:snapToGrid w:val="0"/>
              <w:spacing w:line="360" w:lineRule="auto"/>
              <w:rPr>
                <w:rFonts w:ascii="Book Antiqua" w:hAnsi="Book Antiqua" w:cstheme="minorBidi"/>
              </w:rPr>
            </w:pPr>
            <w:r>
              <w:rPr>
                <w:rFonts w:ascii="Book Antiqua" w:hAnsi="Book Antiqua" w:cstheme="minorBidi"/>
              </w:rPr>
              <w:t>Wedge resection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fr-CH"/>
              </w:rPr>
            </w:pPr>
            <w:r>
              <w:rPr>
                <w:rFonts w:ascii="Book Antiqua" w:hAnsi="Book Antiqua" w:cstheme="minorBidi"/>
              </w:rPr>
              <w:t>HA – 6</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S5-6</w:t>
            </w:r>
          </w:p>
        </w:tc>
        <w:tc>
          <w:tcPr>
            <w:tcW w:w="1134" w:type="dxa"/>
            <w:vMerge w:val="continue"/>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lang w:val="fr-CH"/>
              </w:rPr>
            </w:pPr>
            <w:r>
              <w:rPr>
                <w:rFonts w:ascii="Book Antiqua" w:hAnsi="Book Antiqua" w:cstheme="minorBidi"/>
              </w:rPr>
              <w:t xml:space="preserve">Lt </w:t>
            </w:r>
            <w:r>
              <w:rPr>
                <w:rFonts w:ascii="Book Antiqua" w:hAnsi="Book Antiqua" w:cstheme="minorBidi"/>
                <w:color w:val="000000"/>
                <w:shd w:val="clear" w:color="auto" w:fill="FFFFFF"/>
              </w:rPr>
              <w:t>S5-6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409" w:type="dxa"/>
            <w:vMerge w:val="restart"/>
          </w:tcPr>
          <w:p>
            <w:pPr>
              <w:snapToGrid w:val="0"/>
              <w:spacing w:line="360" w:lineRule="auto"/>
              <w:rPr>
                <w:rFonts w:ascii="Book Antiqua" w:hAnsi="Book Antiqua" w:cstheme="minorBidi"/>
              </w:rPr>
            </w:pPr>
            <w:r>
              <w:rPr>
                <w:rFonts w:ascii="Book Antiqua" w:hAnsi="Book Antiqua" w:cstheme="minorBidi"/>
              </w:rPr>
              <w:t>#2</w:t>
            </w:r>
          </w:p>
        </w:tc>
        <w:tc>
          <w:tcPr>
            <w:tcW w:w="1825" w:type="dxa"/>
            <w:vMerge w:val="restart"/>
          </w:tcPr>
          <w:p>
            <w:pPr>
              <w:snapToGrid w:val="0"/>
              <w:spacing w:line="360" w:lineRule="auto"/>
              <w:rPr>
                <w:rFonts w:ascii="Book Antiqua" w:hAnsi="Book Antiqua" w:cstheme="minorBidi"/>
              </w:rPr>
            </w:pPr>
            <w:r>
              <w:rPr>
                <w:rFonts w:ascii="Book Antiqua" w:hAnsi="Book Antiqua" w:cstheme="minorBidi"/>
              </w:rPr>
              <w:t xml:space="preserve">Di Carlo </w:t>
            </w:r>
            <w:r>
              <w:rPr>
                <w:rFonts w:ascii="Book Antiqua" w:hAnsi="Book Antiqua" w:cstheme="minorBidi"/>
                <w:i/>
                <w:iCs/>
              </w:rPr>
              <w:t>et al</w:t>
            </w:r>
            <w:r>
              <w:rPr>
                <w:rFonts w:ascii="Book Antiqua" w:hAnsi="Book Antiqua" w:cstheme="minorBidi"/>
                <w:vertAlign w:val="superscript"/>
              </w:rPr>
              <w:t>[27]</w:t>
            </w:r>
            <w:r>
              <w:rPr>
                <w:rFonts w:ascii="Book Antiqua" w:hAnsi="Book Antiqua" w:cstheme="minorBidi"/>
              </w:rPr>
              <w:t>, 2003</w:t>
            </w:r>
          </w:p>
        </w:tc>
        <w:tc>
          <w:tcPr>
            <w:tcW w:w="1701" w:type="dxa"/>
            <w:vMerge w:val="restart"/>
          </w:tcPr>
          <w:p>
            <w:pPr>
              <w:snapToGrid w:val="0"/>
              <w:spacing w:line="360" w:lineRule="auto"/>
              <w:rPr>
                <w:rFonts w:ascii="Book Antiqua" w:hAnsi="Book Antiqua" w:cstheme="minorBidi"/>
              </w:rPr>
            </w:pPr>
            <w:r>
              <w:rPr>
                <w:rFonts w:ascii="Book Antiqua" w:hAnsi="Book Antiqua" w:cstheme="minorBidi"/>
              </w:rPr>
              <w:t xml:space="preserve">F, 25 </w:t>
            </w:r>
            <w:r>
              <w:rPr>
                <w:rFonts w:ascii="Book Antiqua" w:hAnsi="Book Antiqua" w:cstheme="minorBidi"/>
                <w:bCs/>
                <w:iCs/>
                <w:lang w:val="fr-CH"/>
              </w:rPr>
              <w:t>yr</w:t>
            </w:r>
          </w:p>
        </w:tc>
        <w:tc>
          <w:tcPr>
            <w:tcW w:w="992" w:type="dxa"/>
            <w:vMerge w:val="restart"/>
          </w:tcPr>
          <w:p>
            <w:pPr>
              <w:snapToGrid w:val="0"/>
              <w:spacing w:line="360" w:lineRule="auto"/>
              <w:rPr>
                <w:rFonts w:ascii="Book Antiqua" w:hAnsi="Book Antiqua" w:cstheme="minorBidi"/>
              </w:rPr>
            </w:pPr>
            <w:r>
              <w:rPr>
                <w:rFonts w:ascii="Book Antiqua" w:hAnsi="Book Antiqua" w:cstheme="minorBidi"/>
              </w:rPr>
              <w:t>No</w:t>
            </w:r>
          </w:p>
        </w:tc>
        <w:tc>
          <w:tcPr>
            <w:tcW w:w="2693" w:type="dxa"/>
          </w:tcPr>
          <w:p>
            <w:pPr>
              <w:snapToGrid w:val="0"/>
              <w:spacing w:line="360" w:lineRule="auto"/>
              <w:rPr>
                <w:rFonts w:ascii="Book Antiqua" w:hAnsi="Book Antiqua" w:cstheme="minorBidi"/>
                <w:lang w:val="it-CH"/>
              </w:rPr>
            </w:pPr>
            <w:r>
              <w:rPr>
                <w:rFonts w:ascii="Book Antiqua" w:hAnsi="Book Antiqua" w:cstheme="minorBidi"/>
                <w:lang w:val="it-CH"/>
              </w:rPr>
              <w:t xml:space="preserve">FNH </w:t>
            </w:r>
            <w:r>
              <w:rPr>
                <w:rFonts w:ascii="Book Antiqua" w:hAnsi="Book Antiqua" w:cstheme="minorBidi"/>
              </w:rPr>
              <w:t>–</w:t>
            </w:r>
            <w:r>
              <w:rPr>
                <w:rFonts w:ascii="Book Antiqua" w:hAnsi="Book Antiqua" w:cstheme="minorBidi"/>
                <w:lang w:val="it-CH"/>
              </w:rPr>
              <w:t xml:space="preserve"> &lt; 5</w:t>
            </w:r>
          </w:p>
        </w:tc>
        <w:tc>
          <w:tcPr>
            <w:tcW w:w="1843" w:type="dxa"/>
          </w:tcPr>
          <w:p>
            <w:pPr>
              <w:snapToGrid w:val="0"/>
              <w:spacing w:line="360" w:lineRule="auto"/>
              <w:rPr>
                <w:rFonts w:ascii="Book Antiqua" w:hAnsi="Book Antiqua" w:cstheme="minorBidi"/>
              </w:rPr>
            </w:pPr>
            <w:r>
              <w:rPr>
                <w:rFonts w:ascii="Book Antiqua" w:hAnsi="Book Antiqua" w:cstheme="minorBidi"/>
              </w:rPr>
              <w:t>S4</w:t>
            </w:r>
          </w:p>
        </w:tc>
        <w:tc>
          <w:tcPr>
            <w:tcW w:w="1134" w:type="dxa"/>
            <w:vMerge w:val="restart"/>
          </w:tcPr>
          <w:p>
            <w:pPr>
              <w:snapToGrid w:val="0"/>
              <w:spacing w:line="360" w:lineRule="auto"/>
              <w:rPr>
                <w:rFonts w:ascii="Book Antiqua" w:hAnsi="Book Antiqua" w:cstheme="minorBidi"/>
              </w:rPr>
            </w:pPr>
            <w:r>
              <w:rPr>
                <w:rFonts w:ascii="Book Antiqua" w:hAnsi="Book Antiqua" w:cstheme="minorBidi"/>
              </w:rPr>
              <w:t>RUQ pain</w:t>
            </w:r>
          </w:p>
        </w:tc>
        <w:tc>
          <w:tcPr>
            <w:tcW w:w="3488" w:type="dxa"/>
          </w:tcPr>
          <w:p>
            <w:pPr>
              <w:snapToGrid w:val="0"/>
              <w:spacing w:line="360" w:lineRule="auto"/>
              <w:rPr>
                <w:rFonts w:ascii="Book Antiqua" w:hAnsi="Book Antiqua" w:cstheme="minorBidi"/>
              </w:rPr>
            </w:pPr>
            <w:r>
              <w:rPr>
                <w:rFonts w:ascii="Book Antiqua" w:hAnsi="Book Antiqua" w:cstheme="minorBidi"/>
                <w:i/>
                <w:iCs/>
              </w:rPr>
              <w:t>En bloc</w:t>
            </w:r>
            <w:r>
              <w:rPr>
                <w:rFonts w:ascii="Book Antiqua" w:hAnsi="Book Antiqua" w:cstheme="minorBidi"/>
              </w:rPr>
              <w:t xml:space="preserve"> (+ gallbladder)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it-CH"/>
              </w:rPr>
            </w:pPr>
            <w:r>
              <w:rPr>
                <w:rFonts w:ascii="Book Antiqua" w:hAnsi="Book Antiqua" w:cstheme="minorBidi"/>
                <w:lang w:val="it-CH"/>
              </w:rPr>
              <w:t xml:space="preserve">HA </w:t>
            </w:r>
            <w:r>
              <w:rPr>
                <w:rFonts w:ascii="Book Antiqua" w:hAnsi="Book Antiqua" w:cstheme="minorBidi"/>
              </w:rPr>
              <w:t>–</w:t>
            </w:r>
            <w:r>
              <w:rPr>
                <w:rFonts w:ascii="Book Antiqua" w:hAnsi="Book Antiqua" w:cstheme="minorBidi"/>
                <w:lang w:val="it-CH"/>
              </w:rPr>
              <w:t xml:space="preserve"> NA</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S4</w:t>
            </w:r>
          </w:p>
        </w:tc>
        <w:tc>
          <w:tcPr>
            <w:tcW w:w="1134" w:type="dxa"/>
            <w:vMerge w:val="continue"/>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i/>
                <w:iCs/>
                <w:lang w:val="fr-CH"/>
              </w:rPr>
            </w:pPr>
            <w:r>
              <w:rPr>
                <w:rFonts w:ascii="Book Antiqua" w:hAnsi="Book Antiqua" w:cstheme="minorBidi"/>
              </w:rPr>
              <w:t>Enucleation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it-CH"/>
              </w:rPr>
            </w:pPr>
            <w:r>
              <w:rPr>
                <w:rFonts w:ascii="Book Antiqua" w:hAnsi="Book Antiqua" w:cstheme="minorBidi"/>
                <w:lang w:val="it-CH"/>
              </w:rPr>
              <w:t xml:space="preserve">HH </w:t>
            </w:r>
            <w:r>
              <w:rPr>
                <w:rFonts w:ascii="Book Antiqua" w:hAnsi="Book Antiqua" w:cstheme="minorBidi"/>
              </w:rPr>
              <w:t>–</w:t>
            </w:r>
            <w:r>
              <w:rPr>
                <w:rFonts w:ascii="Book Antiqua" w:hAnsi="Book Antiqua" w:cstheme="minorBidi"/>
                <w:lang w:val="it-CH"/>
              </w:rPr>
              <w:t xml:space="preserve"> &gt; 4</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S2</w:t>
            </w:r>
          </w:p>
        </w:tc>
        <w:tc>
          <w:tcPr>
            <w:tcW w:w="1134" w:type="dxa"/>
            <w:vMerge w:val="continue"/>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lang w:val="fr-CH"/>
              </w:rPr>
            </w:pPr>
            <w:r>
              <w:rPr>
                <w:rFonts w:ascii="Book Antiqua" w:hAnsi="Book Antiqua" w:cstheme="minorBidi"/>
              </w:rPr>
              <w:t>Enucleation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it-CH"/>
              </w:rPr>
            </w:pPr>
            <w:r>
              <w:rPr>
                <w:rFonts w:ascii="Book Antiqua" w:hAnsi="Book Antiqua" w:cstheme="minorBidi"/>
                <w:lang w:val="it-CH"/>
              </w:rPr>
              <w:t xml:space="preserve">HCy </w:t>
            </w:r>
            <w:r>
              <w:rPr>
                <w:rFonts w:ascii="Book Antiqua" w:hAnsi="Book Antiqua" w:cstheme="minorBidi"/>
              </w:rPr>
              <w:t>–</w:t>
            </w:r>
            <w:r>
              <w:rPr>
                <w:rFonts w:ascii="Book Antiqua" w:hAnsi="Book Antiqua" w:cstheme="minorBidi"/>
                <w:lang w:val="it-CH"/>
              </w:rPr>
              <w:t xml:space="preserve"> NA</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S5</w:t>
            </w:r>
          </w:p>
        </w:tc>
        <w:tc>
          <w:tcPr>
            <w:tcW w:w="1134" w:type="dxa"/>
            <w:vMerge w:val="continue"/>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lang w:val="fr-CH"/>
              </w:rPr>
            </w:pPr>
            <w:r>
              <w:rPr>
                <w:rFonts w:ascii="Book Antiqua" w:hAnsi="Book Antiqua" w:cstheme="minorBidi"/>
                <w:i/>
                <w:iCs/>
              </w:rPr>
              <w:t>En bloc</w:t>
            </w:r>
            <w:r>
              <w:rPr>
                <w:rFonts w:ascii="Book Antiqua" w:hAnsi="Book Antiqua" w:cstheme="minorBidi"/>
              </w:rPr>
              <w:t xml:space="preserve"> (+ gallbladder)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1409" w:type="dxa"/>
            <w:vMerge w:val="restart"/>
          </w:tcPr>
          <w:p>
            <w:pPr>
              <w:snapToGrid w:val="0"/>
              <w:spacing w:line="360" w:lineRule="auto"/>
              <w:rPr>
                <w:rFonts w:ascii="Book Antiqua" w:hAnsi="Book Antiqua" w:cstheme="minorBidi"/>
              </w:rPr>
            </w:pPr>
            <w:r>
              <w:rPr>
                <w:rFonts w:ascii="Book Antiqua" w:hAnsi="Book Antiqua" w:cstheme="minorBidi"/>
              </w:rPr>
              <w:t>#3</w:t>
            </w:r>
          </w:p>
        </w:tc>
        <w:tc>
          <w:tcPr>
            <w:tcW w:w="1825" w:type="dxa"/>
            <w:vMerge w:val="restart"/>
          </w:tcPr>
          <w:p>
            <w:pPr>
              <w:snapToGrid w:val="0"/>
              <w:spacing w:line="360" w:lineRule="auto"/>
              <w:rPr>
                <w:rFonts w:ascii="Book Antiqua" w:hAnsi="Book Antiqua" w:cstheme="minorBidi"/>
              </w:rPr>
            </w:pPr>
            <w:r>
              <w:rPr>
                <w:rFonts w:ascii="Book Antiqua" w:hAnsi="Book Antiqua" w:cstheme="minorBidi"/>
              </w:rPr>
              <w:t xml:space="preserve">Shih </w:t>
            </w:r>
            <w:r>
              <w:rPr>
                <w:rFonts w:ascii="Book Antiqua" w:hAnsi="Book Antiqua" w:cstheme="minorBidi"/>
                <w:i/>
                <w:iCs/>
              </w:rPr>
              <w:t>et al</w:t>
            </w:r>
            <w:r>
              <w:rPr>
                <w:rFonts w:ascii="Book Antiqua" w:hAnsi="Book Antiqua" w:cstheme="minorBidi"/>
                <w:vertAlign w:val="superscript"/>
              </w:rPr>
              <w:t>[28]</w:t>
            </w:r>
            <w:r>
              <w:rPr>
                <w:rFonts w:ascii="Book Antiqua" w:hAnsi="Book Antiqua" w:cstheme="minorBidi"/>
              </w:rPr>
              <w:t>, 2015</w:t>
            </w:r>
          </w:p>
        </w:tc>
        <w:tc>
          <w:tcPr>
            <w:tcW w:w="1701" w:type="dxa"/>
            <w:vMerge w:val="restart"/>
          </w:tcPr>
          <w:p>
            <w:pPr>
              <w:snapToGrid w:val="0"/>
              <w:spacing w:line="360" w:lineRule="auto"/>
              <w:rPr>
                <w:rFonts w:ascii="Book Antiqua" w:hAnsi="Book Antiqua" w:cstheme="minorBidi"/>
              </w:rPr>
            </w:pPr>
            <w:r>
              <w:rPr>
                <w:rFonts w:ascii="Book Antiqua" w:hAnsi="Book Antiqua" w:cstheme="minorBidi"/>
              </w:rPr>
              <w:t xml:space="preserve">F, 40 </w:t>
            </w:r>
            <w:r>
              <w:rPr>
                <w:rFonts w:ascii="Book Antiqua" w:hAnsi="Book Antiqua" w:cstheme="minorBidi"/>
                <w:bCs/>
                <w:iCs/>
                <w:lang w:val="fr-CH"/>
              </w:rPr>
              <w:t>yr</w:t>
            </w:r>
          </w:p>
        </w:tc>
        <w:tc>
          <w:tcPr>
            <w:tcW w:w="992" w:type="dxa"/>
            <w:vMerge w:val="restart"/>
          </w:tcPr>
          <w:p>
            <w:pPr>
              <w:snapToGrid w:val="0"/>
              <w:spacing w:line="360" w:lineRule="auto"/>
              <w:rPr>
                <w:rFonts w:ascii="Book Antiqua" w:hAnsi="Book Antiqua" w:cstheme="minorBidi"/>
              </w:rPr>
            </w:pPr>
            <w:r>
              <w:rPr>
                <w:rFonts w:ascii="Book Antiqua" w:hAnsi="Book Antiqua" w:cstheme="minorBidi"/>
              </w:rPr>
              <w:t>Yes</w:t>
            </w:r>
          </w:p>
        </w:tc>
        <w:tc>
          <w:tcPr>
            <w:tcW w:w="2693" w:type="dxa"/>
          </w:tcPr>
          <w:p>
            <w:pPr>
              <w:snapToGrid w:val="0"/>
              <w:spacing w:line="360" w:lineRule="auto"/>
              <w:rPr>
                <w:rFonts w:ascii="Book Antiqua" w:hAnsi="Book Antiqua" w:cstheme="minorBidi"/>
              </w:rPr>
            </w:pPr>
            <w:r>
              <w:rPr>
                <w:rFonts w:ascii="Book Antiqua" w:hAnsi="Book Antiqua" w:cstheme="minorBidi"/>
              </w:rPr>
              <w:t>FNH – 6</w:t>
            </w:r>
          </w:p>
        </w:tc>
        <w:tc>
          <w:tcPr>
            <w:tcW w:w="1843" w:type="dxa"/>
          </w:tcPr>
          <w:p>
            <w:pPr>
              <w:snapToGrid w:val="0"/>
              <w:spacing w:line="360" w:lineRule="auto"/>
              <w:rPr>
                <w:rFonts w:ascii="Book Antiqua" w:hAnsi="Book Antiqua" w:cstheme="minorBidi"/>
              </w:rPr>
            </w:pPr>
            <w:r>
              <w:rPr>
                <w:rFonts w:ascii="Book Antiqua" w:hAnsi="Book Antiqua" w:cstheme="minorBidi"/>
              </w:rPr>
              <w:t>III</w:t>
            </w:r>
          </w:p>
        </w:tc>
        <w:tc>
          <w:tcPr>
            <w:tcW w:w="1134" w:type="dxa"/>
            <w:vMerge w:val="restart"/>
          </w:tcPr>
          <w:p>
            <w:pPr>
              <w:snapToGrid w:val="0"/>
              <w:spacing w:line="360" w:lineRule="auto"/>
              <w:rPr>
                <w:rFonts w:ascii="Book Antiqua" w:hAnsi="Book Antiqua" w:cstheme="minorBidi"/>
              </w:rPr>
            </w:pPr>
            <w:r>
              <w:rPr>
                <w:rFonts w:ascii="Book Antiqua" w:hAnsi="Book Antiqua" w:cstheme="minorBidi"/>
              </w:rPr>
              <w:t>Abdominal pain</w:t>
            </w:r>
          </w:p>
        </w:tc>
        <w:tc>
          <w:tcPr>
            <w:tcW w:w="3488" w:type="dxa"/>
            <w:vMerge w:val="restart"/>
          </w:tcPr>
          <w:p>
            <w:pPr>
              <w:snapToGrid w:val="0"/>
              <w:spacing w:line="360" w:lineRule="auto"/>
              <w:rPr>
                <w:rFonts w:ascii="Book Antiqua" w:hAnsi="Book Antiqua" w:cstheme="minorBidi"/>
              </w:rPr>
            </w:pPr>
            <w:r>
              <w:rPr>
                <w:rFonts w:ascii="Book Antiqua" w:hAnsi="Book Antiqua" w:cstheme="minorBidi"/>
              </w:rPr>
              <w:t>LH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fr-CH"/>
              </w:rPr>
            </w:pPr>
            <w:r>
              <w:rPr>
                <w:rFonts w:ascii="Book Antiqua" w:hAnsi="Book Antiqua" w:cstheme="minorBidi"/>
              </w:rPr>
              <w:t>HA – 9.5 &amp; small ones (max 1.5 cm)</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III for the largest, small ones on both lobes</w:t>
            </w:r>
          </w:p>
        </w:tc>
        <w:tc>
          <w:tcPr>
            <w:tcW w:w="1134" w:type="dxa"/>
            <w:vMerge w:val="continue"/>
          </w:tcPr>
          <w:p>
            <w:pPr>
              <w:snapToGrid w:val="0"/>
              <w:spacing w:line="360" w:lineRule="auto"/>
              <w:rPr>
                <w:rFonts w:ascii="Book Antiqua" w:hAnsi="Book Antiqua" w:cstheme="minorBidi"/>
                <w:lang w:val="fr-CH"/>
              </w:rPr>
            </w:pPr>
          </w:p>
        </w:tc>
        <w:tc>
          <w:tcPr>
            <w:tcW w:w="3488" w:type="dxa"/>
            <w:vMerge w:val="continue"/>
          </w:tcPr>
          <w:p>
            <w:pPr>
              <w:snapToGrid w:val="0"/>
              <w:spacing w:line="360" w:lineRule="auto"/>
              <w:rPr>
                <w:rFonts w:ascii="Book Antiqua" w:hAnsi="Book Antiqua" w:cstheme="minorBidi"/>
                <w:lang w:val="fr-CH"/>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409" w:type="dxa"/>
            <w:vMerge w:val="restart"/>
          </w:tcPr>
          <w:p>
            <w:pPr>
              <w:snapToGrid w:val="0"/>
              <w:spacing w:line="360" w:lineRule="auto"/>
              <w:rPr>
                <w:rFonts w:ascii="Book Antiqua" w:hAnsi="Book Antiqua" w:cstheme="minorBidi"/>
              </w:rPr>
            </w:pPr>
            <w:r>
              <w:rPr>
                <w:rFonts w:ascii="Book Antiqua" w:hAnsi="Book Antiqua" w:cstheme="minorBidi"/>
              </w:rPr>
              <w:t>#4</w:t>
            </w:r>
          </w:p>
        </w:tc>
        <w:tc>
          <w:tcPr>
            <w:tcW w:w="1825" w:type="dxa"/>
            <w:vMerge w:val="restart"/>
          </w:tcPr>
          <w:p>
            <w:pPr>
              <w:snapToGrid w:val="0"/>
              <w:spacing w:line="360" w:lineRule="auto"/>
              <w:rPr>
                <w:rFonts w:ascii="Book Antiqua" w:hAnsi="Book Antiqua" w:cstheme="minorBidi"/>
              </w:rPr>
            </w:pPr>
            <w:r>
              <w:rPr>
                <w:rFonts w:ascii="Book Antiqua" w:hAnsi="Book Antiqua" w:cstheme="minorBidi"/>
              </w:rPr>
              <w:t xml:space="preserve">Laurent </w:t>
            </w:r>
            <w:r>
              <w:rPr>
                <w:rFonts w:ascii="Book Antiqua" w:hAnsi="Book Antiqua" w:cstheme="minorBidi"/>
                <w:i/>
                <w:iCs/>
              </w:rPr>
              <w:t>et al</w:t>
            </w:r>
            <w:r>
              <w:rPr>
                <w:rFonts w:ascii="Book Antiqua" w:hAnsi="Book Antiqua" w:cstheme="minorBidi"/>
                <w:vertAlign w:val="superscript"/>
              </w:rPr>
              <w:t>[29]</w:t>
            </w:r>
            <w:r>
              <w:rPr>
                <w:rFonts w:ascii="Book Antiqua" w:hAnsi="Book Antiqua" w:cstheme="minorBidi"/>
              </w:rPr>
              <w:t>, 2003</w:t>
            </w:r>
          </w:p>
        </w:tc>
        <w:tc>
          <w:tcPr>
            <w:tcW w:w="1701" w:type="dxa"/>
            <w:vMerge w:val="restart"/>
          </w:tcPr>
          <w:p>
            <w:pPr>
              <w:snapToGrid w:val="0"/>
              <w:spacing w:line="360" w:lineRule="auto"/>
              <w:rPr>
                <w:rFonts w:ascii="Book Antiqua" w:hAnsi="Book Antiqua" w:cstheme="minorBidi"/>
              </w:rPr>
            </w:pPr>
            <w:r>
              <w:rPr>
                <w:rFonts w:ascii="Book Antiqua" w:hAnsi="Book Antiqua" w:cstheme="minorBidi"/>
              </w:rPr>
              <w:t xml:space="preserve">F, 45 </w:t>
            </w:r>
            <w:r>
              <w:rPr>
                <w:rFonts w:ascii="Book Antiqua" w:hAnsi="Book Antiqua" w:cstheme="minorBidi"/>
                <w:bCs/>
                <w:iCs/>
                <w:lang w:val="fr-CH"/>
              </w:rPr>
              <w:t>yr</w:t>
            </w:r>
          </w:p>
        </w:tc>
        <w:tc>
          <w:tcPr>
            <w:tcW w:w="992" w:type="dxa"/>
            <w:vMerge w:val="restart"/>
          </w:tcPr>
          <w:p>
            <w:pPr>
              <w:snapToGrid w:val="0"/>
              <w:spacing w:line="360" w:lineRule="auto"/>
              <w:rPr>
                <w:rFonts w:ascii="Book Antiqua" w:hAnsi="Book Antiqua" w:cstheme="minorBidi"/>
              </w:rPr>
            </w:pPr>
            <w:r>
              <w:rPr>
                <w:rFonts w:ascii="Book Antiqua" w:hAnsi="Book Antiqua" w:cstheme="minorBidi"/>
              </w:rPr>
              <w:t>Yes</w:t>
            </w:r>
          </w:p>
        </w:tc>
        <w:tc>
          <w:tcPr>
            <w:tcW w:w="2693" w:type="dxa"/>
          </w:tcPr>
          <w:p>
            <w:pPr>
              <w:snapToGrid w:val="0"/>
              <w:spacing w:line="360" w:lineRule="auto"/>
              <w:rPr>
                <w:rFonts w:ascii="Book Antiqua" w:hAnsi="Book Antiqua" w:cstheme="minorBidi"/>
              </w:rPr>
            </w:pPr>
            <w:r>
              <w:rPr>
                <w:rFonts w:ascii="Book Antiqua" w:hAnsi="Book Antiqua" w:cstheme="minorBidi"/>
              </w:rPr>
              <w:t>FNH – 1</w:t>
            </w:r>
          </w:p>
        </w:tc>
        <w:tc>
          <w:tcPr>
            <w:tcW w:w="1843" w:type="dxa"/>
          </w:tcPr>
          <w:p>
            <w:pPr>
              <w:snapToGrid w:val="0"/>
              <w:spacing w:line="360" w:lineRule="auto"/>
              <w:rPr>
                <w:rFonts w:ascii="Book Antiqua" w:hAnsi="Book Antiqua" w:cstheme="minorBidi"/>
              </w:rPr>
            </w:pPr>
            <w:r>
              <w:rPr>
                <w:rFonts w:ascii="Book Antiqua" w:hAnsi="Book Antiqua" w:cstheme="minorBidi"/>
              </w:rPr>
              <w:t>S3</w:t>
            </w:r>
          </w:p>
        </w:tc>
        <w:tc>
          <w:tcPr>
            <w:tcW w:w="1134" w:type="dxa"/>
            <w:vMerge w:val="restart"/>
          </w:tcPr>
          <w:p>
            <w:pPr>
              <w:snapToGrid w:val="0"/>
              <w:spacing w:line="360" w:lineRule="auto"/>
              <w:rPr>
                <w:rFonts w:ascii="Book Antiqua" w:hAnsi="Book Antiqua" w:cstheme="minorBidi"/>
              </w:rPr>
            </w:pPr>
            <w:r>
              <w:rPr>
                <w:rFonts w:ascii="Book Antiqua" w:hAnsi="Book Antiqua" w:cstheme="minorBidi"/>
              </w:rPr>
              <w:t>Fatigue</w:t>
            </w:r>
          </w:p>
        </w:tc>
        <w:tc>
          <w:tcPr>
            <w:tcW w:w="3488" w:type="dxa"/>
          </w:tcPr>
          <w:p>
            <w:pPr>
              <w:snapToGrid w:val="0"/>
              <w:spacing w:line="360" w:lineRule="auto"/>
              <w:rPr>
                <w:rFonts w:ascii="Book Antiqua" w:hAnsi="Book Antiqua" w:cstheme="minorBidi"/>
              </w:rPr>
            </w:pPr>
            <w:r>
              <w:rPr>
                <w:rFonts w:ascii="Book Antiqua" w:hAnsi="Book Antiqua" w:cstheme="minorBidi"/>
              </w:rPr>
              <w:t>Lt S3 segmentectomy + wedge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fr-CH"/>
              </w:rPr>
            </w:pPr>
            <w:r>
              <w:rPr>
                <w:rFonts w:ascii="Book Antiqua" w:hAnsi="Book Antiqua" w:cstheme="minorBidi"/>
              </w:rPr>
              <w:t>HA – NA</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S7</w:t>
            </w:r>
          </w:p>
        </w:tc>
        <w:tc>
          <w:tcPr>
            <w:tcW w:w="1134" w:type="dxa"/>
            <w:vMerge w:val="continue"/>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lang w:val="fr-CH"/>
              </w:rPr>
            </w:pPr>
            <w:r>
              <w:rPr>
                <w:rFonts w:ascii="Book Antiqua" w:hAnsi="Book Antiqua" w:cstheme="minorBidi"/>
              </w:rPr>
              <w:t>Lt RH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1409" w:type="dxa"/>
            <w:vMerge w:val="continue"/>
          </w:tcPr>
          <w:p>
            <w:pPr>
              <w:snapToGrid w:val="0"/>
              <w:spacing w:line="360" w:lineRule="auto"/>
              <w:rPr>
                <w:rFonts w:ascii="Book Antiqua" w:hAnsi="Book Antiqua" w:cstheme="minorBidi"/>
              </w:rPr>
            </w:pPr>
          </w:p>
        </w:tc>
        <w:tc>
          <w:tcPr>
            <w:tcW w:w="1825" w:type="dxa"/>
            <w:vMerge w:val="continue"/>
          </w:tcPr>
          <w:p>
            <w:pPr>
              <w:snapToGrid w:val="0"/>
              <w:spacing w:line="360" w:lineRule="auto"/>
              <w:rPr>
                <w:rFonts w:ascii="Book Antiqua" w:hAnsi="Book Antiqua" w:cstheme="minorBidi"/>
              </w:rPr>
            </w:pPr>
          </w:p>
        </w:tc>
        <w:tc>
          <w:tcPr>
            <w:tcW w:w="1701" w:type="dxa"/>
            <w:vMerge w:val="restart"/>
          </w:tcPr>
          <w:p>
            <w:pPr>
              <w:snapToGrid w:val="0"/>
              <w:spacing w:line="360" w:lineRule="auto"/>
              <w:rPr>
                <w:rFonts w:ascii="Book Antiqua" w:hAnsi="Book Antiqua" w:cstheme="minorBidi"/>
              </w:rPr>
            </w:pPr>
            <w:r>
              <w:rPr>
                <w:rFonts w:ascii="Book Antiqua" w:hAnsi="Book Antiqua" w:cstheme="minorBidi"/>
              </w:rPr>
              <w:t xml:space="preserve">F, 40 </w:t>
            </w:r>
            <w:r>
              <w:rPr>
                <w:rFonts w:ascii="Book Antiqua" w:hAnsi="Book Antiqua" w:cstheme="minorBidi"/>
                <w:bCs/>
                <w:iCs/>
                <w:lang w:val="fr-CH"/>
              </w:rPr>
              <w:t>yr</w:t>
            </w:r>
          </w:p>
        </w:tc>
        <w:tc>
          <w:tcPr>
            <w:tcW w:w="992" w:type="dxa"/>
            <w:vMerge w:val="restart"/>
          </w:tcPr>
          <w:p>
            <w:pPr>
              <w:snapToGrid w:val="0"/>
              <w:spacing w:line="360" w:lineRule="auto"/>
              <w:rPr>
                <w:rFonts w:ascii="Book Antiqua" w:hAnsi="Book Antiqua" w:cstheme="minorBidi"/>
              </w:rPr>
            </w:pPr>
            <w:r>
              <w:rPr>
                <w:rFonts w:ascii="Book Antiqua" w:hAnsi="Book Antiqua" w:cstheme="minorBidi"/>
              </w:rPr>
              <w:t>Yes</w:t>
            </w:r>
          </w:p>
        </w:tc>
        <w:tc>
          <w:tcPr>
            <w:tcW w:w="2693" w:type="dxa"/>
          </w:tcPr>
          <w:p>
            <w:pPr>
              <w:snapToGrid w:val="0"/>
              <w:spacing w:line="360" w:lineRule="auto"/>
              <w:rPr>
                <w:rFonts w:ascii="Book Antiqua" w:hAnsi="Book Antiqua" w:cstheme="minorBidi"/>
              </w:rPr>
            </w:pPr>
            <w:r>
              <w:rPr>
                <w:rFonts w:ascii="Book Antiqua" w:hAnsi="Book Antiqua" w:cstheme="minorBidi"/>
              </w:rPr>
              <w:t>FNH – 5</w:t>
            </w:r>
          </w:p>
        </w:tc>
        <w:tc>
          <w:tcPr>
            <w:tcW w:w="1843" w:type="dxa"/>
          </w:tcPr>
          <w:p>
            <w:pPr>
              <w:snapToGrid w:val="0"/>
              <w:spacing w:line="360" w:lineRule="auto"/>
              <w:rPr>
                <w:rFonts w:ascii="Book Antiqua" w:hAnsi="Book Antiqua" w:cstheme="minorBidi"/>
              </w:rPr>
            </w:pPr>
            <w:r>
              <w:rPr>
                <w:rFonts w:ascii="Book Antiqua" w:hAnsi="Book Antiqua" w:cstheme="minorBidi"/>
              </w:rPr>
              <w:t>S6</w:t>
            </w:r>
          </w:p>
        </w:tc>
        <w:tc>
          <w:tcPr>
            <w:tcW w:w="1134" w:type="dxa"/>
            <w:vMerge w:val="restart"/>
          </w:tcPr>
          <w:p>
            <w:pPr>
              <w:snapToGrid w:val="0"/>
              <w:spacing w:line="360" w:lineRule="auto"/>
              <w:rPr>
                <w:rFonts w:ascii="Book Antiqua" w:hAnsi="Book Antiqua" w:cstheme="minorBidi"/>
              </w:rPr>
            </w:pPr>
            <w:r>
              <w:rPr>
                <w:rFonts w:ascii="Book Antiqua" w:hAnsi="Book Antiqua" w:cstheme="minorBidi"/>
              </w:rPr>
              <w:t>None</w:t>
            </w:r>
          </w:p>
        </w:tc>
        <w:tc>
          <w:tcPr>
            <w:tcW w:w="3488" w:type="dxa"/>
          </w:tcPr>
          <w:p>
            <w:pPr>
              <w:snapToGrid w:val="0"/>
              <w:spacing w:line="360" w:lineRule="auto"/>
              <w:rPr>
                <w:rFonts w:ascii="Book Antiqua" w:hAnsi="Book Antiqua" w:cstheme="minorBidi"/>
              </w:rPr>
            </w:pPr>
            <w:r>
              <w:rPr>
                <w:rFonts w:ascii="Book Antiqua" w:hAnsi="Book Antiqua" w:cstheme="minorBidi"/>
              </w:rPr>
              <w:t>Biopsy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rPr>
            </w:pPr>
            <w:r>
              <w:rPr>
                <w:rFonts w:ascii="Book Antiqua" w:hAnsi="Book Antiqua" w:cstheme="minorBidi"/>
              </w:rPr>
              <w:t>FNH – 4</w:t>
            </w:r>
          </w:p>
        </w:tc>
        <w:tc>
          <w:tcPr>
            <w:tcW w:w="1843" w:type="dxa"/>
          </w:tcPr>
          <w:p>
            <w:pPr>
              <w:snapToGrid w:val="0"/>
              <w:spacing w:line="360" w:lineRule="auto"/>
              <w:rPr>
                <w:rFonts w:ascii="Book Antiqua" w:hAnsi="Book Antiqua" w:cstheme="minorBidi"/>
              </w:rPr>
            </w:pPr>
            <w:r>
              <w:rPr>
                <w:rFonts w:ascii="Book Antiqua" w:hAnsi="Book Antiqua" w:cstheme="minorBidi"/>
              </w:rPr>
              <w:t>S7</w:t>
            </w:r>
          </w:p>
        </w:tc>
        <w:tc>
          <w:tcPr>
            <w:tcW w:w="1134" w:type="dxa"/>
            <w:vMerge w:val="continue"/>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lang w:val="fr-CH"/>
              </w:rPr>
            </w:pPr>
            <w:r>
              <w:rPr>
                <w:rFonts w:ascii="Book Antiqua" w:hAnsi="Book Antiqua" w:cstheme="minorBidi"/>
              </w:rPr>
              <w:t>Biopsy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fr-CH"/>
              </w:rPr>
            </w:pPr>
            <w:r>
              <w:rPr>
                <w:rFonts w:ascii="Book Antiqua" w:hAnsi="Book Antiqua" w:cstheme="minorBidi"/>
              </w:rPr>
              <w:t>NA – 3</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Left lobe</w:t>
            </w:r>
          </w:p>
        </w:tc>
        <w:tc>
          <w:tcPr>
            <w:tcW w:w="1134" w:type="dxa"/>
            <w:vMerge w:val="continue"/>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lang w:val="fr-CH"/>
              </w:rPr>
            </w:pPr>
            <w:r>
              <w:rPr>
                <w:rFonts w:ascii="Book Antiqua" w:hAnsi="Book Antiqua" w:cstheme="minorBidi"/>
              </w:rPr>
              <w:t>Lt LH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fr-CH"/>
              </w:rPr>
            </w:pPr>
            <w:r>
              <w:rPr>
                <w:rFonts w:ascii="Book Antiqua" w:hAnsi="Book Antiqua" w:cstheme="minorBidi"/>
              </w:rPr>
              <w:t>HA – 3</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Left lobe</w:t>
            </w:r>
          </w:p>
        </w:tc>
        <w:tc>
          <w:tcPr>
            <w:tcW w:w="1134" w:type="dxa"/>
          </w:tcPr>
          <w:p>
            <w:pPr>
              <w:snapToGrid w:val="0"/>
              <w:spacing w:line="360" w:lineRule="auto"/>
              <w:rPr>
                <w:rFonts w:ascii="Book Antiqua" w:hAnsi="Book Antiqua" w:cstheme="minorBidi"/>
                <w:lang w:val="fr-CH"/>
              </w:rPr>
            </w:pPr>
          </w:p>
        </w:tc>
        <w:tc>
          <w:tcPr>
            <w:tcW w:w="3488" w:type="dxa"/>
          </w:tcPr>
          <w:p>
            <w:pPr>
              <w:snapToGrid w:val="0"/>
              <w:spacing w:line="360" w:lineRule="auto"/>
              <w:rPr>
                <w:rFonts w:ascii="Book Antiqua" w:hAnsi="Book Antiqua" w:cstheme="minorBidi"/>
                <w:lang w:val="fr-CH"/>
              </w:rPr>
            </w:pPr>
            <w:r>
              <w:rPr>
                <w:rFonts w:ascii="Book Antiqua" w:hAnsi="Book Antiqua" w:cstheme="minorBidi"/>
              </w:rPr>
              <w:t>Lt LH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09" w:type="dxa"/>
            <w:vMerge w:val="continue"/>
          </w:tcPr>
          <w:p>
            <w:pPr>
              <w:snapToGrid w:val="0"/>
              <w:spacing w:line="360" w:lineRule="auto"/>
              <w:rPr>
                <w:rFonts w:ascii="Book Antiqua" w:hAnsi="Book Antiqua" w:cstheme="minorBidi"/>
              </w:rPr>
            </w:pPr>
          </w:p>
        </w:tc>
        <w:tc>
          <w:tcPr>
            <w:tcW w:w="1825" w:type="dxa"/>
            <w:vMerge w:val="continue"/>
          </w:tcPr>
          <w:p>
            <w:pPr>
              <w:snapToGrid w:val="0"/>
              <w:spacing w:line="360" w:lineRule="auto"/>
              <w:rPr>
                <w:rFonts w:ascii="Book Antiqua" w:hAnsi="Book Antiqua" w:cstheme="minorBidi"/>
              </w:rPr>
            </w:pPr>
          </w:p>
        </w:tc>
        <w:tc>
          <w:tcPr>
            <w:tcW w:w="1701" w:type="dxa"/>
          </w:tcPr>
          <w:p>
            <w:pPr>
              <w:snapToGrid w:val="0"/>
              <w:spacing w:line="360" w:lineRule="auto"/>
              <w:rPr>
                <w:rFonts w:ascii="Book Antiqua" w:hAnsi="Book Antiqua" w:cstheme="minorBidi"/>
              </w:rPr>
            </w:pPr>
            <w:r>
              <w:rPr>
                <w:rFonts w:ascii="Book Antiqua" w:hAnsi="Book Antiqua" w:cstheme="minorBidi"/>
              </w:rPr>
              <w:t xml:space="preserve">F, 38 </w:t>
            </w:r>
            <w:r>
              <w:rPr>
                <w:rFonts w:ascii="Book Antiqua" w:hAnsi="Book Antiqua" w:cstheme="minorBidi"/>
                <w:bCs/>
                <w:iCs/>
                <w:lang w:val="fr-CH"/>
              </w:rPr>
              <w:t>yr</w:t>
            </w:r>
          </w:p>
        </w:tc>
        <w:tc>
          <w:tcPr>
            <w:tcW w:w="992" w:type="dxa"/>
          </w:tcPr>
          <w:p>
            <w:pPr>
              <w:snapToGrid w:val="0"/>
              <w:spacing w:line="360" w:lineRule="auto"/>
              <w:rPr>
                <w:rFonts w:ascii="Book Antiqua" w:hAnsi="Book Antiqua" w:cstheme="minorBidi"/>
              </w:rPr>
            </w:pPr>
            <w:r>
              <w:rPr>
                <w:rFonts w:ascii="Book Antiqua" w:hAnsi="Book Antiqua" w:cstheme="minorBidi"/>
              </w:rPr>
              <w:t>Yes</w:t>
            </w:r>
          </w:p>
        </w:tc>
        <w:tc>
          <w:tcPr>
            <w:tcW w:w="2693" w:type="dxa"/>
          </w:tcPr>
          <w:p>
            <w:pPr>
              <w:snapToGrid w:val="0"/>
              <w:spacing w:line="360" w:lineRule="auto"/>
              <w:rPr>
                <w:rFonts w:ascii="Book Antiqua" w:hAnsi="Book Antiqua" w:cstheme="minorBidi"/>
              </w:rPr>
            </w:pPr>
            <w:r>
              <w:rPr>
                <w:rFonts w:ascii="Book Antiqua" w:hAnsi="Book Antiqua" w:cstheme="minorBidi"/>
              </w:rPr>
              <w:t>HA surrounded by FNH –13</w:t>
            </w:r>
          </w:p>
        </w:tc>
        <w:tc>
          <w:tcPr>
            <w:tcW w:w="1843" w:type="dxa"/>
          </w:tcPr>
          <w:p>
            <w:pPr>
              <w:snapToGrid w:val="0"/>
              <w:spacing w:line="360" w:lineRule="auto"/>
              <w:rPr>
                <w:rFonts w:ascii="Book Antiqua" w:hAnsi="Book Antiqua" w:cstheme="minorBidi"/>
              </w:rPr>
            </w:pPr>
            <w:r>
              <w:rPr>
                <w:rFonts w:ascii="Book Antiqua" w:hAnsi="Book Antiqua" w:cstheme="minorBidi"/>
              </w:rPr>
              <w:t>Right lobe</w:t>
            </w:r>
          </w:p>
        </w:tc>
        <w:tc>
          <w:tcPr>
            <w:tcW w:w="1134" w:type="dxa"/>
          </w:tcPr>
          <w:p>
            <w:pPr>
              <w:snapToGrid w:val="0"/>
              <w:spacing w:line="360" w:lineRule="auto"/>
              <w:rPr>
                <w:rFonts w:ascii="Book Antiqua" w:hAnsi="Book Antiqua" w:cstheme="minorBidi"/>
              </w:rPr>
            </w:pPr>
            <w:r>
              <w:rPr>
                <w:rFonts w:ascii="Book Antiqua" w:hAnsi="Book Antiqua" w:cstheme="minorBidi"/>
              </w:rPr>
              <w:t>None</w:t>
            </w:r>
          </w:p>
        </w:tc>
        <w:tc>
          <w:tcPr>
            <w:tcW w:w="3488" w:type="dxa"/>
          </w:tcPr>
          <w:p>
            <w:pPr>
              <w:snapToGrid w:val="0"/>
              <w:spacing w:line="360" w:lineRule="auto"/>
              <w:rPr>
                <w:rFonts w:ascii="Book Antiqua" w:hAnsi="Book Antiqua" w:cstheme="minorBidi"/>
              </w:rPr>
            </w:pPr>
            <w:r>
              <w:rPr>
                <w:rFonts w:ascii="Book Antiqua" w:hAnsi="Book Antiqua" w:cstheme="minorBidi"/>
              </w:rPr>
              <w:t>Lt RH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409" w:type="dxa"/>
            <w:vMerge w:val="continue"/>
          </w:tcPr>
          <w:p>
            <w:pPr>
              <w:snapToGrid w:val="0"/>
              <w:spacing w:line="360" w:lineRule="auto"/>
              <w:rPr>
                <w:rFonts w:ascii="Book Antiqua" w:hAnsi="Book Antiqua" w:cstheme="minorBidi"/>
              </w:rPr>
            </w:pPr>
          </w:p>
        </w:tc>
        <w:tc>
          <w:tcPr>
            <w:tcW w:w="1825" w:type="dxa"/>
            <w:vMerge w:val="continue"/>
          </w:tcPr>
          <w:p>
            <w:pPr>
              <w:snapToGrid w:val="0"/>
              <w:spacing w:line="360" w:lineRule="auto"/>
              <w:rPr>
                <w:rFonts w:ascii="Book Antiqua" w:hAnsi="Book Antiqua" w:cstheme="minorBidi"/>
              </w:rPr>
            </w:pPr>
          </w:p>
        </w:tc>
        <w:tc>
          <w:tcPr>
            <w:tcW w:w="1701" w:type="dxa"/>
            <w:vMerge w:val="restart"/>
          </w:tcPr>
          <w:p>
            <w:pPr>
              <w:snapToGrid w:val="0"/>
              <w:spacing w:line="360" w:lineRule="auto"/>
              <w:rPr>
                <w:rFonts w:ascii="Book Antiqua" w:hAnsi="Book Antiqua" w:cstheme="minorBidi"/>
              </w:rPr>
            </w:pPr>
            <w:r>
              <w:rPr>
                <w:rFonts w:ascii="Book Antiqua" w:hAnsi="Book Antiqua" w:cstheme="minorBidi"/>
              </w:rPr>
              <w:t xml:space="preserve">F, 29 </w:t>
            </w:r>
            <w:r>
              <w:rPr>
                <w:rFonts w:ascii="Book Antiqua" w:hAnsi="Book Antiqua" w:cstheme="minorBidi"/>
                <w:bCs/>
                <w:iCs/>
                <w:lang w:val="fr-CH"/>
              </w:rPr>
              <w:t>yr</w:t>
            </w:r>
          </w:p>
        </w:tc>
        <w:tc>
          <w:tcPr>
            <w:tcW w:w="992" w:type="dxa"/>
            <w:vMerge w:val="restart"/>
          </w:tcPr>
          <w:p>
            <w:pPr>
              <w:snapToGrid w:val="0"/>
              <w:spacing w:line="360" w:lineRule="auto"/>
              <w:rPr>
                <w:rFonts w:ascii="Book Antiqua" w:hAnsi="Book Antiqua" w:cstheme="minorBidi"/>
              </w:rPr>
            </w:pPr>
            <w:r>
              <w:rPr>
                <w:rFonts w:ascii="Book Antiqua" w:hAnsi="Book Antiqua" w:cstheme="minorBidi"/>
              </w:rPr>
              <w:t>Yes</w:t>
            </w:r>
          </w:p>
        </w:tc>
        <w:tc>
          <w:tcPr>
            <w:tcW w:w="2693" w:type="dxa"/>
          </w:tcPr>
          <w:p>
            <w:pPr>
              <w:snapToGrid w:val="0"/>
              <w:spacing w:line="360" w:lineRule="auto"/>
              <w:rPr>
                <w:rFonts w:ascii="Book Antiqua" w:hAnsi="Book Antiqua" w:cstheme="minorBidi"/>
                <w:lang w:val="it-CH"/>
              </w:rPr>
            </w:pPr>
            <w:r>
              <w:rPr>
                <w:rFonts w:ascii="Book Antiqua" w:hAnsi="Book Antiqua" w:cstheme="minorBidi"/>
                <w:lang w:val="it-CH"/>
              </w:rPr>
              <w:t xml:space="preserve">HA </w:t>
            </w:r>
            <w:r>
              <w:rPr>
                <w:rFonts w:ascii="Book Antiqua" w:hAnsi="Book Antiqua" w:cstheme="minorBidi"/>
              </w:rPr>
              <w:t>–</w:t>
            </w:r>
            <w:r>
              <w:rPr>
                <w:rFonts w:ascii="Book Antiqua" w:hAnsi="Book Antiqua" w:cstheme="minorBidi"/>
                <w:lang w:val="it-CH"/>
              </w:rPr>
              <w:t xml:space="preserve"> 5 </w:t>
            </w:r>
            <w:r>
              <w:rPr>
                <w:rFonts w:ascii="Book Antiqua" w:hAnsi="Book Antiqua" w:cstheme="minorBidi"/>
                <w:lang w:val="pl-PL"/>
              </w:rPr>
              <w:t>×</w:t>
            </w:r>
            <w:r>
              <w:rPr>
                <w:rFonts w:ascii="Book Antiqua" w:hAnsi="Book Antiqua" w:cstheme="minorBidi"/>
                <w:lang w:val="it-CH"/>
              </w:rPr>
              <w:t xml:space="preserve"> 1</w:t>
            </w:r>
          </w:p>
        </w:tc>
        <w:tc>
          <w:tcPr>
            <w:tcW w:w="1843" w:type="dxa"/>
          </w:tcPr>
          <w:p>
            <w:pPr>
              <w:snapToGrid w:val="0"/>
              <w:spacing w:line="360" w:lineRule="auto"/>
              <w:rPr>
                <w:rFonts w:ascii="Book Antiqua" w:hAnsi="Book Antiqua" w:cstheme="minorBidi"/>
              </w:rPr>
            </w:pPr>
            <w:r>
              <w:rPr>
                <w:rFonts w:ascii="Book Antiqua" w:hAnsi="Book Antiqua" w:cstheme="minorBidi"/>
              </w:rPr>
              <w:t>S1 (bleeding), S2, 3, 7, 8</w:t>
            </w:r>
          </w:p>
        </w:tc>
        <w:tc>
          <w:tcPr>
            <w:tcW w:w="1134" w:type="dxa"/>
            <w:vMerge w:val="restart"/>
          </w:tcPr>
          <w:p>
            <w:pPr>
              <w:snapToGrid w:val="0"/>
              <w:spacing w:line="360" w:lineRule="auto"/>
              <w:rPr>
                <w:rFonts w:ascii="Book Antiqua" w:hAnsi="Book Antiqua" w:cstheme="minorBidi"/>
              </w:rPr>
            </w:pPr>
            <w:r>
              <w:rPr>
                <w:rFonts w:ascii="Book Antiqua" w:hAnsi="Book Antiqua" w:cstheme="minorBidi"/>
              </w:rPr>
              <w:t>Abdominal pain + shock</w:t>
            </w:r>
          </w:p>
        </w:tc>
        <w:tc>
          <w:tcPr>
            <w:tcW w:w="3488" w:type="dxa"/>
            <w:vMerge w:val="restart"/>
          </w:tcPr>
          <w:p>
            <w:pPr>
              <w:snapToGrid w:val="0"/>
              <w:spacing w:line="360" w:lineRule="auto"/>
              <w:rPr>
                <w:rFonts w:ascii="Book Antiqua" w:hAnsi="Book Antiqua" w:cstheme="minorBidi"/>
              </w:rPr>
            </w:pPr>
            <w:r>
              <w:rPr>
                <w:rFonts w:ascii="Book Antiqua" w:hAnsi="Book Antiqua" w:cstheme="minorBidi"/>
              </w:rPr>
              <w:t>Lt LH + S1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it-CH"/>
              </w:rPr>
            </w:pPr>
            <w:r>
              <w:rPr>
                <w:rFonts w:ascii="Book Antiqua" w:hAnsi="Book Antiqua" w:cstheme="minorBidi"/>
                <w:lang w:val="it-CH"/>
              </w:rPr>
              <w:t>FNH – 1</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S6</w:t>
            </w:r>
          </w:p>
        </w:tc>
        <w:tc>
          <w:tcPr>
            <w:tcW w:w="1134" w:type="dxa"/>
            <w:vMerge w:val="continue"/>
          </w:tcPr>
          <w:p>
            <w:pPr>
              <w:snapToGrid w:val="0"/>
              <w:spacing w:line="360" w:lineRule="auto"/>
              <w:rPr>
                <w:rFonts w:ascii="Book Antiqua" w:hAnsi="Book Antiqua" w:cstheme="minorBidi"/>
                <w:lang w:val="fr-CH"/>
              </w:rPr>
            </w:pPr>
          </w:p>
        </w:tc>
        <w:tc>
          <w:tcPr>
            <w:tcW w:w="3488" w:type="dxa"/>
            <w:vMerge w:val="continue"/>
          </w:tcPr>
          <w:p>
            <w:pPr>
              <w:snapToGrid w:val="0"/>
              <w:spacing w:line="360" w:lineRule="auto"/>
              <w:rPr>
                <w:rFonts w:ascii="Book Antiqua" w:hAnsi="Book Antiqua" w:cstheme="minorBidi"/>
                <w:lang w:val="fr-CH"/>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1409" w:type="dxa"/>
            <w:vMerge w:val="continue"/>
          </w:tcPr>
          <w:p>
            <w:pPr>
              <w:snapToGrid w:val="0"/>
              <w:spacing w:line="360" w:lineRule="auto"/>
              <w:rPr>
                <w:rFonts w:ascii="Book Antiqua" w:hAnsi="Book Antiqua" w:cstheme="minorBidi"/>
              </w:rPr>
            </w:pPr>
          </w:p>
        </w:tc>
        <w:tc>
          <w:tcPr>
            <w:tcW w:w="1825" w:type="dxa"/>
            <w:vMerge w:val="continue"/>
          </w:tcPr>
          <w:p>
            <w:pPr>
              <w:snapToGrid w:val="0"/>
              <w:spacing w:line="360" w:lineRule="auto"/>
              <w:rPr>
                <w:rFonts w:ascii="Book Antiqua" w:hAnsi="Book Antiqua" w:cstheme="minorBidi"/>
              </w:rPr>
            </w:pPr>
          </w:p>
        </w:tc>
        <w:tc>
          <w:tcPr>
            <w:tcW w:w="1701" w:type="dxa"/>
            <w:vMerge w:val="restart"/>
          </w:tcPr>
          <w:p>
            <w:pPr>
              <w:snapToGrid w:val="0"/>
              <w:spacing w:line="360" w:lineRule="auto"/>
              <w:rPr>
                <w:rFonts w:ascii="Book Antiqua" w:hAnsi="Book Antiqua" w:cstheme="minorBidi"/>
              </w:rPr>
            </w:pPr>
            <w:r>
              <w:rPr>
                <w:rFonts w:ascii="Book Antiqua" w:hAnsi="Book Antiqua" w:cstheme="minorBidi"/>
              </w:rPr>
              <w:t xml:space="preserve">F, 41 </w:t>
            </w:r>
            <w:r>
              <w:rPr>
                <w:rFonts w:ascii="Book Antiqua" w:hAnsi="Book Antiqua" w:cstheme="minorBidi"/>
                <w:bCs/>
                <w:iCs/>
                <w:lang w:val="fr-CH"/>
              </w:rPr>
              <w:t>yr</w:t>
            </w:r>
          </w:p>
        </w:tc>
        <w:tc>
          <w:tcPr>
            <w:tcW w:w="992" w:type="dxa"/>
            <w:vMerge w:val="restart"/>
          </w:tcPr>
          <w:p>
            <w:pPr>
              <w:snapToGrid w:val="0"/>
              <w:spacing w:line="360" w:lineRule="auto"/>
              <w:rPr>
                <w:rFonts w:ascii="Book Antiqua" w:hAnsi="Book Antiqua" w:cstheme="minorBidi"/>
              </w:rPr>
            </w:pPr>
            <w:r>
              <w:rPr>
                <w:rFonts w:ascii="Book Antiqua" w:hAnsi="Book Antiqua" w:cstheme="minorBidi"/>
              </w:rPr>
              <w:t>Yes</w:t>
            </w:r>
          </w:p>
        </w:tc>
        <w:tc>
          <w:tcPr>
            <w:tcW w:w="2693" w:type="dxa"/>
          </w:tcPr>
          <w:p>
            <w:pPr>
              <w:snapToGrid w:val="0"/>
              <w:spacing w:line="360" w:lineRule="auto"/>
              <w:rPr>
                <w:rFonts w:ascii="Book Antiqua" w:hAnsi="Book Antiqua" w:cstheme="minorBidi"/>
              </w:rPr>
            </w:pPr>
            <w:r>
              <w:rPr>
                <w:rFonts w:ascii="Book Antiqua" w:hAnsi="Book Antiqua" w:cstheme="minorBidi"/>
              </w:rPr>
              <w:t>HA – 1</w:t>
            </w:r>
          </w:p>
        </w:tc>
        <w:tc>
          <w:tcPr>
            <w:tcW w:w="1843" w:type="dxa"/>
          </w:tcPr>
          <w:p>
            <w:pPr>
              <w:snapToGrid w:val="0"/>
              <w:spacing w:line="360" w:lineRule="auto"/>
              <w:rPr>
                <w:rFonts w:ascii="Book Antiqua" w:hAnsi="Book Antiqua" w:cstheme="minorBidi"/>
              </w:rPr>
            </w:pPr>
            <w:r>
              <w:rPr>
                <w:rFonts w:ascii="Book Antiqua" w:hAnsi="Book Antiqua" w:cstheme="minorBidi"/>
              </w:rPr>
              <w:t>RL</w:t>
            </w:r>
          </w:p>
        </w:tc>
        <w:tc>
          <w:tcPr>
            <w:tcW w:w="1134" w:type="dxa"/>
            <w:vMerge w:val="restart"/>
          </w:tcPr>
          <w:p>
            <w:pPr>
              <w:snapToGrid w:val="0"/>
              <w:spacing w:line="360" w:lineRule="auto"/>
              <w:rPr>
                <w:rFonts w:ascii="Book Antiqua" w:hAnsi="Book Antiqua" w:cstheme="minorBidi"/>
              </w:rPr>
            </w:pPr>
            <w:r>
              <w:rPr>
                <w:rFonts w:ascii="Book Antiqua" w:hAnsi="Book Antiqua" w:cstheme="minorBidi"/>
              </w:rPr>
              <w:t>Abdominal pain</w:t>
            </w:r>
          </w:p>
        </w:tc>
        <w:tc>
          <w:tcPr>
            <w:tcW w:w="3488" w:type="dxa"/>
            <w:vMerge w:val="restart"/>
          </w:tcPr>
          <w:p>
            <w:pPr>
              <w:snapToGrid w:val="0"/>
              <w:spacing w:line="360" w:lineRule="auto"/>
              <w:rPr>
                <w:rFonts w:ascii="Book Antiqua" w:hAnsi="Book Antiqua" w:cstheme="minorBidi"/>
              </w:rPr>
            </w:pPr>
            <w:r>
              <w:rPr>
                <w:rFonts w:ascii="Book Antiqua" w:hAnsi="Book Antiqua" w:cstheme="minorBidi"/>
              </w:rPr>
              <w:t>Lt RH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1409" w:type="dxa"/>
            <w:vMerge w:val="continue"/>
          </w:tcPr>
          <w:p>
            <w:pPr>
              <w:snapToGrid w:val="0"/>
              <w:spacing w:line="360" w:lineRule="auto"/>
              <w:rPr>
                <w:rFonts w:ascii="Book Antiqua" w:hAnsi="Book Antiqua" w:cstheme="minorBidi"/>
                <w:lang w:val="fr-CH"/>
              </w:rPr>
            </w:pPr>
          </w:p>
        </w:tc>
        <w:tc>
          <w:tcPr>
            <w:tcW w:w="1825" w:type="dxa"/>
            <w:vMerge w:val="continue"/>
          </w:tcPr>
          <w:p>
            <w:pPr>
              <w:snapToGrid w:val="0"/>
              <w:spacing w:line="360" w:lineRule="auto"/>
              <w:rPr>
                <w:rFonts w:ascii="Book Antiqua" w:hAnsi="Book Antiqua" w:cstheme="minorBidi"/>
                <w:lang w:val="fr-CH"/>
              </w:rPr>
            </w:pPr>
          </w:p>
        </w:tc>
        <w:tc>
          <w:tcPr>
            <w:tcW w:w="1701" w:type="dxa"/>
            <w:vMerge w:val="continue"/>
          </w:tcPr>
          <w:p>
            <w:pPr>
              <w:snapToGrid w:val="0"/>
              <w:spacing w:line="360" w:lineRule="auto"/>
              <w:rPr>
                <w:rFonts w:ascii="Book Antiqua" w:hAnsi="Book Antiqua" w:cstheme="minorBidi"/>
                <w:lang w:val="fr-CH"/>
              </w:rPr>
            </w:pPr>
          </w:p>
        </w:tc>
        <w:tc>
          <w:tcPr>
            <w:tcW w:w="992" w:type="dxa"/>
            <w:vMerge w:val="continue"/>
          </w:tcPr>
          <w:p>
            <w:pPr>
              <w:snapToGrid w:val="0"/>
              <w:spacing w:line="360" w:lineRule="auto"/>
              <w:rPr>
                <w:rFonts w:ascii="Book Antiqua" w:hAnsi="Book Antiqua" w:cstheme="minorBidi"/>
                <w:lang w:val="fr-CH"/>
              </w:rPr>
            </w:pPr>
          </w:p>
        </w:tc>
        <w:tc>
          <w:tcPr>
            <w:tcW w:w="2693" w:type="dxa"/>
          </w:tcPr>
          <w:p>
            <w:pPr>
              <w:snapToGrid w:val="0"/>
              <w:spacing w:line="360" w:lineRule="auto"/>
              <w:rPr>
                <w:rFonts w:ascii="Book Antiqua" w:hAnsi="Book Antiqua" w:cstheme="minorBidi"/>
                <w:lang w:val="fr-CH"/>
              </w:rPr>
            </w:pPr>
            <w:r>
              <w:rPr>
                <w:rFonts w:ascii="Book Antiqua" w:hAnsi="Book Antiqua" w:cstheme="minorBidi"/>
              </w:rPr>
              <w:t>FNH – 1</w:t>
            </w:r>
          </w:p>
        </w:tc>
        <w:tc>
          <w:tcPr>
            <w:tcW w:w="1843" w:type="dxa"/>
          </w:tcPr>
          <w:p>
            <w:pPr>
              <w:snapToGrid w:val="0"/>
              <w:spacing w:line="360" w:lineRule="auto"/>
              <w:rPr>
                <w:rFonts w:ascii="Book Antiqua" w:hAnsi="Book Antiqua" w:cstheme="minorBidi"/>
                <w:lang w:val="fr-CH"/>
              </w:rPr>
            </w:pPr>
            <w:r>
              <w:rPr>
                <w:rFonts w:ascii="Book Antiqua" w:hAnsi="Book Antiqua" w:cstheme="minorBidi"/>
              </w:rPr>
              <w:t>RL</w:t>
            </w:r>
          </w:p>
        </w:tc>
        <w:tc>
          <w:tcPr>
            <w:tcW w:w="1134" w:type="dxa"/>
            <w:vMerge w:val="continue"/>
          </w:tcPr>
          <w:p>
            <w:pPr>
              <w:snapToGrid w:val="0"/>
              <w:spacing w:line="360" w:lineRule="auto"/>
              <w:rPr>
                <w:rFonts w:ascii="Book Antiqua" w:hAnsi="Book Antiqua" w:cstheme="minorBidi"/>
                <w:lang w:val="fr-CH"/>
              </w:rPr>
            </w:pPr>
          </w:p>
        </w:tc>
        <w:tc>
          <w:tcPr>
            <w:tcW w:w="3488" w:type="dxa"/>
            <w:vMerge w:val="continue"/>
          </w:tcPr>
          <w:p>
            <w:pPr>
              <w:snapToGrid w:val="0"/>
              <w:spacing w:line="360" w:lineRule="auto"/>
              <w:rPr>
                <w:rFonts w:ascii="Book Antiqua" w:hAnsi="Book Antiqua" w:cstheme="minorBidi"/>
                <w:lang w:val="fr-CH"/>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trPr>
        <w:tc>
          <w:tcPr>
            <w:tcW w:w="1409" w:type="dxa"/>
          </w:tcPr>
          <w:p>
            <w:pPr>
              <w:snapToGrid w:val="0"/>
              <w:spacing w:line="360" w:lineRule="auto"/>
              <w:rPr>
                <w:rFonts w:ascii="Book Antiqua" w:hAnsi="Book Antiqua" w:cstheme="minorBidi"/>
              </w:rPr>
            </w:pPr>
            <w:r>
              <w:rPr>
                <w:rFonts w:ascii="Book Antiqua" w:hAnsi="Book Antiqua" w:cstheme="minorBidi"/>
              </w:rPr>
              <w:t>#5</w:t>
            </w:r>
          </w:p>
        </w:tc>
        <w:tc>
          <w:tcPr>
            <w:tcW w:w="1825" w:type="dxa"/>
          </w:tcPr>
          <w:p>
            <w:pPr>
              <w:snapToGrid w:val="0"/>
              <w:spacing w:line="360" w:lineRule="auto"/>
              <w:rPr>
                <w:rFonts w:ascii="Book Antiqua" w:hAnsi="Book Antiqua" w:cstheme="minorBidi"/>
              </w:rPr>
            </w:pPr>
            <w:r>
              <w:rPr>
                <w:rFonts w:ascii="Book Antiqua" w:hAnsi="Book Antiqua" w:cstheme="minorBidi"/>
              </w:rPr>
              <w:t>Our case-report</w:t>
            </w:r>
          </w:p>
        </w:tc>
        <w:tc>
          <w:tcPr>
            <w:tcW w:w="1701" w:type="dxa"/>
          </w:tcPr>
          <w:p>
            <w:pPr>
              <w:snapToGrid w:val="0"/>
              <w:spacing w:line="360" w:lineRule="auto"/>
              <w:rPr>
                <w:rFonts w:ascii="Book Antiqua" w:hAnsi="Book Antiqua" w:cstheme="minorBidi"/>
              </w:rPr>
            </w:pPr>
            <w:r>
              <w:rPr>
                <w:rFonts w:ascii="Book Antiqua" w:hAnsi="Book Antiqua" w:cstheme="minorBidi"/>
              </w:rPr>
              <w:t xml:space="preserve">F, 38 </w:t>
            </w:r>
            <w:r>
              <w:rPr>
                <w:rFonts w:ascii="Book Antiqua" w:hAnsi="Book Antiqua" w:cstheme="minorBidi"/>
                <w:bCs/>
                <w:iCs/>
                <w:lang w:val="fr-CH"/>
              </w:rPr>
              <w:t>yr</w:t>
            </w:r>
          </w:p>
        </w:tc>
        <w:tc>
          <w:tcPr>
            <w:tcW w:w="992" w:type="dxa"/>
          </w:tcPr>
          <w:p>
            <w:pPr>
              <w:snapToGrid w:val="0"/>
              <w:spacing w:line="360" w:lineRule="auto"/>
              <w:rPr>
                <w:rFonts w:ascii="Book Antiqua" w:hAnsi="Book Antiqua" w:cstheme="minorBidi"/>
              </w:rPr>
            </w:pPr>
            <w:r>
              <w:rPr>
                <w:rFonts w:ascii="Book Antiqua" w:hAnsi="Book Antiqua" w:cstheme="minorBidi"/>
              </w:rPr>
              <w:t>Yes</w:t>
            </w:r>
          </w:p>
        </w:tc>
        <w:tc>
          <w:tcPr>
            <w:tcW w:w="2693" w:type="dxa"/>
          </w:tcPr>
          <w:p>
            <w:pPr>
              <w:snapToGrid w:val="0"/>
              <w:spacing w:line="360" w:lineRule="auto"/>
              <w:rPr>
                <w:rFonts w:ascii="Book Antiqua" w:hAnsi="Book Antiqua" w:cstheme="minorBidi"/>
              </w:rPr>
            </w:pPr>
            <w:r>
              <w:rPr>
                <w:rFonts w:ascii="Book Antiqua" w:hAnsi="Book Antiqua" w:cstheme="minorBidi"/>
              </w:rPr>
              <w:t xml:space="preserve">6 </w:t>
            </w:r>
            <w:r>
              <w:rPr>
                <w:rFonts w:ascii="Book Antiqua" w:hAnsi="Book Antiqua" w:cstheme="minorBidi"/>
                <w:lang w:val="pl-PL"/>
              </w:rPr>
              <w:t>×</w:t>
            </w:r>
            <w:r>
              <w:rPr>
                <w:rFonts w:ascii="Book Antiqua" w:hAnsi="Book Antiqua" w:cstheme="minorBidi"/>
              </w:rPr>
              <w:t xml:space="preserve"> 6</w:t>
            </w:r>
          </w:p>
          <w:p>
            <w:pPr>
              <w:snapToGrid w:val="0"/>
              <w:spacing w:line="360" w:lineRule="auto"/>
              <w:rPr>
                <w:rFonts w:ascii="Book Antiqua" w:hAnsi="Book Antiqua" w:cstheme="minorBidi"/>
              </w:rPr>
            </w:pPr>
            <w:r>
              <w:rPr>
                <w:rFonts w:ascii="Book Antiqua" w:hAnsi="Book Antiqua" w:cstheme="minorBidi"/>
              </w:rPr>
              <w:t xml:space="preserve">14 </w:t>
            </w:r>
            <w:r>
              <w:rPr>
                <w:rFonts w:ascii="Book Antiqua" w:hAnsi="Book Antiqua" w:cstheme="minorBidi"/>
                <w:lang w:val="pl-PL"/>
              </w:rPr>
              <w:t>×</w:t>
            </w:r>
            <w:r>
              <w:rPr>
                <w:rFonts w:ascii="Book Antiqua" w:hAnsi="Book Antiqua" w:cstheme="minorBidi"/>
              </w:rPr>
              <w:t xml:space="preserve"> 12 </w:t>
            </w:r>
            <w:r>
              <w:rPr>
                <w:rFonts w:ascii="Book Antiqua" w:hAnsi="Book Antiqua" w:cstheme="minorBidi"/>
                <w:lang w:val="pl-PL"/>
              </w:rPr>
              <w:t>×</w:t>
            </w:r>
            <w:r>
              <w:rPr>
                <w:rFonts w:ascii="Book Antiqua" w:hAnsi="Book Antiqua" w:cstheme="minorBidi"/>
              </w:rPr>
              <w:t xml:space="preserve"> 6</w:t>
            </w:r>
          </w:p>
        </w:tc>
        <w:tc>
          <w:tcPr>
            <w:tcW w:w="1843" w:type="dxa"/>
          </w:tcPr>
          <w:p>
            <w:pPr>
              <w:snapToGrid w:val="0"/>
              <w:spacing w:line="360" w:lineRule="auto"/>
              <w:rPr>
                <w:rFonts w:ascii="Book Antiqua" w:hAnsi="Book Antiqua" w:cstheme="minorBidi"/>
              </w:rPr>
            </w:pPr>
            <w:r>
              <w:rPr>
                <w:rFonts w:ascii="Book Antiqua" w:hAnsi="Book Antiqua" w:cstheme="minorBidi"/>
              </w:rPr>
              <w:t>S3</w:t>
            </w:r>
          </w:p>
        </w:tc>
        <w:tc>
          <w:tcPr>
            <w:tcW w:w="1134" w:type="dxa"/>
          </w:tcPr>
          <w:p>
            <w:pPr>
              <w:snapToGrid w:val="0"/>
              <w:spacing w:line="360" w:lineRule="auto"/>
              <w:rPr>
                <w:rFonts w:ascii="Book Antiqua" w:hAnsi="Book Antiqua" w:cstheme="minorBidi"/>
              </w:rPr>
            </w:pPr>
            <w:r>
              <w:rPr>
                <w:rFonts w:ascii="Book Antiqua" w:hAnsi="Book Antiqua" w:cstheme="minorBidi"/>
              </w:rPr>
              <w:t>None</w:t>
            </w:r>
          </w:p>
        </w:tc>
        <w:tc>
          <w:tcPr>
            <w:tcW w:w="3488" w:type="dxa"/>
          </w:tcPr>
          <w:p>
            <w:pPr>
              <w:snapToGrid w:val="0"/>
              <w:spacing w:line="360" w:lineRule="auto"/>
              <w:rPr>
                <w:rFonts w:ascii="Book Antiqua" w:hAnsi="Book Antiqua" w:cstheme="minorBidi"/>
              </w:rPr>
            </w:pPr>
            <w:r>
              <w:rPr>
                <w:rFonts w:ascii="Book Antiqua" w:hAnsi="Book Antiqua" w:cstheme="minorBidi"/>
              </w:rPr>
              <w:t>Ls LL</w:t>
            </w:r>
          </w:p>
        </w:tc>
      </w:tr>
    </w:tbl>
    <w:p>
      <w:pPr>
        <w:snapToGrid w:val="0"/>
        <w:spacing w:line="360" w:lineRule="auto"/>
        <w:rPr>
          <w:rFonts w:ascii="Book Antiqua" w:hAnsi="Book Antiqua"/>
          <w:bCs/>
          <w:iCs/>
          <w:lang w:eastAsia="zh-CN"/>
        </w:rPr>
        <w:sectPr>
          <w:pgSz w:w="15842" w:h="12242"/>
          <w:pgMar w:top="1440" w:right="1440" w:bottom="1440" w:left="1440" w:header="720" w:footer="720" w:gutter="0"/>
          <w:cols w:space="720" w:num="1"/>
          <w:docGrid w:linePitch="360" w:charSpace="0"/>
        </w:sectPr>
      </w:pPr>
      <w:r>
        <w:rPr>
          <w:rFonts w:ascii="Book Antiqua" w:hAnsi="Book Antiqua"/>
          <w:bCs/>
          <w:iCs/>
        </w:rPr>
        <w:t>FNH: Focal nodular hyperplasia; HA: Hepatic adenoma; HCy: Hepatic hydatid cyst; HH: Hepatic hemangioma; RL: Right lobectomy; LH: Left hepatectomy; LH: Left hepatectomy; LL Left lobectomy; RUQ: Right upper quadrant; Lt: Laparotomy; Ls: Laparoscopic; F: Female; OC: Oral contraception</w:t>
      </w:r>
      <w:r>
        <w:rPr>
          <w:rFonts w:ascii="Book Antiqua" w:hAnsi="Book Antiqua"/>
          <w:bCs/>
          <w:iCs/>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rPr>
          <w:rFonts w:ascii="Book Antiqua" w:hAnsi="Book Antiqua"/>
          <w:bCs/>
          <w:iCs/>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Times New Roman"/>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308138"/>
    </w:sdtPr>
    <w:sdtContent>
      <w:sdt>
        <w:sdtPr>
          <w:id w:val="-1705238520"/>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6EC"/>
    <w:rsid w:val="00014E9D"/>
    <w:rsid w:val="000345D6"/>
    <w:rsid w:val="00041BBB"/>
    <w:rsid w:val="000E1BE5"/>
    <w:rsid w:val="00114E40"/>
    <w:rsid w:val="001633B9"/>
    <w:rsid w:val="001765A4"/>
    <w:rsid w:val="001C346D"/>
    <w:rsid w:val="001D0062"/>
    <w:rsid w:val="00207C1E"/>
    <w:rsid w:val="00234447"/>
    <w:rsid w:val="002768BA"/>
    <w:rsid w:val="00276C25"/>
    <w:rsid w:val="002A10D8"/>
    <w:rsid w:val="002A6C47"/>
    <w:rsid w:val="002B53BC"/>
    <w:rsid w:val="002E2C8A"/>
    <w:rsid w:val="0032761C"/>
    <w:rsid w:val="00360EFD"/>
    <w:rsid w:val="003879CD"/>
    <w:rsid w:val="003B33DA"/>
    <w:rsid w:val="003D2B81"/>
    <w:rsid w:val="003E75F3"/>
    <w:rsid w:val="004170E4"/>
    <w:rsid w:val="0044162A"/>
    <w:rsid w:val="00453AAA"/>
    <w:rsid w:val="004971C3"/>
    <w:rsid w:val="00497A49"/>
    <w:rsid w:val="004E13C5"/>
    <w:rsid w:val="004F2EBF"/>
    <w:rsid w:val="005004B1"/>
    <w:rsid w:val="0050361F"/>
    <w:rsid w:val="00516A17"/>
    <w:rsid w:val="00571277"/>
    <w:rsid w:val="005B18FE"/>
    <w:rsid w:val="005B33EE"/>
    <w:rsid w:val="005E6CEC"/>
    <w:rsid w:val="006317CE"/>
    <w:rsid w:val="00654884"/>
    <w:rsid w:val="00690816"/>
    <w:rsid w:val="006960D6"/>
    <w:rsid w:val="006C58B8"/>
    <w:rsid w:val="006D3FAE"/>
    <w:rsid w:val="00703B23"/>
    <w:rsid w:val="00715658"/>
    <w:rsid w:val="007603D2"/>
    <w:rsid w:val="00774F36"/>
    <w:rsid w:val="007958DA"/>
    <w:rsid w:val="007E2A68"/>
    <w:rsid w:val="00850217"/>
    <w:rsid w:val="00851761"/>
    <w:rsid w:val="008653EE"/>
    <w:rsid w:val="00883853"/>
    <w:rsid w:val="008C0714"/>
    <w:rsid w:val="008C3322"/>
    <w:rsid w:val="008F50F3"/>
    <w:rsid w:val="00900060"/>
    <w:rsid w:val="009654B0"/>
    <w:rsid w:val="00967F9E"/>
    <w:rsid w:val="00981562"/>
    <w:rsid w:val="00990B3F"/>
    <w:rsid w:val="009D3DDD"/>
    <w:rsid w:val="00A20D36"/>
    <w:rsid w:val="00A3597C"/>
    <w:rsid w:val="00A41168"/>
    <w:rsid w:val="00A61485"/>
    <w:rsid w:val="00A75499"/>
    <w:rsid w:val="00A77B3E"/>
    <w:rsid w:val="00A843E8"/>
    <w:rsid w:val="00A95FBA"/>
    <w:rsid w:val="00AA57DC"/>
    <w:rsid w:val="00AD505C"/>
    <w:rsid w:val="00B35936"/>
    <w:rsid w:val="00B7087F"/>
    <w:rsid w:val="00B77724"/>
    <w:rsid w:val="00B83BE6"/>
    <w:rsid w:val="00B96945"/>
    <w:rsid w:val="00BA34BB"/>
    <w:rsid w:val="00BB2D26"/>
    <w:rsid w:val="00BF3CEB"/>
    <w:rsid w:val="00BF4ADC"/>
    <w:rsid w:val="00BF6D0A"/>
    <w:rsid w:val="00C05FC7"/>
    <w:rsid w:val="00C35363"/>
    <w:rsid w:val="00C511AE"/>
    <w:rsid w:val="00C51231"/>
    <w:rsid w:val="00C63A5E"/>
    <w:rsid w:val="00CA2A55"/>
    <w:rsid w:val="00CF0551"/>
    <w:rsid w:val="00D35467"/>
    <w:rsid w:val="00D7275D"/>
    <w:rsid w:val="00D73724"/>
    <w:rsid w:val="00D85B05"/>
    <w:rsid w:val="00DD18DB"/>
    <w:rsid w:val="00DF1131"/>
    <w:rsid w:val="00E01EB5"/>
    <w:rsid w:val="00E269BA"/>
    <w:rsid w:val="00E54B38"/>
    <w:rsid w:val="00E62FA5"/>
    <w:rsid w:val="00E73CB2"/>
    <w:rsid w:val="00EA132F"/>
    <w:rsid w:val="00EB41C5"/>
    <w:rsid w:val="00EE3B46"/>
    <w:rsid w:val="00F44ABC"/>
    <w:rsid w:val="00F80980"/>
    <w:rsid w:val="00F95ED0"/>
    <w:rsid w:val="30623CBF"/>
    <w:rsid w:val="56FA0A0C"/>
    <w:rsid w:val="623F6752"/>
    <w:rsid w:val="71653908"/>
    <w:rsid w:val="7FA70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uiPriority w:val="0"/>
    <w:rPr>
      <w:sz w:val="20"/>
      <w:szCs w:val="20"/>
    </w:rPr>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3"/>
    <w:semiHidden/>
    <w:unhideWhenUsed/>
    <w:qFormat/>
    <w:uiPriority w:val="0"/>
    <w:rPr>
      <w:b/>
      <w:bCs/>
    </w:rPr>
  </w:style>
  <w:style w:type="table" w:styleId="7">
    <w:name w:val="Table Grid"/>
    <w:basedOn w:val="6"/>
    <w:qFormat/>
    <w:uiPriority w:val="39"/>
    <w:rPr>
      <w:rFonts w:asciiTheme="minorHAnsi" w:hAnsi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semiHidden/>
    <w:unhideWhenUsed/>
    <w:qFormat/>
    <w:uiPriority w:val="0"/>
    <w:rPr>
      <w:sz w:val="16"/>
      <w:szCs w:val="16"/>
    </w:rPr>
  </w:style>
  <w:style w:type="character" w:customStyle="1" w:styleId="10">
    <w:name w:val="En-tête Car"/>
    <w:basedOn w:val="8"/>
    <w:link w:val="4"/>
    <w:qFormat/>
    <w:uiPriority w:val="0"/>
    <w:rPr>
      <w:sz w:val="18"/>
      <w:szCs w:val="18"/>
    </w:rPr>
  </w:style>
  <w:style w:type="character" w:customStyle="1" w:styleId="11">
    <w:name w:val="Pied de page Car"/>
    <w:basedOn w:val="8"/>
    <w:link w:val="3"/>
    <w:qFormat/>
    <w:uiPriority w:val="99"/>
    <w:rPr>
      <w:sz w:val="18"/>
      <w:szCs w:val="18"/>
    </w:rPr>
  </w:style>
  <w:style w:type="character" w:customStyle="1" w:styleId="12">
    <w:name w:val="Commentaire Car"/>
    <w:basedOn w:val="8"/>
    <w:link w:val="2"/>
    <w:semiHidden/>
    <w:uiPriority w:val="0"/>
    <w:rPr>
      <w:lang w:val="en-US" w:eastAsia="en-US"/>
    </w:rPr>
  </w:style>
  <w:style w:type="character" w:customStyle="1" w:styleId="13">
    <w:name w:val="Objet du commentaire Car"/>
    <w:basedOn w:val="12"/>
    <w:link w:val="5"/>
    <w:semiHidden/>
    <w:uiPriority w:val="0"/>
    <w:rPr>
      <w:b/>
      <w:bCs/>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3828</Words>
  <Characters>21056</Characters>
  <Lines>175</Lines>
  <Paragraphs>49</Paragraphs>
  <TotalTime>0</TotalTime>
  <ScaleCrop>false</ScaleCrop>
  <LinksUpToDate>false</LinksUpToDate>
  <CharactersWithSpaces>24835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2021-10-19T07:47:00Z</dcterms:created>
  <dc:creator>梅长苏</dc:creator>
  <cp:lastModifiedBy>晓晨</cp:lastModifiedBy>
  <dcterms:modified xsi:type="dcterms:W3CDTF">2021-10-21T07:54:34Z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50067A168A6348698F58A7C4B234E466</vt:lpwstr>
  </property>
  <property fmtid="{D5CDD505-2E9C-101B-9397-08002B2CF9AE}" pid="4" name="grammarly_documentId">
    <vt:lpwstr>documentId_9346</vt:lpwstr>
  </property>
  <property fmtid="{D5CDD505-2E9C-101B-9397-08002B2CF9AE}" pid="5" name="grammarly_documentContext">
    <vt:lpwstr>{"goals":[],"domain":"general","emotions":[],"dialect":"american"}</vt:lpwstr>
  </property>
</Properties>
</file>