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BBF6"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Name of Journal: </w:t>
      </w:r>
      <w:r w:rsidRPr="004464B3">
        <w:rPr>
          <w:rFonts w:ascii="Book Antiqua" w:eastAsia="Book Antiqua" w:hAnsi="Book Antiqua" w:cs="Book Antiqua"/>
          <w:i/>
          <w:color w:val="000000"/>
        </w:rPr>
        <w:t>World Journal of Stem Cells</w:t>
      </w:r>
    </w:p>
    <w:p w14:paraId="32C77847"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Manuscript NO: </w:t>
      </w:r>
      <w:r w:rsidRPr="004464B3">
        <w:rPr>
          <w:rFonts w:ascii="Book Antiqua" w:eastAsia="Book Antiqua" w:hAnsi="Book Antiqua" w:cs="Book Antiqua"/>
          <w:color w:val="000000"/>
        </w:rPr>
        <w:t>67533</w:t>
      </w:r>
    </w:p>
    <w:p w14:paraId="295E0034"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Manuscript Type: </w:t>
      </w:r>
      <w:r w:rsidRPr="004464B3">
        <w:rPr>
          <w:rFonts w:ascii="Book Antiqua" w:eastAsia="Book Antiqua" w:hAnsi="Book Antiqua" w:cs="Book Antiqua"/>
          <w:color w:val="000000"/>
        </w:rPr>
        <w:t>ORIGINAL ARTICLE</w:t>
      </w:r>
    </w:p>
    <w:p w14:paraId="163A9E83" w14:textId="77777777" w:rsidR="00A77B3E" w:rsidRPr="004464B3" w:rsidRDefault="00A77B3E" w:rsidP="001D68DD">
      <w:pPr>
        <w:spacing w:line="360" w:lineRule="auto"/>
        <w:jc w:val="both"/>
        <w:rPr>
          <w:rFonts w:ascii="Book Antiqua" w:hAnsi="Book Antiqua"/>
        </w:rPr>
      </w:pPr>
    </w:p>
    <w:p w14:paraId="61DFD656"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Basic Study</w:t>
      </w:r>
    </w:p>
    <w:p w14:paraId="632E9DC5" w14:textId="55A1E788" w:rsidR="00A77B3E" w:rsidRPr="00B6275C"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Impact of senescence on the trans</w:t>
      </w:r>
      <w:r w:rsidRPr="00AC1174">
        <w:rPr>
          <w:rFonts w:ascii="Book Antiqua" w:eastAsia="Book Antiqua" w:hAnsi="Book Antiqua" w:cs="Book Antiqua"/>
          <w:b/>
          <w:color w:val="000000"/>
        </w:rPr>
        <w:t>differentiation process of human hepatic progenitor-like cells</w:t>
      </w:r>
    </w:p>
    <w:p w14:paraId="0E678A6D" w14:textId="77777777" w:rsidR="00A77B3E" w:rsidRPr="00C10A49" w:rsidRDefault="00A77B3E" w:rsidP="001D68DD">
      <w:pPr>
        <w:spacing w:line="360" w:lineRule="auto"/>
        <w:jc w:val="both"/>
        <w:rPr>
          <w:rFonts w:ascii="Book Antiqua" w:hAnsi="Book Antiqua"/>
        </w:rPr>
      </w:pPr>
    </w:p>
    <w:p w14:paraId="353634BD" w14:textId="77777777" w:rsidR="00A77B3E" w:rsidRPr="00A2665F" w:rsidRDefault="0068711B" w:rsidP="001D68DD">
      <w:pPr>
        <w:spacing w:line="360" w:lineRule="auto"/>
        <w:jc w:val="both"/>
        <w:rPr>
          <w:rFonts w:ascii="Book Antiqua" w:hAnsi="Book Antiqua"/>
        </w:rPr>
      </w:pPr>
      <w:r w:rsidRPr="00A2665F">
        <w:rPr>
          <w:rFonts w:ascii="Book Antiqua" w:eastAsia="Book Antiqua" w:hAnsi="Book Antiqua" w:cs="Book Antiqua"/>
          <w:color w:val="000000"/>
        </w:rPr>
        <w:t xml:space="preserve">Bellanti F </w:t>
      </w:r>
      <w:r w:rsidRPr="00A2665F">
        <w:rPr>
          <w:rFonts w:ascii="Book Antiqua" w:eastAsia="Book Antiqua" w:hAnsi="Book Antiqua" w:cs="Book Antiqua"/>
          <w:i/>
          <w:iCs/>
          <w:color w:val="000000"/>
        </w:rPr>
        <w:t>et al</w:t>
      </w:r>
      <w:r w:rsidRPr="00A2665F">
        <w:rPr>
          <w:rFonts w:ascii="Book Antiqua" w:eastAsia="Book Antiqua" w:hAnsi="Book Antiqua" w:cs="Book Antiqua"/>
          <w:color w:val="000000"/>
        </w:rPr>
        <w:t>. Senescence and hepatic progenitor-like cells</w:t>
      </w:r>
    </w:p>
    <w:p w14:paraId="7B9218E3" w14:textId="77777777" w:rsidR="00A77B3E" w:rsidRPr="006B63C8" w:rsidRDefault="00A77B3E" w:rsidP="001D68DD">
      <w:pPr>
        <w:spacing w:line="360" w:lineRule="auto"/>
        <w:jc w:val="both"/>
        <w:rPr>
          <w:rFonts w:ascii="Book Antiqua" w:hAnsi="Book Antiqua"/>
        </w:rPr>
      </w:pPr>
    </w:p>
    <w:p w14:paraId="2ED1C1B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Francesco Bellanti, Giorgia di Bello, Rosanna Tamborra, Marco Amatruda, Aurelio Lo Buglio, Michał Dobrakowski, Aleksandra Kasperczyk, Sławomir Kasperczyk, Gaetano Serviddio, Gianluigi Vendemiale</w:t>
      </w:r>
    </w:p>
    <w:p w14:paraId="40005547" w14:textId="77777777" w:rsidR="00A77B3E" w:rsidRPr="004464B3" w:rsidRDefault="00A77B3E" w:rsidP="001D68DD">
      <w:pPr>
        <w:spacing w:line="360" w:lineRule="auto"/>
        <w:jc w:val="both"/>
        <w:rPr>
          <w:rFonts w:ascii="Book Antiqua" w:hAnsi="Book Antiqua"/>
        </w:rPr>
      </w:pPr>
    </w:p>
    <w:p w14:paraId="67D4648D" w14:textId="65AFD098"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Francesco Bellanti, </w:t>
      </w:r>
      <w:r w:rsidR="005F4C6A" w:rsidRPr="004464B3">
        <w:rPr>
          <w:rFonts w:ascii="Book Antiqua" w:eastAsia="Book Antiqua" w:hAnsi="Book Antiqua" w:cs="Book Antiqua"/>
          <w:b/>
          <w:bCs/>
          <w:color w:val="000000"/>
        </w:rPr>
        <w:t xml:space="preserve">Giorgia di Bello, Rosanna Tamborra, Marco Amatruda, Aurelio Lo Buglio, Gaetano Serviddio, Gianluigi Vendemiale, </w:t>
      </w:r>
      <w:r w:rsidRPr="004464B3">
        <w:rPr>
          <w:rFonts w:ascii="Book Antiqua" w:eastAsia="Book Antiqua" w:hAnsi="Book Antiqua" w:cs="Book Antiqua"/>
          <w:color w:val="000000"/>
        </w:rPr>
        <w:t xml:space="preserve">Department of Medical and Surgical Sciences, University of Foggia, </w:t>
      </w:r>
      <w:r w:rsidR="00FA1EBA" w:rsidRPr="004464B3">
        <w:rPr>
          <w:rFonts w:ascii="Book Antiqua" w:eastAsia="Book Antiqua" w:hAnsi="Book Antiqua" w:cs="Book Antiqua"/>
          <w:color w:val="000000"/>
        </w:rPr>
        <w:t>Foggia 71122, Italy</w:t>
      </w:r>
    </w:p>
    <w:p w14:paraId="635464C8" w14:textId="77777777" w:rsidR="00A77B3E" w:rsidRPr="004464B3" w:rsidRDefault="00A77B3E" w:rsidP="001D68DD">
      <w:pPr>
        <w:spacing w:line="360" w:lineRule="auto"/>
        <w:jc w:val="both"/>
        <w:rPr>
          <w:rFonts w:ascii="Book Antiqua" w:hAnsi="Book Antiqua"/>
        </w:rPr>
      </w:pPr>
    </w:p>
    <w:p w14:paraId="37AB352F"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Michał Dobrakowski, Aleksandra Kasperczyk, Sławomir Kasperczyk, </w:t>
      </w:r>
      <w:r w:rsidRPr="004464B3">
        <w:rPr>
          <w:rFonts w:ascii="Book Antiqua" w:eastAsia="Book Antiqua" w:hAnsi="Book Antiqua" w:cs="Book Antiqua"/>
          <w:color w:val="000000"/>
        </w:rPr>
        <w:t>Department of Biochemistry, Medical University of Silesia, Zabrze 41-808, Poland</w:t>
      </w:r>
    </w:p>
    <w:p w14:paraId="3E240E76" w14:textId="77777777" w:rsidR="00A77B3E" w:rsidRPr="004464B3" w:rsidRDefault="00A77B3E" w:rsidP="001D68DD">
      <w:pPr>
        <w:spacing w:line="360" w:lineRule="auto"/>
        <w:jc w:val="both"/>
        <w:rPr>
          <w:rFonts w:ascii="Book Antiqua" w:hAnsi="Book Antiqua"/>
        </w:rPr>
      </w:pPr>
    </w:p>
    <w:p w14:paraId="084B9C2A" w14:textId="3F3C3C93"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Author contributions: </w:t>
      </w:r>
      <w:r w:rsidRPr="004464B3">
        <w:rPr>
          <w:rFonts w:ascii="Book Antiqua" w:eastAsia="Book Antiqua" w:hAnsi="Book Antiqua" w:cs="Book Antiqua"/>
          <w:color w:val="000000"/>
        </w:rPr>
        <w:t>Bellanti F and Vendemiale G designed and coordinated the study; Bellanti, F, di Bello G, Tamborra R, Lo Buglio A, Amatruda M, Dobrakowsky M, and Kasperczyk A performed the experiments, acquired</w:t>
      </w:r>
      <w:r w:rsidR="009F5588" w:rsidRP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and analyzed data; Bellanti, F, di Bello G, Tamborra R, Amatruda M, Lo Buglio A, Dobrakowsky M, Kasperczyk A, Kasperczyk S, Serviddio G</w:t>
      </w:r>
      <w:r w:rsidR="009F5588" w:rsidRP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and Vendemiale G interpreted the data; Bellanti F wrote the manuscript; Kasperczyk S, Serviddio G</w:t>
      </w:r>
      <w:r w:rsidR="009F5588" w:rsidRP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and Vendemiale G supervised the manuscript; </w:t>
      </w:r>
      <w:r w:rsidR="009F5588" w:rsidRPr="004464B3">
        <w:rPr>
          <w:rFonts w:ascii="Book Antiqua" w:eastAsia="Book Antiqua" w:hAnsi="Book Antiqua" w:cs="Book Antiqua"/>
          <w:color w:val="000000"/>
        </w:rPr>
        <w:t>A</w:t>
      </w:r>
      <w:r w:rsidRPr="004464B3">
        <w:rPr>
          <w:rFonts w:ascii="Book Antiqua" w:eastAsia="Book Antiqua" w:hAnsi="Book Antiqua" w:cs="Book Antiqua"/>
          <w:color w:val="000000"/>
        </w:rPr>
        <w:t xml:space="preserve">ll </w:t>
      </w:r>
      <w:r w:rsidR="00BE7E39" w:rsidRPr="004464B3">
        <w:rPr>
          <w:rFonts w:ascii="Book Antiqua" w:eastAsia="Book Antiqua" w:hAnsi="Book Antiqua" w:cs="Book Antiqua"/>
          <w:color w:val="000000"/>
        </w:rPr>
        <w:t>a</w:t>
      </w:r>
      <w:r w:rsidRPr="004464B3">
        <w:rPr>
          <w:rFonts w:ascii="Book Antiqua" w:eastAsia="Book Antiqua" w:hAnsi="Book Antiqua" w:cs="Book Antiqua"/>
          <w:color w:val="000000"/>
        </w:rPr>
        <w:t>uthors approved the final version of the article.</w:t>
      </w:r>
    </w:p>
    <w:p w14:paraId="57B29BD2" w14:textId="77777777" w:rsidR="00A77B3E" w:rsidRPr="004464B3" w:rsidRDefault="00A77B3E" w:rsidP="001D68DD">
      <w:pPr>
        <w:spacing w:line="360" w:lineRule="auto"/>
        <w:jc w:val="both"/>
        <w:rPr>
          <w:rFonts w:ascii="Book Antiqua" w:hAnsi="Book Antiqua"/>
        </w:rPr>
      </w:pPr>
    </w:p>
    <w:p w14:paraId="7A10B9B4" w14:textId="29740005"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lastRenderedPageBreak/>
        <w:t xml:space="preserve">Corresponding author: Francesco Bellanti, MD, PhD, Doctor, Research Associate, Teaching Assistant, </w:t>
      </w:r>
      <w:r w:rsidRPr="004464B3">
        <w:rPr>
          <w:rFonts w:ascii="Book Antiqua" w:eastAsia="Book Antiqua" w:hAnsi="Book Antiqua" w:cs="Book Antiqua"/>
          <w:color w:val="000000"/>
        </w:rPr>
        <w:t xml:space="preserve">Department of Medical and Surgical Sciences, University of Foggia, viale Pinto 1, </w:t>
      </w:r>
      <w:r w:rsidR="00314777" w:rsidRPr="004464B3">
        <w:rPr>
          <w:rFonts w:ascii="Book Antiqua" w:eastAsia="Book Antiqua" w:hAnsi="Book Antiqua" w:cs="Book Antiqua"/>
          <w:color w:val="000000"/>
        </w:rPr>
        <w:t>Foggia 71122, Italy</w:t>
      </w:r>
      <w:r w:rsidRPr="004464B3">
        <w:rPr>
          <w:rFonts w:ascii="Book Antiqua" w:eastAsia="Book Antiqua" w:hAnsi="Book Antiqua" w:cs="Book Antiqua"/>
          <w:color w:val="000000"/>
        </w:rPr>
        <w:t>. francesco.bellanti@unifg.it</w:t>
      </w:r>
    </w:p>
    <w:p w14:paraId="6EB1163D" w14:textId="77777777" w:rsidR="00A77B3E" w:rsidRPr="004464B3" w:rsidRDefault="00A77B3E" w:rsidP="001D68DD">
      <w:pPr>
        <w:spacing w:line="360" w:lineRule="auto"/>
        <w:jc w:val="both"/>
        <w:rPr>
          <w:rFonts w:ascii="Book Antiqua" w:hAnsi="Book Antiqua"/>
        </w:rPr>
      </w:pPr>
    </w:p>
    <w:p w14:paraId="1AAF191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Received: </w:t>
      </w:r>
      <w:r w:rsidRPr="004464B3">
        <w:rPr>
          <w:rFonts w:ascii="Book Antiqua" w:eastAsia="Book Antiqua" w:hAnsi="Book Antiqua" w:cs="Book Antiqua"/>
          <w:color w:val="000000"/>
        </w:rPr>
        <w:t>April 26, 2021</w:t>
      </w:r>
    </w:p>
    <w:p w14:paraId="4A61AB91" w14:textId="0046C31E"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Revised: </w:t>
      </w:r>
      <w:r w:rsidR="0046398B" w:rsidRPr="004464B3">
        <w:rPr>
          <w:rFonts w:ascii="Book Antiqua" w:eastAsia="Book Antiqua" w:hAnsi="Book Antiqua" w:cs="Book Antiqua"/>
          <w:color w:val="000000"/>
        </w:rPr>
        <w:t>June 14, 2021</w:t>
      </w:r>
    </w:p>
    <w:p w14:paraId="1FFFC653" w14:textId="36CCBC54"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Accepted: </w:t>
      </w:r>
      <w:bookmarkStart w:id="0" w:name="OLE_LINK15"/>
      <w:bookmarkStart w:id="1" w:name="OLE_LINK33"/>
      <w:bookmarkStart w:id="2" w:name="OLE_LINK48"/>
      <w:r w:rsidR="00BE7E39" w:rsidRPr="004464B3">
        <w:rPr>
          <w:rFonts w:ascii="Book Antiqua" w:eastAsia="SimSun" w:hAnsi="Book Antiqua"/>
          <w:color w:val="000000" w:themeColor="text1"/>
        </w:rPr>
        <w:t>August 23, 2021</w:t>
      </w:r>
      <w:bookmarkEnd w:id="0"/>
      <w:bookmarkEnd w:id="1"/>
      <w:bookmarkEnd w:id="2"/>
    </w:p>
    <w:p w14:paraId="3268202A"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Published online: </w:t>
      </w:r>
    </w:p>
    <w:p w14:paraId="5FA6C612" w14:textId="77777777" w:rsidR="00A77B3E" w:rsidRPr="004464B3" w:rsidRDefault="00A77B3E" w:rsidP="001D68DD">
      <w:pPr>
        <w:spacing w:line="360" w:lineRule="auto"/>
        <w:jc w:val="both"/>
        <w:rPr>
          <w:rFonts w:ascii="Book Antiqua" w:hAnsi="Book Antiqua"/>
        </w:rPr>
        <w:sectPr w:rsidR="00A77B3E" w:rsidRPr="004464B3">
          <w:footerReference w:type="default" r:id="rId6"/>
          <w:pgSz w:w="12240" w:h="15840"/>
          <w:pgMar w:top="1440" w:right="1440" w:bottom="1440" w:left="1440" w:header="720" w:footer="720" w:gutter="0"/>
          <w:cols w:space="720"/>
          <w:docGrid w:linePitch="360"/>
        </w:sectPr>
      </w:pPr>
    </w:p>
    <w:p w14:paraId="1C098013" w14:textId="77777777" w:rsidR="00A77B3E" w:rsidRPr="00C10A49"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lastRenderedPageBreak/>
        <w:t>Abstract</w:t>
      </w:r>
    </w:p>
    <w:p w14:paraId="33832315" w14:textId="77777777" w:rsidR="00A77B3E" w:rsidRPr="00D00150" w:rsidRDefault="0068711B" w:rsidP="001D68DD">
      <w:pPr>
        <w:spacing w:line="360" w:lineRule="auto"/>
        <w:jc w:val="both"/>
        <w:rPr>
          <w:rFonts w:ascii="Book Antiqua" w:hAnsi="Book Antiqua"/>
        </w:rPr>
      </w:pPr>
      <w:r w:rsidRPr="00BD259C">
        <w:rPr>
          <w:rFonts w:ascii="Book Antiqua" w:eastAsia="Book Antiqua" w:hAnsi="Book Antiqua" w:cs="Book Antiqua"/>
          <w:color w:val="000000"/>
        </w:rPr>
        <w:t>BACKGROUND</w:t>
      </w:r>
    </w:p>
    <w:p w14:paraId="48E5AFB9" w14:textId="77777777" w:rsidR="00A77B3E" w:rsidRPr="004464B3" w:rsidRDefault="0068711B" w:rsidP="001D68DD">
      <w:pPr>
        <w:spacing w:line="360" w:lineRule="auto"/>
        <w:jc w:val="both"/>
        <w:rPr>
          <w:rFonts w:ascii="Book Antiqua" w:hAnsi="Book Antiqua"/>
        </w:rPr>
      </w:pPr>
      <w:r w:rsidRPr="00A2665F">
        <w:rPr>
          <w:rFonts w:ascii="Book Antiqua" w:eastAsia="Book Antiqua" w:hAnsi="Book Antiqua" w:cs="Book Antiqua"/>
          <w:color w:val="000000"/>
        </w:rPr>
        <w:t>Senescence is characterized by a decline in hepatocyte function, with impairment of metabolism an</w:t>
      </w:r>
      <w:r w:rsidRPr="006B63C8">
        <w:rPr>
          <w:rFonts w:ascii="Book Antiqua" w:eastAsia="Book Antiqua" w:hAnsi="Book Antiqua" w:cs="Book Antiqua"/>
          <w:color w:val="000000"/>
        </w:rPr>
        <w:t xml:space="preserve">d regenerative capacity. Several models that duplicate liver functions </w:t>
      </w:r>
      <w:r w:rsidRPr="006B63C8">
        <w:rPr>
          <w:rFonts w:ascii="Book Antiqua" w:eastAsia="Book Antiqua" w:hAnsi="Book Antiqua" w:cs="Book Antiqua"/>
          <w:i/>
          <w:iCs/>
          <w:color w:val="000000"/>
        </w:rPr>
        <w:t xml:space="preserve">in vitro </w:t>
      </w:r>
      <w:r w:rsidRPr="004464B3">
        <w:rPr>
          <w:rFonts w:ascii="Book Antiqua" w:eastAsia="Book Antiqua" w:hAnsi="Book Antiqua" w:cs="Book Antiqua"/>
          <w:color w:val="000000"/>
        </w:rPr>
        <w:t xml:space="preserve">are essential tools for studying drug metabolism, liver diseases, and organ regeneration. The human HepaRG cell line represents an effective model for the study of liver metabolism and hepatic progenitors. However, the impact of senescence on HepaRG cells is not yet known. </w:t>
      </w:r>
    </w:p>
    <w:p w14:paraId="2E9336E8" w14:textId="77777777" w:rsidR="00A77B3E" w:rsidRPr="004464B3" w:rsidRDefault="00A77B3E" w:rsidP="001D68DD">
      <w:pPr>
        <w:spacing w:line="360" w:lineRule="auto"/>
        <w:jc w:val="both"/>
        <w:rPr>
          <w:rFonts w:ascii="Book Antiqua" w:hAnsi="Book Antiqua"/>
        </w:rPr>
      </w:pPr>
    </w:p>
    <w:p w14:paraId="60AE2EEE"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AIM</w:t>
      </w:r>
    </w:p>
    <w:p w14:paraId="154B59B3" w14:textId="60FD8F41"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To characterize the effects of senescence on the transdifferentiation capacity and mitochondrial metabolism of human HepaRG cells.</w:t>
      </w:r>
    </w:p>
    <w:p w14:paraId="06BCD776" w14:textId="77777777" w:rsidR="00A77B3E" w:rsidRPr="004464B3" w:rsidRDefault="00A77B3E" w:rsidP="001D68DD">
      <w:pPr>
        <w:spacing w:line="360" w:lineRule="auto"/>
        <w:jc w:val="both"/>
        <w:rPr>
          <w:rFonts w:ascii="Book Antiqua" w:hAnsi="Book Antiqua"/>
        </w:rPr>
      </w:pPr>
    </w:p>
    <w:p w14:paraId="15A27C86"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METHODS</w:t>
      </w:r>
    </w:p>
    <w:p w14:paraId="158FCC11" w14:textId="3D545602" w:rsidR="00A77B3E" w:rsidRPr="003A3E48"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We compared the transdifferentiation capacity of cells over 10 (</w:t>
      </w:r>
      <w:r w:rsidR="00AC1174" w:rsidRPr="00383EC6">
        <w:rPr>
          <w:rFonts w:ascii="Book Antiqua" w:eastAsia="Book Antiqua" w:hAnsi="Book Antiqua" w:cs="Book Antiqua"/>
          <w:color w:val="000000"/>
        </w:rPr>
        <w:t xml:space="preserve">passage </w:t>
      </w:r>
      <w:r w:rsidR="00AC1174">
        <w:rPr>
          <w:rFonts w:ascii="Book Antiqua" w:eastAsia="Book Antiqua" w:hAnsi="Book Antiqua" w:cs="Book Antiqua"/>
          <w:color w:val="000000"/>
        </w:rPr>
        <w:t>1</w:t>
      </w:r>
      <w:r w:rsidR="00AC1174" w:rsidRPr="00383EC6">
        <w:rPr>
          <w:rFonts w:ascii="Book Antiqua" w:eastAsia="Book Antiqua" w:hAnsi="Book Antiqua" w:cs="Book Antiqua"/>
          <w:color w:val="000000"/>
        </w:rPr>
        <w:t xml:space="preserve">0 </w:t>
      </w:r>
      <w:r w:rsidR="00AC1174">
        <w:rPr>
          <w:rFonts w:ascii="Book Antiqua" w:eastAsia="Book Antiqua" w:hAnsi="Book Antiqua" w:cs="Book Antiqua"/>
          <w:color w:val="000000"/>
        </w:rPr>
        <w:t>[</w:t>
      </w:r>
      <w:r w:rsidRPr="00AC1174">
        <w:rPr>
          <w:rFonts w:ascii="Book Antiqua" w:eastAsia="Book Antiqua" w:hAnsi="Book Antiqua" w:cs="Book Antiqua"/>
          <w:color w:val="000000"/>
        </w:rPr>
        <w:t>P10</w:t>
      </w:r>
      <w:r w:rsidR="00AC1174">
        <w:rPr>
          <w:rFonts w:ascii="Book Antiqua" w:eastAsia="Book Antiqua" w:hAnsi="Book Antiqua" w:cs="Book Antiqua"/>
          <w:color w:val="000000"/>
        </w:rPr>
        <w:t>]</w:t>
      </w:r>
      <w:r w:rsidRPr="00AC1174">
        <w:rPr>
          <w:rFonts w:ascii="Book Antiqua" w:eastAsia="Book Antiqua" w:hAnsi="Book Antiqua" w:cs="Book Antiqua"/>
          <w:color w:val="000000"/>
        </w:rPr>
        <w:t xml:space="preserve">) </w:t>
      </w:r>
      <w:r w:rsidRPr="00AC1174">
        <w:rPr>
          <w:rFonts w:ascii="Book Antiqua" w:eastAsia="Book Antiqua" w:hAnsi="Book Antiqua" w:cs="Book Antiqua"/>
          <w:i/>
          <w:iCs/>
          <w:color w:val="000000"/>
        </w:rPr>
        <w:t>vs</w:t>
      </w:r>
      <w:r w:rsidRPr="00AC1174">
        <w:rPr>
          <w:rFonts w:ascii="Book Antiqua" w:eastAsia="Book Antiqua" w:hAnsi="Book Antiqua" w:cs="Book Antiqua"/>
          <w:color w:val="000000"/>
        </w:rPr>
        <w:t xml:space="preserve"> </w:t>
      </w:r>
      <w:r w:rsidR="00AC1174">
        <w:rPr>
          <w:rFonts w:ascii="Book Antiqua" w:eastAsia="Book Antiqua" w:hAnsi="Book Antiqua" w:cs="Book Antiqua"/>
          <w:color w:val="000000"/>
        </w:rPr>
        <w:t>P</w:t>
      </w:r>
      <w:r w:rsidRPr="00AC1174">
        <w:rPr>
          <w:rFonts w:ascii="Book Antiqua" w:eastAsia="Book Antiqua" w:hAnsi="Book Antiqua" w:cs="Book Antiqua"/>
          <w:color w:val="000000"/>
        </w:rPr>
        <w:t>20</w:t>
      </w:r>
      <w:r w:rsidRPr="004464B3">
        <w:rPr>
          <w:rFonts w:ascii="Book Antiqua" w:eastAsia="Book Antiqua" w:hAnsi="Book Antiqua" w:cs="Book Antiqua"/>
          <w:color w:val="000000"/>
        </w:rPr>
        <w:t xml:space="preserve">. Aging was evaluated by senescence-associated (SA) beta-galactosidase activity and the comet assay. HepaRG transdifferentiation was analyzed by confocal microscopy and flow cytometry (expression of </w:t>
      </w:r>
      <w:r w:rsidR="004464B3">
        <w:rPr>
          <w:rFonts w:ascii="Book Antiqua" w:eastAsia="Book Antiqua" w:hAnsi="Book Antiqua" w:cs="Book Antiqua"/>
          <w:color w:val="000000"/>
        </w:rPr>
        <w:t>cluster of differentiation 49a [</w:t>
      </w:r>
      <w:r w:rsidRPr="004464B3">
        <w:rPr>
          <w:rFonts w:ascii="Book Antiqua" w:eastAsia="Book Antiqua" w:hAnsi="Book Antiqua" w:cs="Book Antiqua"/>
          <w:color w:val="000000"/>
        </w:rPr>
        <w:t>CD49a</w:t>
      </w:r>
      <w:r w:rsid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CD49f, CD184, </w:t>
      </w:r>
      <w:r w:rsidR="004464B3">
        <w:rPr>
          <w:rFonts w:ascii="Book Antiqua" w:eastAsia="Book Antiqua" w:hAnsi="Book Antiqua" w:cs="Book Antiqua"/>
          <w:color w:val="000000"/>
        </w:rPr>
        <w:t>epithelial cell adhesion molecule [</w:t>
      </w:r>
      <w:r w:rsidRPr="004464B3">
        <w:rPr>
          <w:rFonts w:ascii="Book Antiqua" w:eastAsia="Book Antiqua" w:hAnsi="Book Antiqua" w:cs="Book Antiqua"/>
          <w:color w:val="000000"/>
        </w:rPr>
        <w:t>EpCAM</w:t>
      </w:r>
      <w:r w:rsid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and </w:t>
      </w:r>
      <w:r w:rsidR="004464B3">
        <w:rPr>
          <w:rFonts w:ascii="Book Antiqua" w:eastAsia="Book Antiqua" w:hAnsi="Book Antiqua" w:cs="Book Antiqua"/>
          <w:color w:val="000000"/>
        </w:rPr>
        <w:t>cytokeratin 19 [</w:t>
      </w:r>
      <w:r w:rsidRPr="004464B3">
        <w:rPr>
          <w:rFonts w:ascii="Book Antiqua" w:eastAsia="Book Antiqua" w:hAnsi="Book Antiqua" w:cs="Book Antiqua"/>
          <w:color w:val="000000"/>
        </w:rPr>
        <w:t>CK19</w:t>
      </w:r>
      <w:r w:rsid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w:t>
      </w:r>
      <w:r w:rsidR="004464B3">
        <w:rPr>
          <w:rFonts w:ascii="Book Antiqua" w:eastAsia="Book Antiqua" w:hAnsi="Book Antiqua" w:cs="Book Antiqua"/>
          <w:color w:val="000000"/>
        </w:rPr>
        <w:t>quantitative</w:t>
      </w:r>
      <w:r w:rsidRPr="004464B3">
        <w:rPr>
          <w:rFonts w:ascii="Book Antiqua" w:eastAsia="Book Antiqua" w:hAnsi="Book Antiqua" w:cs="Book Antiqua"/>
          <w:color w:val="000000"/>
        </w:rPr>
        <w:t xml:space="preserve"> PCR analysis </w:t>
      </w:r>
      <w:r w:rsid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expression of albumin, </w:t>
      </w:r>
      <w:r w:rsidR="004464B3">
        <w:rPr>
          <w:rFonts w:ascii="Book Antiqua" w:eastAsia="Book Antiqua" w:hAnsi="Book Antiqua" w:cs="Book Antiqua"/>
          <w:color w:val="000000"/>
        </w:rPr>
        <w:t>c</w:t>
      </w:r>
      <w:r w:rsidR="004464B3" w:rsidRPr="004464B3">
        <w:rPr>
          <w:rFonts w:ascii="Book Antiqua" w:eastAsia="Book Antiqua" w:hAnsi="Book Antiqua" w:cs="Book Antiqua"/>
          <w:color w:val="000000"/>
        </w:rPr>
        <w:t>ytochrome P450 3A4</w:t>
      </w:r>
      <w:r w:rsid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CYP3A4</w:t>
      </w:r>
      <w:r w:rsid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w:t>
      </w:r>
      <w:r w:rsidR="00BE3A79" w:rsidRPr="004464B3">
        <w:rPr>
          <w:rFonts w:ascii="Book Antiqua" w:eastAsia="Book Antiqua" w:hAnsi="Book Antiqua" w:cs="Book Antiqua"/>
          <w:color w:val="000000"/>
        </w:rPr>
        <w:t xml:space="preserve">γ-glutamyl transpeptidase </w:t>
      </w:r>
      <w:r w:rsidR="004464B3">
        <w:rPr>
          <w:rFonts w:ascii="Book Antiqua" w:eastAsia="Book Antiqua" w:hAnsi="Book Antiqua" w:cs="Book Antiqua"/>
          <w:color w:val="000000"/>
        </w:rPr>
        <w:t>[</w:t>
      </w:r>
      <w:r w:rsidR="00BE3A79" w:rsidRPr="004464B3">
        <w:rPr>
          <w:rFonts w:ascii="Book Antiqua" w:eastAsia="Book Antiqua" w:hAnsi="Book Antiqua" w:cs="Book Antiqua"/>
          <w:color w:val="000000"/>
        </w:rPr>
        <w:t>γ-GT</w:t>
      </w:r>
      <w:r w:rsidR="004464B3">
        <w:rPr>
          <w:rFonts w:ascii="Book Antiqua" w:eastAsia="Book Antiqua" w:hAnsi="Book Antiqua" w:cs="Book Antiqua"/>
          <w:color w:val="000000"/>
        </w:rPr>
        <w:t>]</w:t>
      </w:r>
      <w:r w:rsidR="00756275">
        <w:rPr>
          <w:rFonts w:ascii="Book Antiqua" w:eastAsia="Book Antiqua" w:hAnsi="Book Antiqua" w:cs="Book Antiqua"/>
          <w:color w:val="000000"/>
        </w:rPr>
        <w:t>,</w:t>
      </w:r>
      <w:r w:rsidRPr="004464B3">
        <w:rPr>
          <w:rFonts w:ascii="Book Antiqua" w:eastAsia="Book Antiqua" w:hAnsi="Book Antiqua" w:cs="Book Antiqua"/>
          <w:color w:val="000000"/>
        </w:rPr>
        <w:t xml:space="preserve"> and </w:t>
      </w:r>
      <w:r w:rsidR="005B6F02" w:rsidRPr="004464B3">
        <w:rPr>
          <w:rFonts w:ascii="Book Antiqua" w:eastAsia="Book Antiqua" w:hAnsi="Book Antiqua" w:cs="Book Antiqua"/>
          <w:color w:val="000000"/>
        </w:rPr>
        <w:t xml:space="preserve">carcinoembryonic antigen </w:t>
      </w:r>
      <w:r w:rsidR="004464B3">
        <w:rPr>
          <w:rFonts w:ascii="Book Antiqua" w:eastAsia="Book Antiqua" w:hAnsi="Book Antiqua" w:cs="Book Antiqua"/>
          <w:color w:val="000000"/>
        </w:rPr>
        <w:t>[</w:t>
      </w:r>
      <w:r w:rsidR="005B6F02" w:rsidRPr="004464B3">
        <w:rPr>
          <w:rFonts w:ascii="Book Antiqua" w:eastAsia="Book Antiqua" w:hAnsi="Book Antiqua" w:cs="Book Antiqua"/>
          <w:color w:val="000000"/>
        </w:rPr>
        <w:t>CEA</w:t>
      </w:r>
      <w:r w:rsidR="004464B3">
        <w:rPr>
          <w:rFonts w:ascii="Book Antiqua" w:eastAsia="Book Antiqua" w:hAnsi="Book Antiqua" w:cs="Book Antiqua"/>
          <w:color w:val="000000"/>
        </w:rPr>
        <w:t>])</w:t>
      </w:r>
      <w:r w:rsidR="00756275">
        <w:rPr>
          <w:rFonts w:ascii="Book Antiqua" w:eastAsia="Book Antiqua" w:hAnsi="Book Antiqua" w:cs="Book Antiqua"/>
          <w:color w:val="000000"/>
        </w:rPr>
        <w:t>,</w:t>
      </w:r>
      <w:r w:rsidRPr="004464B3">
        <w:rPr>
          <w:rFonts w:ascii="Book Antiqua" w:eastAsia="Book Antiqua" w:hAnsi="Book Antiqua" w:cs="Book Antiqua"/>
          <w:color w:val="000000"/>
        </w:rPr>
        <w:t xml:space="preserve"> and functional analys</w:t>
      </w:r>
      <w:r w:rsidR="00756275">
        <w:rPr>
          <w:rFonts w:ascii="Book Antiqua" w:eastAsia="Book Antiqua" w:hAnsi="Book Antiqua" w:cs="Book Antiqua"/>
          <w:color w:val="000000"/>
        </w:rPr>
        <w:t>e</w:t>
      </w:r>
      <w:r w:rsidRPr="004464B3">
        <w:rPr>
          <w:rFonts w:ascii="Book Antiqua" w:eastAsia="Book Antiqua" w:hAnsi="Book Antiqua" w:cs="Book Antiqua"/>
          <w:color w:val="000000"/>
        </w:rPr>
        <w:t>s (albumin secretion, CYP3A4</w:t>
      </w:r>
      <w:r w:rsidR="00756275">
        <w:rPr>
          <w:rFonts w:ascii="Book Antiqua" w:eastAsia="Book Antiqua" w:hAnsi="Book Antiqua" w:cs="Book Antiqua"/>
          <w:color w:val="000000"/>
        </w:rPr>
        <w:t>,</w:t>
      </w:r>
      <w:r w:rsidRPr="004464B3">
        <w:rPr>
          <w:rFonts w:ascii="Book Antiqua" w:eastAsia="Book Antiqua" w:hAnsi="Book Antiqua" w:cs="Book Antiqua"/>
          <w:color w:val="000000"/>
        </w:rPr>
        <w:t xml:space="preserve"> and γ-GT). Mitochondrial respiration </w:t>
      </w:r>
      <w:r w:rsidR="00756275">
        <w:rPr>
          <w:rFonts w:ascii="Book Antiqua" w:eastAsia="Book Antiqua" w:hAnsi="Book Antiqua" w:cs="Book Antiqua"/>
          <w:color w:val="000000"/>
        </w:rPr>
        <w:t xml:space="preserve">and </w:t>
      </w:r>
      <w:r w:rsidRPr="004464B3">
        <w:rPr>
          <w:rFonts w:ascii="Book Antiqua" w:eastAsia="Book Antiqua" w:hAnsi="Book Antiqua" w:cs="Book Antiqua"/>
          <w:color w:val="000000"/>
        </w:rPr>
        <w:t xml:space="preserve">the ATP and </w:t>
      </w:r>
      <w:r w:rsidR="003A3E48">
        <w:rPr>
          <w:rFonts w:ascii="Book Antiqua" w:eastAsia="Book Antiqua" w:hAnsi="Book Antiqua" w:cs="Book Antiqua"/>
          <w:color w:val="000000"/>
        </w:rPr>
        <w:t>n</w:t>
      </w:r>
      <w:r w:rsidR="003A3E48" w:rsidRPr="00383EC6">
        <w:rPr>
          <w:rFonts w:ascii="Book Antiqua" w:eastAsia="Book Antiqua" w:hAnsi="Book Antiqua" w:cs="Book Antiqua"/>
          <w:color w:val="000000"/>
        </w:rPr>
        <w:t>icotinamide adenine dinucleotide</w:t>
      </w:r>
      <w:r w:rsidR="003A3E48">
        <w:rPr>
          <w:rFonts w:ascii="Book Antiqua" w:eastAsia="Book Antiqua" w:hAnsi="Book Antiqua" w:cs="Book Antiqua"/>
          <w:color w:val="000000"/>
        </w:rPr>
        <w:t xml:space="preserve"> (</w:t>
      </w:r>
      <w:r w:rsidRPr="004464B3">
        <w:rPr>
          <w:rFonts w:ascii="Book Antiqua" w:eastAsia="Book Antiqua" w:hAnsi="Book Antiqua" w:cs="Book Antiqua"/>
          <w:color w:val="000000"/>
        </w:rPr>
        <w:t>NAD</w:t>
      </w:r>
      <w:r w:rsidRPr="004464B3">
        <w:rPr>
          <w:rFonts w:ascii="Book Antiqua" w:eastAsia="Book Antiqua" w:hAnsi="Book Antiqua" w:cs="Book Antiqua"/>
          <w:color w:val="000000"/>
          <w:vertAlign w:val="superscript"/>
        </w:rPr>
        <w:t>+</w:t>
      </w:r>
      <w:r w:rsidR="003A3E48">
        <w:rPr>
          <w:rFonts w:ascii="Book Antiqua" w:eastAsia="Book Antiqua" w:hAnsi="Book Antiqua" w:cs="Book Antiqua"/>
          <w:color w:val="000000"/>
        </w:rPr>
        <w:t>)</w:t>
      </w:r>
      <w:r w:rsidRPr="004464B3">
        <w:rPr>
          <w:rFonts w:ascii="Book Antiqua" w:eastAsia="Book Antiqua" w:hAnsi="Book Antiqua" w:cs="Book Antiqua"/>
          <w:color w:val="000000"/>
        </w:rPr>
        <w:t>/</w:t>
      </w:r>
      <w:r w:rsidR="003A3E48">
        <w:rPr>
          <w:rFonts w:ascii="Book Antiqua" w:eastAsia="Book Antiqua" w:hAnsi="Book Antiqua" w:cs="Book Antiqua"/>
          <w:color w:val="000000"/>
        </w:rPr>
        <w:t>NAD with hydrogen (</w:t>
      </w:r>
      <w:r w:rsidRPr="004464B3">
        <w:rPr>
          <w:rFonts w:ascii="Book Antiqua" w:eastAsia="Book Antiqua" w:hAnsi="Book Antiqua" w:cs="Book Antiqua"/>
          <w:color w:val="000000"/>
        </w:rPr>
        <w:t>NADH</w:t>
      </w:r>
      <w:r w:rsidR="003A3E48">
        <w:rPr>
          <w:rFonts w:ascii="Book Antiqua" w:eastAsia="Book Antiqua" w:hAnsi="Book Antiqua" w:cs="Book Antiqua"/>
          <w:color w:val="000000"/>
        </w:rPr>
        <w:t>)</w:t>
      </w:r>
      <w:r w:rsidRPr="004464B3">
        <w:rPr>
          <w:rFonts w:ascii="Book Antiqua" w:eastAsia="Book Antiqua" w:hAnsi="Book Antiqua" w:cs="Book Antiqua"/>
          <w:color w:val="000000"/>
        </w:rPr>
        <w:t xml:space="preserve"> content were also measured. </w:t>
      </w:r>
    </w:p>
    <w:p w14:paraId="4894622C" w14:textId="77777777" w:rsidR="00A77B3E" w:rsidRPr="00C10A49" w:rsidRDefault="00A77B3E" w:rsidP="001D68DD">
      <w:pPr>
        <w:spacing w:line="360" w:lineRule="auto"/>
        <w:jc w:val="both"/>
        <w:rPr>
          <w:rFonts w:ascii="Book Antiqua" w:hAnsi="Book Antiqua"/>
        </w:rPr>
      </w:pPr>
    </w:p>
    <w:p w14:paraId="7F86FC16" w14:textId="77777777" w:rsidR="00A77B3E" w:rsidRPr="00C10A49" w:rsidRDefault="0068711B" w:rsidP="001D68DD">
      <w:pPr>
        <w:spacing w:line="360" w:lineRule="auto"/>
        <w:jc w:val="both"/>
        <w:rPr>
          <w:rFonts w:ascii="Book Antiqua" w:hAnsi="Book Antiqua"/>
        </w:rPr>
      </w:pPr>
      <w:r w:rsidRPr="00C10A49">
        <w:rPr>
          <w:rFonts w:ascii="Book Antiqua" w:eastAsia="Book Antiqua" w:hAnsi="Book Antiqua" w:cs="Book Antiqua"/>
          <w:color w:val="000000"/>
        </w:rPr>
        <w:t>RESULTS</w:t>
      </w:r>
    </w:p>
    <w:p w14:paraId="7881CA7B" w14:textId="302C0F49" w:rsidR="00A77B3E" w:rsidRPr="006416E2" w:rsidRDefault="0068711B" w:rsidP="001D68DD">
      <w:pPr>
        <w:spacing w:line="360" w:lineRule="auto"/>
        <w:jc w:val="both"/>
        <w:rPr>
          <w:rFonts w:ascii="Book Antiqua" w:hAnsi="Book Antiqua"/>
        </w:rPr>
      </w:pPr>
      <w:r w:rsidRPr="00BD259C">
        <w:rPr>
          <w:rFonts w:ascii="Book Antiqua" w:eastAsia="Book Antiqua" w:hAnsi="Book Antiqua" w:cs="Book Antiqua"/>
          <w:color w:val="000000"/>
        </w:rPr>
        <w:t xml:space="preserve">SA </w:t>
      </w:r>
      <w:r w:rsidR="00CE2DA1" w:rsidRPr="00D00150">
        <w:rPr>
          <w:rFonts w:ascii="Book Antiqua" w:eastAsia="Book Antiqua" w:hAnsi="Book Antiqua" w:cs="Book Antiqua"/>
          <w:color w:val="000000"/>
        </w:rPr>
        <w:t>β</w:t>
      </w:r>
      <w:r w:rsidRPr="00D00150">
        <w:rPr>
          <w:rFonts w:ascii="Book Antiqua" w:eastAsia="Book Antiqua" w:hAnsi="Book Antiqua" w:cs="Book Antiqua"/>
          <w:color w:val="000000"/>
        </w:rPr>
        <w:t xml:space="preserve">-galactosidase staining was higher in P20 than P10 HepaRG cells; in parallel, the comet assay showed </w:t>
      </w:r>
      <w:r w:rsidRPr="004464B3">
        <w:rPr>
          <w:rFonts w:ascii="Book Antiqua" w:eastAsia="Book Antiqua" w:hAnsi="Book Antiqua" w:cs="Book Antiqua"/>
          <w:color w:val="000000"/>
        </w:rPr>
        <w:t>consistent DNA damage in P20 HepaRG cells. With respect to P10, P20 HepaRG cells exhibited a reduction of CD49a, CD49f, CD184, EpCAM</w:t>
      </w:r>
      <w:r w:rsidR="00756275">
        <w:rPr>
          <w:rFonts w:ascii="Book Antiqua" w:eastAsia="Book Antiqua" w:hAnsi="Book Antiqua" w:cs="Book Antiqua"/>
          <w:color w:val="000000"/>
        </w:rPr>
        <w:t>,</w:t>
      </w:r>
      <w:r w:rsidRPr="00756275">
        <w:rPr>
          <w:rFonts w:ascii="Book Antiqua" w:eastAsia="Book Antiqua" w:hAnsi="Book Antiqua" w:cs="Book Antiqua"/>
          <w:color w:val="000000"/>
        </w:rPr>
        <w:t xml:space="preserve"> and</w:t>
      </w:r>
      <w:r w:rsidRPr="003A3E48">
        <w:rPr>
          <w:rFonts w:ascii="Book Antiqua" w:eastAsia="Book Antiqua" w:hAnsi="Book Antiqua" w:cs="Book Antiqua"/>
          <w:color w:val="000000"/>
        </w:rPr>
        <w:t xml:space="preserve"> CK19 after the induction of trans</w:t>
      </w:r>
      <w:r w:rsidRPr="004464B3">
        <w:rPr>
          <w:rFonts w:ascii="Book Antiqua" w:eastAsia="Book Antiqua" w:hAnsi="Book Antiqua" w:cs="Book Antiqua"/>
          <w:color w:val="000000"/>
        </w:rPr>
        <w:t xml:space="preserve">differentiation. Furthermore, lower gene expression of </w:t>
      </w:r>
      <w:r w:rsidRPr="004464B3">
        <w:rPr>
          <w:rFonts w:ascii="Book Antiqua" w:eastAsia="Book Antiqua" w:hAnsi="Book Antiqua" w:cs="Book Antiqua"/>
          <w:color w:val="000000"/>
        </w:rPr>
        <w:lastRenderedPageBreak/>
        <w:t>albumin, CYP3A4, and γ-GT, as well as reduced albumin secretion capacity, CYP3A4</w:t>
      </w:r>
      <w:r w:rsidR="006416E2">
        <w:rPr>
          <w:rFonts w:ascii="Book Antiqua" w:eastAsia="Book Antiqua" w:hAnsi="Book Antiqua" w:cs="Book Antiqua"/>
          <w:color w:val="000000"/>
        </w:rPr>
        <w:t>,</w:t>
      </w:r>
      <w:r w:rsidRPr="006416E2">
        <w:rPr>
          <w:rFonts w:ascii="Book Antiqua" w:eastAsia="Book Antiqua" w:hAnsi="Book Antiqua" w:cs="Book Antiqua"/>
          <w:color w:val="000000"/>
        </w:rPr>
        <w:t xml:space="preserve"> and γ-GT activity </w:t>
      </w:r>
      <w:r w:rsidR="006416E2">
        <w:rPr>
          <w:rFonts w:ascii="Book Antiqua" w:eastAsia="Book Antiqua" w:hAnsi="Book Antiqua" w:cs="Book Antiqua"/>
          <w:color w:val="000000"/>
        </w:rPr>
        <w:t>were</w:t>
      </w:r>
      <w:r w:rsidR="006416E2" w:rsidRPr="006416E2">
        <w:rPr>
          <w:rFonts w:ascii="Book Antiqua" w:eastAsia="Book Antiqua" w:hAnsi="Book Antiqua" w:cs="Book Antiqua"/>
          <w:color w:val="000000"/>
        </w:rPr>
        <w:t xml:space="preserve"> </w:t>
      </w:r>
      <w:r w:rsidRPr="006416E2">
        <w:rPr>
          <w:rFonts w:ascii="Book Antiqua" w:eastAsia="Book Antiqua" w:hAnsi="Book Antiqua" w:cs="Book Antiqua"/>
          <w:color w:val="000000"/>
        </w:rPr>
        <w:t>reported in transdifferentiated P20 compared to P10 cells</w:t>
      </w:r>
      <w:r w:rsidR="006416E2">
        <w:rPr>
          <w:rFonts w:ascii="Book Antiqua" w:eastAsia="Book Antiqua" w:hAnsi="Book Antiqua" w:cs="Book Antiqua"/>
          <w:color w:val="000000"/>
        </w:rPr>
        <w:t>. By contrast,</w:t>
      </w:r>
      <w:r w:rsidRPr="006416E2">
        <w:rPr>
          <w:rFonts w:ascii="Book Antiqua" w:eastAsia="Book Antiqua" w:hAnsi="Book Antiqua" w:cs="Book Antiqua"/>
          <w:color w:val="000000"/>
        </w:rPr>
        <w:t xml:space="preserve"> </w:t>
      </w:r>
      <w:r w:rsidR="006416E2">
        <w:rPr>
          <w:rFonts w:ascii="Book Antiqua" w:eastAsia="Book Antiqua" w:hAnsi="Book Antiqua" w:cs="Book Antiqua"/>
          <w:color w:val="000000"/>
        </w:rPr>
        <w:t xml:space="preserve">the </w:t>
      </w:r>
      <w:r w:rsidRPr="006416E2">
        <w:rPr>
          <w:rFonts w:ascii="Book Antiqua" w:eastAsia="Book Antiqua" w:hAnsi="Book Antiqua" w:cs="Book Antiqua"/>
          <w:color w:val="000000"/>
        </w:rPr>
        <w:t xml:space="preserve">gene expression level of CEA was not reduced by transdifferentiation in P20 cells. Of note, both cellular and mitochondrial oxygen consumption </w:t>
      </w:r>
      <w:r w:rsidR="00DA79F5">
        <w:rPr>
          <w:rFonts w:ascii="Book Antiqua" w:eastAsia="Book Antiqua" w:hAnsi="Book Antiqua" w:cs="Book Antiqua"/>
          <w:color w:val="000000"/>
        </w:rPr>
        <w:t>was</w:t>
      </w:r>
      <w:r w:rsidR="00DA79F5" w:rsidRPr="006416E2">
        <w:rPr>
          <w:rFonts w:ascii="Book Antiqua" w:eastAsia="Book Antiqua" w:hAnsi="Book Antiqua" w:cs="Book Antiqua"/>
          <w:color w:val="000000"/>
        </w:rPr>
        <w:t xml:space="preserve"> </w:t>
      </w:r>
      <w:r w:rsidRPr="006416E2">
        <w:rPr>
          <w:rFonts w:ascii="Book Antiqua" w:eastAsia="Book Antiqua" w:hAnsi="Book Antiqua" w:cs="Book Antiqua"/>
          <w:color w:val="000000"/>
        </w:rPr>
        <w:t>lower in P20 than</w:t>
      </w:r>
      <w:r w:rsidR="003A3E48">
        <w:rPr>
          <w:rFonts w:ascii="Book Antiqua" w:eastAsia="Book Antiqua" w:hAnsi="Book Antiqua" w:cs="Book Antiqua"/>
          <w:color w:val="000000"/>
        </w:rPr>
        <w:t xml:space="preserve"> in</w:t>
      </w:r>
      <w:r w:rsidRPr="006416E2">
        <w:rPr>
          <w:rFonts w:ascii="Book Antiqua" w:eastAsia="Book Antiqua" w:hAnsi="Book Antiqua" w:cs="Book Antiqua"/>
          <w:color w:val="000000"/>
        </w:rPr>
        <w:t xml:space="preserve"> P10 transdifferentiated cells. Finally, both ATP and NAD</w:t>
      </w:r>
      <w:r w:rsidRPr="006416E2">
        <w:rPr>
          <w:rFonts w:ascii="Book Antiqua" w:eastAsia="Book Antiqua" w:hAnsi="Book Antiqua" w:cs="Book Antiqua"/>
          <w:color w:val="000000"/>
          <w:vertAlign w:val="superscript"/>
        </w:rPr>
        <w:t>+</w:t>
      </w:r>
      <w:r w:rsidRPr="006416E2">
        <w:rPr>
          <w:rFonts w:ascii="Book Antiqua" w:eastAsia="Book Antiqua" w:hAnsi="Book Antiqua" w:cs="Book Antiqua"/>
          <w:color w:val="000000"/>
        </w:rPr>
        <w:t>/NADH were depleted in P20 cells with respect to P10 cells.</w:t>
      </w:r>
    </w:p>
    <w:p w14:paraId="2641BF81" w14:textId="77777777" w:rsidR="00A77B3E" w:rsidRPr="00C10A49" w:rsidRDefault="00A77B3E" w:rsidP="001D68DD">
      <w:pPr>
        <w:spacing w:line="360" w:lineRule="auto"/>
        <w:jc w:val="both"/>
        <w:rPr>
          <w:rFonts w:ascii="Book Antiqua" w:hAnsi="Book Antiqua"/>
        </w:rPr>
      </w:pPr>
    </w:p>
    <w:p w14:paraId="435C8437" w14:textId="77777777" w:rsidR="00A77B3E" w:rsidRPr="00C10A49" w:rsidRDefault="0068711B" w:rsidP="001D68DD">
      <w:pPr>
        <w:spacing w:line="360" w:lineRule="auto"/>
        <w:jc w:val="both"/>
        <w:rPr>
          <w:rFonts w:ascii="Book Antiqua" w:hAnsi="Book Antiqua"/>
        </w:rPr>
      </w:pPr>
      <w:r w:rsidRPr="00C10A49">
        <w:rPr>
          <w:rFonts w:ascii="Book Antiqua" w:eastAsia="Book Antiqua" w:hAnsi="Book Antiqua" w:cs="Book Antiqua"/>
          <w:color w:val="000000"/>
        </w:rPr>
        <w:t>CONCLUSION</w:t>
      </w:r>
    </w:p>
    <w:p w14:paraId="4F490F57" w14:textId="02E7A0CF" w:rsidR="00A77B3E" w:rsidRPr="004464B3" w:rsidRDefault="003A3E48" w:rsidP="001D68DD">
      <w:pPr>
        <w:spacing w:line="360" w:lineRule="auto"/>
        <w:jc w:val="both"/>
        <w:rPr>
          <w:rFonts w:ascii="Book Antiqua" w:hAnsi="Book Antiqua"/>
        </w:rPr>
      </w:pPr>
      <w:r>
        <w:rPr>
          <w:rFonts w:ascii="Book Antiqua" w:eastAsia="Book Antiqua" w:hAnsi="Book Antiqua" w:cs="Book Antiqua"/>
          <w:color w:val="000000"/>
        </w:rPr>
        <w:t>SA</w:t>
      </w:r>
      <w:r w:rsidR="0068711B" w:rsidRPr="003A3E48">
        <w:rPr>
          <w:rFonts w:ascii="Book Antiqua" w:eastAsia="Book Antiqua" w:hAnsi="Book Antiqua" w:cs="Book Antiqua"/>
          <w:color w:val="000000"/>
        </w:rPr>
        <w:t xml:space="preserve"> mitochondrial dysfunction may limit the trans</w:t>
      </w:r>
      <w:r w:rsidR="0068711B" w:rsidRPr="004464B3">
        <w:rPr>
          <w:rFonts w:ascii="Book Antiqua" w:eastAsia="Book Antiqua" w:hAnsi="Book Antiqua" w:cs="Book Antiqua"/>
          <w:color w:val="000000"/>
        </w:rPr>
        <w:t>differentiation potential of HepaRG cells, with consequent impairment of metabolic and regenerative properties</w:t>
      </w:r>
      <w:r w:rsidR="000A6595" w:rsidRPr="004464B3">
        <w:rPr>
          <w:rFonts w:ascii="Book Antiqua" w:eastAsia="Book Antiqua" w:hAnsi="Book Antiqua" w:cs="Book Antiqua"/>
          <w:color w:val="000000"/>
        </w:rPr>
        <w:t>,</w:t>
      </w:r>
      <w:r w:rsidR="0068711B" w:rsidRPr="004464B3">
        <w:rPr>
          <w:rFonts w:ascii="Book Antiqua" w:eastAsia="Book Antiqua" w:hAnsi="Book Antiqua" w:cs="Book Antiqua"/>
          <w:color w:val="000000"/>
        </w:rPr>
        <w:t xml:space="preserve"> which may alter applications in basic studies.</w:t>
      </w:r>
    </w:p>
    <w:p w14:paraId="40DE62E2" w14:textId="77777777" w:rsidR="00A77B3E" w:rsidRPr="004464B3" w:rsidRDefault="00A77B3E" w:rsidP="001D68DD">
      <w:pPr>
        <w:spacing w:line="360" w:lineRule="auto"/>
        <w:jc w:val="both"/>
        <w:rPr>
          <w:rFonts w:ascii="Book Antiqua" w:hAnsi="Book Antiqua"/>
        </w:rPr>
      </w:pPr>
    </w:p>
    <w:p w14:paraId="2E844F9F" w14:textId="0B10D262"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Key Words: </w:t>
      </w:r>
      <w:r w:rsidRPr="004464B3">
        <w:rPr>
          <w:rFonts w:ascii="Book Antiqua" w:eastAsia="Book Antiqua" w:hAnsi="Book Antiqua" w:cs="Book Antiqua"/>
          <w:color w:val="000000"/>
        </w:rPr>
        <w:t>Senescence; HepaRG cells; Transdifferentiation; Mitochondria; Regeneration; Nicotinamide adenine dinucleotide</w:t>
      </w:r>
    </w:p>
    <w:p w14:paraId="24EF403C" w14:textId="77777777" w:rsidR="00A77B3E" w:rsidRPr="004464B3" w:rsidRDefault="00A77B3E" w:rsidP="001D68DD">
      <w:pPr>
        <w:spacing w:line="360" w:lineRule="auto"/>
        <w:jc w:val="both"/>
        <w:rPr>
          <w:rFonts w:ascii="Book Antiqua" w:hAnsi="Book Antiqua"/>
        </w:rPr>
      </w:pPr>
    </w:p>
    <w:p w14:paraId="097FFD7D" w14:textId="1F63C163"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Bellanti F, di Bello G, Tamborra R, Amatruda M, Lo Buglio A, Dobrakowski M, Kasperczyk A, Kasperczyk S, Serviddio G, Vendemiale G. Impact of senescence on the transdifferentiation process of human hepatic progenitor-like cells. </w:t>
      </w:r>
      <w:r w:rsidRPr="004464B3">
        <w:rPr>
          <w:rFonts w:ascii="Book Antiqua" w:eastAsia="Book Antiqua" w:hAnsi="Book Antiqua" w:cs="Book Antiqua"/>
          <w:i/>
          <w:iCs/>
          <w:color w:val="000000"/>
        </w:rPr>
        <w:t>World J Stem Cells</w:t>
      </w:r>
      <w:r w:rsidRPr="004464B3">
        <w:rPr>
          <w:rFonts w:ascii="Book Antiqua" w:eastAsia="Book Antiqua" w:hAnsi="Book Antiqua" w:cs="Book Antiqua"/>
          <w:color w:val="000000"/>
        </w:rPr>
        <w:t xml:space="preserve"> 2021; In press</w:t>
      </w:r>
    </w:p>
    <w:p w14:paraId="0E2C6706" w14:textId="77777777" w:rsidR="00A77B3E" w:rsidRPr="004464B3" w:rsidRDefault="00A77B3E" w:rsidP="001D68DD">
      <w:pPr>
        <w:spacing w:line="360" w:lineRule="auto"/>
        <w:jc w:val="both"/>
        <w:rPr>
          <w:rFonts w:ascii="Book Antiqua" w:hAnsi="Book Antiqua"/>
        </w:rPr>
      </w:pPr>
    </w:p>
    <w:p w14:paraId="58791703" w14:textId="294AB90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Core Tip: </w:t>
      </w:r>
      <w:r w:rsidRPr="004464B3">
        <w:rPr>
          <w:rFonts w:ascii="Book Antiqua" w:eastAsia="Book Antiqua" w:hAnsi="Book Antiqua" w:cs="Book Antiqua"/>
          <w:color w:val="000000"/>
        </w:rPr>
        <w:t xml:space="preserve">The human HepaRG cell line represents an effective model for the study of liver metabolism and hepatic progenitors. However, the impact of senescence on HepaRG cells is not known. We characterized the effects of senescence on the transdifferentiation capacity and mitochondrial metabolism of HepaRG cells. By using a replication protocol, we described higher senescence-associated markers and lower transdifferentiation markers in passage 20 (P20) than </w:t>
      </w:r>
      <w:r w:rsidR="005B2E1A">
        <w:rPr>
          <w:rFonts w:ascii="Book Antiqua" w:eastAsia="Book Antiqua" w:hAnsi="Book Antiqua" w:cs="Book Antiqua"/>
          <w:color w:val="000000"/>
        </w:rPr>
        <w:t xml:space="preserve">in </w:t>
      </w:r>
      <w:r w:rsidRPr="004464B3">
        <w:rPr>
          <w:rFonts w:ascii="Book Antiqua" w:eastAsia="Book Antiqua" w:hAnsi="Book Antiqua" w:cs="Book Antiqua"/>
          <w:color w:val="000000"/>
        </w:rPr>
        <w:t xml:space="preserve">P10 cells. Cellular and mitochondrial oxygen consumption, </w:t>
      </w:r>
      <w:r w:rsidR="00DF5E73">
        <w:rPr>
          <w:rFonts w:ascii="Book Antiqua" w:eastAsia="Book Antiqua" w:hAnsi="Book Antiqua" w:cs="Book Antiqua"/>
          <w:color w:val="000000"/>
        </w:rPr>
        <w:t xml:space="preserve">and </w:t>
      </w:r>
      <w:r w:rsidRPr="00DF5E73">
        <w:rPr>
          <w:rFonts w:ascii="Book Antiqua" w:eastAsia="Book Antiqua" w:hAnsi="Book Antiqua" w:cs="Book Antiqua"/>
          <w:color w:val="000000"/>
        </w:rPr>
        <w:t xml:space="preserve">ATP and </w:t>
      </w:r>
      <w:r w:rsidR="005E2C5B">
        <w:rPr>
          <w:rFonts w:ascii="Book Antiqua" w:eastAsia="Book Antiqua" w:hAnsi="Book Antiqua" w:cs="Book Antiqua"/>
          <w:color w:val="000000"/>
        </w:rPr>
        <w:t>n</w:t>
      </w:r>
      <w:r w:rsidR="005E2C5B" w:rsidRPr="00383EC6">
        <w:rPr>
          <w:rFonts w:ascii="Book Antiqua" w:eastAsia="Book Antiqua" w:hAnsi="Book Antiqua" w:cs="Book Antiqua"/>
          <w:color w:val="000000"/>
        </w:rPr>
        <w:t>icotinamide adenine dinucleotide</w:t>
      </w:r>
      <w:r w:rsidR="005E2C5B">
        <w:rPr>
          <w:rFonts w:ascii="Book Antiqua" w:eastAsia="Book Antiqua" w:hAnsi="Book Antiqua" w:cs="Book Antiqua"/>
          <w:color w:val="000000"/>
        </w:rPr>
        <w:t xml:space="preserve"> (</w:t>
      </w:r>
      <w:r w:rsidR="005E2C5B" w:rsidRPr="004464B3">
        <w:rPr>
          <w:rFonts w:ascii="Book Antiqua" w:eastAsia="Book Antiqua" w:hAnsi="Book Antiqua" w:cs="Book Antiqua"/>
          <w:color w:val="000000"/>
        </w:rPr>
        <w:t>NAD</w:t>
      </w:r>
      <w:r w:rsidR="005E2C5B" w:rsidRPr="004464B3">
        <w:rPr>
          <w:rFonts w:ascii="Book Antiqua" w:eastAsia="Book Antiqua" w:hAnsi="Book Antiqua" w:cs="Book Antiqua"/>
          <w:color w:val="000000"/>
          <w:vertAlign w:val="superscript"/>
        </w:rPr>
        <w:t>+</w:t>
      </w:r>
      <w:r w:rsidR="005E2C5B">
        <w:rPr>
          <w:rFonts w:ascii="Book Antiqua" w:eastAsia="Book Antiqua" w:hAnsi="Book Antiqua" w:cs="Book Antiqua"/>
          <w:color w:val="000000"/>
        </w:rPr>
        <w:t>)</w:t>
      </w:r>
      <w:r w:rsidR="005E2C5B" w:rsidRPr="004464B3">
        <w:rPr>
          <w:rFonts w:ascii="Book Antiqua" w:eastAsia="Book Antiqua" w:hAnsi="Book Antiqua" w:cs="Book Antiqua"/>
          <w:color w:val="000000"/>
        </w:rPr>
        <w:t>/</w:t>
      </w:r>
      <w:r w:rsidR="005E2C5B">
        <w:rPr>
          <w:rFonts w:ascii="Book Antiqua" w:eastAsia="Book Antiqua" w:hAnsi="Book Antiqua" w:cs="Book Antiqua"/>
          <w:color w:val="000000"/>
        </w:rPr>
        <w:t>NAD with hydrogen (</w:t>
      </w:r>
      <w:r w:rsidR="005E2C5B" w:rsidRPr="004464B3">
        <w:rPr>
          <w:rFonts w:ascii="Book Antiqua" w:eastAsia="Book Antiqua" w:hAnsi="Book Antiqua" w:cs="Book Antiqua"/>
          <w:color w:val="000000"/>
        </w:rPr>
        <w:t>NADH</w:t>
      </w:r>
      <w:r w:rsidR="005E2C5B">
        <w:rPr>
          <w:rFonts w:ascii="Book Antiqua" w:eastAsia="Book Antiqua" w:hAnsi="Book Antiqua" w:cs="Book Antiqua"/>
          <w:color w:val="000000"/>
        </w:rPr>
        <w:t>)</w:t>
      </w:r>
      <w:r w:rsidR="005E2C5B" w:rsidRPr="004464B3">
        <w:rPr>
          <w:rFonts w:ascii="Book Antiqua" w:eastAsia="Book Antiqua" w:hAnsi="Book Antiqua" w:cs="Book Antiqua"/>
          <w:color w:val="000000"/>
        </w:rPr>
        <w:t xml:space="preserve"> </w:t>
      </w:r>
      <w:r w:rsidRPr="00DF5E73">
        <w:rPr>
          <w:rFonts w:ascii="Book Antiqua" w:eastAsia="Book Antiqua" w:hAnsi="Book Antiqua" w:cs="Book Antiqua"/>
          <w:color w:val="000000"/>
        </w:rPr>
        <w:t xml:space="preserve">content were lower in P20 than </w:t>
      </w:r>
      <w:r w:rsidR="00DF5E73">
        <w:rPr>
          <w:rFonts w:ascii="Book Antiqua" w:eastAsia="Book Antiqua" w:hAnsi="Book Antiqua" w:cs="Book Antiqua"/>
          <w:color w:val="000000"/>
        </w:rPr>
        <w:t xml:space="preserve">in </w:t>
      </w:r>
      <w:r w:rsidRPr="00DF5E73">
        <w:rPr>
          <w:rFonts w:ascii="Book Antiqua" w:eastAsia="Book Antiqua" w:hAnsi="Book Antiqua" w:cs="Book Antiqua"/>
          <w:color w:val="000000"/>
        </w:rPr>
        <w:t>P10 trans</w:t>
      </w:r>
      <w:r w:rsidRPr="004464B3">
        <w:rPr>
          <w:rFonts w:ascii="Book Antiqua" w:eastAsia="Book Antiqua" w:hAnsi="Book Antiqua" w:cs="Book Antiqua"/>
          <w:color w:val="000000"/>
        </w:rPr>
        <w:t>differentiated cells. To conclude, senescence-associated mitochondrial dysfunction may limit the transdifferentiation potential of HepaRG cells.</w:t>
      </w:r>
    </w:p>
    <w:p w14:paraId="68013F82" w14:textId="77777777" w:rsidR="00316B6C" w:rsidRPr="004464B3" w:rsidRDefault="00316B6C" w:rsidP="001D68DD">
      <w:pPr>
        <w:spacing w:line="360" w:lineRule="auto"/>
        <w:jc w:val="both"/>
        <w:rPr>
          <w:rFonts w:ascii="Book Antiqua" w:eastAsia="Book Antiqua" w:hAnsi="Book Antiqua" w:cs="Book Antiqua"/>
          <w:b/>
          <w:caps/>
          <w:color w:val="000000"/>
          <w:u w:val="single"/>
        </w:rPr>
        <w:sectPr w:rsidR="00316B6C" w:rsidRPr="004464B3">
          <w:pgSz w:w="12240" w:h="15840"/>
          <w:pgMar w:top="1440" w:right="1440" w:bottom="1440" w:left="1440" w:header="720" w:footer="720" w:gutter="0"/>
          <w:cols w:space="720"/>
          <w:docGrid w:linePitch="360"/>
        </w:sectPr>
      </w:pPr>
    </w:p>
    <w:p w14:paraId="700493FD" w14:textId="6D977F73" w:rsidR="00A77B3E" w:rsidRPr="00AC4E15" w:rsidRDefault="0068711B" w:rsidP="001D68DD">
      <w:pPr>
        <w:spacing w:line="360" w:lineRule="auto"/>
        <w:jc w:val="both"/>
        <w:rPr>
          <w:rFonts w:ascii="Book Antiqua" w:hAnsi="Book Antiqua"/>
        </w:rPr>
      </w:pPr>
      <w:r w:rsidRPr="00833894">
        <w:rPr>
          <w:rFonts w:ascii="Book Antiqua" w:eastAsia="Book Antiqua" w:hAnsi="Book Antiqua" w:cs="Book Antiqua"/>
          <w:b/>
          <w:caps/>
          <w:color w:val="000000"/>
          <w:u w:val="single"/>
        </w:rPr>
        <w:lastRenderedPageBreak/>
        <w:t>INTRODUCTION</w:t>
      </w:r>
    </w:p>
    <w:p w14:paraId="7AAE548E" w14:textId="32A8FF5C" w:rsidR="00A77B3E" w:rsidRPr="00C10A49" w:rsidRDefault="0068711B" w:rsidP="001D68DD">
      <w:pPr>
        <w:spacing w:line="360" w:lineRule="auto"/>
        <w:jc w:val="both"/>
        <w:rPr>
          <w:rFonts w:ascii="Book Antiqua" w:hAnsi="Book Antiqua"/>
        </w:rPr>
      </w:pPr>
      <w:r w:rsidRPr="000575B1">
        <w:rPr>
          <w:rFonts w:ascii="Book Antiqua" w:eastAsia="Book Antiqua" w:hAnsi="Book Antiqua" w:cs="Book Antiqua"/>
          <w:color w:val="000000"/>
        </w:rPr>
        <w:t>Pr</w:t>
      </w:r>
      <w:r w:rsidRPr="00C10A49">
        <w:rPr>
          <w:rFonts w:ascii="Book Antiqua" w:eastAsia="Book Antiqua" w:hAnsi="Book Antiqua" w:cs="Book Antiqua"/>
          <w:color w:val="000000"/>
        </w:rPr>
        <w:t>imary human hepatocytes are the gold standard to study the biology, pharmacology, and toxicology of parenchymal liver cells</w:t>
      </w:r>
      <w:r w:rsidRPr="00C10A49">
        <w:rPr>
          <w:rFonts w:ascii="Book Antiqua" w:eastAsia="Book Antiqua" w:hAnsi="Book Antiqua" w:cs="Book Antiqua"/>
          <w:color w:val="000000"/>
          <w:vertAlign w:val="superscript"/>
        </w:rPr>
        <w:t>[1]</w:t>
      </w:r>
      <w:r w:rsidRPr="00C10A49">
        <w:rPr>
          <w:rFonts w:ascii="Book Antiqua" w:eastAsia="Book Antiqua" w:hAnsi="Book Antiqua" w:cs="Book Antiqua"/>
          <w:color w:val="000000"/>
        </w:rPr>
        <w:t>. Nevertheless, primary hepatocytes present with several limitations such as difficult isolation procedure</w:t>
      </w:r>
      <w:r w:rsidR="00833894">
        <w:rPr>
          <w:rFonts w:ascii="Book Antiqua" w:eastAsia="Book Antiqua" w:hAnsi="Book Antiqua" w:cs="Book Antiqua"/>
          <w:color w:val="000000"/>
        </w:rPr>
        <w:t>s</w:t>
      </w:r>
      <w:r w:rsidRPr="00833894">
        <w:rPr>
          <w:rFonts w:ascii="Book Antiqua" w:eastAsia="Book Antiqua" w:hAnsi="Book Antiqua" w:cs="Book Antiqua"/>
          <w:color w:val="000000"/>
        </w:rPr>
        <w:t>, high variability betwe</w:t>
      </w:r>
      <w:r w:rsidRPr="00AC4E15">
        <w:rPr>
          <w:rFonts w:ascii="Book Antiqua" w:eastAsia="Book Antiqua" w:hAnsi="Book Antiqua" w:cs="Book Antiqua"/>
          <w:color w:val="000000"/>
        </w:rPr>
        <w:t>en different donors, quick failure in biological function</w:t>
      </w:r>
      <w:r w:rsidR="00833894">
        <w:rPr>
          <w:rFonts w:ascii="Book Antiqua" w:eastAsia="Book Antiqua" w:hAnsi="Book Antiqua" w:cs="Book Antiqua"/>
          <w:color w:val="000000"/>
        </w:rPr>
        <w:t>,</w:t>
      </w:r>
      <w:r w:rsidRPr="00833894">
        <w:rPr>
          <w:rFonts w:ascii="Book Antiqua" w:eastAsia="Book Antiqua" w:hAnsi="Book Antiqua" w:cs="Book Antiqua"/>
          <w:color w:val="000000"/>
        </w:rPr>
        <w:t xml:space="preserve"> and proliferation capacity</w:t>
      </w:r>
      <w:r w:rsidRPr="00833894">
        <w:rPr>
          <w:rFonts w:ascii="Book Antiqua" w:eastAsia="Book Antiqua" w:hAnsi="Book Antiqua" w:cs="Book Antiqua"/>
          <w:color w:val="000000"/>
          <w:vertAlign w:val="superscript"/>
        </w:rPr>
        <w:t>[2]</w:t>
      </w:r>
      <w:r w:rsidRPr="00833894">
        <w:rPr>
          <w:rFonts w:ascii="Book Antiqua" w:eastAsia="Book Antiqua" w:hAnsi="Book Antiqua" w:cs="Book Antiqua"/>
          <w:color w:val="000000"/>
        </w:rPr>
        <w:t xml:space="preserve">. To </w:t>
      </w:r>
      <w:r w:rsidRPr="004464B3">
        <w:rPr>
          <w:rFonts w:ascii="Book Antiqua" w:eastAsia="Book Antiqua" w:hAnsi="Book Antiqua" w:cs="Book Antiqua"/>
          <w:color w:val="000000"/>
        </w:rPr>
        <w:t>over</w:t>
      </w:r>
      <w:r w:rsidR="00833894">
        <w:rPr>
          <w:rFonts w:ascii="Book Antiqua" w:eastAsia="Book Antiqua" w:hAnsi="Book Antiqua" w:cs="Book Antiqua"/>
          <w:color w:val="000000"/>
        </w:rPr>
        <w:t>come</w:t>
      </w:r>
      <w:r w:rsidRPr="00833894">
        <w:rPr>
          <w:rFonts w:ascii="Book Antiqua" w:eastAsia="Book Antiqua" w:hAnsi="Book Antiqua" w:cs="Book Antiqua"/>
          <w:color w:val="000000"/>
        </w:rPr>
        <w:t xml:space="preserve"> these limitations, several human hepatoma cell lines were developed and characterized to provide a steady and unrestricted supply of hepatocyte-like cells.</w:t>
      </w:r>
      <w:r w:rsidRPr="00AC4E15">
        <w:rPr>
          <w:rFonts w:ascii="Book Antiqua" w:eastAsia="Book Antiqua" w:hAnsi="Book Antiqua" w:cs="Book Antiqua"/>
          <w:color w:val="000000"/>
        </w:rPr>
        <w:t xml:space="preserve"> Of these, HepG2 and Huh-7 </w:t>
      </w:r>
      <w:r w:rsidR="00833894">
        <w:rPr>
          <w:rFonts w:ascii="Book Antiqua" w:eastAsia="Book Antiqua" w:hAnsi="Book Antiqua" w:cs="Book Antiqua"/>
          <w:color w:val="000000"/>
        </w:rPr>
        <w:t xml:space="preserve">cells </w:t>
      </w:r>
      <w:r w:rsidRPr="00833894">
        <w:rPr>
          <w:rFonts w:ascii="Book Antiqua" w:eastAsia="Book Antiqua" w:hAnsi="Book Antiqua" w:cs="Book Antiqua"/>
          <w:color w:val="000000"/>
        </w:rPr>
        <w:t>are the most widely used. HepG2 cells originated from an American patient</w:t>
      </w:r>
      <w:r w:rsidRPr="00AC4E15">
        <w:rPr>
          <w:rFonts w:ascii="Book Antiqua" w:eastAsia="Book Antiqua" w:hAnsi="Book Antiqua" w:cs="Book Antiqua"/>
          <w:color w:val="000000"/>
          <w:vertAlign w:val="superscript"/>
        </w:rPr>
        <w:t>[3]</w:t>
      </w:r>
      <w:r w:rsidRPr="001B629D">
        <w:rPr>
          <w:rFonts w:ascii="Book Antiqua" w:eastAsia="Book Antiqua" w:hAnsi="Book Antiqua" w:cs="Book Antiqua"/>
          <w:color w:val="000000"/>
        </w:rPr>
        <w:t>, while Huh-7 were isolated from a Japanese patient</w:t>
      </w:r>
      <w:r w:rsidRPr="000575B1">
        <w:rPr>
          <w:rFonts w:ascii="Book Antiqua" w:eastAsia="Book Antiqua" w:hAnsi="Book Antiqua" w:cs="Book Antiqua"/>
          <w:color w:val="000000"/>
          <w:vertAlign w:val="superscript"/>
        </w:rPr>
        <w:t>[4]</w:t>
      </w:r>
      <w:r w:rsidRPr="00C10A49">
        <w:rPr>
          <w:rFonts w:ascii="Book Antiqua" w:eastAsia="Book Antiqua" w:hAnsi="Book Antiqua" w:cs="Book Antiqua"/>
          <w:color w:val="000000"/>
        </w:rPr>
        <w:t>, both affected by well-differentiated hepatocellular carcinoma. Even though these cell lines exhibit several hepatic functions, low expression of enzymes and cytochromes limit their use for metabolism and toxicity studies</w:t>
      </w:r>
      <w:r w:rsidRPr="00C10A49">
        <w:rPr>
          <w:rFonts w:ascii="Book Antiqua" w:eastAsia="Book Antiqua" w:hAnsi="Book Antiqua" w:cs="Book Antiqua"/>
          <w:color w:val="000000"/>
          <w:vertAlign w:val="superscript"/>
        </w:rPr>
        <w:t>[5]</w:t>
      </w:r>
      <w:r w:rsidRPr="00C10A49">
        <w:rPr>
          <w:rFonts w:ascii="Book Antiqua" w:eastAsia="Book Antiqua" w:hAnsi="Book Antiqua" w:cs="Book Antiqua"/>
          <w:color w:val="000000"/>
        </w:rPr>
        <w:t>.</w:t>
      </w:r>
    </w:p>
    <w:p w14:paraId="0CEED156" w14:textId="492828AE" w:rsidR="00A77B3E" w:rsidRPr="004B1073" w:rsidRDefault="0068711B" w:rsidP="00DF7525">
      <w:pPr>
        <w:spacing w:line="360" w:lineRule="auto"/>
        <w:ind w:firstLineChars="112" w:firstLine="269"/>
        <w:jc w:val="both"/>
        <w:rPr>
          <w:rFonts w:ascii="Book Antiqua" w:hAnsi="Book Antiqua"/>
        </w:rPr>
      </w:pPr>
      <w:r w:rsidRPr="00BD259C">
        <w:rPr>
          <w:rFonts w:ascii="Book Antiqua" w:eastAsia="Book Antiqua" w:hAnsi="Book Antiqua" w:cs="Book Antiqua"/>
          <w:color w:val="000000"/>
        </w:rPr>
        <w:t xml:space="preserve">To study </w:t>
      </w:r>
      <w:r w:rsidR="00833894">
        <w:rPr>
          <w:rFonts w:ascii="Book Antiqua" w:eastAsia="Book Antiqua" w:hAnsi="Book Antiqua" w:cs="Book Antiqua"/>
          <w:color w:val="000000"/>
        </w:rPr>
        <w:t xml:space="preserve">the </w:t>
      </w:r>
      <w:r w:rsidRPr="00833894">
        <w:rPr>
          <w:rFonts w:ascii="Book Antiqua" w:eastAsia="Book Antiqua" w:hAnsi="Book Antiqua" w:cs="Book Antiqua"/>
          <w:color w:val="000000"/>
        </w:rPr>
        <w:t xml:space="preserve">metabolism, toxicology, and regeneration/differentiation processes, the HepaRG cell line was used as a replacement </w:t>
      </w:r>
      <w:r w:rsidR="00833894">
        <w:rPr>
          <w:rFonts w:ascii="Book Antiqua" w:eastAsia="Book Antiqua" w:hAnsi="Book Antiqua" w:cs="Book Antiqua"/>
          <w:color w:val="000000"/>
        </w:rPr>
        <w:t>for</w:t>
      </w:r>
      <w:r w:rsidRPr="00833894">
        <w:rPr>
          <w:rFonts w:ascii="Book Antiqua" w:eastAsia="Book Antiqua" w:hAnsi="Book Antiqua" w:cs="Book Antiqua"/>
          <w:color w:val="000000"/>
        </w:rPr>
        <w:t xml:space="preserve"> primary hepatocytes, HepG2, and Huh-7 cells</w:t>
      </w:r>
      <w:r w:rsidRPr="00833894">
        <w:rPr>
          <w:rFonts w:ascii="Book Antiqua" w:eastAsia="Book Antiqua" w:hAnsi="Book Antiqua" w:cs="Book Antiqua"/>
          <w:color w:val="000000"/>
          <w:vertAlign w:val="superscript"/>
        </w:rPr>
        <w:t>[6</w:t>
      </w:r>
      <w:r w:rsidR="00316B6C" w:rsidRPr="00833894">
        <w:rPr>
          <w:rFonts w:ascii="Book Antiqua" w:eastAsia="Book Antiqua" w:hAnsi="Book Antiqua" w:cs="Book Antiqua"/>
          <w:color w:val="000000"/>
          <w:vertAlign w:val="superscript"/>
        </w:rPr>
        <w:t>-</w:t>
      </w:r>
      <w:r w:rsidRPr="004B1073">
        <w:rPr>
          <w:rFonts w:ascii="Book Antiqua" w:eastAsia="Book Antiqua" w:hAnsi="Book Antiqua" w:cs="Book Antiqua"/>
          <w:color w:val="000000"/>
          <w:vertAlign w:val="superscript"/>
        </w:rPr>
        <w:t>8]</w:t>
      </w:r>
      <w:r w:rsidRPr="004B1073">
        <w:rPr>
          <w:rFonts w:ascii="Book Antiqua" w:eastAsia="Book Antiqua" w:hAnsi="Book Antiqua" w:cs="Book Antiqua"/>
          <w:color w:val="000000"/>
        </w:rPr>
        <w:t>. Isolated from an Edmonson grade I differentiated liver tumor, HepaRG</w:t>
      </w:r>
      <w:r w:rsidR="004B1073">
        <w:rPr>
          <w:rFonts w:ascii="Book Antiqua" w:eastAsia="Book Antiqua" w:hAnsi="Book Antiqua" w:cs="Book Antiqua"/>
          <w:color w:val="000000"/>
        </w:rPr>
        <w:t xml:space="preserve"> cells</w:t>
      </w:r>
      <w:r w:rsidRPr="004B1073">
        <w:rPr>
          <w:rFonts w:ascii="Book Antiqua" w:eastAsia="Book Antiqua" w:hAnsi="Book Antiqua" w:cs="Book Antiqua"/>
          <w:color w:val="000000"/>
        </w:rPr>
        <w:t xml:space="preserve"> exhibit a hepatocyte-like morphology and express hepatocyte-specific functions in defined culture conditions</w:t>
      </w:r>
      <w:r w:rsidRPr="004B1073">
        <w:rPr>
          <w:rFonts w:ascii="Book Antiqua" w:eastAsia="Book Antiqua" w:hAnsi="Book Antiqua" w:cs="Book Antiqua"/>
          <w:color w:val="000000"/>
          <w:vertAlign w:val="superscript"/>
        </w:rPr>
        <w:t>[9]</w:t>
      </w:r>
      <w:r w:rsidRPr="004B1073">
        <w:rPr>
          <w:rFonts w:ascii="Book Antiqua" w:eastAsia="Book Antiqua" w:hAnsi="Book Antiqua" w:cs="Book Antiqua"/>
          <w:color w:val="000000"/>
        </w:rPr>
        <w:t>. Nevertheless, HepaRG</w:t>
      </w:r>
      <w:r w:rsidR="004B1073">
        <w:rPr>
          <w:rFonts w:ascii="Book Antiqua" w:eastAsia="Book Antiqua" w:hAnsi="Book Antiqua" w:cs="Book Antiqua"/>
          <w:color w:val="000000"/>
        </w:rPr>
        <w:t xml:space="preserve"> cells</w:t>
      </w:r>
      <w:r w:rsidRPr="004B1073">
        <w:rPr>
          <w:rFonts w:ascii="Book Antiqua" w:eastAsia="Book Antiqua" w:hAnsi="Book Antiqua" w:cs="Book Antiqua"/>
          <w:color w:val="000000"/>
        </w:rPr>
        <w:t xml:space="preserve"> display features of human oval ductular bipotent hepatic progenitors at confluence</w:t>
      </w:r>
      <w:r w:rsidRPr="00AC4E15">
        <w:rPr>
          <w:rFonts w:ascii="Book Antiqua" w:eastAsia="Book Antiqua" w:hAnsi="Book Antiqua" w:cs="Book Antiqua"/>
          <w:color w:val="000000"/>
          <w:vertAlign w:val="superscript"/>
        </w:rPr>
        <w:t>[10,11]</w:t>
      </w:r>
      <w:r w:rsidRPr="001B629D">
        <w:rPr>
          <w:rFonts w:ascii="Book Antiqua" w:eastAsia="Book Antiqua" w:hAnsi="Book Antiqua" w:cs="Book Antiqua"/>
          <w:color w:val="000000"/>
        </w:rPr>
        <w:t>. Supplementation of dimethyl sulfoxide (DMSO) to confluent HepaRG cells triggers differentiation toward hepatocytes</w:t>
      </w:r>
      <w:r w:rsidRPr="000575B1">
        <w:rPr>
          <w:rFonts w:ascii="Book Antiqua" w:eastAsia="Book Antiqua" w:hAnsi="Book Antiqua" w:cs="Book Antiqua"/>
          <w:color w:val="000000"/>
          <w:vertAlign w:val="superscript"/>
        </w:rPr>
        <w:t>[10,12]</w:t>
      </w:r>
      <w:r w:rsidRPr="00C10A49">
        <w:rPr>
          <w:rFonts w:ascii="Book Antiqua" w:eastAsia="Book Antiqua" w:hAnsi="Book Antiqua" w:cs="Book Antiqua"/>
          <w:color w:val="000000"/>
        </w:rPr>
        <w:t>. Thus, the behavior of HepaRG cells is exclusive</w:t>
      </w:r>
      <w:r w:rsidR="004B1073">
        <w:rPr>
          <w:rFonts w:ascii="Book Antiqua" w:eastAsia="Book Antiqua" w:hAnsi="Book Antiqua" w:cs="Book Antiqua"/>
          <w:color w:val="000000"/>
        </w:rPr>
        <w:t>;</w:t>
      </w:r>
      <w:r w:rsidRPr="004464B3">
        <w:rPr>
          <w:rFonts w:ascii="Book Antiqua" w:eastAsia="Book Antiqua" w:hAnsi="Book Antiqua" w:cs="Book Antiqua"/>
          <w:color w:val="000000"/>
        </w:rPr>
        <w:t xml:space="preserve"> these cells can be cultured for several passages to proliferate</w:t>
      </w:r>
      <w:r w:rsidR="000A6595" w:rsidRP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or stimulated to differentiate toward</w:t>
      </w:r>
      <w:r w:rsidR="004B1073">
        <w:rPr>
          <w:rFonts w:ascii="Book Antiqua" w:eastAsia="Book Antiqua" w:hAnsi="Book Antiqua" w:cs="Book Antiqua"/>
          <w:color w:val="000000"/>
        </w:rPr>
        <w:t>s</w:t>
      </w:r>
      <w:r w:rsidRPr="004B1073">
        <w:rPr>
          <w:rFonts w:ascii="Book Antiqua" w:eastAsia="Book Antiqua" w:hAnsi="Book Antiqua" w:cs="Book Antiqua"/>
          <w:color w:val="000000"/>
        </w:rPr>
        <w:t xml:space="preserve"> fully functional hepatocyte-like cells</w:t>
      </w:r>
      <w:r w:rsidRPr="004B1073">
        <w:rPr>
          <w:rFonts w:ascii="Book Antiqua" w:eastAsia="Book Antiqua" w:hAnsi="Book Antiqua" w:cs="Book Antiqua"/>
          <w:color w:val="000000"/>
          <w:vertAlign w:val="superscript"/>
        </w:rPr>
        <w:t>[13]</w:t>
      </w:r>
      <w:r w:rsidRPr="004B1073">
        <w:rPr>
          <w:rFonts w:ascii="Book Antiqua" w:eastAsia="Book Antiqua" w:hAnsi="Book Antiqua" w:cs="Book Antiqua"/>
          <w:color w:val="000000"/>
        </w:rPr>
        <w:t>.</w:t>
      </w:r>
    </w:p>
    <w:p w14:paraId="40E18C8F" w14:textId="6B5C0934" w:rsidR="00A77B3E" w:rsidRPr="004B1073" w:rsidRDefault="0068711B" w:rsidP="00DF7525">
      <w:pPr>
        <w:tabs>
          <w:tab w:val="left" w:pos="270"/>
        </w:tabs>
        <w:spacing w:line="360" w:lineRule="auto"/>
        <w:ind w:firstLineChars="112" w:firstLine="269"/>
        <w:jc w:val="both"/>
        <w:rPr>
          <w:rFonts w:ascii="Book Antiqua" w:hAnsi="Book Antiqua"/>
        </w:rPr>
      </w:pPr>
      <w:r w:rsidRPr="004B1073">
        <w:rPr>
          <w:rFonts w:ascii="Book Antiqua" w:eastAsia="Book Antiqua" w:hAnsi="Book Antiqua" w:cs="Book Antiqua"/>
          <w:color w:val="000000"/>
        </w:rPr>
        <w:t xml:space="preserve">Cellular senescence consists </w:t>
      </w:r>
      <w:r w:rsidR="002F577B">
        <w:rPr>
          <w:rFonts w:ascii="Book Antiqua" w:eastAsia="Book Antiqua" w:hAnsi="Book Antiqua" w:cs="Book Antiqua"/>
          <w:color w:val="000000"/>
        </w:rPr>
        <w:t>of</w:t>
      </w:r>
      <w:r w:rsidR="002F577B" w:rsidRPr="004B1073">
        <w:rPr>
          <w:rFonts w:ascii="Book Antiqua" w:eastAsia="Book Antiqua" w:hAnsi="Book Antiqua" w:cs="Book Antiqua"/>
          <w:color w:val="000000"/>
        </w:rPr>
        <w:t xml:space="preserve"> </w:t>
      </w:r>
      <w:r w:rsidRPr="004B1073">
        <w:rPr>
          <w:rFonts w:ascii="Book Antiqua" w:eastAsia="Book Antiqua" w:hAnsi="Book Antiqua" w:cs="Book Antiqua"/>
          <w:color w:val="000000"/>
        </w:rPr>
        <w:t>a steady cell cycle block occurring because of different harmful events</w:t>
      </w:r>
      <w:r w:rsidR="00D71AC8">
        <w:rPr>
          <w:rFonts w:ascii="Book Antiqua" w:eastAsia="Book Antiqua" w:hAnsi="Book Antiqua" w:cs="Book Antiqua"/>
          <w:color w:val="000000"/>
        </w:rPr>
        <w:t>,</w:t>
      </w:r>
      <w:r w:rsidRPr="004B1073">
        <w:rPr>
          <w:rFonts w:ascii="Book Antiqua" w:eastAsia="Book Antiqua" w:hAnsi="Book Antiqua" w:cs="Book Antiqua"/>
          <w:color w:val="000000"/>
        </w:rPr>
        <w:t xml:space="preserve"> which include DNA damage, oxidative stress, or even replication</w:t>
      </w:r>
      <w:r w:rsidRPr="004B1073">
        <w:rPr>
          <w:rFonts w:ascii="Book Antiqua" w:eastAsia="Book Antiqua" w:hAnsi="Book Antiqua" w:cs="Book Antiqua"/>
          <w:color w:val="000000"/>
          <w:vertAlign w:val="superscript"/>
        </w:rPr>
        <w:t>[14]</w:t>
      </w:r>
      <w:r w:rsidRPr="004B1073">
        <w:rPr>
          <w:rFonts w:ascii="Book Antiqua" w:eastAsia="Book Antiqua" w:hAnsi="Book Antiqua" w:cs="Book Antiqua"/>
          <w:color w:val="000000"/>
        </w:rPr>
        <w:t xml:space="preserve">. Stem/progenitor cells undergoing senescence cause impairment </w:t>
      </w:r>
      <w:r w:rsidR="00D71AC8">
        <w:rPr>
          <w:rFonts w:ascii="Book Antiqua" w:eastAsia="Book Antiqua" w:hAnsi="Book Antiqua" w:cs="Book Antiqua"/>
          <w:color w:val="000000"/>
        </w:rPr>
        <w:t>of</w:t>
      </w:r>
      <w:r w:rsidR="00D71AC8" w:rsidRPr="004B1073">
        <w:rPr>
          <w:rFonts w:ascii="Book Antiqua" w:eastAsia="Book Antiqua" w:hAnsi="Book Antiqua" w:cs="Book Antiqua"/>
          <w:color w:val="000000"/>
        </w:rPr>
        <w:t xml:space="preserve"> </w:t>
      </w:r>
      <w:r w:rsidRPr="004B1073">
        <w:rPr>
          <w:rFonts w:ascii="Book Antiqua" w:eastAsia="Book Antiqua" w:hAnsi="Book Antiqua" w:cs="Book Antiqua"/>
          <w:color w:val="000000"/>
        </w:rPr>
        <w:t>tissue homeostasis and regeneration, caused by defective stemness and differentiation processes</w:t>
      </w:r>
      <w:r w:rsidRPr="004B1073">
        <w:rPr>
          <w:rFonts w:ascii="Book Antiqua" w:eastAsia="Book Antiqua" w:hAnsi="Book Antiqua" w:cs="Book Antiqua"/>
          <w:color w:val="000000"/>
          <w:vertAlign w:val="superscript"/>
        </w:rPr>
        <w:t>[15]</w:t>
      </w:r>
      <w:r w:rsidRPr="004B1073">
        <w:rPr>
          <w:rFonts w:ascii="Book Antiqua" w:eastAsia="Book Antiqua" w:hAnsi="Book Antiqua" w:cs="Book Antiqua"/>
          <w:color w:val="000000"/>
        </w:rPr>
        <w:t>. The induction of senescence in both HepG2 and Huh-7 cells is associated with altered gene signature</w:t>
      </w:r>
      <w:r w:rsidR="000A6595" w:rsidRPr="004B1073">
        <w:rPr>
          <w:rFonts w:ascii="Book Antiqua" w:eastAsia="Book Antiqua" w:hAnsi="Book Antiqua" w:cs="Book Antiqua"/>
          <w:color w:val="000000"/>
        </w:rPr>
        <w:t>,</w:t>
      </w:r>
      <w:r w:rsidRPr="004B1073">
        <w:rPr>
          <w:rFonts w:ascii="Book Antiqua" w:eastAsia="Book Antiqua" w:hAnsi="Book Antiqua" w:cs="Book Antiqua"/>
          <w:color w:val="000000"/>
        </w:rPr>
        <w:t xml:space="preserve"> which includes changes in cell cycle regulation, signal transduction, and metabolism</w:t>
      </w:r>
      <w:r w:rsidRPr="004B1073">
        <w:rPr>
          <w:rFonts w:ascii="Book Antiqua" w:eastAsia="Book Antiqua" w:hAnsi="Book Antiqua" w:cs="Book Antiqua"/>
          <w:color w:val="000000"/>
          <w:vertAlign w:val="superscript"/>
        </w:rPr>
        <w:t>[16,17]</w:t>
      </w:r>
      <w:r w:rsidRPr="004B1073">
        <w:rPr>
          <w:rFonts w:ascii="Book Antiqua" w:eastAsia="Book Antiqua" w:hAnsi="Book Antiqua" w:cs="Book Antiqua"/>
          <w:color w:val="000000"/>
        </w:rPr>
        <w:t xml:space="preserve">. Nevertheless, to </w:t>
      </w:r>
      <w:r w:rsidR="002F577B">
        <w:rPr>
          <w:rFonts w:ascii="Book Antiqua" w:eastAsia="Book Antiqua" w:hAnsi="Book Antiqua" w:cs="Book Antiqua"/>
          <w:color w:val="000000"/>
        </w:rPr>
        <w:t xml:space="preserve">the best of </w:t>
      </w:r>
      <w:r w:rsidRPr="004B1073">
        <w:rPr>
          <w:rFonts w:ascii="Book Antiqua" w:eastAsia="Book Antiqua" w:hAnsi="Book Antiqua" w:cs="Book Antiqua"/>
          <w:color w:val="000000"/>
        </w:rPr>
        <w:t xml:space="preserve">our knowledge, the impact of senescence on HepaRG cells has not </w:t>
      </w:r>
      <w:r w:rsidR="00D71AC8">
        <w:rPr>
          <w:rFonts w:ascii="Book Antiqua" w:eastAsia="Book Antiqua" w:hAnsi="Book Antiqua" w:cs="Book Antiqua"/>
          <w:color w:val="000000"/>
        </w:rPr>
        <w:t xml:space="preserve">yet </w:t>
      </w:r>
      <w:r w:rsidRPr="004B1073">
        <w:rPr>
          <w:rFonts w:ascii="Book Antiqua" w:eastAsia="Book Antiqua" w:hAnsi="Book Antiqua" w:cs="Book Antiqua"/>
          <w:color w:val="000000"/>
        </w:rPr>
        <w:t>been investigated.</w:t>
      </w:r>
    </w:p>
    <w:p w14:paraId="27DA2C42" w14:textId="25F60BC0" w:rsidR="00A77B3E" w:rsidRPr="00B6275C" w:rsidRDefault="0068711B" w:rsidP="00DF7525">
      <w:pPr>
        <w:spacing w:line="360" w:lineRule="auto"/>
        <w:ind w:firstLineChars="112" w:firstLine="269"/>
        <w:jc w:val="both"/>
        <w:rPr>
          <w:rFonts w:ascii="Book Antiqua" w:hAnsi="Book Antiqua"/>
        </w:rPr>
      </w:pPr>
      <w:r w:rsidRPr="004B1073">
        <w:rPr>
          <w:rFonts w:ascii="Book Antiqua" w:eastAsia="Book Antiqua" w:hAnsi="Book Antiqua" w:cs="Book Antiqua"/>
          <w:color w:val="000000"/>
        </w:rPr>
        <w:lastRenderedPageBreak/>
        <w:t xml:space="preserve">Thus, </w:t>
      </w:r>
      <w:r w:rsidR="00B6275C">
        <w:rPr>
          <w:rFonts w:ascii="Book Antiqua" w:eastAsia="Book Antiqua" w:hAnsi="Book Antiqua" w:cs="Book Antiqua"/>
          <w:color w:val="000000"/>
        </w:rPr>
        <w:t>this</w:t>
      </w:r>
      <w:r w:rsidRPr="004B1073">
        <w:rPr>
          <w:rFonts w:ascii="Book Antiqua" w:eastAsia="Book Antiqua" w:hAnsi="Book Antiqua" w:cs="Book Antiqua"/>
          <w:color w:val="000000"/>
        </w:rPr>
        <w:t xml:space="preserve"> study investigat</w:t>
      </w:r>
      <w:r w:rsidR="00B6275C">
        <w:rPr>
          <w:rFonts w:ascii="Book Antiqua" w:eastAsia="Book Antiqua" w:hAnsi="Book Antiqua" w:cs="Book Antiqua"/>
          <w:color w:val="000000"/>
        </w:rPr>
        <w:t xml:space="preserve">ed </w:t>
      </w:r>
      <w:r w:rsidRPr="004B1073">
        <w:rPr>
          <w:rFonts w:ascii="Book Antiqua" w:eastAsia="Book Antiqua" w:hAnsi="Book Antiqua" w:cs="Book Antiqua"/>
          <w:color w:val="000000"/>
        </w:rPr>
        <w:t>whether a replication protocol would induce senescence in HepaRG cells. In addition, we characterized the effects of senescence on the transdifferentiation capacity and mitochondr</w:t>
      </w:r>
      <w:r w:rsidRPr="00B6275C">
        <w:rPr>
          <w:rFonts w:ascii="Book Antiqua" w:eastAsia="Book Antiqua" w:hAnsi="Book Antiqua" w:cs="Book Antiqua"/>
          <w:color w:val="000000"/>
        </w:rPr>
        <w:t>ial metabolism.</w:t>
      </w:r>
    </w:p>
    <w:p w14:paraId="77E09F70" w14:textId="77777777" w:rsidR="00A77B3E" w:rsidRPr="00B6275C" w:rsidRDefault="00A77B3E" w:rsidP="001D68DD">
      <w:pPr>
        <w:spacing w:line="360" w:lineRule="auto"/>
        <w:jc w:val="both"/>
        <w:rPr>
          <w:rFonts w:ascii="Book Antiqua" w:hAnsi="Book Antiqua"/>
        </w:rPr>
      </w:pPr>
    </w:p>
    <w:p w14:paraId="7F51861E" w14:textId="77777777" w:rsidR="00A77B3E" w:rsidRPr="00A2665F" w:rsidRDefault="0068711B" w:rsidP="001D68DD">
      <w:pPr>
        <w:spacing w:line="360" w:lineRule="auto"/>
        <w:jc w:val="both"/>
        <w:rPr>
          <w:rFonts w:ascii="Book Antiqua" w:hAnsi="Book Antiqua"/>
        </w:rPr>
      </w:pPr>
      <w:r w:rsidRPr="00A2665F">
        <w:rPr>
          <w:rFonts w:ascii="Book Antiqua" w:eastAsia="Book Antiqua" w:hAnsi="Book Antiqua" w:cs="Book Antiqua"/>
          <w:b/>
          <w:caps/>
          <w:color w:val="000000"/>
          <w:u w:val="single"/>
        </w:rPr>
        <w:t>MATERIALS AND METHODS</w:t>
      </w:r>
    </w:p>
    <w:p w14:paraId="7593259B" w14:textId="77777777" w:rsidR="00A77B3E" w:rsidRPr="006B63C8" w:rsidRDefault="0068711B" w:rsidP="001D68DD">
      <w:pPr>
        <w:spacing w:line="360" w:lineRule="auto"/>
        <w:jc w:val="both"/>
        <w:rPr>
          <w:rFonts w:ascii="Book Antiqua" w:hAnsi="Book Antiqua"/>
        </w:rPr>
      </w:pPr>
      <w:r w:rsidRPr="006B63C8">
        <w:rPr>
          <w:rFonts w:ascii="Book Antiqua" w:eastAsia="Book Antiqua" w:hAnsi="Book Antiqua" w:cs="Book Antiqua"/>
          <w:b/>
          <w:bCs/>
          <w:i/>
          <w:iCs/>
          <w:color w:val="000000"/>
        </w:rPr>
        <w:t>Cell line and culture</w:t>
      </w:r>
    </w:p>
    <w:p w14:paraId="29169D20" w14:textId="042EA2C1" w:rsidR="00A77B3E" w:rsidRPr="00C10A49" w:rsidRDefault="0068711B" w:rsidP="001D68DD">
      <w:pPr>
        <w:spacing w:line="360" w:lineRule="auto"/>
        <w:jc w:val="both"/>
        <w:rPr>
          <w:rFonts w:ascii="Book Antiqua" w:hAnsi="Book Antiqua"/>
        </w:rPr>
      </w:pPr>
      <w:r w:rsidRPr="006B63C8">
        <w:rPr>
          <w:rFonts w:ascii="Book Antiqua" w:eastAsia="Book Antiqua" w:hAnsi="Book Antiqua" w:cs="Book Antiqua"/>
          <w:color w:val="000000"/>
        </w:rPr>
        <w:t>The human cell line HepaRG was purchased by Merck Millipore (MMHPR116</w:t>
      </w:r>
      <w:r w:rsidR="001B629D">
        <w:rPr>
          <w:rFonts w:ascii="Book Antiqua" w:eastAsia="Book Antiqua" w:hAnsi="Book Antiqua" w:cs="Book Antiqua"/>
          <w:color w:val="000000"/>
        </w:rPr>
        <w:t>;</w:t>
      </w:r>
      <w:r w:rsidRPr="004464B3">
        <w:rPr>
          <w:rFonts w:ascii="Book Antiqua" w:eastAsia="Book Antiqua" w:hAnsi="Book Antiqua" w:cs="Book Antiqua"/>
          <w:color w:val="000000"/>
        </w:rPr>
        <w:t xml:space="preserve"> Merck KGaA, Darmstadt, Germany). Undifferentiated HepaRG cells exhibit a fibroblast-like morphology, and the differentiation process induces both hepatocyte- and biliary-like epithelial phenotypes at confluence, indicating bipotent progenitor features</w:t>
      </w:r>
      <w:r w:rsidRPr="004464B3">
        <w:rPr>
          <w:rFonts w:ascii="Book Antiqua" w:eastAsia="Book Antiqua" w:hAnsi="Book Antiqua" w:cs="Book Antiqua"/>
          <w:color w:val="000000"/>
          <w:vertAlign w:val="superscript"/>
        </w:rPr>
        <w:t>[11,18]</w:t>
      </w:r>
      <w:r w:rsidRPr="004464B3">
        <w:rPr>
          <w:rFonts w:ascii="Book Antiqua" w:eastAsia="Book Antiqua" w:hAnsi="Book Antiqua" w:cs="Book Antiqua"/>
          <w:color w:val="000000"/>
        </w:rPr>
        <w:t>. HepaRG cells were seeded at 27000 cell/cm</w:t>
      </w:r>
      <w:r w:rsidRPr="004464B3">
        <w:rPr>
          <w:rFonts w:ascii="Book Antiqua" w:eastAsia="Book Antiqua" w:hAnsi="Book Antiqua" w:cs="Book Antiqua"/>
          <w:color w:val="000000"/>
          <w:vertAlign w:val="superscript"/>
        </w:rPr>
        <w:t>2</w:t>
      </w:r>
      <w:r w:rsidRPr="004464B3">
        <w:rPr>
          <w:rFonts w:ascii="Book Antiqua" w:eastAsia="Book Antiqua" w:hAnsi="Book Antiqua" w:cs="Book Antiqua"/>
          <w:color w:val="000000"/>
        </w:rPr>
        <w:t xml:space="preserve"> confluence in a base medium composed by William’s E Medium + GlutaMAX (3255-020</w:t>
      </w:r>
      <w:r w:rsidR="000575B1">
        <w:rPr>
          <w:rFonts w:ascii="Book Antiqua" w:eastAsia="Book Antiqua" w:hAnsi="Book Antiqua" w:cs="Book Antiqua"/>
          <w:color w:val="000000"/>
        </w:rPr>
        <w:t>;</w:t>
      </w:r>
      <w:r w:rsidRPr="004464B3">
        <w:rPr>
          <w:rFonts w:ascii="Book Antiqua" w:eastAsia="Book Antiqua" w:hAnsi="Book Antiqua" w:cs="Book Antiqua"/>
          <w:color w:val="000000"/>
        </w:rPr>
        <w:t xml:space="preserve"> Thermo Fisher Scientific, Waltham, MA, U</w:t>
      </w:r>
      <w:r w:rsidR="00227145" w:rsidRPr="004464B3">
        <w:rPr>
          <w:rFonts w:ascii="Book Antiqua" w:eastAsia="Book Antiqua" w:hAnsi="Book Antiqua" w:cs="Book Antiqua"/>
          <w:color w:val="000000"/>
        </w:rPr>
        <w:t>nited States</w:t>
      </w:r>
      <w:r w:rsidRPr="004464B3">
        <w:rPr>
          <w:rFonts w:ascii="Book Antiqua" w:eastAsia="Book Antiqua" w:hAnsi="Book Antiqua" w:cs="Book Antiqua"/>
          <w:color w:val="000000"/>
        </w:rPr>
        <w:t xml:space="preserve">) supplemented with 10% </w:t>
      </w:r>
      <w:r w:rsidR="000575B1">
        <w:rPr>
          <w:rFonts w:ascii="Book Antiqua" w:eastAsia="Book Antiqua" w:hAnsi="Book Antiqua" w:cs="Book Antiqua"/>
          <w:color w:val="000000"/>
        </w:rPr>
        <w:t>fetal bovine serum</w:t>
      </w:r>
      <w:r w:rsidRPr="004464B3">
        <w:rPr>
          <w:rFonts w:ascii="Book Antiqua" w:eastAsia="Book Antiqua" w:hAnsi="Book Antiqua" w:cs="Book Antiqua"/>
          <w:color w:val="000000"/>
        </w:rPr>
        <w:t xml:space="preserve"> (F7524</w:t>
      </w:r>
      <w:r w:rsidR="000575B1">
        <w:rPr>
          <w:rFonts w:ascii="Book Antiqua" w:eastAsia="Book Antiqua" w:hAnsi="Book Antiqua" w:cs="Book Antiqua"/>
          <w:color w:val="000000"/>
        </w:rPr>
        <w:t>;</w:t>
      </w:r>
      <w:r w:rsidRPr="004464B3">
        <w:rPr>
          <w:rFonts w:ascii="Book Antiqua" w:eastAsia="Book Antiqua" w:hAnsi="Book Antiqua" w:cs="Book Antiqua"/>
          <w:color w:val="000000"/>
        </w:rPr>
        <w:t xml:space="preserve"> Merck KGaA), 100 U/mL penicillin (13752</w:t>
      </w:r>
      <w:r w:rsidR="000575B1">
        <w:rPr>
          <w:rFonts w:ascii="Book Antiqua" w:eastAsia="Book Antiqua" w:hAnsi="Book Antiqua" w:cs="Book Antiqua"/>
          <w:color w:val="000000"/>
        </w:rPr>
        <w:t>;</w:t>
      </w:r>
      <w:r w:rsidRPr="004464B3">
        <w:rPr>
          <w:rFonts w:ascii="Book Antiqua" w:eastAsia="Book Antiqua" w:hAnsi="Book Antiqua" w:cs="Book Antiqua"/>
          <w:color w:val="000000"/>
        </w:rPr>
        <w:t xml:space="preserve"> Merck KGaA), and 100 μg/mL streptomycin (P4333</w:t>
      </w:r>
      <w:r w:rsidR="000575B1">
        <w:rPr>
          <w:rFonts w:ascii="Book Antiqua" w:eastAsia="Book Antiqua" w:hAnsi="Book Antiqua" w:cs="Book Antiqua"/>
          <w:color w:val="000000"/>
        </w:rPr>
        <w:t>;</w:t>
      </w:r>
      <w:r w:rsidRPr="004464B3">
        <w:rPr>
          <w:rFonts w:ascii="Book Antiqua" w:eastAsia="Book Antiqua" w:hAnsi="Book Antiqua" w:cs="Book Antiqua"/>
          <w:color w:val="000000"/>
        </w:rPr>
        <w:t xml:space="preserve"> Merck KGaA). Medium was changed twice a week and cells were passaged once every 7 d. Cells in </w:t>
      </w:r>
      <w:r w:rsidR="00C10A49">
        <w:rPr>
          <w:rFonts w:ascii="Book Antiqua" w:eastAsia="Book Antiqua" w:hAnsi="Book Antiqua" w:cs="Book Antiqua"/>
          <w:color w:val="000000"/>
        </w:rPr>
        <w:t>passage</w:t>
      </w:r>
      <w:r w:rsidR="00C10A49" w:rsidRPr="00C10A49">
        <w:rPr>
          <w:rFonts w:ascii="Book Antiqua" w:eastAsia="Book Antiqua" w:hAnsi="Book Antiqua" w:cs="Book Antiqua"/>
          <w:color w:val="000000"/>
        </w:rPr>
        <w:t xml:space="preserve"> </w:t>
      </w:r>
      <w:r w:rsidRPr="00C10A49">
        <w:rPr>
          <w:rFonts w:ascii="Book Antiqua" w:eastAsia="Book Antiqua" w:hAnsi="Book Antiqua" w:cs="Book Antiqua"/>
          <w:color w:val="000000"/>
        </w:rPr>
        <w:t xml:space="preserve">10 (P10, young cells) and </w:t>
      </w:r>
      <w:r w:rsidR="00C10A49">
        <w:rPr>
          <w:rFonts w:ascii="Book Antiqua" w:eastAsia="Book Antiqua" w:hAnsi="Book Antiqua" w:cs="Book Antiqua"/>
          <w:color w:val="000000"/>
        </w:rPr>
        <w:t>P</w:t>
      </w:r>
      <w:r w:rsidRPr="00C10A49">
        <w:rPr>
          <w:rFonts w:ascii="Book Antiqua" w:eastAsia="Book Antiqua" w:hAnsi="Book Antiqua" w:cs="Book Antiqua"/>
          <w:color w:val="000000"/>
        </w:rPr>
        <w:t xml:space="preserve">20 (senescent cells) were used for assays and compared. To obtain HepaRG differentiation, a </w:t>
      </w:r>
      <w:r w:rsidR="00C10A49">
        <w:rPr>
          <w:rFonts w:ascii="Book Antiqua" w:eastAsia="Book Antiqua" w:hAnsi="Book Antiqua" w:cs="Book Antiqua"/>
          <w:color w:val="000000"/>
        </w:rPr>
        <w:t>two</w:t>
      </w:r>
      <w:r w:rsidR="00D80416" w:rsidRPr="00C10A49">
        <w:rPr>
          <w:rFonts w:ascii="Book Antiqua" w:eastAsia="SimSun" w:hAnsi="Book Antiqua" w:cs="SimSun"/>
          <w:color w:val="000000"/>
          <w:lang w:eastAsia="zh-CN"/>
        </w:rPr>
        <w:t>-</w:t>
      </w:r>
      <w:r w:rsidRPr="00C10A49">
        <w:rPr>
          <w:rFonts w:ascii="Book Antiqua" w:eastAsia="Book Antiqua" w:hAnsi="Book Antiqua" w:cs="Book Antiqua"/>
          <w:color w:val="000000"/>
        </w:rPr>
        <w:t>step procedure was used as previously described</w:t>
      </w:r>
      <w:r w:rsidR="00C10A49">
        <w:rPr>
          <w:rFonts w:ascii="Book Antiqua" w:eastAsia="Book Antiqua" w:hAnsi="Book Antiqua" w:cs="Book Antiqua"/>
          <w:color w:val="000000"/>
        </w:rPr>
        <w:t>.</w:t>
      </w:r>
      <w:r w:rsidRPr="00C10A49">
        <w:rPr>
          <w:rFonts w:ascii="Book Antiqua" w:eastAsia="Book Antiqua" w:hAnsi="Book Antiqua" w:cs="Book Antiqua"/>
          <w:color w:val="000000"/>
        </w:rPr>
        <w:t xml:space="preserve"> </w:t>
      </w:r>
      <w:r w:rsidR="00C10A49">
        <w:rPr>
          <w:rFonts w:ascii="Book Antiqua" w:eastAsia="Book Antiqua" w:hAnsi="Book Antiqua" w:cs="Book Antiqua"/>
          <w:color w:val="000000"/>
        </w:rPr>
        <w:t>C</w:t>
      </w:r>
      <w:r w:rsidRPr="00C10A49">
        <w:rPr>
          <w:rFonts w:ascii="Book Antiqua" w:eastAsia="Book Antiqua" w:hAnsi="Book Antiqua" w:cs="Book Antiqua"/>
          <w:color w:val="000000"/>
        </w:rPr>
        <w:t xml:space="preserve">ells were cultured in the medium for 2 wk and then in the presence of 2% DMSO for </w:t>
      </w:r>
      <w:r w:rsidR="00C10A49">
        <w:rPr>
          <w:rFonts w:ascii="Book Antiqua" w:eastAsia="Book Antiqua" w:hAnsi="Book Antiqua" w:cs="Book Antiqua"/>
          <w:color w:val="000000"/>
        </w:rPr>
        <w:t>an additional 2 wk</w:t>
      </w:r>
      <w:r w:rsidRPr="00C10A49">
        <w:rPr>
          <w:rFonts w:ascii="Book Antiqua" w:eastAsia="Book Antiqua" w:hAnsi="Book Antiqua" w:cs="Book Antiqua"/>
          <w:color w:val="000000"/>
          <w:vertAlign w:val="superscript"/>
        </w:rPr>
        <w:t>[11]</w:t>
      </w:r>
      <w:r w:rsidRPr="00C10A49">
        <w:rPr>
          <w:rFonts w:ascii="Book Antiqua" w:eastAsia="Book Antiqua" w:hAnsi="Book Antiqua" w:cs="Book Antiqua"/>
          <w:color w:val="000000"/>
        </w:rPr>
        <w:t>.</w:t>
      </w:r>
    </w:p>
    <w:p w14:paraId="6396AB2A" w14:textId="77777777" w:rsidR="00A77B3E" w:rsidRPr="00A2665F" w:rsidRDefault="00A77B3E" w:rsidP="001D68DD">
      <w:pPr>
        <w:spacing w:line="360" w:lineRule="auto"/>
        <w:jc w:val="both"/>
        <w:rPr>
          <w:rFonts w:ascii="Book Antiqua" w:hAnsi="Book Antiqua"/>
        </w:rPr>
      </w:pPr>
    </w:p>
    <w:p w14:paraId="26316298" w14:textId="1E7D24F2" w:rsidR="00A77B3E" w:rsidRPr="004464B3" w:rsidRDefault="0068711B" w:rsidP="001D68DD">
      <w:pPr>
        <w:spacing w:line="360" w:lineRule="auto"/>
        <w:jc w:val="both"/>
        <w:rPr>
          <w:rFonts w:ascii="Book Antiqua" w:hAnsi="Book Antiqua"/>
        </w:rPr>
      </w:pPr>
      <w:r w:rsidRPr="006B63C8">
        <w:rPr>
          <w:rFonts w:ascii="Book Antiqua" w:eastAsia="Book Antiqua" w:hAnsi="Book Antiqua" w:cs="Book Antiqua"/>
          <w:b/>
          <w:bCs/>
          <w:i/>
          <w:iCs/>
          <w:color w:val="000000"/>
        </w:rPr>
        <w:t>Senescence-associated β-galactosidase</w:t>
      </w:r>
      <w:r w:rsidR="00E26E02" w:rsidRPr="006B63C8">
        <w:rPr>
          <w:rFonts w:ascii="Book Antiqua" w:eastAsia="Book Antiqua" w:hAnsi="Book Antiqua" w:cs="Book Antiqua"/>
          <w:b/>
          <w:bCs/>
          <w:i/>
          <w:iCs/>
          <w:color w:val="000000"/>
        </w:rPr>
        <w:t xml:space="preserve"> </w:t>
      </w:r>
      <w:r w:rsidRPr="006B63C8">
        <w:rPr>
          <w:rFonts w:ascii="Book Antiqua" w:eastAsia="Book Antiqua" w:hAnsi="Book Antiqua" w:cs="Book Antiqua"/>
          <w:b/>
          <w:bCs/>
          <w:i/>
          <w:iCs/>
          <w:color w:val="000000"/>
        </w:rPr>
        <w:t>activity assay</w:t>
      </w:r>
    </w:p>
    <w:p w14:paraId="4FA0301E" w14:textId="491AE3FC" w:rsidR="00A77B3E" w:rsidRPr="00820AFA" w:rsidRDefault="00C10A49" w:rsidP="001D68DD">
      <w:pPr>
        <w:spacing w:line="360" w:lineRule="auto"/>
        <w:jc w:val="both"/>
        <w:rPr>
          <w:rFonts w:ascii="Book Antiqua" w:hAnsi="Book Antiqua"/>
        </w:rPr>
      </w:pPr>
      <w:r>
        <w:rPr>
          <w:rFonts w:ascii="Book Antiqua" w:eastAsia="Book Antiqua" w:hAnsi="Book Antiqua" w:cs="Book Antiqua"/>
          <w:color w:val="000000"/>
        </w:rPr>
        <w:t>The s</w:t>
      </w:r>
      <w:r w:rsidR="00D80416" w:rsidRPr="004464B3">
        <w:rPr>
          <w:rFonts w:ascii="Book Antiqua" w:eastAsia="Book Antiqua" w:hAnsi="Book Antiqua" w:cs="Book Antiqua"/>
          <w:color w:val="000000"/>
        </w:rPr>
        <w:t>enescence-associated</w:t>
      </w:r>
      <w:r>
        <w:rPr>
          <w:rFonts w:ascii="Book Antiqua" w:eastAsia="Book Antiqua" w:hAnsi="Book Antiqua" w:cs="Book Antiqua"/>
          <w:color w:val="000000"/>
        </w:rPr>
        <w:t xml:space="preserve"> (SA)</w:t>
      </w:r>
      <w:r w:rsidR="00D80416" w:rsidRPr="00C10A49">
        <w:rPr>
          <w:rFonts w:ascii="Book Antiqua" w:eastAsia="Book Antiqua" w:hAnsi="Book Antiqua" w:cs="Book Antiqua"/>
          <w:color w:val="000000"/>
        </w:rPr>
        <w:t xml:space="preserve"> β-galactosidase (SA-β-gal)</w:t>
      </w:r>
      <w:r w:rsidR="0068711B" w:rsidRPr="00C10A49">
        <w:rPr>
          <w:rFonts w:ascii="Book Antiqua" w:eastAsia="Book Antiqua" w:hAnsi="Book Antiqua" w:cs="Book Antiqua"/>
          <w:color w:val="000000"/>
        </w:rPr>
        <w:t xml:space="preserve"> activity assay was performed according to the manufacturer</w:t>
      </w:r>
      <w:r>
        <w:rPr>
          <w:rFonts w:ascii="Book Antiqua" w:eastAsia="Book Antiqua" w:hAnsi="Book Antiqua" w:cs="Book Antiqua"/>
          <w:color w:val="000000"/>
        </w:rPr>
        <w:t>’</w:t>
      </w:r>
      <w:r w:rsidR="0068711B" w:rsidRPr="00C10A49">
        <w:rPr>
          <w:rFonts w:ascii="Book Antiqua" w:eastAsia="Book Antiqua" w:hAnsi="Book Antiqua" w:cs="Book Antiqua"/>
          <w:color w:val="000000"/>
        </w:rPr>
        <w:t xml:space="preserve">s protocol (#9860; Cell Signaling Technology, Inc. Danvers, MA, </w:t>
      </w:r>
      <w:r w:rsidR="0018429D" w:rsidRPr="00C10A49">
        <w:rPr>
          <w:rFonts w:ascii="Book Antiqua" w:eastAsia="Book Antiqua" w:hAnsi="Book Antiqua" w:cs="Book Antiqua"/>
          <w:color w:val="000000"/>
        </w:rPr>
        <w:t>United States</w:t>
      </w:r>
      <w:r w:rsidR="0068711B" w:rsidRPr="00C10A49">
        <w:rPr>
          <w:rFonts w:ascii="Book Antiqua" w:eastAsia="Book Antiqua" w:hAnsi="Book Antiqua" w:cs="Book Antiqua"/>
          <w:color w:val="000000"/>
        </w:rPr>
        <w:t xml:space="preserve">). Briefly, P10 and P20 HepaRG cells grown on </w:t>
      </w:r>
      <w:r>
        <w:rPr>
          <w:rFonts w:ascii="Book Antiqua" w:eastAsia="Book Antiqua" w:hAnsi="Book Antiqua" w:cs="Book Antiqua"/>
          <w:color w:val="000000"/>
        </w:rPr>
        <w:t>6-</w:t>
      </w:r>
      <w:r w:rsidR="0068711B" w:rsidRPr="00C10A49">
        <w:rPr>
          <w:rFonts w:ascii="Book Antiqua" w:eastAsia="Book Antiqua" w:hAnsi="Book Antiqua" w:cs="Book Antiqua"/>
          <w:color w:val="000000"/>
        </w:rPr>
        <w:t>well plate</w:t>
      </w:r>
      <w:r>
        <w:rPr>
          <w:rFonts w:ascii="Book Antiqua" w:eastAsia="Book Antiqua" w:hAnsi="Book Antiqua" w:cs="Book Antiqua"/>
          <w:color w:val="000000"/>
        </w:rPr>
        <w:t>s</w:t>
      </w:r>
      <w:r w:rsidR="0068711B" w:rsidRPr="00C10A49">
        <w:rPr>
          <w:rFonts w:ascii="Book Antiqua" w:eastAsia="Book Antiqua" w:hAnsi="Book Antiqua" w:cs="Book Antiqua"/>
          <w:color w:val="000000"/>
        </w:rPr>
        <w:t xml:space="preserve"> were fixed in 1X fixative solution containing 2% formaldeh</w:t>
      </w:r>
      <w:r w:rsidR="0068711B" w:rsidRPr="00A2665F">
        <w:rPr>
          <w:rFonts w:ascii="Book Antiqua" w:eastAsia="Book Antiqua" w:hAnsi="Book Antiqua" w:cs="Book Antiqua"/>
          <w:color w:val="000000"/>
        </w:rPr>
        <w:t>yde and 2% glutaraldehyde for 10 min</w:t>
      </w:r>
      <w:r w:rsidR="00820AFA">
        <w:rPr>
          <w:rFonts w:ascii="Book Antiqua" w:eastAsia="Book Antiqua" w:hAnsi="Book Antiqua" w:cs="Book Antiqua"/>
          <w:color w:val="000000"/>
        </w:rPr>
        <w:t>,</w:t>
      </w:r>
      <w:r w:rsidR="0068711B" w:rsidRPr="00820AFA">
        <w:rPr>
          <w:rFonts w:ascii="Book Antiqua" w:eastAsia="Book Antiqua" w:hAnsi="Book Antiqua" w:cs="Book Antiqua"/>
          <w:color w:val="000000"/>
        </w:rPr>
        <w:t xml:space="preserve"> and then stained overnight at 37°C with the β</w:t>
      </w:r>
      <w:r w:rsidR="00820AFA">
        <w:rPr>
          <w:rFonts w:ascii="Book Antiqua" w:eastAsia="Book Antiqua" w:hAnsi="Book Antiqua" w:cs="Book Antiqua"/>
          <w:color w:val="000000"/>
        </w:rPr>
        <w:t>-</w:t>
      </w:r>
      <w:r w:rsidR="0068711B" w:rsidRPr="004464B3">
        <w:rPr>
          <w:rFonts w:ascii="Book Antiqua" w:eastAsia="Book Antiqua" w:hAnsi="Book Antiqua" w:cs="Book Antiqua"/>
          <w:color w:val="000000"/>
        </w:rPr>
        <w:t xml:space="preserve">galactosidase staining solution at pH 6.0 for 15 h. Images were acquired </w:t>
      </w:r>
      <w:r w:rsidR="00820AFA">
        <w:rPr>
          <w:rFonts w:ascii="Book Antiqua" w:eastAsia="Book Antiqua" w:hAnsi="Book Antiqua" w:cs="Book Antiqua"/>
          <w:color w:val="000000"/>
        </w:rPr>
        <w:t>using the</w:t>
      </w:r>
      <w:r w:rsidR="0068711B" w:rsidRPr="00820AFA">
        <w:rPr>
          <w:rFonts w:ascii="Book Antiqua" w:eastAsia="Book Antiqua" w:hAnsi="Book Antiqua" w:cs="Book Antiqua"/>
          <w:color w:val="000000"/>
        </w:rPr>
        <w:t xml:space="preserve"> Nikon Eclipse Ni-U microscope</w:t>
      </w:r>
      <w:r w:rsidR="00820AFA">
        <w:rPr>
          <w:rFonts w:ascii="Book Antiqua" w:eastAsia="Book Antiqua" w:hAnsi="Book Antiqua" w:cs="Book Antiqua"/>
          <w:color w:val="000000"/>
        </w:rPr>
        <w:t xml:space="preserve"> (Nikon, Tokyo, Japan)</w:t>
      </w:r>
      <w:r w:rsidR="0068711B" w:rsidRPr="00820AFA">
        <w:rPr>
          <w:rFonts w:ascii="Book Antiqua" w:eastAsia="Book Antiqua" w:hAnsi="Book Antiqua" w:cs="Book Antiqua"/>
          <w:color w:val="000000"/>
        </w:rPr>
        <w:t>.</w:t>
      </w:r>
    </w:p>
    <w:p w14:paraId="4F62D301" w14:textId="77777777" w:rsidR="00A77B3E" w:rsidRPr="00A2665F" w:rsidRDefault="00A77B3E" w:rsidP="001D68DD">
      <w:pPr>
        <w:spacing w:line="360" w:lineRule="auto"/>
        <w:jc w:val="both"/>
        <w:rPr>
          <w:rFonts w:ascii="Book Antiqua" w:hAnsi="Book Antiqua"/>
        </w:rPr>
      </w:pPr>
    </w:p>
    <w:p w14:paraId="1D459A9E" w14:textId="5AAFCFF9" w:rsidR="00A77B3E" w:rsidRPr="004464B3" w:rsidRDefault="0068711B" w:rsidP="001D68DD">
      <w:pPr>
        <w:spacing w:line="360" w:lineRule="auto"/>
        <w:jc w:val="both"/>
        <w:rPr>
          <w:rFonts w:ascii="Book Antiqua" w:hAnsi="Book Antiqua"/>
        </w:rPr>
      </w:pPr>
      <w:r w:rsidRPr="006B63C8">
        <w:rPr>
          <w:rFonts w:ascii="Book Antiqua" w:eastAsia="Book Antiqua" w:hAnsi="Book Antiqua" w:cs="Book Antiqua"/>
          <w:b/>
          <w:bCs/>
          <w:i/>
          <w:iCs/>
          <w:color w:val="000000"/>
        </w:rPr>
        <w:t xml:space="preserve">Comet </w:t>
      </w:r>
      <w:r w:rsidR="008069E6" w:rsidRPr="006B63C8">
        <w:rPr>
          <w:rFonts w:ascii="Book Antiqua" w:eastAsia="Book Antiqua" w:hAnsi="Book Antiqua" w:cs="Book Antiqua"/>
          <w:b/>
          <w:bCs/>
          <w:i/>
          <w:iCs/>
          <w:color w:val="000000"/>
        </w:rPr>
        <w:t>a</w:t>
      </w:r>
      <w:r w:rsidRPr="006B63C8">
        <w:rPr>
          <w:rFonts w:ascii="Book Antiqua" w:eastAsia="Book Antiqua" w:hAnsi="Book Antiqua" w:cs="Book Antiqua"/>
          <w:b/>
          <w:bCs/>
          <w:i/>
          <w:iCs/>
          <w:color w:val="000000"/>
        </w:rPr>
        <w:t>ssay</w:t>
      </w:r>
    </w:p>
    <w:p w14:paraId="12495D4B" w14:textId="1CFE65F3" w:rsidR="00A77B3E" w:rsidRPr="00BD259C"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The comet assay was performed as previously described</w:t>
      </w:r>
      <w:r w:rsidRPr="004464B3">
        <w:rPr>
          <w:rFonts w:ascii="Book Antiqua" w:eastAsia="Book Antiqua" w:hAnsi="Book Antiqua" w:cs="Book Antiqua"/>
          <w:color w:val="000000"/>
          <w:vertAlign w:val="superscript"/>
        </w:rPr>
        <w:t>[19]</w:t>
      </w:r>
      <w:r w:rsidRPr="004464B3">
        <w:rPr>
          <w:rFonts w:ascii="Book Antiqua" w:eastAsia="Book Antiqua" w:hAnsi="Book Antiqua" w:cs="Book Antiqua"/>
          <w:color w:val="000000"/>
        </w:rPr>
        <w:t>. DNA was stained with SYBR green (172-5271</w:t>
      </w:r>
      <w:r w:rsidR="00820AFA">
        <w:rPr>
          <w:rFonts w:ascii="Book Antiqua" w:eastAsia="Book Antiqua" w:hAnsi="Book Antiqua" w:cs="Book Antiqua"/>
          <w:color w:val="000000"/>
        </w:rPr>
        <w:t>;</w:t>
      </w:r>
      <w:r w:rsidRPr="004464B3">
        <w:rPr>
          <w:rFonts w:ascii="Book Antiqua" w:eastAsia="Book Antiqua" w:hAnsi="Book Antiqua" w:cs="Book Antiqua"/>
          <w:color w:val="000000"/>
        </w:rPr>
        <w:t xml:space="preserve"> Bio-Rad Laboratories, Hercules, C</w:t>
      </w:r>
      <w:r w:rsidR="00BE7E39" w:rsidRPr="004464B3">
        <w:rPr>
          <w:rFonts w:ascii="Book Antiqua" w:eastAsia="Book Antiqua" w:hAnsi="Book Antiqua" w:cs="Book Antiqua"/>
          <w:color w:val="000000"/>
        </w:rPr>
        <w:t>A</w:t>
      </w:r>
      <w:r w:rsidRPr="004464B3">
        <w:rPr>
          <w:rFonts w:ascii="Book Antiqua" w:eastAsia="Book Antiqua" w:hAnsi="Book Antiqua" w:cs="Book Antiqua"/>
          <w:color w:val="000000"/>
        </w:rPr>
        <w:t xml:space="preserve">, </w:t>
      </w:r>
      <w:r w:rsidR="00E43237" w:rsidRPr="004464B3">
        <w:rPr>
          <w:rFonts w:ascii="Book Antiqua" w:eastAsia="Book Antiqua" w:hAnsi="Book Antiqua" w:cs="Book Antiqua"/>
          <w:color w:val="000000"/>
        </w:rPr>
        <w:t>United States</w:t>
      </w:r>
      <w:r w:rsidRPr="004464B3">
        <w:rPr>
          <w:rFonts w:ascii="Book Antiqua" w:eastAsia="Book Antiqua" w:hAnsi="Book Antiqua" w:cs="Book Antiqua"/>
          <w:color w:val="000000"/>
        </w:rPr>
        <w:t xml:space="preserve">) just before blind slide scoring with the Nikon Eclipse Ni-U fluorescence microscope equipped with </w:t>
      </w:r>
      <w:r w:rsidR="00BD259C">
        <w:rPr>
          <w:rFonts w:ascii="Book Antiqua" w:eastAsia="Book Antiqua" w:hAnsi="Book Antiqua" w:cs="Book Antiqua"/>
          <w:color w:val="000000"/>
        </w:rPr>
        <w:t xml:space="preserve">the </w:t>
      </w:r>
      <w:r w:rsidRPr="00BD259C">
        <w:rPr>
          <w:rFonts w:ascii="Book Antiqua" w:eastAsia="Book Antiqua" w:hAnsi="Book Antiqua" w:cs="Book Antiqua"/>
          <w:color w:val="000000"/>
        </w:rPr>
        <w:t xml:space="preserve">CCD-200E video camera. At least 100 cells per sample were analyzed using the Comet Assay IV </w:t>
      </w:r>
      <w:r w:rsidR="00BD259C">
        <w:rPr>
          <w:rFonts w:ascii="Book Antiqua" w:eastAsia="Book Antiqua" w:hAnsi="Book Antiqua" w:cs="Book Antiqua"/>
          <w:color w:val="000000"/>
        </w:rPr>
        <w:t xml:space="preserve">analysis </w:t>
      </w:r>
      <w:r w:rsidRPr="00BD259C">
        <w:rPr>
          <w:rFonts w:ascii="Book Antiqua" w:eastAsia="Book Antiqua" w:hAnsi="Book Antiqua" w:cs="Book Antiqua"/>
          <w:color w:val="000000"/>
        </w:rPr>
        <w:t xml:space="preserve">software (Perceptive Instruments, Haverhill, </w:t>
      </w:r>
      <w:r w:rsidR="00BD259C">
        <w:rPr>
          <w:rFonts w:ascii="Book Antiqua" w:eastAsia="Book Antiqua" w:hAnsi="Book Antiqua" w:cs="Book Antiqua"/>
          <w:color w:val="000000"/>
        </w:rPr>
        <w:t xml:space="preserve">Suffolk, </w:t>
      </w:r>
      <w:r w:rsidRPr="00BD259C">
        <w:rPr>
          <w:rFonts w:ascii="Book Antiqua" w:eastAsia="Book Antiqua" w:hAnsi="Book Antiqua" w:cs="Book Antiqua"/>
          <w:color w:val="000000"/>
        </w:rPr>
        <w:t>U</w:t>
      </w:r>
      <w:r w:rsidR="00314E24" w:rsidRPr="00BD259C">
        <w:rPr>
          <w:rFonts w:ascii="Book Antiqua" w:eastAsia="Book Antiqua" w:hAnsi="Book Antiqua" w:cs="Book Antiqua"/>
          <w:color w:val="000000"/>
        </w:rPr>
        <w:t xml:space="preserve">nited </w:t>
      </w:r>
      <w:r w:rsidRPr="00BD259C">
        <w:rPr>
          <w:rFonts w:ascii="Book Antiqua" w:eastAsia="Book Antiqua" w:hAnsi="Book Antiqua" w:cs="Book Antiqua"/>
          <w:color w:val="000000"/>
        </w:rPr>
        <w:t>K</w:t>
      </w:r>
      <w:r w:rsidR="00314E24" w:rsidRPr="00BD259C">
        <w:rPr>
          <w:rFonts w:ascii="Book Antiqua" w:eastAsia="Book Antiqua" w:hAnsi="Book Antiqua" w:cs="Book Antiqua"/>
          <w:color w:val="000000"/>
        </w:rPr>
        <w:t>ingdom</w:t>
      </w:r>
      <w:r w:rsidRPr="00BD259C">
        <w:rPr>
          <w:rFonts w:ascii="Book Antiqua" w:eastAsia="Book Antiqua" w:hAnsi="Book Antiqua" w:cs="Book Antiqua"/>
          <w:color w:val="000000"/>
        </w:rPr>
        <w:t>). The extent of DNA damage in single cells was evaluated by the percentage of tail DNA.</w:t>
      </w:r>
    </w:p>
    <w:p w14:paraId="238CBB13" w14:textId="77777777" w:rsidR="00A77B3E" w:rsidRPr="00A2665F" w:rsidRDefault="00A77B3E" w:rsidP="001D68DD">
      <w:pPr>
        <w:spacing w:line="360" w:lineRule="auto"/>
        <w:jc w:val="both"/>
        <w:rPr>
          <w:rFonts w:ascii="Book Antiqua" w:hAnsi="Book Antiqua"/>
        </w:rPr>
      </w:pPr>
    </w:p>
    <w:p w14:paraId="68F17D8D" w14:textId="77777777" w:rsidR="00A77B3E" w:rsidRPr="006B63C8" w:rsidRDefault="0068711B" w:rsidP="001D68DD">
      <w:pPr>
        <w:spacing w:line="360" w:lineRule="auto"/>
        <w:jc w:val="both"/>
        <w:rPr>
          <w:rFonts w:ascii="Book Antiqua" w:hAnsi="Book Antiqua"/>
        </w:rPr>
      </w:pPr>
      <w:r w:rsidRPr="006B63C8">
        <w:rPr>
          <w:rFonts w:ascii="Book Antiqua" w:eastAsia="Book Antiqua" w:hAnsi="Book Antiqua" w:cs="Book Antiqua"/>
          <w:b/>
          <w:bCs/>
          <w:i/>
          <w:iCs/>
          <w:color w:val="000000"/>
        </w:rPr>
        <w:t>Confocal microscopy and flow cytometry</w:t>
      </w:r>
    </w:p>
    <w:p w14:paraId="136A662A" w14:textId="5AE27D0F" w:rsidR="00A77B3E" w:rsidRPr="00DF7525" w:rsidRDefault="00BD259C" w:rsidP="001D68D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Cells (</w:t>
      </w:r>
      <w:r w:rsidR="0068711B" w:rsidRPr="00BD259C">
        <w:rPr>
          <w:rFonts w:ascii="Book Antiqua" w:eastAsia="Book Antiqua" w:hAnsi="Book Antiqua" w:cs="Book Antiqua"/>
          <w:color w:val="000000"/>
        </w:rPr>
        <w:t xml:space="preserve">1.5 </w:t>
      </w:r>
      <w:r w:rsidR="002C288C" w:rsidRPr="00BD259C">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10</w:t>
      </w:r>
      <w:r w:rsidR="0068711B" w:rsidRPr="00BD259C">
        <w:rPr>
          <w:rFonts w:ascii="Book Antiqua" w:eastAsia="Book Antiqua" w:hAnsi="Book Antiqua" w:cs="Book Antiqua"/>
          <w:color w:val="000000"/>
          <w:vertAlign w:val="superscript"/>
        </w:rPr>
        <w:t>5</w:t>
      </w:r>
      <w:r w:rsidR="0068711B" w:rsidRPr="00BD259C">
        <w:rPr>
          <w:rFonts w:ascii="Book Antiqua" w:eastAsia="Book Antiqua" w:hAnsi="Book Antiqua" w:cs="Book Antiqua"/>
          <w:color w:val="000000"/>
        </w:rPr>
        <w:t xml:space="preserve"> cells/well</w:t>
      </w:r>
      <w:r>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were seeded on </w:t>
      </w:r>
      <w:r>
        <w:rPr>
          <w:rFonts w:ascii="Book Antiqua" w:eastAsia="Book Antiqua" w:hAnsi="Book Antiqua" w:cs="Book Antiqua"/>
          <w:color w:val="000000"/>
        </w:rPr>
        <w:t>a</w:t>
      </w:r>
      <w:r w:rsidRPr="00BD259C">
        <w:rPr>
          <w:rFonts w:ascii="Book Antiqua" w:eastAsia="Book Antiqua" w:hAnsi="Book Antiqua" w:cs="Book Antiqua"/>
          <w:color w:val="000000"/>
        </w:rPr>
        <w:t xml:space="preserve"> </w:t>
      </w:r>
      <w:r w:rsidR="0068711B" w:rsidRPr="00BD259C">
        <w:rPr>
          <w:rFonts w:ascii="Book Antiqua" w:eastAsia="Book Antiqua" w:hAnsi="Book Antiqua" w:cs="Book Antiqua"/>
          <w:color w:val="000000"/>
        </w:rPr>
        <w:t xml:space="preserve">glass coverslip in a 24-multiwell plate. The </w:t>
      </w:r>
      <w:r>
        <w:rPr>
          <w:rFonts w:ascii="Book Antiqua" w:eastAsia="Book Antiqua" w:hAnsi="Book Antiqua" w:cs="Book Antiqua"/>
          <w:color w:val="000000"/>
        </w:rPr>
        <w:t>next day</w:t>
      </w:r>
      <w:r w:rsidR="0068711B" w:rsidRPr="00BD259C">
        <w:rPr>
          <w:rFonts w:ascii="Book Antiqua" w:eastAsia="Book Antiqua" w:hAnsi="Book Antiqua" w:cs="Book Antiqua"/>
          <w:color w:val="000000"/>
        </w:rPr>
        <w:t xml:space="preserve">, cells were washed three times with </w:t>
      </w:r>
      <w:r>
        <w:rPr>
          <w:rFonts w:ascii="Book Antiqua" w:eastAsia="Book Antiqua" w:hAnsi="Book Antiqua" w:cs="Book Antiqua"/>
          <w:color w:val="000000"/>
        </w:rPr>
        <w:t>phosphate-buffered saline (</w:t>
      </w:r>
      <w:r w:rsidR="0068711B" w:rsidRPr="00BD259C">
        <w:rPr>
          <w:rFonts w:ascii="Book Antiqua" w:eastAsia="Book Antiqua" w:hAnsi="Book Antiqua" w:cs="Book Antiqua"/>
          <w:color w:val="000000"/>
        </w:rPr>
        <w:t>PBS</w:t>
      </w:r>
      <w:r>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fixed </w:t>
      </w:r>
      <w:r>
        <w:rPr>
          <w:rFonts w:ascii="Book Antiqua" w:eastAsia="Book Antiqua" w:hAnsi="Book Antiqua" w:cs="Book Antiqua"/>
          <w:color w:val="000000"/>
        </w:rPr>
        <w:t xml:space="preserve">in </w:t>
      </w:r>
      <w:r w:rsidR="0068711B" w:rsidRPr="00BD259C">
        <w:rPr>
          <w:rFonts w:ascii="Book Antiqua" w:eastAsia="Book Antiqua" w:hAnsi="Book Antiqua" w:cs="Book Antiqua"/>
          <w:color w:val="000000"/>
        </w:rPr>
        <w:t xml:space="preserve">4% paraformaldehyde for 10 min at room temperature (RT), and washed </w:t>
      </w:r>
      <w:r w:rsidR="00D00150">
        <w:rPr>
          <w:rFonts w:ascii="Book Antiqua" w:eastAsia="Book Antiqua" w:hAnsi="Book Antiqua" w:cs="Book Antiqua"/>
          <w:color w:val="000000"/>
        </w:rPr>
        <w:t>twice</w:t>
      </w:r>
      <w:r w:rsidR="0068711B" w:rsidRPr="00BD259C">
        <w:rPr>
          <w:rFonts w:ascii="Book Antiqua" w:eastAsia="Book Antiqua" w:hAnsi="Book Antiqua" w:cs="Book Antiqua"/>
          <w:color w:val="000000"/>
        </w:rPr>
        <w:t xml:space="preserve"> with PBS. Cells were first permeabili</w:t>
      </w:r>
      <w:r w:rsidR="00D45BC2" w:rsidRPr="00BD259C">
        <w:rPr>
          <w:rFonts w:ascii="Book Antiqua" w:eastAsia="Book Antiqua" w:hAnsi="Book Antiqua" w:cs="Book Antiqua"/>
          <w:color w:val="000000"/>
        </w:rPr>
        <w:t>z</w:t>
      </w:r>
      <w:r w:rsidR="0068711B" w:rsidRPr="00BD259C">
        <w:rPr>
          <w:rFonts w:ascii="Book Antiqua" w:eastAsia="Book Antiqua" w:hAnsi="Book Antiqua" w:cs="Book Antiqua"/>
          <w:color w:val="000000"/>
        </w:rPr>
        <w:t>ed with PBS + 0.1% X-100 Triton (93418</w:t>
      </w:r>
      <w:r>
        <w:rPr>
          <w:rFonts w:ascii="Book Antiqua" w:eastAsia="Book Antiqua" w:hAnsi="Book Antiqua" w:cs="Book Antiqua"/>
          <w:color w:val="000000"/>
        </w:rPr>
        <w:t>;</w:t>
      </w:r>
      <w:r w:rsidR="0068711B" w:rsidRPr="004464B3">
        <w:rPr>
          <w:rFonts w:ascii="Book Antiqua" w:eastAsia="Book Antiqua" w:hAnsi="Book Antiqua" w:cs="Book Antiqua"/>
          <w:color w:val="000000"/>
        </w:rPr>
        <w:t xml:space="preserve"> Merck KGaA) for 10 min, </w:t>
      </w:r>
      <w:r w:rsidR="00D00150">
        <w:rPr>
          <w:rFonts w:ascii="Book Antiqua" w:eastAsia="Book Antiqua" w:hAnsi="Book Antiqua" w:cs="Book Antiqua"/>
          <w:color w:val="000000"/>
        </w:rPr>
        <w:t xml:space="preserve">and </w:t>
      </w:r>
      <w:r w:rsidR="0068711B" w:rsidRPr="00D00150">
        <w:rPr>
          <w:rFonts w:ascii="Book Antiqua" w:eastAsia="Book Antiqua" w:hAnsi="Book Antiqua" w:cs="Book Antiqua"/>
          <w:color w:val="000000"/>
        </w:rPr>
        <w:t>then</w:t>
      </w:r>
      <w:r w:rsidR="00D00150">
        <w:rPr>
          <w:rFonts w:ascii="Book Antiqua" w:eastAsia="Book Antiqua" w:hAnsi="Book Antiqua" w:cs="Book Antiqua"/>
          <w:color w:val="000000"/>
        </w:rPr>
        <w:t xml:space="preserve"> incubated in</w:t>
      </w:r>
      <w:r w:rsidR="0068711B" w:rsidRPr="00D00150">
        <w:rPr>
          <w:rFonts w:ascii="Book Antiqua" w:eastAsia="Book Antiqua" w:hAnsi="Book Antiqua" w:cs="Book Antiqua"/>
          <w:color w:val="000000"/>
        </w:rPr>
        <w:t xml:space="preserve"> blocking buffer (3% bovine serum albumin, A7906</w:t>
      </w:r>
      <w:r>
        <w:rPr>
          <w:rFonts w:ascii="Book Antiqua" w:eastAsia="Book Antiqua" w:hAnsi="Book Antiqua" w:cs="Book Antiqua"/>
          <w:color w:val="000000"/>
        </w:rPr>
        <w:t>;</w:t>
      </w:r>
      <w:r w:rsidR="0068711B" w:rsidRPr="004464B3">
        <w:rPr>
          <w:rFonts w:ascii="Book Antiqua" w:eastAsia="Book Antiqua" w:hAnsi="Book Antiqua" w:cs="Book Antiqua"/>
          <w:color w:val="000000"/>
        </w:rPr>
        <w:t xml:space="preserve"> Merck KGaA) + 0.3</w:t>
      </w:r>
      <w:r>
        <w:rPr>
          <w:rFonts w:ascii="Book Antiqua" w:eastAsia="Book Antiqua" w:hAnsi="Book Antiqua" w:cs="Book Antiqua"/>
          <w:color w:val="000000"/>
        </w:rPr>
        <w:t xml:space="preserve"> </w:t>
      </w:r>
      <w:r w:rsidR="0068711B" w:rsidRPr="00BD259C">
        <w:rPr>
          <w:rFonts w:ascii="Book Antiqua" w:eastAsia="Book Antiqua" w:hAnsi="Book Antiqua" w:cs="Book Antiqua"/>
          <w:color w:val="000000"/>
        </w:rPr>
        <w:t xml:space="preserve">M </w:t>
      </w:r>
      <w:r>
        <w:rPr>
          <w:rFonts w:ascii="Book Antiqua" w:eastAsia="Book Antiqua" w:hAnsi="Book Antiqua" w:cs="Book Antiqua"/>
          <w:color w:val="000000"/>
        </w:rPr>
        <w:t>g</w:t>
      </w:r>
      <w:r w:rsidR="0068711B" w:rsidRPr="00BD259C">
        <w:rPr>
          <w:rFonts w:ascii="Book Antiqua" w:eastAsia="Book Antiqua" w:hAnsi="Book Antiqua" w:cs="Book Antiqua"/>
          <w:color w:val="000000"/>
        </w:rPr>
        <w:t>lycine (G-7126-500-50</w:t>
      </w:r>
      <w:r>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Merck KGaA) for 30 min at RT. Subsequently, cells were treated for 1</w:t>
      </w:r>
      <w:r w:rsidR="00D00150">
        <w:rPr>
          <w:rFonts w:ascii="Book Antiqua" w:eastAsia="Book Antiqua" w:hAnsi="Book Antiqua" w:cs="Book Antiqua"/>
          <w:color w:val="000000"/>
        </w:rPr>
        <w:t>.5</w:t>
      </w:r>
      <w:r w:rsidR="0068711B" w:rsidRPr="00BD259C">
        <w:rPr>
          <w:rFonts w:ascii="Book Antiqua" w:eastAsia="Book Antiqua" w:hAnsi="Book Antiqua" w:cs="Book Antiqua"/>
          <w:color w:val="000000"/>
        </w:rPr>
        <w:t xml:space="preserve"> h in the dark at RT with the following labeled antibodies: anti-</w:t>
      </w:r>
      <w:r w:rsidR="00D00150">
        <w:rPr>
          <w:rFonts w:ascii="Book Antiqua" w:eastAsia="Book Antiqua" w:hAnsi="Book Antiqua" w:cs="Book Antiqua"/>
          <w:color w:val="000000"/>
        </w:rPr>
        <w:t>cluster of differentiation 49a (</w:t>
      </w:r>
      <w:r w:rsidR="0068711B" w:rsidRPr="00BD259C">
        <w:rPr>
          <w:rFonts w:ascii="Book Antiqua" w:eastAsia="Book Antiqua" w:hAnsi="Book Antiqua" w:cs="Book Antiqua"/>
          <w:color w:val="000000"/>
        </w:rPr>
        <w:t>CD49a</w:t>
      </w:r>
      <w:r w:rsidR="00D00150">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(130-101-397), anti-CD49f (130-097-246), anti-CD184 (130-098-354), anti-</w:t>
      </w:r>
      <w:r w:rsidR="00D00150">
        <w:rPr>
          <w:rFonts w:ascii="Book Antiqua" w:eastAsia="Book Antiqua" w:hAnsi="Book Antiqua" w:cs="Book Antiqua"/>
          <w:color w:val="000000"/>
        </w:rPr>
        <w:t>epithelial cell adhesion molecule (</w:t>
      </w:r>
      <w:r w:rsidR="0068711B" w:rsidRPr="00BD259C">
        <w:rPr>
          <w:rFonts w:ascii="Book Antiqua" w:eastAsia="Book Antiqua" w:hAnsi="Book Antiqua" w:cs="Book Antiqua"/>
          <w:color w:val="000000"/>
        </w:rPr>
        <w:t>EpCAM</w:t>
      </w:r>
      <w:r w:rsidR="00D00150">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(130-091-253), and anti-</w:t>
      </w:r>
      <w:r w:rsidR="00D00150">
        <w:rPr>
          <w:rFonts w:ascii="Book Antiqua" w:eastAsia="Book Antiqua" w:hAnsi="Book Antiqua" w:cs="Book Antiqua"/>
          <w:color w:val="000000"/>
        </w:rPr>
        <w:t>c</w:t>
      </w:r>
      <w:r w:rsidR="0068711B" w:rsidRPr="00BD259C">
        <w:rPr>
          <w:rFonts w:ascii="Book Antiqua" w:eastAsia="Book Antiqua" w:hAnsi="Book Antiqua" w:cs="Book Antiqua"/>
          <w:color w:val="000000"/>
        </w:rPr>
        <w:t>ytokeratin 19 (</w:t>
      </w:r>
      <w:r w:rsidR="00D00150">
        <w:rPr>
          <w:rFonts w:ascii="Book Antiqua" w:eastAsia="Book Antiqua" w:hAnsi="Book Antiqua" w:cs="Book Antiqua"/>
          <w:color w:val="000000"/>
        </w:rPr>
        <w:t xml:space="preserve">CK19; </w:t>
      </w:r>
      <w:r w:rsidR="0068711B" w:rsidRPr="00BD259C">
        <w:rPr>
          <w:rFonts w:ascii="Book Antiqua" w:eastAsia="Book Antiqua" w:hAnsi="Book Antiqua" w:cs="Book Antiqua"/>
          <w:color w:val="000000"/>
        </w:rPr>
        <w:t xml:space="preserve">130-080-101). All antibodies were purchased by Miltenyi Biotec B.V. &amp; Co. KG (Bergisch Gladbach, </w:t>
      </w:r>
      <w:r w:rsidR="0072205C" w:rsidRPr="0072205C">
        <w:rPr>
          <w:rFonts w:ascii="Book Antiqua" w:eastAsia="Book Antiqua" w:hAnsi="Book Antiqua" w:cs="Book Antiqua"/>
          <w:color w:val="000000"/>
        </w:rPr>
        <w:t>North Rhine-Westphalia</w:t>
      </w:r>
      <w:r w:rsidR="0072205C">
        <w:rPr>
          <w:rFonts w:ascii="Book Antiqua" w:eastAsia="Book Antiqua" w:hAnsi="Book Antiqua" w:cs="Book Antiqua"/>
          <w:color w:val="000000"/>
        </w:rPr>
        <w:t xml:space="preserve">, </w:t>
      </w:r>
      <w:r w:rsidR="0068711B" w:rsidRPr="00BD259C">
        <w:rPr>
          <w:rFonts w:ascii="Book Antiqua" w:eastAsia="Book Antiqua" w:hAnsi="Book Antiqua" w:cs="Book Antiqua"/>
          <w:color w:val="000000"/>
        </w:rPr>
        <w:t>Germany), and labeled with phycoerythrin, except anti-</w:t>
      </w:r>
      <w:r w:rsidR="00D00150" w:rsidRPr="00BD259C">
        <w:rPr>
          <w:rFonts w:ascii="Book Antiqua" w:eastAsia="Book Antiqua" w:hAnsi="Book Antiqua" w:cs="Book Antiqua"/>
          <w:color w:val="000000"/>
        </w:rPr>
        <w:t>C</w:t>
      </w:r>
      <w:r w:rsidR="00D00150">
        <w:rPr>
          <w:rFonts w:ascii="Book Antiqua" w:eastAsia="Book Antiqua" w:hAnsi="Book Antiqua" w:cs="Book Antiqua"/>
          <w:color w:val="000000"/>
        </w:rPr>
        <w:t>K</w:t>
      </w:r>
      <w:r w:rsidR="0068711B" w:rsidRPr="00BD259C">
        <w:rPr>
          <w:rFonts w:ascii="Book Antiqua" w:eastAsia="Book Antiqua" w:hAnsi="Book Antiqua" w:cs="Book Antiqua"/>
          <w:color w:val="000000"/>
        </w:rPr>
        <w:t>19</w:t>
      </w:r>
      <w:r w:rsidR="00D00150">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which was labeled with fluorescein isothiocyanate. Nuclei were counterstained with 4′,6-diamidino-2-phenylindole</w:t>
      </w:r>
      <w:r w:rsidR="002C288C" w:rsidRPr="00BD259C">
        <w:rPr>
          <w:rFonts w:ascii="Book Antiqua" w:eastAsia="Book Antiqua" w:hAnsi="Book Antiqua" w:cs="Book Antiqua"/>
          <w:color w:val="000000"/>
        </w:rPr>
        <w:t xml:space="preserve"> </w:t>
      </w:r>
      <w:r w:rsidR="0068711B" w:rsidRPr="00BD259C">
        <w:rPr>
          <w:rFonts w:ascii="Book Antiqua" w:eastAsia="Book Antiqua" w:hAnsi="Book Antiqua" w:cs="Book Antiqua"/>
          <w:color w:val="000000"/>
        </w:rPr>
        <w:t>included in mounting medium (ab104139</w:t>
      </w:r>
      <w:r w:rsidR="00D00150">
        <w:rPr>
          <w:rFonts w:ascii="Book Antiqua" w:eastAsia="Book Antiqua" w:hAnsi="Book Antiqua" w:cs="Book Antiqua"/>
          <w:color w:val="000000"/>
        </w:rPr>
        <w:t>;</w:t>
      </w:r>
      <w:r w:rsidR="0068711B" w:rsidRPr="00BD259C">
        <w:rPr>
          <w:rFonts w:ascii="Book Antiqua" w:eastAsia="Book Antiqua" w:hAnsi="Book Antiqua" w:cs="Book Antiqua"/>
          <w:color w:val="000000"/>
        </w:rPr>
        <w:t xml:space="preserve"> Abcam plc, Cambridge, </w:t>
      </w:r>
      <w:r w:rsidR="005604F9" w:rsidRPr="00BD259C">
        <w:rPr>
          <w:rFonts w:ascii="Book Antiqua" w:eastAsia="Book Antiqua" w:hAnsi="Book Antiqua" w:cs="Book Antiqua"/>
          <w:color w:val="000000"/>
        </w:rPr>
        <w:t>United Kingdom</w:t>
      </w:r>
      <w:r w:rsidR="0068711B" w:rsidRPr="00BD259C">
        <w:rPr>
          <w:rFonts w:ascii="Book Antiqua" w:eastAsia="Book Antiqua" w:hAnsi="Book Antiqua" w:cs="Book Antiqua"/>
          <w:color w:val="000000"/>
        </w:rPr>
        <w:t>). Cells were analy</w:t>
      </w:r>
      <w:r w:rsidR="00D45BC2" w:rsidRPr="00BD259C">
        <w:rPr>
          <w:rFonts w:ascii="Book Antiqua" w:eastAsia="Book Antiqua" w:hAnsi="Book Antiqua" w:cs="Book Antiqua"/>
          <w:color w:val="000000"/>
        </w:rPr>
        <w:t>z</w:t>
      </w:r>
      <w:r w:rsidR="0068711B" w:rsidRPr="0072205C">
        <w:rPr>
          <w:rFonts w:ascii="Book Antiqua" w:eastAsia="Book Antiqua" w:hAnsi="Book Antiqua" w:cs="Book Antiqua"/>
          <w:color w:val="000000"/>
        </w:rPr>
        <w:t xml:space="preserve">ed </w:t>
      </w:r>
      <w:r w:rsidR="00D00150">
        <w:rPr>
          <w:rFonts w:ascii="Book Antiqua" w:eastAsia="Book Antiqua" w:hAnsi="Book Antiqua" w:cs="Book Antiqua"/>
          <w:color w:val="000000"/>
        </w:rPr>
        <w:t>using the</w:t>
      </w:r>
      <w:r w:rsidR="0068711B" w:rsidRPr="0072205C">
        <w:rPr>
          <w:rFonts w:ascii="Book Antiqua" w:eastAsia="Book Antiqua" w:hAnsi="Book Antiqua" w:cs="Book Antiqua"/>
          <w:color w:val="000000"/>
        </w:rPr>
        <w:t xml:space="preserve"> Nikon Eclipse Ti-E confocal microscope and by flow cytometry analysis using the FlowSight Cytometer (Amnis</w:t>
      </w:r>
      <w:r w:rsidR="008D06EB">
        <w:rPr>
          <w:rFonts w:ascii="Book Antiqua" w:eastAsia="Book Antiqua" w:hAnsi="Book Antiqua" w:cs="Book Antiqua"/>
          <w:color w:val="000000"/>
        </w:rPr>
        <w:t>;</w:t>
      </w:r>
      <w:r w:rsidR="0068711B" w:rsidRPr="0072205C">
        <w:rPr>
          <w:rFonts w:ascii="Book Antiqua" w:eastAsia="Book Antiqua" w:hAnsi="Book Antiqua" w:cs="Book Antiqua"/>
          <w:color w:val="000000"/>
        </w:rPr>
        <w:t xml:space="preserve"> Merck Millipore) and the IDEAS </w:t>
      </w:r>
      <w:r w:rsidR="00EA3F79" w:rsidRPr="0072205C">
        <w:rPr>
          <w:rFonts w:ascii="Book Antiqua" w:eastAsia="Book Antiqua" w:hAnsi="Book Antiqua" w:cs="Book Antiqua"/>
          <w:color w:val="000000"/>
        </w:rPr>
        <w:t>s</w:t>
      </w:r>
      <w:r w:rsidR="0068711B" w:rsidRPr="0072205C">
        <w:rPr>
          <w:rFonts w:ascii="Book Antiqua" w:eastAsia="Book Antiqua" w:hAnsi="Book Antiqua" w:cs="Book Antiqua"/>
          <w:color w:val="000000"/>
        </w:rPr>
        <w:t>oftware.</w:t>
      </w:r>
    </w:p>
    <w:p w14:paraId="73DE07DC" w14:textId="77777777" w:rsidR="00A77B3E" w:rsidRPr="00A2665F" w:rsidRDefault="00A77B3E" w:rsidP="001D68DD">
      <w:pPr>
        <w:spacing w:line="360" w:lineRule="auto"/>
        <w:jc w:val="both"/>
        <w:rPr>
          <w:rFonts w:ascii="Book Antiqua" w:hAnsi="Book Antiqua"/>
        </w:rPr>
      </w:pPr>
    </w:p>
    <w:p w14:paraId="27E08260" w14:textId="77777777" w:rsidR="00A77B3E" w:rsidRPr="006B63C8" w:rsidRDefault="0068711B" w:rsidP="001D68DD">
      <w:pPr>
        <w:spacing w:line="360" w:lineRule="auto"/>
        <w:jc w:val="both"/>
        <w:rPr>
          <w:rFonts w:ascii="Book Antiqua" w:hAnsi="Book Antiqua"/>
        </w:rPr>
      </w:pPr>
      <w:r w:rsidRPr="006B63C8">
        <w:rPr>
          <w:rFonts w:ascii="Book Antiqua" w:eastAsia="Book Antiqua" w:hAnsi="Book Antiqua" w:cs="Book Antiqua"/>
          <w:b/>
          <w:bCs/>
          <w:i/>
          <w:iCs/>
          <w:color w:val="000000"/>
        </w:rPr>
        <w:t>Gene expression analysis</w:t>
      </w:r>
    </w:p>
    <w:p w14:paraId="6AF675AA" w14:textId="0D276EE9" w:rsidR="00A77B3E" w:rsidRPr="00B858EF"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To study the levels of genes expressed in P10 and P20 HepaRG cells after differentiation, RNA was extracted from 1.0</w:t>
      </w:r>
      <w:r w:rsidR="00F43523"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 xml:space="preserve"> 10</w:t>
      </w:r>
      <w:r w:rsidRPr="004464B3">
        <w:rPr>
          <w:rFonts w:ascii="Book Antiqua" w:eastAsia="Book Antiqua" w:hAnsi="Book Antiqua" w:cs="Book Antiqua"/>
          <w:color w:val="000000"/>
          <w:vertAlign w:val="superscript"/>
        </w:rPr>
        <w:t>6</w:t>
      </w:r>
      <w:r w:rsidRPr="004464B3">
        <w:rPr>
          <w:rFonts w:ascii="Book Antiqua" w:eastAsia="Book Antiqua" w:hAnsi="Book Antiqua" w:cs="Book Antiqua"/>
          <w:color w:val="000000"/>
        </w:rPr>
        <w:t xml:space="preserve"> cells/sample and converted into cDNA</w:t>
      </w:r>
      <w:r w:rsidR="008D06EB">
        <w:rPr>
          <w:rFonts w:ascii="Book Antiqua" w:eastAsia="Book Antiqua" w:hAnsi="Book Antiqua" w:cs="Book Antiqua"/>
          <w:color w:val="000000"/>
        </w:rPr>
        <w:t>,</w:t>
      </w:r>
      <w:r w:rsidRPr="008D06EB">
        <w:rPr>
          <w:rFonts w:ascii="Book Antiqua" w:eastAsia="Book Antiqua" w:hAnsi="Book Antiqua" w:cs="Book Antiqua"/>
          <w:color w:val="000000"/>
        </w:rPr>
        <w:t xml:space="preserve"> which was used as </w:t>
      </w:r>
      <w:r w:rsidR="008D06EB">
        <w:rPr>
          <w:rFonts w:ascii="Book Antiqua" w:eastAsia="Book Antiqua" w:hAnsi="Book Antiqua" w:cs="Book Antiqua"/>
          <w:color w:val="000000"/>
        </w:rPr>
        <w:t xml:space="preserve">a </w:t>
      </w:r>
      <w:r w:rsidRPr="008D06EB">
        <w:rPr>
          <w:rFonts w:ascii="Book Antiqua" w:eastAsia="Book Antiqua" w:hAnsi="Book Antiqua" w:cs="Book Antiqua"/>
          <w:color w:val="000000"/>
        </w:rPr>
        <w:t>template in the following R</w:t>
      </w:r>
      <w:r w:rsidR="000317B2" w:rsidRPr="008D06EB">
        <w:rPr>
          <w:rFonts w:ascii="Book Antiqua" w:eastAsia="Book Antiqua" w:hAnsi="Book Antiqua" w:cs="Book Antiqua"/>
          <w:color w:val="000000"/>
        </w:rPr>
        <w:t>T-</w:t>
      </w:r>
      <w:r w:rsidRPr="008D06EB">
        <w:rPr>
          <w:rFonts w:ascii="Book Antiqua" w:eastAsia="Book Antiqua" w:hAnsi="Book Antiqua" w:cs="Book Antiqua"/>
          <w:color w:val="000000"/>
        </w:rPr>
        <w:t xml:space="preserve">PCR. RNA extraction was performed by the “Pure </w:t>
      </w:r>
      <w:r w:rsidRPr="008D06EB">
        <w:rPr>
          <w:rFonts w:ascii="Book Antiqua" w:eastAsia="Book Antiqua" w:hAnsi="Book Antiqua" w:cs="Book Antiqua"/>
          <w:color w:val="000000"/>
        </w:rPr>
        <w:lastRenderedPageBreak/>
        <w:t xml:space="preserve">Link RNA Mini </w:t>
      </w:r>
      <w:r w:rsidR="00EC1AC8">
        <w:rPr>
          <w:rFonts w:ascii="Book Antiqua" w:eastAsia="Book Antiqua" w:hAnsi="Book Antiqua" w:cs="Book Antiqua"/>
          <w:color w:val="000000"/>
        </w:rPr>
        <w:t>K</w:t>
      </w:r>
      <w:r w:rsidRPr="008D06EB">
        <w:rPr>
          <w:rFonts w:ascii="Book Antiqua" w:eastAsia="Book Antiqua" w:hAnsi="Book Antiqua" w:cs="Book Antiqua"/>
          <w:color w:val="000000"/>
        </w:rPr>
        <w:t>it” (12183025</w:t>
      </w:r>
      <w:r w:rsidR="00EC1AC8">
        <w:rPr>
          <w:rFonts w:ascii="Book Antiqua" w:eastAsia="Book Antiqua" w:hAnsi="Book Antiqua" w:cs="Book Antiqua"/>
          <w:color w:val="000000"/>
        </w:rPr>
        <w:t>;</w:t>
      </w:r>
      <w:r w:rsidRPr="008D06EB">
        <w:rPr>
          <w:rFonts w:ascii="Book Antiqua" w:eastAsia="Book Antiqua" w:hAnsi="Book Antiqua" w:cs="Book Antiqua"/>
          <w:color w:val="000000"/>
        </w:rPr>
        <w:t xml:space="preserve"> Thermo</w:t>
      </w:r>
      <w:r w:rsidR="00EC1AC8">
        <w:rPr>
          <w:rFonts w:ascii="Book Antiqua" w:eastAsia="Book Antiqua" w:hAnsi="Book Antiqua" w:cs="Book Antiqua"/>
          <w:color w:val="000000"/>
        </w:rPr>
        <w:t xml:space="preserve"> </w:t>
      </w:r>
      <w:r w:rsidRPr="008D06EB">
        <w:rPr>
          <w:rFonts w:ascii="Book Antiqua" w:eastAsia="Book Antiqua" w:hAnsi="Book Antiqua" w:cs="Book Antiqua"/>
          <w:color w:val="000000"/>
        </w:rPr>
        <w:t>Fisher Scientific</w:t>
      </w:r>
      <w:r w:rsidRPr="00EC1AC8">
        <w:rPr>
          <w:rFonts w:ascii="Book Antiqua" w:eastAsia="Book Antiqua" w:hAnsi="Book Antiqua" w:cs="Book Antiqua"/>
          <w:color w:val="000000"/>
        </w:rPr>
        <w:t>), according to the manufacturer’s protocol. RNA concentration was determined by spectrophotometer method at Nanodrop, measuring absorbance at λ = 260</w:t>
      </w:r>
      <w:r w:rsidR="00EC1AC8">
        <w:rPr>
          <w:rFonts w:ascii="Book Antiqua" w:eastAsia="Book Antiqua" w:hAnsi="Book Antiqua" w:cs="Book Antiqua"/>
          <w:color w:val="000000"/>
        </w:rPr>
        <w:t xml:space="preserve"> </w:t>
      </w:r>
      <w:r w:rsidRPr="00EC1AC8">
        <w:rPr>
          <w:rFonts w:ascii="Book Antiqua" w:eastAsia="Book Antiqua" w:hAnsi="Book Antiqua" w:cs="Book Antiqua"/>
          <w:color w:val="000000"/>
        </w:rPr>
        <w:t xml:space="preserve">nm. A260/A280 &gt; 2 was evaluated to guarantee protein-free samples. Reverse transcription was performed </w:t>
      </w:r>
      <w:r w:rsidR="00B858EF">
        <w:rPr>
          <w:rFonts w:ascii="Book Antiqua" w:eastAsia="Book Antiqua" w:hAnsi="Book Antiqua" w:cs="Book Antiqua"/>
          <w:color w:val="000000"/>
        </w:rPr>
        <w:t>using the</w:t>
      </w:r>
      <w:r w:rsidR="00B858EF" w:rsidRPr="00EC1AC8">
        <w:rPr>
          <w:rFonts w:ascii="Book Antiqua" w:eastAsia="Book Antiqua" w:hAnsi="Book Antiqua" w:cs="Book Antiqua"/>
          <w:color w:val="000000"/>
        </w:rPr>
        <w:t xml:space="preserve"> </w:t>
      </w:r>
      <w:r w:rsidRPr="00EC1AC8">
        <w:rPr>
          <w:rFonts w:ascii="Book Antiqua" w:eastAsia="Book Antiqua" w:hAnsi="Book Antiqua" w:cs="Book Antiqua"/>
          <w:color w:val="000000"/>
        </w:rPr>
        <w:t>High-</w:t>
      </w:r>
      <w:r w:rsidR="00B858EF">
        <w:rPr>
          <w:rFonts w:ascii="Book Antiqua" w:eastAsia="Book Antiqua" w:hAnsi="Book Antiqua" w:cs="Book Antiqua"/>
          <w:color w:val="000000"/>
        </w:rPr>
        <w:t>C</w:t>
      </w:r>
      <w:r w:rsidRPr="00EC1AC8">
        <w:rPr>
          <w:rFonts w:ascii="Book Antiqua" w:eastAsia="Book Antiqua" w:hAnsi="Book Antiqua" w:cs="Book Antiqua"/>
          <w:color w:val="000000"/>
        </w:rPr>
        <w:t>apacity cDNA Reverse Transcription Kit (4368814</w:t>
      </w:r>
      <w:r w:rsidR="00EC1AC8">
        <w:rPr>
          <w:rFonts w:ascii="Book Antiqua" w:eastAsia="Book Antiqua" w:hAnsi="Book Antiqua" w:cs="Book Antiqua"/>
          <w:color w:val="000000"/>
        </w:rPr>
        <w:t>;</w:t>
      </w:r>
      <w:r w:rsidRPr="00EC1AC8">
        <w:rPr>
          <w:rFonts w:ascii="Book Antiqua" w:eastAsia="Book Antiqua" w:hAnsi="Book Antiqua" w:cs="Book Antiqua"/>
          <w:color w:val="000000"/>
        </w:rPr>
        <w:t xml:space="preserve"> Thermo</w:t>
      </w:r>
      <w:r w:rsidR="00EC1AC8">
        <w:rPr>
          <w:rFonts w:ascii="Book Antiqua" w:eastAsia="Book Antiqua" w:hAnsi="Book Antiqua" w:cs="Book Antiqua"/>
          <w:color w:val="000000"/>
        </w:rPr>
        <w:t xml:space="preserve"> </w:t>
      </w:r>
      <w:r w:rsidRPr="00EC1AC8">
        <w:rPr>
          <w:rFonts w:ascii="Book Antiqua" w:eastAsia="Book Antiqua" w:hAnsi="Book Antiqua" w:cs="Book Antiqua"/>
          <w:color w:val="000000"/>
        </w:rPr>
        <w:t>Fisher Scientific), and SYBR Green (172-5271</w:t>
      </w:r>
      <w:r w:rsidR="00EC1AC8">
        <w:rPr>
          <w:rFonts w:ascii="Book Antiqua" w:eastAsia="Book Antiqua" w:hAnsi="Book Antiqua" w:cs="Book Antiqua"/>
          <w:color w:val="000000"/>
        </w:rPr>
        <w:t>;</w:t>
      </w:r>
      <w:r w:rsidRPr="00EC1AC8">
        <w:rPr>
          <w:rFonts w:ascii="Book Antiqua" w:eastAsia="Book Antiqua" w:hAnsi="Book Antiqua" w:cs="Book Antiqua"/>
          <w:color w:val="000000"/>
        </w:rPr>
        <w:t xml:space="preserve"> Bio-Rad Laboratories, Hercules, C</w:t>
      </w:r>
      <w:r w:rsidR="00EC1AC8">
        <w:rPr>
          <w:rFonts w:ascii="Book Antiqua" w:eastAsia="Book Antiqua" w:hAnsi="Book Antiqua" w:cs="Book Antiqua"/>
          <w:color w:val="000000"/>
        </w:rPr>
        <w:t>A</w:t>
      </w:r>
      <w:r w:rsidRPr="00EC1AC8">
        <w:rPr>
          <w:rFonts w:ascii="Book Antiqua" w:eastAsia="Book Antiqua" w:hAnsi="Book Antiqua" w:cs="Book Antiqua"/>
          <w:color w:val="000000"/>
        </w:rPr>
        <w:t xml:space="preserve">, </w:t>
      </w:r>
      <w:r w:rsidR="008D464E" w:rsidRPr="00EC1AC8">
        <w:rPr>
          <w:rFonts w:ascii="Book Antiqua" w:eastAsia="Book Antiqua" w:hAnsi="Book Antiqua" w:cs="Book Antiqua"/>
          <w:color w:val="000000"/>
        </w:rPr>
        <w:t>United States</w:t>
      </w:r>
      <w:r w:rsidRPr="00EC1AC8">
        <w:rPr>
          <w:rFonts w:ascii="Book Antiqua" w:eastAsia="Book Antiqua" w:hAnsi="Book Antiqua" w:cs="Book Antiqua"/>
          <w:color w:val="000000"/>
        </w:rPr>
        <w:t xml:space="preserve">) was used as </w:t>
      </w:r>
      <w:r w:rsidR="00B858EF">
        <w:rPr>
          <w:rFonts w:ascii="Book Antiqua" w:eastAsia="Book Antiqua" w:hAnsi="Book Antiqua" w:cs="Book Antiqua"/>
          <w:color w:val="000000"/>
        </w:rPr>
        <w:t xml:space="preserve">a </w:t>
      </w:r>
      <w:r w:rsidRPr="00EC1AC8">
        <w:rPr>
          <w:rFonts w:ascii="Book Antiqua" w:eastAsia="Book Antiqua" w:hAnsi="Book Antiqua" w:cs="Book Antiqua"/>
          <w:color w:val="000000"/>
        </w:rPr>
        <w:t xml:space="preserve">fluorescent probe. The sequences of </w:t>
      </w:r>
      <w:r w:rsidR="00B858EF">
        <w:rPr>
          <w:rFonts w:ascii="Book Antiqua" w:eastAsia="Book Antiqua" w:hAnsi="Book Antiqua" w:cs="Book Antiqua"/>
          <w:color w:val="000000"/>
        </w:rPr>
        <w:t xml:space="preserve">the </w:t>
      </w:r>
      <w:r w:rsidRPr="00EC1AC8">
        <w:rPr>
          <w:rFonts w:ascii="Book Antiqua" w:eastAsia="Book Antiqua" w:hAnsi="Book Antiqua" w:cs="Book Antiqua"/>
          <w:color w:val="000000"/>
        </w:rPr>
        <w:t xml:space="preserve">forward and reverse primers </w:t>
      </w:r>
      <w:r w:rsidR="00B858EF">
        <w:rPr>
          <w:rFonts w:ascii="Book Antiqua" w:eastAsia="Book Antiqua" w:hAnsi="Book Antiqua" w:cs="Book Antiqua"/>
          <w:color w:val="000000"/>
        </w:rPr>
        <w:t>for</w:t>
      </w:r>
      <w:r w:rsidR="00B858EF" w:rsidRPr="00EC1AC8">
        <w:rPr>
          <w:rFonts w:ascii="Book Antiqua" w:eastAsia="Book Antiqua" w:hAnsi="Book Antiqua" w:cs="Book Antiqua"/>
          <w:color w:val="000000"/>
        </w:rPr>
        <w:t xml:space="preserve"> </w:t>
      </w:r>
      <w:r w:rsidRPr="00EC1AC8">
        <w:rPr>
          <w:rFonts w:ascii="Book Antiqua" w:eastAsia="Book Antiqua" w:hAnsi="Book Antiqua" w:cs="Book Antiqua"/>
          <w:color w:val="000000"/>
        </w:rPr>
        <w:t xml:space="preserve">all </w:t>
      </w:r>
      <w:r w:rsidR="00B858EF">
        <w:rPr>
          <w:rFonts w:ascii="Book Antiqua" w:eastAsia="Book Antiqua" w:hAnsi="Book Antiqua" w:cs="Book Antiqua"/>
          <w:color w:val="000000"/>
        </w:rPr>
        <w:t xml:space="preserve">of </w:t>
      </w:r>
      <w:r w:rsidRPr="00EC1AC8">
        <w:rPr>
          <w:rFonts w:ascii="Book Antiqua" w:eastAsia="Book Antiqua" w:hAnsi="Book Antiqua" w:cs="Book Antiqua"/>
          <w:color w:val="000000"/>
        </w:rPr>
        <w:t>the genes studied are provided in Table 1.</w:t>
      </w:r>
    </w:p>
    <w:p w14:paraId="0C0CDDF7" w14:textId="77777777" w:rsidR="00A77B3E" w:rsidRPr="00A2665F" w:rsidRDefault="00A77B3E" w:rsidP="001D68DD">
      <w:pPr>
        <w:spacing w:line="360" w:lineRule="auto"/>
        <w:jc w:val="both"/>
        <w:rPr>
          <w:rFonts w:ascii="Book Antiqua" w:hAnsi="Book Antiqua"/>
        </w:rPr>
      </w:pPr>
    </w:p>
    <w:p w14:paraId="64AC1316" w14:textId="3CD6977E" w:rsidR="00A77B3E" w:rsidRPr="004464B3" w:rsidRDefault="0068711B" w:rsidP="001D68DD">
      <w:pPr>
        <w:spacing w:line="360" w:lineRule="auto"/>
        <w:jc w:val="both"/>
        <w:rPr>
          <w:rFonts w:ascii="Book Antiqua" w:hAnsi="Book Antiqua"/>
        </w:rPr>
      </w:pPr>
      <w:r w:rsidRPr="00A2665F">
        <w:rPr>
          <w:rFonts w:ascii="Book Antiqua" w:eastAsia="Book Antiqua" w:hAnsi="Book Antiqua" w:cs="Book Antiqua"/>
          <w:b/>
          <w:bCs/>
          <w:i/>
          <w:iCs/>
          <w:color w:val="000000"/>
        </w:rPr>
        <w:t>Albumin secretion analys</w:t>
      </w:r>
      <w:r w:rsidR="00B858EF">
        <w:rPr>
          <w:rFonts w:ascii="Book Antiqua" w:eastAsia="Book Antiqua" w:hAnsi="Book Antiqua" w:cs="Book Antiqua"/>
          <w:b/>
          <w:bCs/>
          <w:i/>
          <w:iCs/>
          <w:color w:val="000000"/>
        </w:rPr>
        <w:t>e</w:t>
      </w:r>
      <w:r w:rsidRPr="004464B3">
        <w:rPr>
          <w:rFonts w:ascii="Book Antiqua" w:eastAsia="Book Antiqua" w:hAnsi="Book Antiqua" w:cs="Book Antiqua"/>
          <w:b/>
          <w:bCs/>
          <w:i/>
          <w:iCs/>
          <w:color w:val="000000"/>
        </w:rPr>
        <w:t>s</w:t>
      </w:r>
    </w:p>
    <w:p w14:paraId="38652256" w14:textId="46C1909C"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To assess </w:t>
      </w:r>
      <w:r w:rsidR="00B858EF">
        <w:rPr>
          <w:rFonts w:ascii="Book Antiqua" w:eastAsia="Book Antiqua" w:hAnsi="Book Antiqua" w:cs="Book Antiqua"/>
          <w:color w:val="000000"/>
        </w:rPr>
        <w:t xml:space="preserve">the </w:t>
      </w:r>
      <w:r w:rsidRPr="00B858EF">
        <w:rPr>
          <w:rFonts w:ascii="Book Antiqua" w:eastAsia="Book Antiqua" w:hAnsi="Book Antiqua" w:cs="Book Antiqua"/>
          <w:color w:val="000000"/>
        </w:rPr>
        <w:t xml:space="preserve">secretion of human </w:t>
      </w:r>
      <w:r w:rsidR="00B858EF">
        <w:rPr>
          <w:rFonts w:ascii="Book Antiqua" w:eastAsia="Book Antiqua" w:hAnsi="Book Antiqua" w:cs="Book Antiqua"/>
          <w:color w:val="000000"/>
        </w:rPr>
        <w:t>a</w:t>
      </w:r>
      <w:r w:rsidRPr="00B858EF">
        <w:rPr>
          <w:rFonts w:ascii="Book Antiqua" w:eastAsia="Book Antiqua" w:hAnsi="Book Antiqua" w:cs="Book Antiqua"/>
          <w:color w:val="000000"/>
        </w:rPr>
        <w:t>lbumin, supernatants of P10 and P20 HepaRG cells in basal conditions and after D</w:t>
      </w:r>
      <w:r w:rsidRPr="00A2665F">
        <w:rPr>
          <w:rFonts w:ascii="Book Antiqua" w:eastAsia="Book Antiqua" w:hAnsi="Book Antiqua" w:cs="Book Antiqua"/>
          <w:color w:val="000000"/>
        </w:rPr>
        <w:t>MSO treatment were collected after 24</w:t>
      </w:r>
      <w:r w:rsidRPr="00A2665F">
        <w:rPr>
          <w:rFonts w:ascii="MS Mincho" w:eastAsia="MS Mincho" w:hAnsi="MS Mincho" w:cs="MS Mincho"/>
          <w:color w:val="000000"/>
        </w:rPr>
        <w:t> </w:t>
      </w:r>
      <w:r w:rsidRPr="005A4F6B">
        <w:rPr>
          <w:rFonts w:ascii="Book Antiqua" w:eastAsia="Book Antiqua" w:hAnsi="Book Antiqua" w:cs="Book Antiqua"/>
          <w:color w:val="000000"/>
        </w:rPr>
        <w:t xml:space="preserve">h of culture and assessed using a Human Albumin ELISA </w:t>
      </w:r>
      <w:r w:rsidR="00BB181B">
        <w:rPr>
          <w:rFonts w:ascii="Book Antiqua" w:eastAsia="Book Antiqua" w:hAnsi="Book Antiqua" w:cs="Book Antiqua"/>
          <w:color w:val="000000"/>
        </w:rPr>
        <w:t>K</w:t>
      </w:r>
      <w:r w:rsidRPr="004464B3">
        <w:rPr>
          <w:rFonts w:ascii="Book Antiqua" w:eastAsia="Book Antiqua" w:hAnsi="Book Antiqua" w:cs="Book Antiqua"/>
          <w:color w:val="000000"/>
        </w:rPr>
        <w:t>it, according to the manufacturer</w:t>
      </w:r>
      <w:r w:rsidR="00BB181B">
        <w:rPr>
          <w:rFonts w:ascii="Book Antiqua" w:eastAsia="Book Antiqua" w:hAnsi="Book Antiqua" w:cs="Book Antiqua"/>
          <w:color w:val="000000"/>
        </w:rPr>
        <w:t>’</w:t>
      </w:r>
      <w:r w:rsidRPr="004464B3">
        <w:rPr>
          <w:rFonts w:ascii="Book Antiqua" w:eastAsia="Book Antiqua" w:hAnsi="Book Antiqua" w:cs="Book Antiqua"/>
          <w:color w:val="000000"/>
        </w:rPr>
        <w:t>s instructions (ab108788</w:t>
      </w:r>
      <w:r w:rsidR="00BB181B">
        <w:rPr>
          <w:rFonts w:ascii="Book Antiqua" w:eastAsia="Book Antiqua" w:hAnsi="Book Antiqua" w:cs="Book Antiqua"/>
          <w:color w:val="000000"/>
        </w:rPr>
        <w:t>;</w:t>
      </w:r>
      <w:r w:rsidRPr="004464B3">
        <w:rPr>
          <w:rFonts w:ascii="Book Antiqua" w:eastAsia="Book Antiqua" w:hAnsi="Book Antiqua" w:cs="Book Antiqua"/>
          <w:color w:val="000000"/>
        </w:rPr>
        <w:t xml:space="preserve"> Abcam, Cambridge, </w:t>
      </w:r>
      <w:r w:rsidR="001F1658" w:rsidRPr="004464B3">
        <w:rPr>
          <w:rFonts w:ascii="Book Antiqua" w:eastAsia="Book Antiqua" w:hAnsi="Book Antiqua" w:cs="Book Antiqua"/>
          <w:color w:val="000000"/>
        </w:rPr>
        <w:t>United Kingdom</w:t>
      </w:r>
      <w:r w:rsidRPr="004464B3">
        <w:rPr>
          <w:rFonts w:ascii="Book Antiqua" w:eastAsia="Book Antiqua" w:hAnsi="Book Antiqua" w:cs="Book Antiqua"/>
          <w:color w:val="000000"/>
        </w:rPr>
        <w:t>).</w:t>
      </w:r>
    </w:p>
    <w:p w14:paraId="1AE313F0" w14:textId="77777777" w:rsidR="00A77B3E" w:rsidRPr="004464B3" w:rsidRDefault="00A77B3E" w:rsidP="001D68DD">
      <w:pPr>
        <w:spacing w:line="360" w:lineRule="auto"/>
        <w:jc w:val="both"/>
        <w:rPr>
          <w:rFonts w:ascii="Book Antiqua" w:hAnsi="Book Antiqua"/>
        </w:rPr>
      </w:pPr>
    </w:p>
    <w:p w14:paraId="148097BC" w14:textId="6471F7F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i/>
          <w:iCs/>
          <w:color w:val="000000"/>
        </w:rPr>
        <w:t>CYP3A4 and γ-glutamyl transpeptidase</w:t>
      </w:r>
      <w:r w:rsidR="005F4812" w:rsidRPr="004464B3">
        <w:rPr>
          <w:rFonts w:ascii="Book Antiqua" w:eastAsia="Book Antiqua" w:hAnsi="Book Antiqua" w:cs="Book Antiqua"/>
          <w:b/>
          <w:bCs/>
          <w:i/>
          <w:iCs/>
          <w:color w:val="000000"/>
        </w:rPr>
        <w:t xml:space="preserve"> </w:t>
      </w:r>
      <w:r w:rsidRPr="004464B3">
        <w:rPr>
          <w:rFonts w:ascii="Book Antiqua" w:eastAsia="Book Antiqua" w:hAnsi="Book Antiqua" w:cs="Book Antiqua"/>
          <w:b/>
          <w:bCs/>
          <w:i/>
          <w:iCs/>
          <w:color w:val="000000"/>
        </w:rPr>
        <w:t>activities</w:t>
      </w:r>
    </w:p>
    <w:p w14:paraId="3E6EEE7F" w14:textId="33A19E20" w:rsidR="00A77B3E" w:rsidRPr="004464B3" w:rsidRDefault="0068711B" w:rsidP="00DF7525">
      <w:pPr>
        <w:spacing w:line="360" w:lineRule="auto"/>
        <w:jc w:val="both"/>
        <w:rPr>
          <w:rFonts w:ascii="Book Antiqua" w:hAnsi="Book Antiqua"/>
        </w:rPr>
      </w:pPr>
      <w:r w:rsidRPr="004464B3">
        <w:rPr>
          <w:rFonts w:ascii="Book Antiqua" w:eastAsia="Book Antiqua" w:hAnsi="Book Antiqua" w:cs="Book Antiqua"/>
          <w:color w:val="000000"/>
        </w:rPr>
        <w:t>P10 and P20 HepaRG cells in basal conditions and after DMSO treatment were washed with 1</w:t>
      </w:r>
      <w:r w:rsidR="00BE7E39" w:rsidRPr="004464B3">
        <w:rPr>
          <w:rFonts w:ascii="Book Antiqua" w:eastAsia="Book Antiqua" w:hAnsi="Book Antiqua"/>
          <w:color w:val="000000"/>
        </w:rPr>
        <w:t>×</w:t>
      </w:r>
      <w:r w:rsidRPr="004464B3">
        <w:rPr>
          <w:rFonts w:ascii="Book Antiqua" w:eastAsia="Book Antiqua" w:hAnsi="Book Antiqua" w:cs="Book Antiqua"/>
          <w:color w:val="000000"/>
        </w:rPr>
        <w:t xml:space="preserve"> </w:t>
      </w:r>
      <w:r w:rsidR="00462723">
        <w:rPr>
          <w:rFonts w:ascii="Book Antiqua" w:eastAsia="Book Antiqua" w:hAnsi="Book Antiqua" w:cs="Book Antiqua"/>
          <w:color w:val="000000"/>
        </w:rPr>
        <w:t>PBS</w:t>
      </w:r>
      <w:r w:rsidRPr="00462723">
        <w:rPr>
          <w:rFonts w:ascii="Book Antiqua" w:eastAsia="Book Antiqua" w:hAnsi="Book Antiqua" w:cs="Book Antiqua"/>
          <w:color w:val="000000"/>
        </w:rPr>
        <w:t xml:space="preserve">, </w:t>
      </w:r>
      <w:r w:rsidR="00B30276">
        <w:rPr>
          <w:rFonts w:ascii="Book Antiqua" w:eastAsia="Book Antiqua" w:hAnsi="Book Antiqua" w:cs="Book Antiqua"/>
          <w:color w:val="000000"/>
        </w:rPr>
        <w:t xml:space="preserve">and </w:t>
      </w:r>
      <w:r w:rsidRPr="00462723">
        <w:rPr>
          <w:rFonts w:ascii="Book Antiqua" w:eastAsia="Book Antiqua" w:hAnsi="Book Antiqua" w:cs="Book Antiqua"/>
          <w:color w:val="000000"/>
        </w:rPr>
        <w:t>50</w:t>
      </w:r>
      <w:r w:rsidRPr="00462723">
        <w:rPr>
          <w:rFonts w:ascii="MS Mincho" w:eastAsia="MS Mincho" w:hAnsi="MS Mincho" w:cs="MS Mincho"/>
          <w:color w:val="000000"/>
        </w:rPr>
        <w:t> </w:t>
      </w:r>
      <w:r w:rsidR="00FD40DF" w:rsidRPr="00462723">
        <w:rPr>
          <w:rFonts w:ascii="Book Antiqua" w:eastAsia="Book Antiqua" w:hAnsi="Book Antiqua" w:cs="Book Antiqua"/>
          <w:color w:val="000000"/>
        </w:rPr>
        <w:t>μ</w:t>
      </w:r>
      <w:r w:rsidRPr="00462723">
        <w:rPr>
          <w:rFonts w:ascii="Book Antiqua" w:eastAsia="Book Antiqua" w:hAnsi="Book Antiqua" w:cs="Book Antiqua"/>
          <w:color w:val="000000"/>
        </w:rPr>
        <w:t>L of 3</w:t>
      </w:r>
      <w:r w:rsidRPr="00462723">
        <w:rPr>
          <w:rFonts w:ascii="MS Mincho" w:eastAsia="MS Mincho" w:hAnsi="MS Mincho" w:cs="MS Mincho"/>
          <w:color w:val="000000"/>
        </w:rPr>
        <w:t> </w:t>
      </w:r>
      <w:r w:rsidR="007D7546" w:rsidRPr="00462723">
        <w:rPr>
          <w:rFonts w:ascii="Book Antiqua" w:eastAsia="Book Antiqua" w:hAnsi="Book Antiqua" w:cs="Book Antiqua"/>
          <w:color w:val="000000"/>
        </w:rPr>
        <w:t>μ</w:t>
      </w:r>
      <w:r w:rsidRPr="00462723">
        <w:rPr>
          <w:rFonts w:ascii="Book Antiqua" w:eastAsia="Book Antiqua" w:hAnsi="Book Antiqua" w:cs="Book Antiqua"/>
          <w:color w:val="000000"/>
        </w:rPr>
        <w:t>M P450-Glo™ substrate (V8801</w:t>
      </w:r>
      <w:r w:rsidR="00462723">
        <w:rPr>
          <w:rFonts w:ascii="Book Antiqua" w:eastAsia="Book Antiqua" w:hAnsi="Book Antiqua" w:cs="Book Antiqua"/>
          <w:color w:val="000000"/>
        </w:rPr>
        <w:t>;</w:t>
      </w:r>
      <w:r w:rsidRPr="004464B3">
        <w:rPr>
          <w:rFonts w:ascii="Book Antiqua" w:eastAsia="Book Antiqua" w:hAnsi="Book Antiqua" w:cs="Book Antiqua"/>
          <w:color w:val="000000"/>
        </w:rPr>
        <w:t xml:space="preserve"> Promega, </w:t>
      </w:r>
      <w:r w:rsidR="00462723">
        <w:rPr>
          <w:rFonts w:ascii="Book Antiqua" w:eastAsia="Book Antiqua" w:hAnsi="Book Antiqua" w:cs="Book Antiqua"/>
          <w:color w:val="000000"/>
        </w:rPr>
        <w:t xml:space="preserve">Waldorf, </w:t>
      </w:r>
      <w:r w:rsidRPr="00462723">
        <w:rPr>
          <w:rFonts w:ascii="Book Antiqua" w:eastAsia="Book Antiqua" w:hAnsi="Book Antiqua" w:cs="Book Antiqua"/>
          <w:color w:val="000000"/>
        </w:rPr>
        <w:t xml:space="preserve">Germany) </w:t>
      </w:r>
      <w:r w:rsidR="00B30276">
        <w:rPr>
          <w:rFonts w:ascii="Book Antiqua" w:eastAsia="Book Antiqua" w:hAnsi="Book Antiqua" w:cs="Book Antiqua"/>
          <w:color w:val="000000"/>
        </w:rPr>
        <w:t>was</w:t>
      </w:r>
      <w:r w:rsidR="00B30276" w:rsidRPr="00462723">
        <w:rPr>
          <w:rFonts w:ascii="Book Antiqua" w:eastAsia="Book Antiqua" w:hAnsi="Book Antiqua" w:cs="Book Antiqua"/>
          <w:color w:val="000000"/>
        </w:rPr>
        <w:t xml:space="preserve"> </w:t>
      </w:r>
      <w:r w:rsidRPr="00462723">
        <w:rPr>
          <w:rFonts w:ascii="Book Antiqua" w:eastAsia="Book Antiqua" w:hAnsi="Book Antiqua" w:cs="Book Antiqua"/>
          <w:color w:val="000000"/>
        </w:rPr>
        <w:t>added and incubated for 1</w:t>
      </w:r>
      <w:r w:rsidRPr="00462723">
        <w:rPr>
          <w:rFonts w:ascii="MS Mincho" w:eastAsia="MS Mincho" w:hAnsi="MS Mincho" w:cs="MS Mincho"/>
          <w:color w:val="000000"/>
        </w:rPr>
        <w:t> </w:t>
      </w:r>
      <w:r w:rsidRPr="00944E36">
        <w:rPr>
          <w:rFonts w:ascii="Book Antiqua" w:eastAsia="Book Antiqua" w:hAnsi="Book Antiqua" w:cs="Book Antiqua"/>
          <w:color w:val="000000"/>
        </w:rPr>
        <w:t>h</w:t>
      </w:r>
      <w:r w:rsidR="00963B3D" w:rsidRPr="00944E36">
        <w:rPr>
          <w:rFonts w:ascii="Book Antiqua" w:eastAsia="Book Antiqua" w:hAnsi="Book Antiqua" w:cs="Book Antiqua"/>
          <w:color w:val="000000"/>
        </w:rPr>
        <w:t xml:space="preserve"> </w:t>
      </w:r>
      <w:r w:rsidRPr="00944E36">
        <w:rPr>
          <w:rFonts w:ascii="Book Antiqua" w:eastAsia="Book Antiqua" w:hAnsi="Book Antiqua" w:cs="Book Antiqua"/>
          <w:color w:val="000000"/>
        </w:rPr>
        <w:t>at 37°C, 5% CO</w:t>
      </w:r>
      <w:r w:rsidRPr="00944E36">
        <w:rPr>
          <w:rFonts w:ascii="Book Antiqua" w:eastAsia="Book Antiqua" w:hAnsi="Book Antiqua" w:cs="Book Antiqua"/>
          <w:color w:val="000000"/>
          <w:vertAlign w:val="subscript"/>
        </w:rPr>
        <w:t>2</w:t>
      </w:r>
      <w:r w:rsidRPr="00944E36">
        <w:rPr>
          <w:rFonts w:ascii="Book Antiqua" w:eastAsia="Book Antiqua" w:hAnsi="Book Antiqua" w:cs="Book Antiqua"/>
          <w:color w:val="000000"/>
        </w:rPr>
        <w:t>. Then, 25</w:t>
      </w:r>
      <w:r w:rsidRPr="00944E36">
        <w:rPr>
          <w:rFonts w:ascii="MS Mincho" w:eastAsia="MS Mincho" w:hAnsi="MS Mincho" w:cs="MS Mincho"/>
          <w:color w:val="000000"/>
        </w:rPr>
        <w:t> </w:t>
      </w:r>
      <w:r w:rsidR="00D72758" w:rsidRPr="00944E36">
        <w:rPr>
          <w:rFonts w:ascii="Book Antiqua" w:eastAsia="Book Antiqua" w:hAnsi="Book Antiqua" w:cs="Book Antiqua"/>
          <w:color w:val="000000"/>
        </w:rPr>
        <w:t>μ</w:t>
      </w:r>
      <w:r w:rsidRPr="00B30276">
        <w:rPr>
          <w:rFonts w:ascii="Book Antiqua" w:eastAsia="Book Antiqua" w:hAnsi="Book Antiqua" w:cs="Book Antiqua"/>
          <w:color w:val="000000"/>
        </w:rPr>
        <w:t xml:space="preserve">L substrate medium </w:t>
      </w:r>
      <w:r w:rsidR="00B30276">
        <w:rPr>
          <w:rFonts w:ascii="Book Antiqua" w:eastAsia="Book Antiqua" w:hAnsi="Book Antiqua" w:cs="Book Antiqua"/>
          <w:color w:val="000000"/>
        </w:rPr>
        <w:t>was</w:t>
      </w:r>
      <w:r w:rsidR="00B30276" w:rsidRPr="00B30276">
        <w:rPr>
          <w:rFonts w:ascii="Book Antiqua" w:eastAsia="Book Antiqua" w:hAnsi="Book Antiqua" w:cs="Book Antiqua"/>
          <w:color w:val="000000"/>
        </w:rPr>
        <w:t xml:space="preserve"> </w:t>
      </w:r>
      <w:r w:rsidRPr="00B30276">
        <w:rPr>
          <w:rFonts w:ascii="Book Antiqua" w:eastAsia="Book Antiqua" w:hAnsi="Book Antiqua" w:cs="Book Antiqua"/>
          <w:color w:val="000000"/>
        </w:rPr>
        <w:t>transferred to a 96-white plate</w:t>
      </w:r>
      <w:r w:rsidR="00B30276">
        <w:rPr>
          <w:rFonts w:ascii="Book Antiqua" w:eastAsia="Book Antiqua" w:hAnsi="Book Antiqua" w:cs="Book Antiqua"/>
          <w:color w:val="000000"/>
        </w:rPr>
        <w:t>,</w:t>
      </w:r>
      <w:r w:rsidRPr="00B30276">
        <w:rPr>
          <w:rFonts w:ascii="Book Antiqua" w:eastAsia="Book Antiqua" w:hAnsi="Book Antiqua" w:cs="Book Antiqua"/>
          <w:color w:val="000000"/>
        </w:rPr>
        <w:t xml:space="preserve"> and CYP3A4 activity was measured according to the manufacturer’s protocol.</w:t>
      </w:r>
      <w:r w:rsidR="00944E36">
        <w:rPr>
          <w:rFonts w:ascii="Book Antiqua" w:eastAsia="Book Antiqua" w:hAnsi="Book Antiqua" w:cs="Book Antiqua"/>
          <w:color w:val="000000"/>
        </w:rPr>
        <w:t xml:space="preserve"> </w:t>
      </w:r>
      <w:r w:rsidRPr="004464B3">
        <w:rPr>
          <w:rFonts w:ascii="Book Antiqua" w:eastAsia="Book Antiqua" w:hAnsi="Book Antiqua" w:cs="Book Antiqua"/>
          <w:color w:val="000000"/>
        </w:rPr>
        <w:t xml:space="preserve">HepaRG </w:t>
      </w:r>
      <w:r w:rsidR="00B30276">
        <w:rPr>
          <w:rFonts w:ascii="Book Antiqua" w:eastAsia="Book Antiqua" w:hAnsi="Book Antiqua" w:cs="Book Antiqua"/>
          <w:color w:val="000000"/>
        </w:rPr>
        <w:t xml:space="preserve">cells </w:t>
      </w:r>
      <w:r w:rsidRPr="00B30276">
        <w:rPr>
          <w:rFonts w:ascii="Book Antiqua" w:eastAsia="Book Antiqua" w:hAnsi="Book Antiqua" w:cs="Book Antiqua"/>
          <w:color w:val="000000"/>
        </w:rPr>
        <w:t>were homogenized in 200</w:t>
      </w:r>
      <w:r w:rsidRPr="00B30276">
        <w:rPr>
          <w:rFonts w:ascii="MS Mincho" w:eastAsia="MS Mincho" w:hAnsi="MS Mincho" w:cs="MS Mincho"/>
          <w:color w:val="000000"/>
        </w:rPr>
        <w:t> </w:t>
      </w:r>
      <w:r w:rsidR="00745E7A" w:rsidRPr="00B30276">
        <w:rPr>
          <w:rFonts w:ascii="Book Antiqua" w:eastAsia="Book Antiqua" w:hAnsi="Book Antiqua" w:cs="Book Antiqua"/>
          <w:color w:val="000000"/>
        </w:rPr>
        <w:t>μ</w:t>
      </w:r>
      <w:r w:rsidRPr="00B30276">
        <w:rPr>
          <w:rFonts w:ascii="Book Antiqua" w:eastAsia="Book Antiqua" w:hAnsi="Book Antiqua" w:cs="Book Antiqua"/>
          <w:color w:val="000000"/>
        </w:rPr>
        <w:t xml:space="preserve">L ice-cold </w:t>
      </w:r>
      <w:r w:rsidR="00F77090" w:rsidRPr="00B30276">
        <w:rPr>
          <w:rFonts w:ascii="Book Antiqua" w:eastAsia="Book Antiqua" w:hAnsi="Book Antiqua" w:cs="Book Antiqua"/>
          <w:color w:val="000000"/>
        </w:rPr>
        <w:t>γ-glutamyl transpeptidase (γ-GT)</w:t>
      </w:r>
      <w:r w:rsidRPr="00B30276">
        <w:rPr>
          <w:rFonts w:ascii="Book Antiqua" w:eastAsia="Book Antiqua" w:hAnsi="Book Antiqua" w:cs="Book Antiqua"/>
          <w:color w:val="000000"/>
        </w:rPr>
        <w:t xml:space="preserve"> </w:t>
      </w:r>
      <w:r w:rsidR="005B280B" w:rsidRPr="00B30276">
        <w:rPr>
          <w:rFonts w:ascii="Book Antiqua" w:eastAsia="Book Antiqua" w:hAnsi="Book Antiqua" w:cs="Book Antiqua"/>
          <w:color w:val="000000"/>
        </w:rPr>
        <w:t>assay buff</w:t>
      </w:r>
      <w:r w:rsidRPr="00B30276">
        <w:rPr>
          <w:rFonts w:ascii="Book Antiqua" w:eastAsia="Book Antiqua" w:hAnsi="Book Antiqua" w:cs="Book Antiqua"/>
          <w:color w:val="000000"/>
        </w:rPr>
        <w:t>er</w:t>
      </w:r>
      <w:r w:rsidR="00B30276">
        <w:rPr>
          <w:rFonts w:ascii="Book Antiqua" w:eastAsia="Book Antiqua" w:hAnsi="Book Antiqua" w:cs="Book Antiqua"/>
          <w:color w:val="000000"/>
        </w:rPr>
        <w:t>, and the</w:t>
      </w:r>
      <w:r w:rsidRPr="004464B3">
        <w:rPr>
          <w:rFonts w:ascii="Book Antiqua" w:eastAsia="Book Antiqua" w:hAnsi="Book Antiqua" w:cs="Book Antiqua"/>
          <w:color w:val="000000"/>
        </w:rPr>
        <w:t xml:space="preserve"> γ-GT </w:t>
      </w:r>
      <w:r w:rsidR="00B30276">
        <w:rPr>
          <w:rFonts w:ascii="Book Antiqua" w:eastAsia="Book Antiqua" w:hAnsi="Book Antiqua" w:cs="Book Antiqua"/>
          <w:color w:val="000000"/>
        </w:rPr>
        <w:t>A</w:t>
      </w:r>
      <w:r w:rsidRPr="004464B3">
        <w:rPr>
          <w:rFonts w:ascii="Book Antiqua" w:eastAsia="Book Antiqua" w:hAnsi="Book Antiqua" w:cs="Book Antiqua"/>
          <w:color w:val="000000"/>
        </w:rPr>
        <w:t xml:space="preserve">ctivity </w:t>
      </w:r>
      <w:r w:rsidR="00B30276">
        <w:rPr>
          <w:rFonts w:ascii="Book Antiqua" w:eastAsia="Book Antiqua" w:hAnsi="Book Antiqua" w:cs="Book Antiqua"/>
          <w:color w:val="000000"/>
        </w:rPr>
        <w:t>C</w:t>
      </w:r>
      <w:r w:rsidRPr="004464B3">
        <w:rPr>
          <w:rFonts w:ascii="Book Antiqua" w:eastAsia="Book Antiqua" w:hAnsi="Book Antiqua" w:cs="Book Antiqua"/>
          <w:color w:val="000000"/>
        </w:rPr>
        <w:t xml:space="preserve">olorimetric </w:t>
      </w:r>
      <w:r w:rsidR="00B30276">
        <w:rPr>
          <w:rFonts w:ascii="Book Antiqua" w:eastAsia="Book Antiqua" w:hAnsi="Book Antiqua" w:cs="Book Antiqua"/>
          <w:color w:val="000000"/>
        </w:rPr>
        <w:t>A</w:t>
      </w:r>
      <w:r w:rsidRPr="004464B3">
        <w:rPr>
          <w:rFonts w:ascii="Book Antiqua" w:eastAsia="Book Antiqua" w:hAnsi="Book Antiqua" w:cs="Book Antiqua"/>
          <w:color w:val="000000"/>
        </w:rPr>
        <w:t xml:space="preserve">ssay </w:t>
      </w:r>
      <w:r w:rsidR="00B30276">
        <w:rPr>
          <w:rFonts w:ascii="Book Antiqua" w:eastAsia="Book Antiqua" w:hAnsi="Book Antiqua" w:cs="Book Antiqua"/>
          <w:color w:val="000000"/>
        </w:rPr>
        <w:t>K</w:t>
      </w:r>
      <w:r w:rsidRPr="004464B3">
        <w:rPr>
          <w:rFonts w:ascii="Book Antiqua" w:eastAsia="Book Antiqua" w:hAnsi="Book Antiqua" w:cs="Book Antiqua"/>
          <w:color w:val="000000"/>
        </w:rPr>
        <w:t>it (MAK089</w:t>
      </w:r>
      <w:r w:rsidR="00944E36">
        <w:rPr>
          <w:rFonts w:ascii="Book Antiqua" w:eastAsia="Book Antiqua" w:hAnsi="Book Antiqua" w:cs="Book Antiqua"/>
          <w:color w:val="000000"/>
        </w:rPr>
        <w:t>;</w:t>
      </w:r>
      <w:r w:rsidRPr="004464B3">
        <w:rPr>
          <w:rFonts w:ascii="Book Antiqua" w:eastAsia="Book Antiqua" w:hAnsi="Book Antiqua" w:cs="Book Antiqua"/>
          <w:color w:val="000000"/>
        </w:rPr>
        <w:t xml:space="preserve"> Merck KGaA) was used according to the manufacturer’s protocol.</w:t>
      </w:r>
    </w:p>
    <w:p w14:paraId="40C04458" w14:textId="77777777" w:rsidR="00A77B3E" w:rsidRPr="004464B3" w:rsidRDefault="00A77B3E" w:rsidP="001D68DD">
      <w:pPr>
        <w:spacing w:line="360" w:lineRule="auto"/>
        <w:jc w:val="both"/>
        <w:rPr>
          <w:rFonts w:ascii="Book Antiqua" w:hAnsi="Book Antiqua"/>
        </w:rPr>
      </w:pPr>
    </w:p>
    <w:p w14:paraId="2B0AC561" w14:textId="0CD2DFC5"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i/>
          <w:iCs/>
          <w:color w:val="000000"/>
        </w:rPr>
        <w:t xml:space="preserve">Cell </w:t>
      </w:r>
      <w:r w:rsidR="00561F7F" w:rsidRPr="004464B3">
        <w:rPr>
          <w:rFonts w:ascii="Book Antiqua" w:eastAsia="Book Antiqua" w:hAnsi="Book Antiqua" w:cs="Book Antiqua"/>
          <w:b/>
          <w:bCs/>
          <w:i/>
          <w:iCs/>
          <w:color w:val="000000"/>
        </w:rPr>
        <w:t>r</w:t>
      </w:r>
      <w:r w:rsidRPr="004464B3">
        <w:rPr>
          <w:rFonts w:ascii="Book Antiqua" w:eastAsia="Book Antiqua" w:hAnsi="Book Antiqua" w:cs="Book Antiqua"/>
          <w:b/>
          <w:bCs/>
          <w:i/>
          <w:iCs/>
          <w:color w:val="000000"/>
        </w:rPr>
        <w:t>espirometry</w:t>
      </w:r>
    </w:p>
    <w:p w14:paraId="5742D2CF" w14:textId="773979BA" w:rsidR="00A77B3E" w:rsidRPr="00A2665F"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HepaRG cells</w:t>
      </w:r>
      <w:r w:rsidR="00021291">
        <w:rPr>
          <w:rFonts w:ascii="Book Antiqua" w:eastAsia="Book Antiqua" w:hAnsi="Book Antiqua" w:cs="Book Antiqua"/>
          <w:color w:val="000000"/>
        </w:rPr>
        <w:t xml:space="preserve"> (</w:t>
      </w:r>
      <w:r w:rsidR="00021291" w:rsidRPr="00383EC6">
        <w:rPr>
          <w:rFonts w:ascii="Book Antiqua" w:eastAsia="Book Antiqua" w:hAnsi="Book Antiqua" w:cs="Book Antiqua"/>
          <w:color w:val="000000"/>
        </w:rPr>
        <w:t>5.0 × 10</w:t>
      </w:r>
      <w:r w:rsidR="00021291" w:rsidRPr="00383EC6">
        <w:rPr>
          <w:rFonts w:ascii="Book Antiqua" w:eastAsia="Book Antiqua" w:hAnsi="Book Antiqua" w:cs="Book Antiqua"/>
          <w:color w:val="000000"/>
          <w:vertAlign w:val="superscript"/>
        </w:rPr>
        <w:t>6</w:t>
      </w:r>
      <w:r w:rsidR="00021291" w:rsidRPr="00383EC6">
        <w:rPr>
          <w:rFonts w:ascii="Book Antiqua" w:eastAsia="Book Antiqua" w:hAnsi="Book Antiqua" w:cs="Book Antiqua"/>
          <w:color w:val="000000"/>
        </w:rPr>
        <w:t xml:space="preserve"> </w:t>
      </w:r>
      <w:r w:rsidR="00021291">
        <w:rPr>
          <w:rFonts w:ascii="Book Antiqua" w:eastAsia="Book Antiqua" w:hAnsi="Book Antiqua" w:cs="Book Antiqua"/>
          <w:color w:val="000000"/>
        </w:rPr>
        <w:t>cells)</w:t>
      </w:r>
      <w:r w:rsidRPr="00021291">
        <w:rPr>
          <w:rFonts w:ascii="Book Antiqua" w:eastAsia="Book Antiqua" w:hAnsi="Book Antiqua" w:cs="Book Antiqua"/>
          <w:color w:val="000000"/>
        </w:rPr>
        <w:t xml:space="preserve"> were washed with PBS and resuspended in 10 mmol/L KH</w:t>
      </w:r>
      <w:r w:rsidRPr="00021291">
        <w:rPr>
          <w:rFonts w:ascii="Book Antiqua" w:eastAsia="Book Antiqua" w:hAnsi="Book Antiqua" w:cs="Book Antiqua"/>
          <w:color w:val="000000"/>
          <w:vertAlign w:val="subscript"/>
        </w:rPr>
        <w:t>2</w:t>
      </w:r>
      <w:r w:rsidRPr="00021291">
        <w:rPr>
          <w:rFonts w:ascii="Book Antiqua" w:eastAsia="Book Antiqua" w:hAnsi="Book Antiqua" w:cs="Book Antiqua"/>
          <w:color w:val="000000"/>
        </w:rPr>
        <w:t>PO</w:t>
      </w:r>
      <w:r w:rsidRPr="00021291">
        <w:rPr>
          <w:rFonts w:ascii="Book Antiqua" w:eastAsia="Book Antiqua" w:hAnsi="Book Antiqua" w:cs="Book Antiqua"/>
          <w:color w:val="000000"/>
          <w:vertAlign w:val="subscript"/>
        </w:rPr>
        <w:t>4</w:t>
      </w:r>
      <w:r w:rsidRPr="00021291">
        <w:rPr>
          <w:rFonts w:ascii="Book Antiqua" w:eastAsia="Book Antiqua" w:hAnsi="Book Antiqua" w:cs="Book Antiqua"/>
          <w:color w:val="000000"/>
        </w:rPr>
        <w:t>, 27 mmol/L KCl, 1 mmol/L MgCl</w:t>
      </w:r>
      <w:r w:rsidRPr="00021291">
        <w:rPr>
          <w:rFonts w:ascii="Book Antiqua" w:eastAsia="Book Antiqua" w:hAnsi="Book Antiqua" w:cs="Book Antiqua"/>
          <w:color w:val="000000"/>
          <w:vertAlign w:val="subscript"/>
        </w:rPr>
        <w:t>2</w:t>
      </w:r>
      <w:r w:rsidRPr="005E2C5B">
        <w:rPr>
          <w:rFonts w:ascii="Book Antiqua" w:eastAsia="Book Antiqua" w:hAnsi="Book Antiqua" w:cs="Book Antiqua"/>
          <w:color w:val="000000"/>
        </w:rPr>
        <w:t>, 40 mmol/L HEPES, 0.5 mmol/L EGTA buffer (pH 7.1)</w:t>
      </w:r>
      <w:r w:rsidRPr="00C07CA7">
        <w:rPr>
          <w:rFonts w:ascii="Book Antiqua" w:eastAsia="Book Antiqua" w:hAnsi="Book Antiqua" w:cs="Book Antiqua"/>
          <w:color w:val="000000"/>
        </w:rPr>
        <w:t xml:space="preserve">, and assayed for </w:t>
      </w:r>
      <w:r w:rsidR="00C02936">
        <w:rPr>
          <w:rFonts w:ascii="Book Antiqua" w:eastAsia="Book Antiqua" w:hAnsi="Book Antiqua" w:cs="Book Antiqua"/>
          <w:color w:val="000000"/>
        </w:rPr>
        <w:t>oxygen</w:t>
      </w:r>
      <w:r w:rsidR="00C02936" w:rsidRPr="00C02936">
        <w:rPr>
          <w:rFonts w:ascii="Book Antiqua" w:eastAsia="Book Antiqua" w:hAnsi="Book Antiqua" w:cs="Book Antiqua"/>
          <w:color w:val="000000"/>
        </w:rPr>
        <w:t xml:space="preserve"> </w:t>
      </w:r>
      <w:r w:rsidRPr="00C02936">
        <w:rPr>
          <w:rFonts w:ascii="Book Antiqua" w:eastAsia="Book Antiqua" w:hAnsi="Book Antiqua" w:cs="Book Antiqua"/>
          <w:color w:val="000000"/>
        </w:rPr>
        <w:t xml:space="preserve">consumption by the Oxygraph Plus System </w:t>
      </w:r>
      <w:r w:rsidRPr="00C02936">
        <w:rPr>
          <w:rFonts w:ascii="Book Antiqua" w:eastAsia="Book Antiqua" w:hAnsi="Book Antiqua" w:cs="Book Antiqua"/>
          <w:color w:val="000000"/>
        </w:rPr>
        <w:lastRenderedPageBreak/>
        <w:t>(Hansatech Instruments</w:t>
      </w:r>
      <w:r w:rsidR="00021291">
        <w:rPr>
          <w:rFonts w:ascii="Book Antiqua" w:eastAsia="Book Antiqua" w:hAnsi="Book Antiqua" w:cs="Book Antiqua"/>
          <w:color w:val="000000"/>
        </w:rPr>
        <w:t>, Norfolk, UK</w:t>
      </w:r>
      <w:r w:rsidRPr="00021291">
        <w:rPr>
          <w:rFonts w:ascii="Book Antiqua" w:eastAsia="Book Antiqua" w:hAnsi="Book Antiqua" w:cs="Book Antiqua"/>
          <w:color w:val="000000"/>
        </w:rPr>
        <w:t>) at 37°C under continuous stirring. Oligomycin (8</w:t>
      </w:r>
      <w:r w:rsidR="009F666C" w:rsidRPr="00021291">
        <w:rPr>
          <w:rFonts w:ascii="Book Antiqua" w:eastAsia="Book Antiqua" w:hAnsi="Book Antiqua" w:cs="Book Antiqua"/>
          <w:color w:val="000000"/>
        </w:rPr>
        <w:t xml:space="preserve"> μ</w:t>
      </w:r>
      <w:r w:rsidRPr="00021291">
        <w:rPr>
          <w:rFonts w:ascii="Book Antiqua" w:eastAsia="Book Antiqua" w:hAnsi="Book Antiqua" w:cs="Book Antiqua"/>
          <w:color w:val="000000"/>
        </w:rPr>
        <w:t>g/mL) was added followed the addition of valinomycin (2</w:t>
      </w:r>
      <w:r w:rsidR="009F666C" w:rsidRPr="00021291">
        <w:rPr>
          <w:rFonts w:ascii="Book Antiqua" w:eastAsia="Book Antiqua" w:hAnsi="Book Antiqua" w:cs="Book Antiqua"/>
          <w:color w:val="000000"/>
        </w:rPr>
        <w:t xml:space="preserve"> μ</w:t>
      </w:r>
      <w:r w:rsidRPr="00C02936">
        <w:rPr>
          <w:rFonts w:ascii="Book Antiqua" w:eastAsia="Book Antiqua" w:hAnsi="Book Antiqua" w:cs="Book Antiqua"/>
          <w:color w:val="000000"/>
        </w:rPr>
        <w:t>g/mL) after 5 min. The rates of oxygen consumption</w:t>
      </w:r>
      <w:r w:rsidR="009F666C" w:rsidRPr="00C02936">
        <w:rPr>
          <w:rFonts w:ascii="Book Antiqua" w:eastAsia="Book Antiqua" w:hAnsi="Book Antiqua" w:cs="Book Antiqua"/>
          <w:color w:val="000000"/>
        </w:rPr>
        <w:t xml:space="preserve"> </w:t>
      </w:r>
      <w:r w:rsidRPr="005E2C5B">
        <w:rPr>
          <w:rFonts w:ascii="Book Antiqua" w:eastAsia="Book Antiqua" w:hAnsi="Book Antiqua" w:cs="Book Antiqua"/>
          <w:color w:val="000000"/>
        </w:rPr>
        <w:t>were corre</w:t>
      </w:r>
      <w:r w:rsidRPr="00C07CA7">
        <w:rPr>
          <w:rFonts w:ascii="Book Antiqua" w:eastAsia="Book Antiqua" w:hAnsi="Book Antiqua" w:cs="Book Antiqua"/>
          <w:color w:val="000000"/>
        </w:rPr>
        <w:t xml:space="preserve">cted for 3 mmol/L </w:t>
      </w:r>
      <w:r w:rsidR="006B63C8">
        <w:rPr>
          <w:rFonts w:ascii="Book Antiqua" w:eastAsia="Book Antiqua" w:hAnsi="Book Antiqua" w:cs="Book Antiqua"/>
          <w:color w:val="000000"/>
        </w:rPr>
        <w:t>potassium cyanide (</w:t>
      </w:r>
      <w:r w:rsidRPr="00C07CA7">
        <w:rPr>
          <w:rFonts w:ascii="Book Antiqua" w:eastAsia="Book Antiqua" w:hAnsi="Book Antiqua" w:cs="Book Antiqua"/>
          <w:color w:val="000000"/>
        </w:rPr>
        <w:t>KCN</w:t>
      </w:r>
      <w:r w:rsidR="006B63C8">
        <w:rPr>
          <w:rFonts w:ascii="Book Antiqua" w:eastAsia="Book Antiqua" w:hAnsi="Book Antiqua" w:cs="Book Antiqua"/>
          <w:color w:val="000000"/>
        </w:rPr>
        <w:t>)</w:t>
      </w:r>
      <w:r w:rsidRPr="00C07CA7">
        <w:rPr>
          <w:rFonts w:ascii="Book Antiqua" w:eastAsia="Book Antiqua" w:hAnsi="Book Antiqua" w:cs="Book Antiqua"/>
          <w:color w:val="000000"/>
        </w:rPr>
        <w:t>-insensitive respiration and normalized to the cell number. Each experiment was repeated in triplicate.</w:t>
      </w:r>
    </w:p>
    <w:p w14:paraId="399E2E5C" w14:textId="77777777" w:rsidR="00A77B3E" w:rsidRPr="006B63C8" w:rsidRDefault="00A77B3E" w:rsidP="001D68DD">
      <w:pPr>
        <w:spacing w:line="360" w:lineRule="auto"/>
        <w:jc w:val="both"/>
        <w:rPr>
          <w:rFonts w:ascii="Book Antiqua" w:hAnsi="Book Antiqua"/>
        </w:rPr>
      </w:pPr>
    </w:p>
    <w:p w14:paraId="04654D2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i/>
          <w:iCs/>
          <w:color w:val="000000"/>
        </w:rPr>
        <w:t>Intracellular ATP content</w:t>
      </w:r>
    </w:p>
    <w:p w14:paraId="3D4C85F7" w14:textId="594AFBDA" w:rsidR="00A77B3E" w:rsidRPr="005A4F6B"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Total intracellular ATP was quantified using the ENLITEN</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ATP Assay System (FF2000</w:t>
      </w:r>
      <w:r w:rsidR="005E2C5B">
        <w:rPr>
          <w:rFonts w:ascii="Book Antiqua" w:eastAsia="Book Antiqua" w:hAnsi="Book Antiqua" w:cs="Book Antiqua"/>
          <w:color w:val="000000"/>
        </w:rPr>
        <w:t>;</w:t>
      </w:r>
      <w:r w:rsidRPr="004464B3">
        <w:rPr>
          <w:rFonts w:ascii="Book Antiqua" w:eastAsia="Book Antiqua" w:hAnsi="Book Antiqua" w:cs="Book Antiqua"/>
          <w:color w:val="000000"/>
        </w:rPr>
        <w:t xml:space="preserve"> Promega Corporation, Madison, WI, </w:t>
      </w:r>
      <w:r w:rsidR="00951BDE" w:rsidRPr="004464B3">
        <w:rPr>
          <w:rFonts w:ascii="Book Antiqua" w:eastAsia="Book Antiqua" w:hAnsi="Book Antiqua" w:cs="Book Antiqua"/>
          <w:color w:val="000000"/>
        </w:rPr>
        <w:t>United States</w:t>
      </w:r>
      <w:r w:rsidRPr="004464B3">
        <w:rPr>
          <w:rFonts w:ascii="Book Antiqua" w:eastAsia="Book Antiqua" w:hAnsi="Book Antiqua" w:cs="Book Antiqua"/>
          <w:color w:val="000000"/>
        </w:rPr>
        <w:t xml:space="preserve">), according to the manufacturer’s instructions. This assay is based on luciferase, </w:t>
      </w:r>
      <w:r w:rsidR="005E2C5B">
        <w:rPr>
          <w:rFonts w:ascii="Book Antiqua" w:eastAsia="Book Antiqua" w:hAnsi="Book Antiqua" w:cs="Book Antiqua"/>
          <w:color w:val="000000"/>
        </w:rPr>
        <w:t xml:space="preserve">and </w:t>
      </w:r>
      <w:r w:rsidRPr="005E2C5B">
        <w:rPr>
          <w:rFonts w:ascii="Book Antiqua" w:eastAsia="Book Antiqua" w:hAnsi="Book Antiqua" w:cs="Book Antiqua"/>
          <w:color w:val="000000"/>
        </w:rPr>
        <w:t>used as the cataly</w:t>
      </w:r>
      <w:r w:rsidR="00D45BC2" w:rsidRPr="005E2C5B">
        <w:rPr>
          <w:rFonts w:ascii="Book Antiqua" w:eastAsia="Book Antiqua" w:hAnsi="Book Antiqua" w:cs="Book Antiqua"/>
          <w:color w:val="000000"/>
        </w:rPr>
        <w:t>z</w:t>
      </w:r>
      <w:r w:rsidRPr="005E2C5B">
        <w:rPr>
          <w:rFonts w:ascii="Book Antiqua" w:eastAsia="Book Antiqua" w:hAnsi="Book Antiqua" w:cs="Book Antiqua"/>
          <w:color w:val="000000"/>
        </w:rPr>
        <w:t>ing enzyme of the ATP reaction with d-Luciferin. ATP extraction is carried out with trichloroacetic acid reagent</w:t>
      </w:r>
      <w:r w:rsidR="005E2C5B">
        <w:rPr>
          <w:rFonts w:ascii="Book Antiqua" w:eastAsia="Book Antiqua" w:hAnsi="Book Antiqua" w:cs="Book Antiqua"/>
          <w:color w:val="000000"/>
        </w:rPr>
        <w:t>,</w:t>
      </w:r>
      <w:r w:rsidRPr="005E2C5B">
        <w:rPr>
          <w:rFonts w:ascii="Book Antiqua" w:eastAsia="Book Antiqua" w:hAnsi="Book Antiqua" w:cs="Book Antiqua"/>
          <w:color w:val="000000"/>
        </w:rPr>
        <w:t xml:space="preserve"> which releases ATP from cells, preventing its enzymatic degradation. After addition of the enzyme re</w:t>
      </w:r>
      <w:r w:rsidR="005E2C5B">
        <w:rPr>
          <w:rFonts w:ascii="Book Antiqua" w:eastAsia="Book Antiqua" w:hAnsi="Book Antiqua" w:cs="Book Antiqua"/>
          <w:color w:val="000000"/>
        </w:rPr>
        <w:t>a</w:t>
      </w:r>
      <w:r w:rsidRPr="005E2C5B">
        <w:rPr>
          <w:rFonts w:ascii="Book Antiqua" w:eastAsia="Book Antiqua" w:hAnsi="Book Antiqua" w:cs="Book Antiqua"/>
          <w:color w:val="000000"/>
        </w:rPr>
        <w:t>gent to the intracellular extract, light emission was detected by a luminometer at 560 nm (DTX 880 Microplate Reader</w:t>
      </w:r>
      <w:r w:rsidR="005E2C5B">
        <w:rPr>
          <w:rFonts w:ascii="Book Antiqua" w:eastAsia="Book Antiqua" w:hAnsi="Book Antiqua" w:cs="Book Antiqua"/>
          <w:color w:val="000000"/>
        </w:rPr>
        <w:t>;</w:t>
      </w:r>
      <w:r w:rsidRPr="005E2C5B">
        <w:rPr>
          <w:rFonts w:ascii="Book Antiqua" w:eastAsia="Book Antiqua" w:hAnsi="Book Antiqua" w:cs="Book Antiqua"/>
          <w:color w:val="000000"/>
        </w:rPr>
        <w:t xml:space="preserve"> Beckman Coulter, Brea, C</w:t>
      </w:r>
      <w:r w:rsidR="00BE7E39" w:rsidRPr="005E2C5B">
        <w:rPr>
          <w:rFonts w:ascii="Book Antiqua" w:eastAsia="Book Antiqua" w:hAnsi="Book Antiqua" w:cs="Book Antiqua"/>
          <w:color w:val="000000"/>
        </w:rPr>
        <w:t>A</w:t>
      </w:r>
      <w:r w:rsidRPr="005E2C5B">
        <w:rPr>
          <w:rFonts w:ascii="Book Antiqua" w:eastAsia="Book Antiqua" w:hAnsi="Book Antiqua" w:cs="Book Antiqua"/>
          <w:color w:val="000000"/>
        </w:rPr>
        <w:t xml:space="preserve">, </w:t>
      </w:r>
      <w:r w:rsidR="00FD0964" w:rsidRPr="00A2665F">
        <w:rPr>
          <w:rFonts w:ascii="Book Antiqua" w:eastAsia="Book Antiqua" w:hAnsi="Book Antiqua" w:cs="Book Antiqua"/>
          <w:color w:val="000000"/>
        </w:rPr>
        <w:t>United States</w:t>
      </w:r>
      <w:r w:rsidRPr="00A2665F">
        <w:rPr>
          <w:rFonts w:ascii="Book Antiqua" w:eastAsia="Book Antiqua" w:hAnsi="Book Antiqua" w:cs="Book Antiqua"/>
          <w:color w:val="000000"/>
        </w:rPr>
        <w:t>).</w:t>
      </w:r>
    </w:p>
    <w:p w14:paraId="3BBC1731" w14:textId="77777777" w:rsidR="00A77B3E" w:rsidRPr="006B63C8" w:rsidRDefault="00A77B3E" w:rsidP="001D68DD">
      <w:pPr>
        <w:spacing w:line="360" w:lineRule="auto"/>
        <w:jc w:val="both"/>
        <w:rPr>
          <w:rFonts w:ascii="Book Antiqua" w:hAnsi="Book Antiqua"/>
        </w:rPr>
      </w:pPr>
    </w:p>
    <w:p w14:paraId="39D2911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i/>
          <w:iCs/>
          <w:color w:val="000000"/>
        </w:rPr>
        <w:t>Intracellular NAD</w:t>
      </w:r>
      <w:r w:rsidRPr="004464B3">
        <w:rPr>
          <w:rFonts w:ascii="Book Antiqua" w:eastAsia="Book Antiqua" w:hAnsi="Book Antiqua" w:cs="Book Antiqua"/>
          <w:b/>
          <w:bCs/>
          <w:i/>
          <w:iCs/>
          <w:color w:val="000000"/>
          <w:vertAlign w:val="superscript"/>
        </w:rPr>
        <w:t>+</w:t>
      </w:r>
      <w:r w:rsidRPr="004464B3">
        <w:rPr>
          <w:rFonts w:ascii="Book Antiqua" w:eastAsia="Book Antiqua" w:hAnsi="Book Antiqua" w:cs="Book Antiqua"/>
          <w:b/>
          <w:bCs/>
          <w:i/>
          <w:iCs/>
          <w:color w:val="000000"/>
        </w:rPr>
        <w:t>/NADH content</w:t>
      </w:r>
    </w:p>
    <w:p w14:paraId="5E13D99E" w14:textId="6CE4D517" w:rsidR="00A77B3E" w:rsidRPr="00C07CA7"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Total intracellular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/NADH was quantified using the NAD/NADH-Glo Bioluminescent Assay </w:t>
      </w:r>
      <w:r w:rsidR="00C07CA7">
        <w:rPr>
          <w:rFonts w:ascii="Book Antiqua" w:eastAsia="Book Antiqua" w:hAnsi="Book Antiqua" w:cs="Book Antiqua"/>
          <w:color w:val="000000"/>
        </w:rPr>
        <w:t>K</w:t>
      </w:r>
      <w:r w:rsidRPr="004464B3">
        <w:rPr>
          <w:rFonts w:ascii="Book Antiqua" w:eastAsia="Book Antiqua" w:hAnsi="Book Antiqua" w:cs="Book Antiqua"/>
          <w:color w:val="000000"/>
        </w:rPr>
        <w:t>it (G9072</w:t>
      </w:r>
      <w:r w:rsidR="00C07CA7">
        <w:rPr>
          <w:rFonts w:ascii="Book Antiqua" w:eastAsia="Book Antiqua" w:hAnsi="Book Antiqua" w:cs="Book Antiqua"/>
          <w:color w:val="000000"/>
        </w:rPr>
        <w:t>;</w:t>
      </w:r>
      <w:r w:rsidRPr="004464B3">
        <w:rPr>
          <w:rFonts w:ascii="Book Antiqua" w:eastAsia="Book Antiqua" w:hAnsi="Book Antiqua" w:cs="Book Antiqua"/>
          <w:color w:val="000000"/>
        </w:rPr>
        <w:t xml:space="preserve"> Promega Corporation, </w:t>
      </w:r>
      <w:r w:rsidR="003C636E" w:rsidRPr="004464B3">
        <w:rPr>
          <w:rFonts w:ascii="Book Antiqua" w:eastAsia="Book Antiqua" w:hAnsi="Book Antiqua" w:cs="Book Antiqua"/>
          <w:color w:val="000000"/>
        </w:rPr>
        <w:t>United States</w:t>
      </w:r>
      <w:r w:rsidRPr="004464B3">
        <w:rPr>
          <w:rFonts w:ascii="Book Antiqua" w:eastAsia="Book Antiqua" w:hAnsi="Book Antiqua" w:cs="Book Antiqua"/>
          <w:color w:val="000000"/>
        </w:rPr>
        <w:t xml:space="preserve">), according to the manufacturer’s instructions. HepaRG cells were first lysed with </w:t>
      </w:r>
      <w:r w:rsidR="006B63C8" w:rsidRPr="004464B3">
        <w:rPr>
          <w:rFonts w:ascii="Book Antiqua" w:eastAsia="Book Antiqua" w:hAnsi="Book Antiqua" w:cs="Book Antiqua"/>
          <w:color w:val="000000"/>
        </w:rPr>
        <w:t>dodecyl trimethyl</w:t>
      </w:r>
      <w:r w:rsidRPr="004464B3">
        <w:rPr>
          <w:rFonts w:ascii="Book Antiqua" w:eastAsia="Book Antiqua" w:hAnsi="Book Antiqua" w:cs="Book Antiqua"/>
          <w:color w:val="000000"/>
        </w:rPr>
        <w:t xml:space="preserve"> ammonium bromide</w:t>
      </w:r>
      <w:r w:rsidR="000E7E1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and treated to neutralize their counterparts. To measure NAD</w:t>
      </w:r>
      <w:r w:rsidRPr="004464B3">
        <w:rPr>
          <w:rFonts w:ascii="Book Antiqua" w:eastAsia="Book Antiqua" w:hAnsi="Book Antiqua" w:cs="Book Antiqua"/>
          <w:color w:val="000000"/>
          <w:vertAlign w:val="superscript"/>
        </w:rPr>
        <w:t>+</w:t>
      </w:r>
      <w:r w:rsidR="00D45BC2"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the extract was treated with 25 μL of 0.4 N HCl and heated at 60°C for 15 min, incubated at RT for 10 min, following the addition of 25 μL Trizma base. To quantify NADH, the extract was incubated at 60°C for 15 min followed by further</w:t>
      </w:r>
      <w:r w:rsidR="00C07CA7">
        <w:rPr>
          <w:rFonts w:ascii="Book Antiqua" w:eastAsia="Book Antiqua" w:hAnsi="Book Antiqua" w:cs="Book Antiqua"/>
          <w:color w:val="000000"/>
        </w:rPr>
        <w:t xml:space="preserve"> incubation for</w:t>
      </w:r>
      <w:r w:rsidRPr="00C07CA7">
        <w:rPr>
          <w:rFonts w:ascii="Book Antiqua" w:eastAsia="Book Antiqua" w:hAnsi="Book Antiqua" w:cs="Book Antiqua"/>
          <w:color w:val="000000"/>
        </w:rPr>
        <w:t xml:space="preserve"> 10 min at RT. </w:t>
      </w:r>
      <w:r w:rsidR="00C07CA7">
        <w:rPr>
          <w:rFonts w:ascii="Book Antiqua" w:eastAsia="Book Antiqua" w:hAnsi="Book Antiqua" w:cs="Book Antiqua"/>
          <w:color w:val="000000"/>
        </w:rPr>
        <w:t xml:space="preserve">Then 50 </w:t>
      </w:r>
      <w:r w:rsidR="00C07CA7">
        <w:rPr>
          <w:rFonts w:ascii="Symbol" w:eastAsia="Book Antiqua" w:hAnsi="Symbol" w:cs="Book Antiqua"/>
          <w:color w:val="000000"/>
        </w:rPr>
        <w:t>m</w:t>
      </w:r>
      <w:r w:rsidR="00C07CA7">
        <w:rPr>
          <w:rFonts w:ascii="Book Antiqua" w:eastAsia="Book Antiqua" w:hAnsi="Book Antiqua" w:cs="Book Antiqua"/>
          <w:color w:val="000000"/>
        </w:rPr>
        <w:t xml:space="preserve">L </w:t>
      </w:r>
      <w:r w:rsidRPr="00C07CA7">
        <w:rPr>
          <w:rFonts w:ascii="Book Antiqua" w:eastAsia="Book Antiqua" w:hAnsi="Book Antiqua" w:cs="Book Antiqua"/>
          <w:color w:val="000000"/>
        </w:rPr>
        <w:t xml:space="preserve">HCl/Trizma solution </w:t>
      </w:r>
      <w:r w:rsidR="00C07CA7">
        <w:rPr>
          <w:rFonts w:ascii="Book Antiqua" w:eastAsia="Book Antiqua" w:hAnsi="Book Antiqua" w:cs="Book Antiqua"/>
          <w:color w:val="000000"/>
        </w:rPr>
        <w:t>was</w:t>
      </w:r>
      <w:r w:rsidR="00C07CA7" w:rsidRPr="00C07CA7">
        <w:rPr>
          <w:rFonts w:ascii="Book Antiqua" w:eastAsia="Book Antiqua" w:hAnsi="Book Antiqua" w:cs="Book Antiqua"/>
          <w:color w:val="000000"/>
        </w:rPr>
        <w:t xml:space="preserve"> </w:t>
      </w:r>
      <w:r w:rsidRPr="00C07CA7">
        <w:rPr>
          <w:rFonts w:ascii="Book Antiqua" w:eastAsia="Book Antiqua" w:hAnsi="Book Antiqua" w:cs="Book Antiqua"/>
          <w:color w:val="000000"/>
        </w:rPr>
        <w:t>added to the extract. In the presence of each species, a reductase reduced a pro-luciferin reductase to luciferin. The intensity of light (proportional to the amount of each metabolite) was detected by a luminometer (DTX 880 Microplate Reader</w:t>
      </w:r>
      <w:r w:rsidR="00C07CA7">
        <w:rPr>
          <w:rFonts w:ascii="Book Antiqua" w:eastAsia="Book Antiqua" w:hAnsi="Book Antiqua" w:cs="Book Antiqua"/>
          <w:color w:val="000000"/>
        </w:rPr>
        <w:t>;</w:t>
      </w:r>
      <w:r w:rsidRPr="00C07CA7">
        <w:rPr>
          <w:rFonts w:ascii="Book Antiqua" w:eastAsia="Book Antiqua" w:hAnsi="Book Antiqua" w:cs="Book Antiqua"/>
          <w:color w:val="000000"/>
        </w:rPr>
        <w:t xml:space="preserve"> Beckman Coulter).</w:t>
      </w:r>
    </w:p>
    <w:p w14:paraId="3A907530" w14:textId="77777777" w:rsidR="00A77B3E" w:rsidRPr="00A2665F" w:rsidRDefault="00A77B3E" w:rsidP="001D68DD">
      <w:pPr>
        <w:spacing w:line="360" w:lineRule="auto"/>
        <w:jc w:val="both"/>
        <w:rPr>
          <w:rFonts w:ascii="Book Antiqua" w:hAnsi="Book Antiqua"/>
        </w:rPr>
      </w:pPr>
    </w:p>
    <w:p w14:paraId="52EC96C4" w14:textId="21CFBEF4" w:rsidR="00A77B3E" w:rsidRPr="004464B3" w:rsidRDefault="0068711B" w:rsidP="001D68DD">
      <w:pPr>
        <w:spacing w:line="360" w:lineRule="auto"/>
        <w:jc w:val="both"/>
        <w:rPr>
          <w:rFonts w:ascii="Book Antiqua" w:hAnsi="Book Antiqua"/>
        </w:rPr>
      </w:pPr>
      <w:r w:rsidRPr="00A2665F">
        <w:rPr>
          <w:rFonts w:ascii="Book Antiqua" w:eastAsia="Book Antiqua" w:hAnsi="Book Antiqua" w:cs="Book Antiqua"/>
          <w:b/>
          <w:bCs/>
          <w:i/>
          <w:iCs/>
          <w:color w:val="000000"/>
        </w:rPr>
        <w:t>Statistical analys</w:t>
      </w:r>
      <w:r w:rsidR="000F759C">
        <w:rPr>
          <w:rFonts w:ascii="Book Antiqua" w:eastAsia="Book Antiqua" w:hAnsi="Book Antiqua" w:cs="Book Antiqua"/>
          <w:b/>
          <w:bCs/>
          <w:i/>
          <w:iCs/>
          <w:color w:val="000000"/>
        </w:rPr>
        <w:t>e</w:t>
      </w:r>
      <w:r w:rsidRPr="004464B3">
        <w:rPr>
          <w:rFonts w:ascii="Book Antiqua" w:eastAsia="Book Antiqua" w:hAnsi="Book Antiqua" w:cs="Book Antiqua"/>
          <w:b/>
          <w:bCs/>
          <w:i/>
          <w:iCs/>
          <w:color w:val="000000"/>
        </w:rPr>
        <w:t>s</w:t>
      </w:r>
    </w:p>
    <w:p w14:paraId="5960BF5C" w14:textId="3585F0F5"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 xml:space="preserve">Data </w:t>
      </w:r>
      <w:r w:rsidR="000F759C">
        <w:rPr>
          <w:rFonts w:ascii="Book Antiqua" w:eastAsia="Book Antiqua" w:hAnsi="Book Antiqua" w:cs="Book Antiqua"/>
          <w:color w:val="000000"/>
        </w:rPr>
        <w:t>are</w:t>
      </w:r>
      <w:r w:rsidR="000F759C" w:rsidRPr="000F759C">
        <w:rPr>
          <w:rFonts w:ascii="Book Antiqua" w:eastAsia="Book Antiqua" w:hAnsi="Book Antiqua" w:cs="Book Antiqua"/>
          <w:color w:val="000000"/>
        </w:rPr>
        <w:t xml:space="preserve"> </w:t>
      </w:r>
      <w:r w:rsidRPr="000F759C">
        <w:rPr>
          <w:rFonts w:ascii="Book Antiqua" w:eastAsia="Book Antiqua" w:hAnsi="Book Antiqua" w:cs="Book Antiqua"/>
          <w:color w:val="000000"/>
        </w:rPr>
        <w:t xml:space="preserve">expressed as </w:t>
      </w:r>
      <w:r w:rsidR="000F759C">
        <w:rPr>
          <w:rFonts w:ascii="Book Antiqua" w:eastAsia="Book Antiqua" w:hAnsi="Book Antiqua" w:cs="Book Antiqua"/>
          <w:color w:val="000000"/>
        </w:rPr>
        <w:t xml:space="preserve">the </w:t>
      </w:r>
      <w:r w:rsidRPr="000F759C">
        <w:rPr>
          <w:rFonts w:ascii="Book Antiqua" w:eastAsia="Book Antiqua" w:hAnsi="Book Antiqua" w:cs="Book Antiqua"/>
          <w:color w:val="000000"/>
        </w:rPr>
        <w:t xml:space="preserve">mean ± </w:t>
      </w:r>
      <w:r w:rsidR="000F759C">
        <w:rPr>
          <w:rFonts w:ascii="Book Antiqua" w:eastAsia="Book Antiqua" w:hAnsi="Book Antiqua" w:cs="Book Antiqua"/>
          <w:color w:val="000000"/>
        </w:rPr>
        <w:t xml:space="preserve">standard deviation </w:t>
      </w:r>
      <w:r w:rsidRPr="000F759C">
        <w:rPr>
          <w:rFonts w:ascii="Book Antiqua" w:eastAsia="Book Antiqua" w:hAnsi="Book Antiqua" w:cs="Book Antiqua"/>
          <w:color w:val="000000"/>
        </w:rPr>
        <w:t xml:space="preserve">of three different experiments. Within-group variability was analyzed </w:t>
      </w:r>
      <w:r w:rsidR="000F759C">
        <w:rPr>
          <w:rFonts w:ascii="Book Antiqua" w:eastAsia="Book Antiqua" w:hAnsi="Book Antiqua" w:cs="Book Antiqua"/>
          <w:color w:val="000000"/>
        </w:rPr>
        <w:t>using</w:t>
      </w:r>
      <w:r w:rsidR="000F759C" w:rsidRPr="000F759C">
        <w:rPr>
          <w:rFonts w:ascii="Book Antiqua" w:eastAsia="Book Antiqua" w:hAnsi="Book Antiqua" w:cs="Book Antiqua"/>
          <w:color w:val="000000"/>
        </w:rPr>
        <w:t xml:space="preserve"> </w:t>
      </w:r>
      <w:r w:rsidRPr="000F759C">
        <w:rPr>
          <w:rFonts w:ascii="Book Antiqua" w:eastAsia="Book Antiqua" w:hAnsi="Book Antiqua" w:cs="Book Antiqua"/>
          <w:color w:val="000000"/>
        </w:rPr>
        <w:t xml:space="preserve">Levene’s test for homogeneity of variances. Differences between two groups (P10 </w:t>
      </w:r>
      <w:r w:rsidRPr="000F759C">
        <w:rPr>
          <w:rFonts w:ascii="Book Antiqua" w:eastAsia="Book Antiqua" w:hAnsi="Book Antiqua" w:cs="Book Antiqua"/>
          <w:i/>
          <w:iCs/>
          <w:color w:val="000000"/>
        </w:rPr>
        <w:t>v</w:t>
      </w:r>
      <w:r w:rsidR="00962049" w:rsidRPr="000F759C">
        <w:rPr>
          <w:rFonts w:ascii="Book Antiqua" w:eastAsia="Book Antiqua" w:hAnsi="Book Antiqua" w:cs="Book Antiqua"/>
          <w:i/>
          <w:iCs/>
          <w:color w:val="000000"/>
        </w:rPr>
        <w:t>s</w:t>
      </w:r>
      <w:r w:rsidRPr="000F759C">
        <w:rPr>
          <w:rFonts w:ascii="Book Antiqua" w:eastAsia="Book Antiqua" w:hAnsi="Book Antiqua" w:cs="Book Antiqua"/>
          <w:color w:val="000000"/>
        </w:rPr>
        <w:t xml:space="preserve"> P20) were determined by the </w:t>
      </w:r>
      <w:r w:rsidR="000F759C">
        <w:rPr>
          <w:rFonts w:ascii="Book Antiqua" w:eastAsia="Book Antiqua" w:hAnsi="Book Antiqua" w:cs="Book Antiqua"/>
          <w:color w:val="000000"/>
        </w:rPr>
        <w:t>S</w:t>
      </w:r>
      <w:r w:rsidRPr="000F759C">
        <w:rPr>
          <w:rFonts w:ascii="Book Antiqua" w:eastAsia="Book Antiqua" w:hAnsi="Book Antiqua" w:cs="Book Antiqua"/>
          <w:color w:val="000000"/>
        </w:rPr>
        <w:t xml:space="preserve">tudent’s </w:t>
      </w:r>
      <w:r w:rsidRPr="00DF7525">
        <w:rPr>
          <w:rFonts w:ascii="Book Antiqua" w:eastAsia="Book Antiqua" w:hAnsi="Book Antiqua" w:cs="Book Antiqua"/>
          <w:i/>
          <w:iCs/>
          <w:color w:val="000000"/>
        </w:rPr>
        <w:t>t</w:t>
      </w:r>
      <w:r w:rsidRPr="000F759C">
        <w:rPr>
          <w:rFonts w:ascii="Book Antiqua" w:eastAsia="Book Antiqua" w:hAnsi="Book Antiqua" w:cs="Book Antiqua"/>
          <w:color w:val="000000"/>
        </w:rPr>
        <w:t xml:space="preserve">-test, while two-way </w:t>
      </w:r>
      <w:r w:rsidR="000F759C">
        <w:rPr>
          <w:rFonts w:ascii="Book Antiqua" w:eastAsia="Book Antiqua" w:hAnsi="Book Antiqua" w:cs="Book Antiqua"/>
          <w:color w:val="000000"/>
        </w:rPr>
        <w:t>analysis of variance</w:t>
      </w:r>
      <w:r w:rsidR="000F759C" w:rsidRPr="000F759C">
        <w:rPr>
          <w:rFonts w:ascii="Book Antiqua" w:eastAsia="Book Antiqua" w:hAnsi="Book Antiqua" w:cs="Book Antiqua"/>
          <w:color w:val="000000"/>
        </w:rPr>
        <w:t xml:space="preserve"> </w:t>
      </w:r>
      <w:r w:rsidRPr="000F759C">
        <w:rPr>
          <w:rFonts w:ascii="Book Antiqua" w:eastAsia="Book Antiqua" w:hAnsi="Book Antiqua" w:cs="Book Antiqua"/>
          <w:color w:val="000000"/>
        </w:rPr>
        <w:t xml:space="preserve">was used to test the main effects of senescence (S, P10 </w:t>
      </w:r>
      <w:r w:rsidRPr="000F759C">
        <w:rPr>
          <w:rFonts w:ascii="Book Antiqua" w:eastAsia="Book Antiqua" w:hAnsi="Book Antiqua" w:cs="Book Antiqua"/>
          <w:i/>
          <w:iCs/>
          <w:color w:val="000000"/>
        </w:rPr>
        <w:t>v</w:t>
      </w:r>
      <w:r w:rsidR="00962049" w:rsidRPr="000F759C">
        <w:rPr>
          <w:rFonts w:ascii="Book Antiqua" w:eastAsia="Book Antiqua" w:hAnsi="Book Antiqua" w:cs="Book Antiqua"/>
          <w:i/>
          <w:iCs/>
          <w:color w:val="000000"/>
        </w:rPr>
        <w:t>s</w:t>
      </w:r>
      <w:r w:rsidRPr="000F759C">
        <w:rPr>
          <w:rFonts w:ascii="Book Antiqua" w:eastAsia="Book Antiqua" w:hAnsi="Book Antiqua" w:cs="Book Antiqua"/>
          <w:color w:val="000000"/>
        </w:rPr>
        <w:t xml:space="preserve"> P20) or transdifferentiation (T, Basal </w:t>
      </w:r>
      <w:r w:rsidRPr="000F759C">
        <w:rPr>
          <w:rFonts w:ascii="Book Antiqua" w:eastAsia="Book Antiqua" w:hAnsi="Book Antiqua" w:cs="Book Antiqua"/>
          <w:i/>
          <w:iCs/>
          <w:color w:val="000000"/>
        </w:rPr>
        <w:t>v</w:t>
      </w:r>
      <w:r w:rsidR="00962049" w:rsidRPr="000F759C">
        <w:rPr>
          <w:rFonts w:ascii="Book Antiqua" w:eastAsia="Book Antiqua" w:hAnsi="Book Antiqua" w:cs="Book Antiqua"/>
          <w:i/>
          <w:iCs/>
          <w:color w:val="000000"/>
        </w:rPr>
        <w:t>s</w:t>
      </w:r>
      <w:r w:rsidRPr="000F759C">
        <w:rPr>
          <w:rFonts w:ascii="Book Antiqua" w:eastAsia="Book Antiqua" w:hAnsi="Book Antiqua" w:cs="Book Antiqua"/>
          <w:color w:val="000000"/>
        </w:rPr>
        <w:t xml:space="preserve"> DMSO) as between-subject factors; the interaction S</w:t>
      </w:r>
      <w:r w:rsidR="00962049" w:rsidRPr="000F759C">
        <w:rPr>
          <w:rFonts w:ascii="Book Antiqua" w:eastAsia="Book Antiqua" w:hAnsi="Book Antiqua" w:cs="Book Antiqua"/>
          <w:color w:val="000000"/>
        </w:rPr>
        <w:t xml:space="preserve"> </w:t>
      </w:r>
      <w:r w:rsidRPr="000F759C">
        <w:rPr>
          <w:rFonts w:ascii="Book Antiqua" w:eastAsia="Book Antiqua" w:hAnsi="Book Antiqua" w:cs="Book Antiqua"/>
          <w:color w:val="000000"/>
        </w:rPr>
        <w:t>×</w:t>
      </w:r>
      <w:r w:rsidR="00962049" w:rsidRPr="000F759C">
        <w:rPr>
          <w:rFonts w:ascii="Book Antiqua" w:eastAsia="Book Antiqua" w:hAnsi="Book Antiqua" w:cs="Book Antiqua"/>
          <w:color w:val="000000"/>
        </w:rPr>
        <w:t xml:space="preserve"> </w:t>
      </w:r>
      <w:r w:rsidRPr="000F759C">
        <w:rPr>
          <w:rFonts w:ascii="Book Antiqua" w:eastAsia="Book Antiqua" w:hAnsi="Book Antiqua" w:cs="Book Antiqua"/>
          <w:color w:val="000000"/>
        </w:rPr>
        <w:t>T was studied</w:t>
      </w:r>
      <w:r w:rsidR="00D45BC2" w:rsidRPr="0087104B">
        <w:rPr>
          <w:rFonts w:ascii="Book Antiqua" w:eastAsia="Book Antiqua" w:hAnsi="Book Antiqua" w:cs="Book Antiqua"/>
          <w:color w:val="000000"/>
        </w:rPr>
        <w:t>,</w:t>
      </w:r>
      <w:r w:rsidRPr="0087104B">
        <w:rPr>
          <w:rFonts w:ascii="Book Antiqua" w:eastAsia="Book Antiqua" w:hAnsi="Book Antiqua" w:cs="Book Antiqua"/>
          <w:color w:val="000000"/>
        </w:rPr>
        <w:t xml:space="preserve"> and a Tukey</w:t>
      </w:r>
      <w:r w:rsidR="000F759C">
        <w:rPr>
          <w:rFonts w:ascii="Book Antiqua" w:eastAsia="Book Antiqua" w:hAnsi="Book Antiqua" w:cs="Book Antiqua"/>
          <w:color w:val="000000"/>
        </w:rPr>
        <w:t>’s</w:t>
      </w:r>
      <w:r w:rsidRPr="000F759C">
        <w:rPr>
          <w:rFonts w:ascii="Book Antiqua" w:eastAsia="Book Antiqua" w:hAnsi="Book Antiqua" w:cs="Book Antiqua"/>
          <w:color w:val="000000"/>
        </w:rPr>
        <w:t xml:space="preserve"> test was used as a post</w:t>
      </w:r>
      <w:r w:rsidR="00D45BC2" w:rsidRPr="000F759C">
        <w:rPr>
          <w:rFonts w:ascii="Book Antiqua" w:eastAsia="Book Antiqua" w:hAnsi="Book Antiqua" w:cs="Book Antiqua"/>
          <w:color w:val="000000"/>
        </w:rPr>
        <w:t xml:space="preserve"> </w:t>
      </w:r>
      <w:r w:rsidRPr="000F759C">
        <w:rPr>
          <w:rFonts w:ascii="Book Antiqua" w:eastAsia="Book Antiqua" w:hAnsi="Book Antiqua" w:cs="Book Antiqua"/>
          <w:color w:val="000000"/>
        </w:rPr>
        <w:t xml:space="preserve">hoc test for multiple comparisons. Statistical significance was accepted when </w:t>
      </w:r>
      <w:r w:rsidRPr="000F759C">
        <w:rPr>
          <w:rFonts w:ascii="Book Antiqua" w:eastAsia="Book Antiqua" w:hAnsi="Book Antiqua" w:cs="Book Antiqua"/>
          <w:i/>
          <w:iCs/>
          <w:color w:val="000000"/>
        </w:rPr>
        <w:t>P</w:t>
      </w:r>
      <w:r w:rsidRPr="000F759C">
        <w:rPr>
          <w:rFonts w:ascii="Book Antiqua" w:eastAsia="Book Antiqua" w:hAnsi="Book Antiqua" w:cs="Book Antiqua"/>
          <w:color w:val="000000"/>
        </w:rPr>
        <w:t xml:space="preserve"> &lt; 0.05. GraphPad Prism 6.0 </w:t>
      </w:r>
      <w:r w:rsidR="000F759C">
        <w:rPr>
          <w:rFonts w:ascii="Book Antiqua" w:eastAsia="Book Antiqua" w:hAnsi="Book Antiqua" w:cs="Book Antiqua"/>
          <w:color w:val="000000"/>
        </w:rPr>
        <w:t>s</w:t>
      </w:r>
      <w:r w:rsidRPr="004464B3">
        <w:rPr>
          <w:rFonts w:ascii="Book Antiqua" w:eastAsia="Book Antiqua" w:hAnsi="Book Antiqua" w:cs="Book Antiqua"/>
          <w:color w:val="000000"/>
        </w:rPr>
        <w:t>oftware was used to perform the analys</w:t>
      </w:r>
      <w:r w:rsidR="00C53CCB">
        <w:rPr>
          <w:rFonts w:ascii="Book Antiqua" w:eastAsia="Book Antiqua" w:hAnsi="Book Antiqua" w:cs="Book Antiqua"/>
          <w:color w:val="000000"/>
        </w:rPr>
        <w:t>e</w:t>
      </w:r>
      <w:r w:rsidRPr="004464B3">
        <w:rPr>
          <w:rFonts w:ascii="Book Antiqua" w:eastAsia="Book Antiqua" w:hAnsi="Book Antiqua" w:cs="Book Antiqua"/>
          <w:color w:val="000000"/>
        </w:rPr>
        <w:t>s.</w:t>
      </w:r>
    </w:p>
    <w:p w14:paraId="6F9A044F" w14:textId="77777777" w:rsidR="00A77B3E" w:rsidRPr="004464B3" w:rsidRDefault="00A77B3E" w:rsidP="001D68DD">
      <w:pPr>
        <w:spacing w:line="360" w:lineRule="auto"/>
        <w:jc w:val="both"/>
        <w:rPr>
          <w:rFonts w:ascii="Book Antiqua" w:hAnsi="Book Antiqua"/>
        </w:rPr>
      </w:pPr>
    </w:p>
    <w:p w14:paraId="02A44D61"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aps/>
          <w:color w:val="000000"/>
          <w:u w:val="single"/>
        </w:rPr>
        <w:t>RESULTS</w:t>
      </w:r>
    </w:p>
    <w:p w14:paraId="74392D52"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i/>
          <w:iCs/>
          <w:color w:val="000000"/>
        </w:rPr>
        <w:t>Replication induces the expression of senescence markers in HepaRG cells</w:t>
      </w:r>
    </w:p>
    <w:p w14:paraId="3B2297E2" w14:textId="07ED1BB4" w:rsidR="00A77B3E" w:rsidRPr="0087104B" w:rsidRDefault="0068711B" w:rsidP="00DF7525">
      <w:pPr>
        <w:spacing w:line="360" w:lineRule="auto"/>
        <w:jc w:val="both"/>
        <w:rPr>
          <w:rFonts w:ascii="Book Antiqua" w:hAnsi="Book Antiqua"/>
        </w:rPr>
      </w:pPr>
      <w:r w:rsidRPr="004464B3">
        <w:rPr>
          <w:rFonts w:ascii="Book Antiqua" w:eastAsia="Book Antiqua" w:hAnsi="Book Antiqua" w:cs="Book Antiqua"/>
          <w:color w:val="000000"/>
        </w:rPr>
        <w:t>Replication-induced senescence was first described in human fibroblasts because of serial culture passages</w:t>
      </w:r>
      <w:r w:rsidRPr="004464B3">
        <w:rPr>
          <w:rFonts w:ascii="Book Antiqua" w:eastAsia="Book Antiqua" w:hAnsi="Book Antiqua" w:cs="Book Antiqua"/>
          <w:color w:val="000000"/>
          <w:vertAlign w:val="superscript"/>
        </w:rPr>
        <w:t>[20]</w:t>
      </w:r>
      <w:r w:rsidRPr="004464B3">
        <w:rPr>
          <w:rFonts w:ascii="Book Antiqua" w:eastAsia="Book Antiqua" w:hAnsi="Book Antiqua" w:cs="Book Antiqua"/>
          <w:color w:val="000000"/>
        </w:rPr>
        <w:t>. Since increased SA-β-gal activity is a well-recognized marker of senescence</w:t>
      </w:r>
      <w:r w:rsidRPr="004464B3">
        <w:rPr>
          <w:rFonts w:ascii="Book Antiqua" w:eastAsia="Book Antiqua" w:hAnsi="Book Antiqua" w:cs="Book Antiqua"/>
          <w:color w:val="000000"/>
          <w:vertAlign w:val="superscript"/>
        </w:rPr>
        <w:t>[21]</w:t>
      </w:r>
      <w:r w:rsidRPr="004464B3">
        <w:rPr>
          <w:rFonts w:ascii="Book Antiqua" w:eastAsia="Book Antiqua" w:hAnsi="Book Antiqua" w:cs="Book Antiqua"/>
          <w:color w:val="000000"/>
        </w:rPr>
        <w:t>, positive SA-β-gal</w:t>
      </w:r>
      <w:r w:rsidR="00DA0677">
        <w:rPr>
          <w:rFonts w:ascii="Book Antiqua" w:eastAsia="Book Antiqua" w:hAnsi="Book Antiqua" w:cs="Book Antiqua"/>
          <w:color w:val="000000"/>
        </w:rPr>
        <w:t>-</w:t>
      </w:r>
      <w:r w:rsidRPr="004464B3">
        <w:rPr>
          <w:rFonts w:ascii="Book Antiqua" w:eastAsia="Book Antiqua" w:hAnsi="Book Antiqua" w:cs="Book Antiqua"/>
          <w:color w:val="000000"/>
        </w:rPr>
        <w:t>stain</w:t>
      </w:r>
      <w:r w:rsidR="00DA0677">
        <w:rPr>
          <w:rFonts w:ascii="Book Antiqua" w:eastAsia="Book Antiqua" w:hAnsi="Book Antiqua" w:cs="Book Antiqua"/>
          <w:color w:val="000000"/>
        </w:rPr>
        <w:t>ed</w:t>
      </w:r>
      <w:r w:rsidRPr="004464B3">
        <w:rPr>
          <w:rFonts w:ascii="Book Antiqua" w:eastAsia="Book Antiqua" w:hAnsi="Book Antiqua" w:cs="Book Antiqua"/>
          <w:color w:val="000000"/>
        </w:rPr>
        <w:t xml:space="preserve"> cells were counted to validate senescence in HepaRG passage</w:t>
      </w:r>
      <w:r w:rsidR="00DA0677">
        <w:rPr>
          <w:rFonts w:ascii="Book Antiqua" w:eastAsia="Book Antiqua" w:hAnsi="Book Antiqua" w:cs="Book Antiqua"/>
          <w:color w:val="000000"/>
        </w:rPr>
        <w:t>d</w:t>
      </w:r>
      <w:r w:rsidRPr="004464B3">
        <w:rPr>
          <w:rFonts w:ascii="Book Antiqua" w:eastAsia="Book Antiqua" w:hAnsi="Book Antiqua" w:cs="Book Antiqua"/>
          <w:color w:val="000000"/>
        </w:rPr>
        <w:t xml:space="preserve"> up to P10 compared to cells passaged up to P20. As shown in Figure 1A and B, replication-induced senescence in P20 HepaRG cells resulted in increased numbers of cells positive for SA-β-gal staining compared with P10 cells.</w:t>
      </w:r>
      <w:r w:rsidR="00C53CCB">
        <w:rPr>
          <w:rFonts w:ascii="Book Antiqua" w:eastAsia="Book Antiqua" w:hAnsi="Book Antiqua" w:cs="Book Antiqua"/>
          <w:color w:val="000000"/>
        </w:rPr>
        <w:t xml:space="preserve"> </w:t>
      </w:r>
      <w:r w:rsidRPr="004464B3">
        <w:rPr>
          <w:rFonts w:ascii="Book Antiqua" w:eastAsia="Book Antiqua" w:hAnsi="Book Antiqua" w:cs="Book Antiqua"/>
          <w:color w:val="000000"/>
        </w:rPr>
        <w:t>A further marker of senescence is represented by the extent of DNA damage</w:t>
      </w:r>
      <w:r w:rsidRPr="004464B3">
        <w:rPr>
          <w:rFonts w:ascii="Book Antiqua" w:eastAsia="Book Antiqua" w:hAnsi="Book Antiqua" w:cs="Book Antiqua"/>
          <w:color w:val="000000"/>
          <w:vertAlign w:val="superscript"/>
        </w:rPr>
        <w:t>[22]</w:t>
      </w:r>
      <w:r w:rsidRPr="004464B3">
        <w:rPr>
          <w:rFonts w:ascii="Book Antiqua" w:eastAsia="Book Antiqua" w:hAnsi="Book Antiqua" w:cs="Book Antiqua"/>
          <w:color w:val="000000"/>
        </w:rPr>
        <w:t>, determined by the comet assay, which measures the prevalence of single- and double-strand breaks. The level of DNA damage was calculated from the percentage of DNA in the tail of the comet formed after</w:t>
      </w:r>
      <w:r w:rsidRPr="00DA0677">
        <w:rPr>
          <w:rFonts w:ascii="Book Antiqua" w:eastAsia="Book Antiqua" w:hAnsi="Book Antiqua" w:cs="Book Antiqua"/>
          <w:color w:val="000000"/>
        </w:rPr>
        <w:t xml:space="preserve"> single-cell gel electrophoresis, as broken DNA moves faster in the current. The percentage of DNA in the tails </w:t>
      </w:r>
      <w:r w:rsidRPr="00DA0677">
        <w:rPr>
          <w:rFonts w:ascii="Book Antiqua" w:eastAsia="Book Antiqua" w:hAnsi="Book Antiqua" w:cs="Book Antiqua"/>
          <w:i/>
          <w:iCs/>
          <w:color w:val="000000"/>
        </w:rPr>
        <w:t>vs</w:t>
      </w:r>
      <w:r w:rsidRPr="00DA0677">
        <w:rPr>
          <w:rFonts w:ascii="Book Antiqua" w:eastAsia="Book Antiqua" w:hAnsi="Book Antiqua" w:cs="Book Antiqua"/>
          <w:color w:val="000000"/>
        </w:rPr>
        <w:t xml:space="preserve"> the core was analyzed </w:t>
      </w:r>
      <w:r w:rsidR="00DA0677">
        <w:rPr>
          <w:rFonts w:ascii="Book Antiqua" w:eastAsia="Book Antiqua" w:hAnsi="Book Antiqua" w:cs="Book Antiqua"/>
          <w:color w:val="000000"/>
        </w:rPr>
        <w:t>using</w:t>
      </w:r>
      <w:r w:rsidRPr="00DA0677">
        <w:rPr>
          <w:rFonts w:ascii="Book Antiqua" w:eastAsia="Book Antiqua" w:hAnsi="Book Antiqua" w:cs="Book Antiqua"/>
          <w:color w:val="000000"/>
        </w:rPr>
        <w:t xml:space="preserve"> Comet Assay IV software, and the results show</w:t>
      </w:r>
      <w:r w:rsidR="00DA0677">
        <w:rPr>
          <w:rFonts w:ascii="Book Antiqua" w:eastAsia="Book Antiqua" w:hAnsi="Book Antiqua" w:cs="Book Antiqua"/>
          <w:color w:val="000000"/>
        </w:rPr>
        <w:t>ed</w:t>
      </w:r>
      <w:r w:rsidRPr="00DA0677">
        <w:rPr>
          <w:rFonts w:ascii="Book Antiqua" w:eastAsia="Book Antiqua" w:hAnsi="Book Antiqua" w:cs="Book Antiqua"/>
          <w:color w:val="000000"/>
        </w:rPr>
        <w:t xml:space="preserve"> that P20 HepaRG cells presented with higher levels of damaged DNA than P10 cells (Figure 1C and D). </w:t>
      </w:r>
    </w:p>
    <w:p w14:paraId="392981A2" w14:textId="77777777" w:rsidR="00A77B3E" w:rsidRPr="003203C8" w:rsidRDefault="00A77B3E" w:rsidP="001D68DD">
      <w:pPr>
        <w:spacing w:line="360" w:lineRule="auto"/>
        <w:jc w:val="both"/>
        <w:rPr>
          <w:rFonts w:ascii="Book Antiqua" w:hAnsi="Book Antiqua"/>
        </w:rPr>
      </w:pPr>
    </w:p>
    <w:p w14:paraId="085EF71A" w14:textId="2E4C6B15" w:rsidR="00A77B3E" w:rsidRPr="0087104B" w:rsidRDefault="0068711B" w:rsidP="001D68DD">
      <w:pPr>
        <w:spacing w:line="360" w:lineRule="auto"/>
        <w:jc w:val="both"/>
        <w:rPr>
          <w:rFonts w:ascii="Book Antiqua" w:hAnsi="Book Antiqua"/>
        </w:rPr>
      </w:pPr>
      <w:r w:rsidRPr="003203C8">
        <w:rPr>
          <w:rFonts w:ascii="Book Antiqua" w:eastAsia="Book Antiqua" w:hAnsi="Book Antiqua" w:cs="Book Antiqua"/>
          <w:b/>
          <w:bCs/>
          <w:i/>
          <w:iCs/>
          <w:color w:val="000000"/>
        </w:rPr>
        <w:t>Trans</w:t>
      </w:r>
      <w:r w:rsidRPr="004464B3">
        <w:rPr>
          <w:rFonts w:ascii="Book Antiqua" w:eastAsia="Book Antiqua" w:hAnsi="Book Antiqua" w:cs="Book Antiqua"/>
          <w:b/>
          <w:bCs/>
          <w:i/>
          <w:iCs/>
          <w:color w:val="000000"/>
        </w:rPr>
        <w:t>differentiation toward</w:t>
      </w:r>
      <w:r w:rsidR="00DA0677">
        <w:rPr>
          <w:rFonts w:ascii="Book Antiqua" w:eastAsia="Book Antiqua" w:hAnsi="Book Antiqua" w:cs="Book Antiqua"/>
          <w:b/>
          <w:bCs/>
          <w:i/>
          <w:iCs/>
          <w:color w:val="000000"/>
        </w:rPr>
        <w:t>s</w:t>
      </w:r>
      <w:r w:rsidRPr="00DA0677">
        <w:rPr>
          <w:rFonts w:ascii="Book Antiqua" w:eastAsia="Book Antiqua" w:hAnsi="Book Antiqua" w:cs="Book Antiqua"/>
          <w:b/>
          <w:bCs/>
          <w:i/>
          <w:iCs/>
          <w:color w:val="000000"/>
        </w:rPr>
        <w:t xml:space="preserve"> bipotent progenitors is altered in senescent HepaRG cells</w:t>
      </w:r>
    </w:p>
    <w:p w14:paraId="3E3A4C5B" w14:textId="209F4E4A" w:rsidR="00A77B3E" w:rsidRPr="0087104B"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HepaRG cells are able to actively proliferate and commit toward hepatocyte and biliary differentiation pathway, reaching maximum cell differentiation after a 2</w:t>
      </w:r>
      <w:r w:rsidR="00EB61DF" w:rsidRPr="004464B3">
        <w:rPr>
          <w:rFonts w:ascii="Book Antiqua" w:eastAsia="SimSun" w:hAnsi="Book Antiqua" w:cs="SimSun"/>
          <w:color w:val="000000"/>
          <w:lang w:eastAsia="zh-CN"/>
        </w:rPr>
        <w:t>-</w:t>
      </w:r>
      <w:r w:rsidRPr="004464B3">
        <w:rPr>
          <w:rFonts w:ascii="Book Antiqua" w:eastAsia="Book Antiqua" w:hAnsi="Book Antiqua" w:cs="Book Antiqua"/>
          <w:color w:val="000000"/>
        </w:rPr>
        <w:t>wk DMSO exposure</w:t>
      </w:r>
      <w:r w:rsidRPr="004464B3">
        <w:rPr>
          <w:rFonts w:ascii="Book Antiqua" w:eastAsia="Book Antiqua" w:hAnsi="Book Antiqua" w:cs="Book Antiqua"/>
          <w:color w:val="000000"/>
          <w:vertAlign w:val="superscript"/>
        </w:rPr>
        <w:t>[11]</w:t>
      </w:r>
      <w:r w:rsidRPr="004464B3">
        <w:rPr>
          <w:rFonts w:ascii="Book Antiqua" w:eastAsia="Book Antiqua" w:hAnsi="Book Antiqua" w:cs="Book Antiqua"/>
          <w:color w:val="000000"/>
        </w:rPr>
        <w:t xml:space="preserve">. </w:t>
      </w:r>
      <w:r w:rsidR="00DA0677">
        <w:rPr>
          <w:rFonts w:ascii="Book Antiqua" w:eastAsia="Book Antiqua" w:hAnsi="Book Antiqua" w:cs="Book Antiqua"/>
          <w:color w:val="000000"/>
        </w:rPr>
        <w:t>Then w</w:t>
      </w:r>
      <w:r w:rsidRPr="004464B3">
        <w:rPr>
          <w:rFonts w:ascii="Book Antiqua" w:eastAsia="Book Antiqua" w:hAnsi="Book Antiqua" w:cs="Book Antiqua"/>
          <w:color w:val="000000"/>
        </w:rPr>
        <w:t>e exposed P10 and P20 HepaRG cells to DMSO</w:t>
      </w:r>
      <w:r w:rsidR="00DA0677">
        <w:rPr>
          <w:rFonts w:ascii="Book Antiqua" w:eastAsia="Book Antiqua" w:hAnsi="Book Antiqua" w:cs="Book Antiqua"/>
          <w:color w:val="000000"/>
        </w:rPr>
        <w:t>,</w:t>
      </w:r>
      <w:r w:rsidRPr="00DA0677">
        <w:rPr>
          <w:rFonts w:ascii="Book Antiqua" w:eastAsia="Book Antiqua" w:hAnsi="Book Antiqua" w:cs="Book Antiqua"/>
          <w:color w:val="000000"/>
        </w:rPr>
        <w:t xml:space="preserve"> and studied the expression of markers of both progenitor and differentiated cells.</w:t>
      </w:r>
    </w:p>
    <w:p w14:paraId="5D900377" w14:textId="7D51E966" w:rsidR="00A77B3E" w:rsidRPr="00DF7525" w:rsidRDefault="0068711B" w:rsidP="00DF7525">
      <w:pPr>
        <w:spacing w:line="360" w:lineRule="auto"/>
        <w:ind w:firstLineChars="112" w:firstLine="269"/>
        <w:jc w:val="both"/>
        <w:rPr>
          <w:rFonts w:ascii="Book Antiqua" w:eastAsia="Book Antiqua" w:hAnsi="Book Antiqua" w:cs="Book Antiqua"/>
          <w:color w:val="000000"/>
        </w:rPr>
      </w:pPr>
      <w:r w:rsidRPr="0087104B">
        <w:rPr>
          <w:rFonts w:ascii="Book Antiqua" w:eastAsia="Book Antiqua" w:hAnsi="Book Antiqua" w:cs="Book Antiqua"/>
          <w:color w:val="000000"/>
        </w:rPr>
        <w:lastRenderedPageBreak/>
        <w:t xml:space="preserve">The expression of adhesion molecules such as CD49a (limited to hepatocyte-like cells) and CD49f (associated with biliary-like cells) after the differentiation process induced by DMSO was lower in P20 </w:t>
      </w:r>
      <w:r w:rsidR="003203C8">
        <w:rPr>
          <w:rFonts w:ascii="Book Antiqua" w:eastAsia="Book Antiqua" w:hAnsi="Book Antiqua" w:cs="Book Antiqua"/>
          <w:color w:val="000000"/>
        </w:rPr>
        <w:t>than in</w:t>
      </w:r>
      <w:r w:rsidRPr="0087104B">
        <w:rPr>
          <w:rFonts w:ascii="Book Antiqua" w:eastAsia="Book Antiqua" w:hAnsi="Book Antiqua" w:cs="Book Antiqua"/>
          <w:color w:val="000000"/>
        </w:rPr>
        <w:t xml:space="preserve"> P10 HepaRG cells. Even CD184/</w:t>
      </w:r>
      <w:r w:rsidR="003203C8" w:rsidRPr="003203C8">
        <w:rPr>
          <w:rFonts w:ascii="Book Antiqua" w:eastAsia="Book Antiqua" w:hAnsi="Book Antiqua" w:cs="Book Antiqua"/>
          <w:color w:val="000000"/>
        </w:rPr>
        <w:t xml:space="preserve">C-X-C </w:t>
      </w:r>
      <w:r w:rsidR="003203C8">
        <w:rPr>
          <w:rFonts w:ascii="Book Antiqua" w:eastAsia="Book Antiqua" w:hAnsi="Book Antiqua" w:cs="Book Antiqua"/>
          <w:color w:val="000000"/>
        </w:rPr>
        <w:t>m</w:t>
      </w:r>
      <w:r w:rsidR="003203C8" w:rsidRPr="003203C8">
        <w:rPr>
          <w:rFonts w:ascii="Book Antiqua" w:eastAsia="Book Antiqua" w:hAnsi="Book Antiqua" w:cs="Book Antiqua"/>
          <w:color w:val="000000"/>
        </w:rPr>
        <w:t xml:space="preserve">otif </w:t>
      </w:r>
      <w:r w:rsidR="003203C8">
        <w:rPr>
          <w:rFonts w:ascii="Book Antiqua" w:eastAsia="Book Antiqua" w:hAnsi="Book Antiqua" w:cs="Book Antiqua"/>
          <w:color w:val="000000"/>
        </w:rPr>
        <w:t>c</w:t>
      </w:r>
      <w:r w:rsidR="003203C8" w:rsidRPr="003203C8">
        <w:rPr>
          <w:rFonts w:ascii="Book Antiqua" w:eastAsia="Book Antiqua" w:hAnsi="Book Antiqua" w:cs="Book Antiqua"/>
          <w:color w:val="000000"/>
        </w:rPr>
        <w:t xml:space="preserve">hemokine </w:t>
      </w:r>
      <w:r w:rsidR="003203C8">
        <w:rPr>
          <w:rFonts w:ascii="Book Antiqua" w:eastAsia="Book Antiqua" w:hAnsi="Book Antiqua" w:cs="Book Antiqua"/>
          <w:color w:val="000000"/>
        </w:rPr>
        <w:t>r</w:t>
      </w:r>
      <w:r w:rsidR="003203C8" w:rsidRPr="003203C8">
        <w:rPr>
          <w:rFonts w:ascii="Book Antiqua" w:eastAsia="Book Antiqua" w:hAnsi="Book Antiqua" w:cs="Book Antiqua"/>
          <w:color w:val="000000"/>
        </w:rPr>
        <w:t>eceptor 4</w:t>
      </w:r>
      <w:r w:rsidRPr="0087104B">
        <w:rPr>
          <w:rFonts w:ascii="Book Antiqua" w:eastAsia="Book Antiqua" w:hAnsi="Book Antiqua" w:cs="Book Antiqua"/>
          <w:color w:val="000000"/>
        </w:rPr>
        <w:t>, a k</w:t>
      </w:r>
      <w:r w:rsidRPr="003203C8">
        <w:rPr>
          <w:rFonts w:ascii="Book Antiqua" w:eastAsia="Book Antiqua" w:hAnsi="Book Antiqua" w:cs="Book Antiqua"/>
          <w:color w:val="000000"/>
        </w:rPr>
        <w:t xml:space="preserve">nown definitive endoderm marker, was less expressed in P20 </w:t>
      </w:r>
      <w:r w:rsidR="003203C8">
        <w:rPr>
          <w:rFonts w:ascii="Book Antiqua" w:eastAsia="Book Antiqua" w:hAnsi="Book Antiqua" w:cs="Book Antiqua"/>
          <w:color w:val="000000"/>
        </w:rPr>
        <w:t>than in</w:t>
      </w:r>
      <w:r w:rsidRPr="003203C8">
        <w:rPr>
          <w:rFonts w:ascii="Book Antiqua" w:eastAsia="Book Antiqua" w:hAnsi="Book Antiqua" w:cs="Book Antiqua"/>
          <w:color w:val="000000"/>
        </w:rPr>
        <w:t xml:space="preserve"> P10 HepaRG cells exposed to DMSO. Moreover, the differentiation protocol resulted in </w:t>
      </w:r>
      <w:r w:rsidR="003203C8" w:rsidRPr="00A66726">
        <w:rPr>
          <w:rFonts w:ascii="Book Antiqua" w:eastAsia="Book Antiqua" w:hAnsi="Book Antiqua" w:cs="Book Antiqua"/>
          <w:color w:val="000000"/>
        </w:rPr>
        <w:t>lower</w:t>
      </w:r>
      <w:r w:rsidR="003203C8">
        <w:rPr>
          <w:rFonts w:ascii="Book Antiqua" w:eastAsia="Book Antiqua" w:hAnsi="Book Antiqua" w:cs="Book Antiqua"/>
          <w:color w:val="000000"/>
        </w:rPr>
        <w:t xml:space="preserve"> expression of EpCAM and CK19 (markers of hepatic progenitor cells</w:t>
      </w:r>
      <w:r w:rsidR="003203C8" w:rsidRPr="00DF7525">
        <w:rPr>
          <w:rFonts w:ascii="Book Antiqua" w:eastAsia="Book Antiqua" w:hAnsi="Book Antiqua" w:cs="Book Antiqua"/>
          <w:color w:val="000000"/>
          <w:vertAlign w:val="superscript"/>
        </w:rPr>
        <w:t>[23]</w:t>
      </w:r>
      <w:r w:rsidR="003203C8">
        <w:rPr>
          <w:rFonts w:ascii="Book Antiqua" w:eastAsia="Book Antiqua" w:hAnsi="Book Antiqua" w:cs="Book Antiqua"/>
          <w:color w:val="000000"/>
        </w:rPr>
        <w:t>)</w:t>
      </w:r>
      <w:r w:rsidR="003203C8" w:rsidRPr="00A66726">
        <w:rPr>
          <w:rFonts w:ascii="Book Antiqua" w:eastAsia="Book Antiqua" w:hAnsi="Book Antiqua" w:cs="Book Antiqua"/>
          <w:color w:val="000000"/>
        </w:rPr>
        <w:t xml:space="preserve"> in P20 </w:t>
      </w:r>
      <w:r w:rsidR="003203C8">
        <w:rPr>
          <w:rFonts w:ascii="Book Antiqua" w:eastAsia="Book Antiqua" w:hAnsi="Book Antiqua" w:cs="Book Antiqua"/>
          <w:color w:val="000000"/>
        </w:rPr>
        <w:t>than in</w:t>
      </w:r>
      <w:r w:rsidR="003203C8" w:rsidRPr="00A66726">
        <w:rPr>
          <w:rFonts w:ascii="Book Antiqua" w:eastAsia="Book Antiqua" w:hAnsi="Book Antiqua" w:cs="Book Antiqua"/>
          <w:color w:val="000000"/>
        </w:rPr>
        <w:t xml:space="preserve"> P10 HepaRG cells </w:t>
      </w:r>
      <w:r w:rsidRPr="00A66726">
        <w:rPr>
          <w:rFonts w:ascii="Book Antiqua" w:eastAsia="Book Antiqua" w:hAnsi="Book Antiqua" w:cs="Book Antiqua"/>
          <w:color w:val="000000"/>
        </w:rPr>
        <w:t>(Figure</w:t>
      </w:r>
      <w:r w:rsidR="00BE7E39" w:rsidRPr="003203C8">
        <w:rPr>
          <w:rFonts w:ascii="Book Antiqua" w:eastAsia="Book Antiqua" w:hAnsi="Book Antiqua" w:cs="Book Antiqua"/>
          <w:color w:val="000000"/>
        </w:rPr>
        <w:t>s</w:t>
      </w:r>
      <w:r w:rsidRPr="003203C8">
        <w:rPr>
          <w:rFonts w:ascii="Book Antiqua" w:eastAsia="Book Antiqua" w:hAnsi="Book Antiqua" w:cs="Book Antiqua"/>
          <w:color w:val="000000"/>
        </w:rPr>
        <w:t xml:space="preserve"> 2</w:t>
      </w:r>
      <w:r w:rsidR="00BE7E39" w:rsidRPr="003203C8">
        <w:rPr>
          <w:rFonts w:ascii="Book Antiqua" w:eastAsia="Book Antiqua" w:hAnsi="Book Antiqua" w:cs="Book Antiqua"/>
          <w:color w:val="000000"/>
        </w:rPr>
        <w:t xml:space="preserve"> </w:t>
      </w:r>
      <w:r w:rsidR="00227288" w:rsidRPr="003203C8">
        <w:rPr>
          <w:rFonts w:ascii="Book Antiqua" w:eastAsia="Book Antiqua" w:hAnsi="Book Antiqua" w:cs="Book Antiqua"/>
          <w:color w:val="000000"/>
        </w:rPr>
        <w:t>and</w:t>
      </w:r>
      <w:r w:rsidRPr="003203C8">
        <w:rPr>
          <w:rFonts w:ascii="Book Antiqua" w:eastAsia="Book Antiqua" w:hAnsi="Book Antiqua" w:cs="Book Antiqua"/>
          <w:color w:val="000000"/>
        </w:rPr>
        <w:t xml:space="preserve"> 3).</w:t>
      </w:r>
    </w:p>
    <w:p w14:paraId="78E1E636" w14:textId="00356194" w:rsidR="00A77B3E" w:rsidRPr="004464B3" w:rsidRDefault="0068711B" w:rsidP="00DF7525">
      <w:pPr>
        <w:spacing w:line="360" w:lineRule="auto"/>
        <w:ind w:firstLineChars="112" w:firstLine="269"/>
        <w:jc w:val="both"/>
        <w:rPr>
          <w:rFonts w:ascii="Book Antiqua" w:hAnsi="Book Antiqua"/>
        </w:rPr>
      </w:pPr>
      <w:r w:rsidRPr="003203C8">
        <w:rPr>
          <w:rFonts w:ascii="Book Antiqua" w:eastAsia="Book Antiqua" w:hAnsi="Book Antiqua" w:cs="Book Antiqua"/>
          <w:color w:val="000000"/>
        </w:rPr>
        <w:t>The expression of genes typical of a differentiated status, such as albumin, CYP3A4 and</w:t>
      </w:r>
      <w:r w:rsidR="002F51CD" w:rsidRPr="006B63C8">
        <w:rPr>
          <w:rFonts w:ascii="Book Antiqua" w:eastAsia="Book Antiqua" w:hAnsi="Book Antiqua" w:cs="Book Antiqua"/>
          <w:color w:val="000000"/>
        </w:rPr>
        <w:t xml:space="preserve"> </w:t>
      </w:r>
      <w:r w:rsidRPr="006B63C8">
        <w:rPr>
          <w:rFonts w:ascii="Book Antiqua" w:eastAsia="Book Antiqua" w:hAnsi="Book Antiqua" w:cs="Book Antiqua"/>
          <w:color w:val="000000"/>
        </w:rPr>
        <w:t>γ-GT, and of CEA</w:t>
      </w:r>
      <w:r w:rsidR="002F51CD"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as marker of undifferentiation was next determined in HepaRG cells before and after DMSO exposure. The results obtained by statistical analys</w:t>
      </w:r>
      <w:r w:rsidR="003203C8">
        <w:rPr>
          <w:rFonts w:ascii="Book Antiqua" w:eastAsia="Book Antiqua" w:hAnsi="Book Antiqua" w:cs="Book Antiqua"/>
          <w:color w:val="000000"/>
        </w:rPr>
        <w:t>e</w:t>
      </w:r>
      <w:r w:rsidRPr="004464B3">
        <w:rPr>
          <w:rFonts w:ascii="Book Antiqua" w:eastAsia="Book Antiqua" w:hAnsi="Book Antiqua" w:cs="Book Antiqua"/>
          <w:color w:val="000000"/>
        </w:rPr>
        <w:t>s aimed to test the main effects of S, of T, and the interaction S</w:t>
      </w:r>
      <w:r w:rsidR="002F51CD"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2F51CD"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The main effect of S was significant for the expression of all the genes studied (albumin: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44.54,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0.0002; CYP3A4: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24.22,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0.0012; γ-GT: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46.82,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0.0001; CEA: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12.24,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0.0081). The main effect of T was significant for the expression of albumin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243.3,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CYP3A4 (F</w:t>
      </w:r>
      <w:r w:rsidRPr="004464B3">
        <w:rPr>
          <w:rFonts w:ascii="Book Antiqua" w:eastAsia="Book Antiqua" w:hAnsi="Book Antiqua" w:cs="Book Antiqua"/>
          <w:color w:val="000000"/>
          <w:vertAlign w:val="subscript"/>
        </w:rPr>
        <w:t xml:space="preserve">(1,8) </w:t>
      </w:r>
      <w:r w:rsidRPr="004464B3">
        <w:rPr>
          <w:rFonts w:ascii="Book Antiqua" w:eastAsia="Book Antiqua" w:hAnsi="Book Antiqua" w:cs="Book Antiqua"/>
          <w:color w:val="000000"/>
        </w:rPr>
        <w:t xml:space="preserve">= 37.50,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0.0003), and γ-GT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190.2,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but not for CEA. The interaction between S and T was significant for the expression of all the genes studied (albumin: F</w:t>
      </w:r>
      <w:r w:rsidRPr="004464B3">
        <w:rPr>
          <w:rFonts w:ascii="Book Antiqua" w:eastAsia="Book Antiqua" w:hAnsi="Book Antiqua" w:cs="Book Antiqua"/>
          <w:color w:val="000000"/>
          <w:vertAlign w:val="subscript"/>
        </w:rPr>
        <w:t xml:space="preserve">(1,8) </w:t>
      </w:r>
      <w:r w:rsidRPr="004464B3">
        <w:rPr>
          <w:rFonts w:ascii="Book Antiqua" w:eastAsia="Book Antiqua" w:hAnsi="Book Antiqua" w:cs="Book Antiqua"/>
          <w:color w:val="000000"/>
        </w:rPr>
        <w:t xml:space="preserve">= 43.95,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0.0002; CYP3A4: F</w:t>
      </w:r>
      <w:r w:rsidRPr="004464B3">
        <w:rPr>
          <w:rFonts w:ascii="Book Antiqua" w:eastAsia="Book Antiqua" w:hAnsi="Book Antiqua" w:cs="Book Antiqua"/>
          <w:color w:val="000000"/>
          <w:vertAlign w:val="subscript"/>
        </w:rPr>
        <w:t xml:space="preserve">(1,8) </w:t>
      </w:r>
      <w:r w:rsidRPr="004464B3">
        <w:rPr>
          <w:rFonts w:ascii="Book Antiqua" w:eastAsia="Book Antiqua" w:hAnsi="Book Antiqua" w:cs="Book Antiqua"/>
          <w:color w:val="000000"/>
        </w:rPr>
        <w:t xml:space="preserve">= 24.22,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0.0012; γ-GT: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60.71,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CEA: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10.13,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0.0129). Post hoc analysis showed that the expression of albumin, CYP3A4 and γ-GT was induced by DMSO exposure both in P10 and in P20 HepaRG cells, supporting the transdifferentiation process; however, mRNA levels were lower in DMSO-treated P20 rather than P10 HepaRG cells (Figure 4A</w:t>
      </w:r>
      <w:r w:rsidR="002F51CD" w:rsidRPr="004464B3">
        <w:rPr>
          <w:rFonts w:ascii="Book Antiqua" w:eastAsia="Book Antiqua" w:hAnsi="Book Antiqua" w:cs="Book Antiqua"/>
          <w:color w:val="000000"/>
        </w:rPr>
        <w:t>-</w:t>
      </w:r>
      <w:r w:rsidRPr="004464B3">
        <w:rPr>
          <w:rFonts w:ascii="Book Antiqua" w:eastAsia="Book Antiqua" w:hAnsi="Book Antiqua" w:cs="Book Antiqua"/>
          <w:color w:val="000000"/>
        </w:rPr>
        <w:t>C). Finally, the expression of CEA was reduced by DMSO exposure in P10 but not in P20 HepaRG cells (Figure 4D).</w:t>
      </w:r>
    </w:p>
    <w:p w14:paraId="0D499ABC" w14:textId="1AED090A" w:rsidR="00A77B3E" w:rsidRPr="004464B3" w:rsidRDefault="0068711B" w:rsidP="00DF7525">
      <w:pPr>
        <w:spacing w:line="360" w:lineRule="auto"/>
        <w:ind w:firstLineChars="112" w:firstLine="269"/>
        <w:jc w:val="both"/>
        <w:rPr>
          <w:rFonts w:ascii="Book Antiqua" w:hAnsi="Book Antiqua"/>
        </w:rPr>
      </w:pPr>
      <w:r w:rsidRPr="004464B3">
        <w:rPr>
          <w:rFonts w:ascii="Book Antiqua" w:eastAsia="Book Antiqua" w:hAnsi="Book Antiqua" w:cs="Book Antiqua"/>
          <w:color w:val="000000"/>
        </w:rPr>
        <w:t>The same analysis was performed on specific functional activities of HepaRG cells, studying albumin secretion, CYP3A4 and γ-GT activity, and the results are represented in Figure 5. In particular, we found a main effect of S (albumin secretion: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20.95,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0.0018; CYP3A4 activity: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10.24,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0.0126; γ-GT activity: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18.13,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0.0028), T (albumin secretion: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120.2,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CYP3A4 activity: F</w:t>
      </w:r>
      <w:r w:rsidRPr="004464B3">
        <w:rPr>
          <w:rFonts w:ascii="Book Antiqua" w:eastAsia="Book Antiqua" w:hAnsi="Book Antiqua" w:cs="Book Antiqua"/>
          <w:color w:val="000000"/>
          <w:vertAlign w:val="subscript"/>
        </w:rPr>
        <w:t xml:space="preserve">(1,8) </w:t>
      </w:r>
      <w:r w:rsidRPr="004464B3">
        <w:rPr>
          <w:rFonts w:ascii="Book Antiqua" w:eastAsia="Book Antiqua" w:hAnsi="Book Antiqua" w:cs="Book Antiqua"/>
          <w:color w:val="000000"/>
        </w:rPr>
        <w:t xml:space="preserve">= 9.15,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0.0164; γ-GT activity: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68.25,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and interaction between S and T (albumin secretion: F</w:t>
      </w:r>
      <w:r w:rsidRPr="004464B3">
        <w:rPr>
          <w:rFonts w:ascii="Book Antiqua" w:eastAsia="Book Antiqua" w:hAnsi="Book Antiqua" w:cs="Book Antiqua"/>
          <w:color w:val="000000"/>
          <w:vertAlign w:val="subscript"/>
        </w:rPr>
        <w:t xml:space="preserve">(1,8) </w:t>
      </w:r>
      <w:r w:rsidRPr="004464B3">
        <w:rPr>
          <w:rFonts w:ascii="Book Antiqua" w:eastAsia="Book Antiqua" w:hAnsi="Book Antiqua" w:cs="Book Antiqua"/>
          <w:color w:val="000000"/>
        </w:rPr>
        <w:t xml:space="preserve">= 20.53,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0.0019; CYP3A4 activity: F</w:t>
      </w:r>
      <w:r w:rsidRPr="004464B3">
        <w:rPr>
          <w:rFonts w:ascii="Book Antiqua" w:eastAsia="Book Antiqua" w:hAnsi="Book Antiqua" w:cs="Book Antiqua"/>
          <w:color w:val="000000"/>
          <w:vertAlign w:val="subscript"/>
        </w:rPr>
        <w:t xml:space="preserve">(1,8) </w:t>
      </w:r>
      <w:r w:rsidRPr="004464B3">
        <w:rPr>
          <w:rFonts w:ascii="Book Antiqua" w:eastAsia="Book Antiqua" w:hAnsi="Book Antiqua" w:cs="Book Antiqua"/>
          <w:color w:val="000000"/>
        </w:rPr>
        <w:t xml:space="preserve">= 7.181,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0.0233; γ-GT activity: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w:t>
      </w:r>
      <w:r w:rsidRPr="004464B3">
        <w:rPr>
          <w:rFonts w:ascii="Book Antiqua" w:eastAsia="Book Antiqua" w:hAnsi="Book Antiqua" w:cs="Book Antiqua"/>
          <w:color w:val="000000"/>
        </w:rPr>
        <w:lastRenderedPageBreak/>
        <w:t xml:space="preserve">19.36,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0.0023). Post hoc analysis showed that albumin secretion, CYP3A4 and γ-GT activities were reduced in DMSO-treated P20 rather than P10 HepaRG cells.</w:t>
      </w:r>
    </w:p>
    <w:p w14:paraId="5BC1CE2D" w14:textId="128086CD" w:rsidR="00A77B3E" w:rsidRPr="004464B3" w:rsidRDefault="0068711B" w:rsidP="00DF7525">
      <w:pPr>
        <w:spacing w:line="360" w:lineRule="auto"/>
        <w:ind w:firstLineChars="112" w:firstLine="269"/>
        <w:jc w:val="both"/>
        <w:rPr>
          <w:rFonts w:ascii="Book Antiqua" w:hAnsi="Book Antiqua"/>
        </w:rPr>
      </w:pPr>
      <w:r w:rsidRPr="004464B3">
        <w:rPr>
          <w:rFonts w:ascii="Book Antiqua" w:eastAsia="Book Antiqua" w:hAnsi="Book Antiqua" w:cs="Book Antiqua"/>
          <w:color w:val="000000"/>
        </w:rPr>
        <w:t>Taken together, these results suggest that the transdifferentiation process triggered by DMSO in HepaRG cells is hampered by the replication-induced senescence.</w:t>
      </w:r>
    </w:p>
    <w:p w14:paraId="350F70CF" w14:textId="77777777" w:rsidR="00A77B3E" w:rsidRPr="004464B3" w:rsidRDefault="00A77B3E" w:rsidP="001D68DD">
      <w:pPr>
        <w:spacing w:line="360" w:lineRule="auto"/>
        <w:jc w:val="both"/>
        <w:rPr>
          <w:rFonts w:ascii="Book Antiqua" w:hAnsi="Book Antiqua"/>
        </w:rPr>
      </w:pPr>
    </w:p>
    <w:p w14:paraId="2C679496" w14:textId="67C010E1"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i/>
          <w:iCs/>
          <w:color w:val="000000"/>
        </w:rPr>
        <w:t>Senescence-induced impairment of HepaRG transdifferentiation is associated with mitochondrial dysfunction</w:t>
      </w:r>
    </w:p>
    <w:p w14:paraId="1CBBFABD" w14:textId="256CF302"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Mitochondrial dysfunction is recognized as one of the hallmarks of senescence</w:t>
      </w:r>
      <w:r w:rsidRPr="004464B3">
        <w:rPr>
          <w:rFonts w:ascii="Book Antiqua" w:eastAsia="Book Antiqua" w:hAnsi="Book Antiqua" w:cs="Book Antiqua"/>
          <w:color w:val="000000"/>
          <w:vertAlign w:val="superscript"/>
        </w:rPr>
        <w:t>[24]</w:t>
      </w:r>
      <w:r w:rsidRPr="004464B3">
        <w:rPr>
          <w:rFonts w:ascii="Book Antiqua" w:eastAsia="Book Antiqua" w:hAnsi="Book Antiqua" w:cs="Book Antiqua"/>
          <w:color w:val="000000"/>
        </w:rPr>
        <w:t xml:space="preserve">. Thus, we performed </w:t>
      </w:r>
      <w:r w:rsidR="006B63C8" w:rsidRPr="004464B3">
        <w:rPr>
          <w:rFonts w:ascii="Book Antiqua" w:eastAsia="Book Antiqua" w:hAnsi="Book Antiqua" w:cs="Book Antiqua"/>
          <w:color w:val="000000"/>
        </w:rPr>
        <w:t>respirometry</w:t>
      </w:r>
      <w:r w:rsidRPr="004464B3">
        <w:rPr>
          <w:rFonts w:ascii="Book Antiqua" w:eastAsia="Book Antiqua" w:hAnsi="Book Antiqua" w:cs="Book Antiqua"/>
          <w:color w:val="000000"/>
        </w:rPr>
        <w:t xml:space="preserve"> analys</w:t>
      </w:r>
      <w:r w:rsidR="006C68AF">
        <w:rPr>
          <w:rFonts w:ascii="Book Antiqua" w:eastAsia="Book Antiqua" w:hAnsi="Book Antiqua" w:cs="Book Antiqua"/>
          <w:color w:val="000000"/>
        </w:rPr>
        <w:t>e</w:t>
      </w:r>
      <w:r w:rsidRPr="004464B3">
        <w:rPr>
          <w:rFonts w:ascii="Book Antiqua" w:eastAsia="Book Antiqua" w:hAnsi="Book Antiqua" w:cs="Book Antiqua"/>
          <w:color w:val="000000"/>
        </w:rPr>
        <w:t>s in HepaRG by high-resolution oximetry. Figure 6A details the protocol used and is representative of the oxygraphic profiles in young (P10) and senescent (P20) HepaRG cells in basal conditions and after the transdifferentiation protocol (DMSO). The resting respiration (RR), which depends on endogenous substrates, was impacted by both the S and the T factor (S: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78.38,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57.12,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and by the interaction S×T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60.86,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Addition of oligomycin (a F</w:t>
      </w:r>
      <w:r w:rsidRPr="004464B3">
        <w:rPr>
          <w:rFonts w:ascii="Book Antiqua" w:eastAsia="Book Antiqua" w:hAnsi="Book Antiqua" w:cs="Book Antiqua"/>
          <w:color w:val="000000"/>
          <w:vertAlign w:val="subscript"/>
        </w:rPr>
        <w:t>o</w:t>
      </w:r>
      <w:r w:rsidRPr="004464B3">
        <w:rPr>
          <w:rFonts w:ascii="Book Antiqua" w:eastAsia="Book Antiqua" w:hAnsi="Book Antiqua" w:cs="Book Antiqua"/>
          <w:color w:val="000000"/>
        </w:rPr>
        <w:t>F</w:t>
      </w:r>
      <w:r w:rsidRPr="004464B3">
        <w:rPr>
          <w:rFonts w:ascii="Book Antiqua" w:eastAsia="Book Antiqua" w:hAnsi="Book Antiqua" w:cs="Book Antiqua"/>
          <w:color w:val="000000"/>
          <w:vertAlign w:val="subscript"/>
        </w:rPr>
        <w:t>1</w:t>
      </w:r>
      <w:r w:rsidRPr="004464B3">
        <w:rPr>
          <w:rFonts w:ascii="Book Antiqua" w:eastAsia="Book Antiqua" w:hAnsi="Book Antiqua" w:cs="Book Antiqua"/>
          <w:color w:val="000000"/>
        </w:rPr>
        <w:t>-ATP synthase inhibitor) reduced the oxygen uptake, suggesting that most of the mitochondrial respiration was coupled to the synthesis of ATP. Nevertheless, both the S and the T factor impacted this parameter (S: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10.83,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0.0018; 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6.847,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0.0308), as well as the interaction S</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8.104,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0.0216). Restoration of the oxygen uptake by the addition of valinomycin (a K</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ionophore which uncouples oxygen consumption from ATP synthesis) was also impacted by both the S and the T factor (S: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59.58,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53.09,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and the interaction S</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55.97,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&lt; 0.0001). The post hoc analysis showed that the oxygen uptake in all the examined conditions was higher in P10 HepaRG cells after the transdifferentiation protocol with respect to the other samples (Figure 6B). The effect</w:t>
      </w:r>
      <w:r w:rsidR="006C68AF">
        <w:rPr>
          <w:rFonts w:ascii="Book Antiqua" w:eastAsia="Book Antiqua" w:hAnsi="Book Antiqua" w:cs="Book Antiqua"/>
          <w:color w:val="000000"/>
        </w:rPr>
        <w:t>s</w:t>
      </w:r>
      <w:r w:rsidRPr="006C68AF">
        <w:rPr>
          <w:rFonts w:ascii="Book Antiqua" w:eastAsia="Book Antiqua" w:hAnsi="Book Antiqua" w:cs="Book Antiqua"/>
          <w:color w:val="000000"/>
        </w:rPr>
        <w:t xml:space="preserve"> of both S and T, and their interaction, was observed on the ATP-dependent oxygen uptake, calculated as the difference between RR and oligomycin-induced respiration (S: F</w:t>
      </w:r>
      <w:r w:rsidRPr="006B63C8">
        <w:rPr>
          <w:rFonts w:ascii="Book Antiqua" w:eastAsia="Book Antiqua" w:hAnsi="Book Antiqua" w:cs="Book Antiqua"/>
          <w:color w:val="000000"/>
          <w:vertAlign w:val="subscript"/>
        </w:rPr>
        <w:t>(1,8)</w:t>
      </w:r>
      <w:r w:rsidRPr="006B63C8">
        <w:rPr>
          <w:rFonts w:ascii="Book Antiqua" w:eastAsia="Book Antiqua" w:hAnsi="Book Antiqua" w:cs="Book Antiqua"/>
          <w:color w:val="000000"/>
        </w:rPr>
        <w:t xml:space="preserve"> = 28.94, </w:t>
      </w:r>
      <w:r w:rsidRPr="006B63C8">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0.0007; 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25.35,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 S</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27.36,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0.0008). The post hoc analysis showed that the P10 HepaRG cells after the transdifferentiation protocol exhibited a higher ATP-dependent oxygen uptake than the other samples (Figure 6C). The respiratory control ratio (RCR), calculated as the ratio between RR and oligomycin-induced respiration, was </w:t>
      </w:r>
      <w:r w:rsidRPr="004464B3">
        <w:rPr>
          <w:rFonts w:ascii="Book Antiqua" w:eastAsia="Book Antiqua" w:hAnsi="Book Antiqua" w:cs="Book Antiqua"/>
          <w:color w:val="000000"/>
        </w:rPr>
        <w:lastRenderedPageBreak/>
        <w:t>also influenced by both S and T (S: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14.76,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0.0049; 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13.43,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0.0064), and their interaction (S</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11.38,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0.0097). The post hoc analysis resulted in a higher RCR for the P10 HepaRG cells after the transdifferentiation protocol compared to the other samples (Figure 6D). Taken together, these data suggest that the transdifferentiation induced by DMSO increases mitochondrial respiration in HepaRG cells; however, this does not occur in senescent cells.</w:t>
      </w:r>
    </w:p>
    <w:p w14:paraId="728ED9A2" w14:textId="301BAAF0" w:rsidR="00A77B3E" w:rsidRPr="004464B3" w:rsidRDefault="0068711B" w:rsidP="00DF7525">
      <w:pPr>
        <w:spacing w:line="360" w:lineRule="auto"/>
        <w:ind w:firstLineChars="112" w:firstLine="269"/>
        <w:jc w:val="both"/>
        <w:rPr>
          <w:rFonts w:ascii="Book Antiqua" w:hAnsi="Book Antiqua"/>
        </w:rPr>
      </w:pPr>
      <w:r w:rsidRPr="004464B3">
        <w:rPr>
          <w:rFonts w:ascii="Book Antiqua" w:eastAsia="Book Antiqua" w:hAnsi="Book Antiqua" w:cs="Book Antiqua"/>
          <w:color w:val="000000"/>
        </w:rPr>
        <w:t>To confirm a defect in mitochondrial dysfunction of senescent HepaRG, the cellular ATP concentration was further measured. We observed a significant effect of both S and T (S:F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14.89,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0.0048; T:F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12.15,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0.0083), and the post hoc analysis showed that the ATP content of transdifferentiated P10 HepaRG cells was higher than the other samples (Figure 7A). </w:t>
      </w:r>
      <w:r w:rsidR="006C68AF">
        <w:rPr>
          <w:rFonts w:ascii="Book Antiqua" w:eastAsia="Book Antiqua" w:hAnsi="Book Antiqua" w:cs="Book Antiqua"/>
          <w:color w:val="000000"/>
        </w:rPr>
        <w:t>SA</w:t>
      </w:r>
      <w:r w:rsidRPr="006C68AF">
        <w:rPr>
          <w:rFonts w:ascii="Book Antiqua" w:eastAsia="Book Antiqua" w:hAnsi="Book Antiqua" w:cs="Book Antiqua"/>
          <w:color w:val="000000"/>
        </w:rPr>
        <w:t xml:space="preserve"> mitochondrial dysfunction can be consequent to an exhaustion of the oxidized form of NAD</w:t>
      </w:r>
      <w:r w:rsidRPr="006C68AF">
        <w:rPr>
          <w:rFonts w:ascii="Book Antiqua" w:eastAsia="Book Antiqua" w:hAnsi="Book Antiqua" w:cs="Book Antiqua"/>
          <w:color w:val="000000"/>
          <w:vertAlign w:val="superscript"/>
        </w:rPr>
        <w:t>+</w:t>
      </w:r>
      <w:r w:rsidRPr="004464B3">
        <w:rPr>
          <w:rFonts w:ascii="Book Antiqua" w:eastAsia="Book Antiqua" w:hAnsi="Book Antiqua" w:cs="Book Antiqua"/>
          <w:color w:val="000000"/>
          <w:vertAlign w:val="superscript"/>
        </w:rPr>
        <w:t>[25]</w:t>
      </w:r>
      <w:r w:rsidRPr="004464B3">
        <w:rPr>
          <w:rFonts w:ascii="Book Antiqua" w:eastAsia="Book Antiqua" w:hAnsi="Book Antiqua" w:cs="Book Antiqua"/>
          <w:color w:val="000000"/>
        </w:rPr>
        <w:t>. The analysis of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/NADH content in HepaRG cells revealed no changes in NADH; nevertheless, the impact of S, T, and their interaction was observed on both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(S:F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13.84,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0.0059; T:F</w:t>
      </w:r>
      <w:r w:rsidRPr="004464B3">
        <w:rPr>
          <w:rFonts w:ascii="Book Antiqua" w:eastAsia="Book Antiqua" w:hAnsi="Book Antiqua" w:cs="Book Antiqua"/>
          <w:color w:val="000000"/>
          <w:vertAlign w:val="subscript"/>
        </w:rPr>
        <w:t>(1,8)</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 xml:space="preserve">= 26.00,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0.0009; S</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10.47,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0.0120) and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/NADH (S:F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22.23,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0.0015; T:F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19.75,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0.0022; S</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w:t>
      </w:r>
      <w:r w:rsidR="00F364AB" w:rsidRPr="004464B3">
        <w:rPr>
          <w:rFonts w:ascii="Book Antiqua" w:eastAsia="Book Antiqua" w:hAnsi="Book Antiqua" w:cs="Book Antiqua"/>
          <w:color w:val="000000"/>
        </w:rPr>
        <w:t xml:space="preserve"> </w:t>
      </w:r>
      <w:r w:rsidRPr="004464B3">
        <w:rPr>
          <w:rFonts w:ascii="Book Antiqua" w:eastAsia="Book Antiqua" w:hAnsi="Book Antiqua" w:cs="Book Antiqua"/>
          <w:color w:val="000000"/>
        </w:rPr>
        <w:t>T: F</w:t>
      </w:r>
      <w:r w:rsidRPr="004464B3">
        <w:rPr>
          <w:rFonts w:ascii="Book Antiqua" w:eastAsia="Book Antiqua" w:hAnsi="Book Antiqua" w:cs="Book Antiqua"/>
          <w:color w:val="000000"/>
          <w:vertAlign w:val="subscript"/>
        </w:rPr>
        <w:t>(1,8)</w:t>
      </w:r>
      <w:r w:rsidRPr="004464B3">
        <w:rPr>
          <w:rFonts w:ascii="Book Antiqua" w:eastAsia="Book Antiqua" w:hAnsi="Book Antiqua" w:cs="Book Antiqua"/>
          <w:color w:val="000000"/>
        </w:rPr>
        <w:t xml:space="preserve"> = 10.02, </w:t>
      </w:r>
      <w:r w:rsidRPr="004464B3">
        <w:rPr>
          <w:rFonts w:ascii="Book Antiqua" w:eastAsia="Book Antiqua" w:hAnsi="Book Antiqua" w:cs="Book Antiqua"/>
          <w:i/>
          <w:iCs/>
          <w:color w:val="000000"/>
        </w:rPr>
        <w:t>P</w:t>
      </w:r>
      <w:r w:rsidRPr="004464B3">
        <w:rPr>
          <w:rFonts w:ascii="Book Antiqua" w:eastAsia="Book Antiqua" w:hAnsi="Book Antiqua" w:cs="Book Antiqua"/>
          <w:color w:val="000000"/>
        </w:rPr>
        <w:t xml:space="preserve"> = 0.0133). The post hoc analysis resulted in higher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and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/NADH in transdifferentiated P10 HepaRG cells with respect to the other samples (Figure 7B).</w:t>
      </w:r>
    </w:p>
    <w:p w14:paraId="6D4005CC" w14:textId="77777777" w:rsidR="00A77B3E" w:rsidRPr="004464B3" w:rsidRDefault="00A77B3E" w:rsidP="001D68DD">
      <w:pPr>
        <w:spacing w:line="360" w:lineRule="auto"/>
        <w:jc w:val="both"/>
        <w:rPr>
          <w:rFonts w:ascii="Book Antiqua" w:hAnsi="Book Antiqua"/>
        </w:rPr>
      </w:pPr>
    </w:p>
    <w:p w14:paraId="4C2B5D51"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aps/>
          <w:color w:val="000000"/>
          <w:u w:val="single"/>
        </w:rPr>
        <w:t>DISCUSSION</w:t>
      </w:r>
    </w:p>
    <w:p w14:paraId="36A7D028" w14:textId="33FB9A83"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This study demonstrates that cellular replication in HepaRG cells is associated with both the expression of senescence markers and the reduction in transdifferentiation potential. Indeed, data related to phenotype, gene expression, functional analysis, and mitochondrial function suggest that the transdifferentiation process of HepaRG is preserved after a few passages, but it is altered by continuous replication.</w:t>
      </w:r>
    </w:p>
    <w:p w14:paraId="7DAAE616" w14:textId="3CFA22B2" w:rsidR="00877703" w:rsidRPr="00877703" w:rsidRDefault="0068711B" w:rsidP="00DF7525">
      <w:pPr>
        <w:spacing w:line="360" w:lineRule="auto"/>
        <w:ind w:firstLineChars="112" w:firstLine="269"/>
        <w:jc w:val="both"/>
        <w:rPr>
          <w:rFonts w:ascii="Book Antiqua" w:hAnsi="Book Antiqua"/>
        </w:rPr>
      </w:pPr>
      <w:r w:rsidRPr="004464B3">
        <w:rPr>
          <w:rFonts w:ascii="Book Antiqua" w:eastAsia="Book Antiqua" w:hAnsi="Book Antiqua" w:cs="Book Antiqua"/>
          <w:color w:val="000000"/>
        </w:rPr>
        <w:t>HepaRG represent</w:t>
      </w:r>
      <w:r w:rsidR="00366D27" w:rsidRPr="004464B3">
        <w:rPr>
          <w:rFonts w:ascii="Book Antiqua" w:eastAsia="Book Antiqua" w:hAnsi="Book Antiqua" w:cs="Book Antiqua"/>
          <w:color w:val="000000"/>
        </w:rPr>
        <w:t>s</w:t>
      </w:r>
      <w:r w:rsidRPr="004464B3">
        <w:rPr>
          <w:rFonts w:ascii="Book Antiqua" w:eastAsia="Book Antiqua" w:hAnsi="Book Antiqua" w:cs="Book Antiqua"/>
          <w:color w:val="000000"/>
        </w:rPr>
        <w:t xml:space="preserve"> a unique cell line characterized by high expression of detoxifying and metabolizing enzymes, transport proteins, and nuclear receptors, as well as the ability to transdifferentiate toward hepatocyte-like and cholangiocyte-like cells</w:t>
      </w:r>
      <w:r w:rsidRPr="004464B3">
        <w:rPr>
          <w:rFonts w:ascii="Book Antiqua" w:eastAsia="Book Antiqua" w:hAnsi="Book Antiqua" w:cs="Book Antiqua"/>
          <w:color w:val="000000"/>
          <w:vertAlign w:val="superscript"/>
        </w:rPr>
        <w:t>[9</w:t>
      </w:r>
      <w:r w:rsidR="00FC0A98"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vertAlign w:val="superscript"/>
        </w:rPr>
        <w:t>11]</w:t>
      </w:r>
      <w:r w:rsidRPr="004464B3">
        <w:rPr>
          <w:rFonts w:ascii="Book Antiqua" w:eastAsia="Book Antiqua" w:hAnsi="Book Antiqua" w:cs="Book Antiqua"/>
          <w:color w:val="000000"/>
        </w:rPr>
        <w:t xml:space="preserve">. Other than representing a viable tool for cell biology, drug metabolism, and virology </w:t>
      </w:r>
      <w:r w:rsidRPr="004464B3">
        <w:rPr>
          <w:rFonts w:ascii="Book Antiqua" w:eastAsia="Book Antiqua" w:hAnsi="Book Antiqua" w:cs="Book Antiqua"/>
          <w:color w:val="000000"/>
        </w:rPr>
        <w:lastRenderedPageBreak/>
        <w:t xml:space="preserve">studies, differentiated HepaRG cells are suitable to generate humanized liver in rodent models, allowing </w:t>
      </w:r>
      <w:r w:rsidRPr="004464B3">
        <w:rPr>
          <w:rFonts w:ascii="Book Antiqua" w:eastAsia="Book Antiqua" w:hAnsi="Book Antiqua" w:cs="Book Antiqua"/>
          <w:i/>
          <w:iCs/>
          <w:color w:val="000000"/>
        </w:rPr>
        <w:t>in vivo</w:t>
      </w:r>
      <w:r w:rsidRPr="004464B3">
        <w:rPr>
          <w:rFonts w:ascii="Book Antiqua" w:eastAsia="Book Antiqua" w:hAnsi="Book Antiqua" w:cs="Book Antiqua"/>
          <w:color w:val="000000"/>
        </w:rPr>
        <w:t xml:space="preserve"> studies of liver development and physiology</w:t>
      </w:r>
      <w:r w:rsidRPr="004464B3">
        <w:rPr>
          <w:rFonts w:ascii="Book Antiqua" w:eastAsia="Book Antiqua" w:hAnsi="Book Antiqua" w:cs="Book Antiqua"/>
          <w:color w:val="000000"/>
          <w:vertAlign w:val="superscript"/>
        </w:rPr>
        <w:t>[26,27]</w:t>
      </w:r>
      <w:r w:rsidRPr="004464B3">
        <w:rPr>
          <w:rFonts w:ascii="Book Antiqua" w:eastAsia="Book Antiqua" w:hAnsi="Book Antiqua" w:cs="Book Antiqua"/>
          <w:color w:val="000000"/>
        </w:rPr>
        <w:t>.</w:t>
      </w:r>
    </w:p>
    <w:p w14:paraId="7D947DA8" w14:textId="4BDA5524" w:rsidR="00877703" w:rsidRPr="00877703" w:rsidRDefault="0068711B" w:rsidP="00DF7525">
      <w:pPr>
        <w:spacing w:line="360" w:lineRule="auto"/>
        <w:ind w:firstLineChars="112" w:firstLine="269"/>
        <w:jc w:val="both"/>
        <w:rPr>
          <w:rFonts w:ascii="Book Antiqua" w:hAnsi="Book Antiqua"/>
        </w:rPr>
      </w:pPr>
      <w:r w:rsidRPr="006B63C8">
        <w:rPr>
          <w:rFonts w:ascii="Book Antiqua" w:eastAsia="Book Antiqua" w:hAnsi="Book Antiqua" w:cs="Book Antiqua"/>
          <w:color w:val="000000"/>
        </w:rPr>
        <w:t>Cultured cells stop proliferating after a finite number of divisions, a phenomenon defined to as replicative senescence</w:t>
      </w:r>
      <w:r w:rsidRPr="004464B3">
        <w:rPr>
          <w:rFonts w:ascii="Book Antiqua" w:eastAsia="Book Antiqua" w:hAnsi="Book Antiqua" w:cs="Book Antiqua"/>
          <w:color w:val="000000"/>
          <w:vertAlign w:val="superscript"/>
        </w:rPr>
        <w:t>[28,29]</w:t>
      </w:r>
      <w:r w:rsidRPr="004464B3">
        <w:rPr>
          <w:rFonts w:ascii="Book Antiqua" w:eastAsia="Book Antiqua" w:hAnsi="Book Antiqua" w:cs="Book Antiqua"/>
          <w:color w:val="000000"/>
        </w:rPr>
        <w:t xml:space="preserve">. However, cells can escape replicative senescence by several mechanisms, including overexpression of viral genes such as simian virus 40 </w:t>
      </w:r>
      <w:r w:rsidR="00FC0A98" w:rsidRPr="004464B3">
        <w:rPr>
          <w:rFonts w:ascii="Book Antiqua" w:eastAsia="Book Antiqua" w:hAnsi="Book Antiqua" w:cs="Book Antiqua"/>
          <w:color w:val="000000"/>
        </w:rPr>
        <w:t>l</w:t>
      </w:r>
      <w:r w:rsidRPr="004464B3">
        <w:rPr>
          <w:rFonts w:ascii="Book Antiqua" w:eastAsia="Book Antiqua" w:hAnsi="Book Antiqua" w:cs="Book Antiqua"/>
          <w:color w:val="000000"/>
        </w:rPr>
        <w:t>arge T antigen (which inactivates p53), or telomerase reverse transcriptase protein (TERT, which elongates telomeres)</w:t>
      </w:r>
      <w:r w:rsidRPr="004464B3">
        <w:rPr>
          <w:rFonts w:ascii="Book Antiqua" w:eastAsia="Book Antiqua" w:hAnsi="Book Antiqua" w:cs="Book Antiqua"/>
          <w:color w:val="000000"/>
          <w:vertAlign w:val="superscript"/>
        </w:rPr>
        <w:t>[30,31]</w:t>
      </w:r>
      <w:r w:rsidRPr="004464B3">
        <w:rPr>
          <w:rFonts w:ascii="Book Antiqua" w:eastAsia="Book Antiqua" w:hAnsi="Book Antiqua" w:cs="Book Antiqua"/>
          <w:color w:val="000000"/>
        </w:rPr>
        <w:t>. Proliferating HepaRG cells show over-expression and hyper-activation of human TERT, as well as inhibition of p21 and p27, which in turn inhibit the catalytic activity of cyclin-dependent kinases and stop the cell cycle</w:t>
      </w:r>
      <w:r w:rsidRPr="004464B3">
        <w:rPr>
          <w:rFonts w:ascii="Book Antiqua" w:eastAsia="Book Antiqua" w:hAnsi="Book Antiqua" w:cs="Book Antiqua"/>
          <w:color w:val="000000"/>
          <w:vertAlign w:val="superscript"/>
        </w:rPr>
        <w:t>[32]</w:t>
      </w:r>
      <w:r w:rsidRPr="004464B3">
        <w:rPr>
          <w:rFonts w:ascii="Book Antiqua" w:eastAsia="Book Antiqua" w:hAnsi="Book Antiqua" w:cs="Book Antiqua"/>
          <w:color w:val="000000"/>
        </w:rPr>
        <w:t xml:space="preserve">. Nevertheless, our data demonstrate that a replication protocol induces the expression of senescence markers in HepaRG cells, such as positive SA-β-gal staining and DNA alterations. Thus, we hypothesize that the mechanisms </w:t>
      </w:r>
      <w:r w:rsidR="00877703">
        <w:rPr>
          <w:rFonts w:ascii="Book Antiqua" w:eastAsia="Book Antiqua" w:hAnsi="Book Antiqua" w:cs="Book Antiqua"/>
          <w:color w:val="000000"/>
        </w:rPr>
        <w:t>that</w:t>
      </w:r>
      <w:r w:rsidR="00877703" w:rsidRPr="00877703">
        <w:rPr>
          <w:rFonts w:ascii="Book Antiqua" w:eastAsia="Book Antiqua" w:hAnsi="Book Antiqua" w:cs="Book Antiqua"/>
          <w:color w:val="000000"/>
        </w:rPr>
        <w:t xml:space="preserve"> </w:t>
      </w:r>
      <w:r w:rsidRPr="00877703">
        <w:rPr>
          <w:rFonts w:ascii="Book Antiqua" w:eastAsia="Book Antiqua" w:hAnsi="Book Antiqua" w:cs="Book Antiqua"/>
          <w:color w:val="000000"/>
        </w:rPr>
        <w:t xml:space="preserve">induce senescence in HepaRG cells are different from telomere shortening and p21/p27 activation. </w:t>
      </w:r>
    </w:p>
    <w:p w14:paraId="7E15CBB2" w14:textId="08357F95" w:rsidR="005A4F6B" w:rsidRPr="005A4F6B" w:rsidRDefault="0068711B" w:rsidP="00DF7525">
      <w:pPr>
        <w:spacing w:line="360" w:lineRule="auto"/>
        <w:ind w:firstLineChars="112" w:firstLine="269"/>
        <w:jc w:val="both"/>
        <w:rPr>
          <w:rFonts w:ascii="Book Antiqua" w:hAnsi="Book Antiqua"/>
        </w:rPr>
      </w:pPr>
      <w:r w:rsidRPr="00877703">
        <w:rPr>
          <w:rFonts w:ascii="Book Antiqua" w:eastAsia="Book Antiqua" w:hAnsi="Book Antiqua" w:cs="Book Antiqua"/>
          <w:color w:val="000000"/>
        </w:rPr>
        <w:t xml:space="preserve">Senescence </w:t>
      </w:r>
      <w:r w:rsidRPr="004464B3">
        <w:rPr>
          <w:rFonts w:ascii="Book Antiqua" w:eastAsia="Book Antiqua" w:hAnsi="Book Antiqua" w:cs="Book Antiqua"/>
          <w:color w:val="000000"/>
        </w:rPr>
        <w:t>impair</w:t>
      </w:r>
      <w:r w:rsidR="00877703">
        <w:rPr>
          <w:rFonts w:ascii="Book Antiqua" w:eastAsia="Book Antiqua" w:hAnsi="Book Antiqua" w:cs="Book Antiqua"/>
          <w:color w:val="000000"/>
        </w:rPr>
        <w:t>s the</w:t>
      </w:r>
      <w:r w:rsidRPr="00877703">
        <w:rPr>
          <w:rFonts w:ascii="Book Antiqua" w:eastAsia="Book Antiqua" w:hAnsi="Book Antiqua" w:cs="Book Antiqua"/>
          <w:color w:val="000000"/>
        </w:rPr>
        <w:t xml:space="preserve"> trans</w:t>
      </w:r>
      <w:r w:rsidRPr="004464B3">
        <w:rPr>
          <w:rFonts w:ascii="Book Antiqua" w:eastAsia="Book Antiqua" w:hAnsi="Book Antiqua" w:cs="Book Antiqua"/>
          <w:color w:val="000000"/>
        </w:rPr>
        <w:t>differentiation of several cell lines</w:t>
      </w:r>
      <w:r w:rsidRPr="004464B3">
        <w:rPr>
          <w:rFonts w:ascii="Book Antiqua" w:eastAsia="Book Antiqua" w:hAnsi="Book Antiqua" w:cs="Book Antiqua"/>
          <w:color w:val="000000"/>
          <w:vertAlign w:val="superscript"/>
        </w:rPr>
        <w:t>[33</w:t>
      </w:r>
      <w:r w:rsidR="00D1255B"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vertAlign w:val="superscript"/>
        </w:rPr>
        <w:t>36]</w:t>
      </w:r>
      <w:r w:rsidRPr="004464B3">
        <w:rPr>
          <w:rFonts w:ascii="Book Antiqua" w:eastAsia="Book Antiqua" w:hAnsi="Book Antiqua" w:cs="Book Antiqua"/>
          <w:color w:val="000000"/>
        </w:rPr>
        <w:t>. Senescent cells secrete a large variety of molecules that change the surrounding microenvironment, with consequent alteration</w:t>
      </w:r>
      <w:r w:rsidR="00877703">
        <w:rPr>
          <w:rFonts w:ascii="Book Antiqua" w:eastAsia="Book Antiqua" w:hAnsi="Book Antiqua" w:cs="Book Antiqua"/>
          <w:color w:val="000000"/>
        </w:rPr>
        <w:t>s</w:t>
      </w:r>
      <w:r w:rsidRPr="00877703">
        <w:rPr>
          <w:rFonts w:ascii="Book Antiqua" w:eastAsia="Book Antiqua" w:hAnsi="Book Antiqua" w:cs="Book Antiqua"/>
          <w:color w:val="000000"/>
        </w:rPr>
        <w:t xml:space="preserve"> of differentiation and tissue regeneration</w:t>
      </w:r>
      <w:r w:rsidRPr="005A4F6B">
        <w:rPr>
          <w:rFonts w:ascii="Book Antiqua" w:eastAsia="Book Antiqua" w:hAnsi="Book Antiqua" w:cs="Book Antiqua"/>
          <w:color w:val="000000"/>
          <w:vertAlign w:val="superscript"/>
        </w:rPr>
        <w:t>[37,38]</w:t>
      </w:r>
      <w:r w:rsidRPr="005A4F6B">
        <w:rPr>
          <w:rFonts w:ascii="Book Antiqua" w:eastAsia="Book Antiqua" w:hAnsi="Book Antiqua" w:cs="Book Antiqua"/>
          <w:color w:val="000000"/>
        </w:rPr>
        <w:t xml:space="preserve">. These compounds include a wide range of cytokines, growth factors, and signaling molecules </w:t>
      </w:r>
      <w:r w:rsidR="005A4F6B">
        <w:rPr>
          <w:rFonts w:ascii="Book Antiqua" w:eastAsia="Book Antiqua" w:hAnsi="Book Antiqua" w:cs="Book Antiqua"/>
          <w:color w:val="000000"/>
        </w:rPr>
        <w:t>that</w:t>
      </w:r>
      <w:r w:rsidR="005A4F6B" w:rsidRPr="005A4F6B">
        <w:rPr>
          <w:rFonts w:ascii="Book Antiqua" w:eastAsia="Book Antiqua" w:hAnsi="Book Antiqua" w:cs="Book Antiqua"/>
          <w:color w:val="000000"/>
        </w:rPr>
        <w:t xml:space="preserve"> </w:t>
      </w:r>
      <w:r w:rsidRPr="005A4F6B">
        <w:rPr>
          <w:rFonts w:ascii="Book Antiqua" w:eastAsia="Book Antiqua" w:hAnsi="Book Antiqua" w:cs="Book Antiqua"/>
          <w:color w:val="000000"/>
        </w:rPr>
        <w:t xml:space="preserve">are included in the </w:t>
      </w:r>
      <w:r w:rsidR="005A4F6B">
        <w:rPr>
          <w:rFonts w:ascii="Book Antiqua" w:eastAsia="Book Antiqua" w:hAnsi="Book Antiqua" w:cs="Book Antiqua"/>
          <w:color w:val="000000"/>
        </w:rPr>
        <w:t>SA</w:t>
      </w:r>
      <w:r w:rsidRPr="005A4F6B">
        <w:rPr>
          <w:rFonts w:ascii="Book Antiqua" w:eastAsia="Book Antiqua" w:hAnsi="Book Antiqua" w:cs="Book Antiqua"/>
          <w:color w:val="000000"/>
        </w:rPr>
        <w:t xml:space="preserve"> secretory phenotype (SASP)</w:t>
      </w:r>
      <w:r w:rsidRPr="005A4F6B">
        <w:rPr>
          <w:rFonts w:ascii="Book Antiqua" w:eastAsia="Book Antiqua" w:hAnsi="Book Antiqua" w:cs="Book Antiqua"/>
          <w:color w:val="000000"/>
          <w:vertAlign w:val="superscript"/>
        </w:rPr>
        <w:t>[39]</w:t>
      </w:r>
      <w:r w:rsidRPr="005A4F6B">
        <w:rPr>
          <w:rFonts w:ascii="Book Antiqua" w:eastAsia="Book Antiqua" w:hAnsi="Book Antiqua" w:cs="Book Antiqua"/>
          <w:color w:val="000000"/>
        </w:rPr>
        <w:t>. Our data clearly demonstrate that replicative senescence alters the trans</w:t>
      </w:r>
      <w:r w:rsidRPr="004464B3">
        <w:rPr>
          <w:rFonts w:ascii="Book Antiqua" w:eastAsia="Book Antiqua" w:hAnsi="Book Antiqua" w:cs="Book Antiqua"/>
          <w:color w:val="000000"/>
        </w:rPr>
        <w:t>differentiation process of HepaRG cells. Nevertheless, we did not analyze the SASP in our study, since this marker is strictly linked with telomere shortening</w:t>
      </w:r>
      <w:r w:rsidRPr="004464B3">
        <w:rPr>
          <w:rFonts w:ascii="Book Antiqua" w:eastAsia="Book Antiqua" w:hAnsi="Book Antiqua" w:cs="Book Antiqua"/>
          <w:color w:val="000000"/>
          <w:vertAlign w:val="superscript"/>
        </w:rPr>
        <w:t>[40]</w:t>
      </w:r>
      <w:r w:rsidRPr="004464B3">
        <w:rPr>
          <w:rFonts w:ascii="Book Antiqua" w:eastAsia="Book Antiqua" w:hAnsi="Book Antiqua" w:cs="Book Antiqua"/>
          <w:color w:val="000000"/>
        </w:rPr>
        <w:t xml:space="preserve">. </w:t>
      </w:r>
      <w:r w:rsidR="005A4F6B">
        <w:rPr>
          <w:rFonts w:ascii="Book Antiqua" w:eastAsia="Book Antiqua" w:hAnsi="Book Antiqua" w:cs="Book Antiqua"/>
          <w:color w:val="000000"/>
        </w:rPr>
        <w:t>By contrast</w:t>
      </w:r>
      <w:r w:rsidRPr="005A4F6B">
        <w:rPr>
          <w:rFonts w:ascii="Book Antiqua" w:eastAsia="Book Antiqua" w:hAnsi="Book Antiqua" w:cs="Book Antiqua"/>
          <w:color w:val="000000"/>
        </w:rPr>
        <w:t>, we focused on mitochondria, since the homeostasis of these organelles is crucial for several aspects of senescence including SASP</w:t>
      </w:r>
      <w:r w:rsidRPr="005A4F6B">
        <w:rPr>
          <w:rFonts w:ascii="Book Antiqua" w:eastAsia="Book Antiqua" w:hAnsi="Book Antiqua" w:cs="Book Antiqua"/>
          <w:color w:val="000000"/>
          <w:vertAlign w:val="superscript"/>
        </w:rPr>
        <w:t>[41]</w:t>
      </w:r>
      <w:r w:rsidRPr="005A4F6B">
        <w:rPr>
          <w:rFonts w:ascii="Book Antiqua" w:eastAsia="Book Antiqua" w:hAnsi="Book Antiqua" w:cs="Book Antiqua"/>
          <w:color w:val="000000"/>
        </w:rPr>
        <w:t xml:space="preserve">. Indeed, </w:t>
      </w:r>
      <w:r w:rsidR="005A4F6B">
        <w:rPr>
          <w:rFonts w:ascii="Book Antiqua" w:eastAsia="Book Antiqua" w:hAnsi="Book Antiqua" w:cs="Book Antiqua"/>
          <w:color w:val="000000"/>
        </w:rPr>
        <w:t>the</w:t>
      </w:r>
      <w:r w:rsidR="005A4F6B" w:rsidRPr="005A4F6B">
        <w:rPr>
          <w:rFonts w:ascii="Book Antiqua" w:eastAsia="Book Antiqua" w:hAnsi="Book Antiqua" w:cs="Book Antiqua"/>
          <w:color w:val="000000"/>
        </w:rPr>
        <w:t xml:space="preserve"> </w:t>
      </w:r>
      <w:r w:rsidRPr="005A4F6B">
        <w:rPr>
          <w:rFonts w:ascii="Book Antiqua" w:eastAsia="Book Antiqua" w:hAnsi="Book Antiqua" w:cs="Book Antiqua"/>
          <w:color w:val="000000"/>
        </w:rPr>
        <w:t xml:space="preserve">impairment of mitochondrial oxidative phosphorylation (OxPhos) </w:t>
      </w:r>
      <w:r w:rsidR="005A4F6B">
        <w:rPr>
          <w:rFonts w:ascii="Book Antiqua" w:eastAsia="Book Antiqua" w:hAnsi="Book Antiqua" w:cs="Book Antiqua"/>
          <w:color w:val="000000"/>
        </w:rPr>
        <w:t>is</w:t>
      </w:r>
      <w:r w:rsidRPr="005A4F6B">
        <w:rPr>
          <w:rFonts w:ascii="Book Antiqua" w:eastAsia="Book Antiqua" w:hAnsi="Book Antiqua" w:cs="Book Antiqua"/>
          <w:color w:val="000000"/>
        </w:rPr>
        <w:t xml:space="preserve"> mainly involved in the early steps of cell senescence</w:t>
      </w:r>
      <w:r w:rsidRPr="005A4F6B">
        <w:rPr>
          <w:rFonts w:ascii="Book Antiqua" w:eastAsia="Book Antiqua" w:hAnsi="Book Antiqua" w:cs="Book Antiqua"/>
          <w:color w:val="000000"/>
          <w:vertAlign w:val="superscript"/>
        </w:rPr>
        <w:t>[42]</w:t>
      </w:r>
      <w:r w:rsidRPr="005A4F6B">
        <w:rPr>
          <w:rFonts w:ascii="Book Antiqua" w:eastAsia="Book Antiqua" w:hAnsi="Book Antiqua" w:cs="Book Antiqua"/>
          <w:color w:val="000000"/>
        </w:rPr>
        <w:t xml:space="preserve">. Moreover, senescent cells exhibit severe metabolic alterations associated </w:t>
      </w:r>
      <w:r w:rsidR="005A4F6B">
        <w:rPr>
          <w:rFonts w:ascii="Book Antiqua" w:eastAsia="Book Antiqua" w:hAnsi="Book Antiqua" w:cs="Book Antiqua"/>
          <w:color w:val="000000"/>
        </w:rPr>
        <w:t xml:space="preserve">with </w:t>
      </w:r>
      <w:r w:rsidRPr="005A4F6B">
        <w:rPr>
          <w:rFonts w:ascii="Book Antiqua" w:eastAsia="Book Antiqua" w:hAnsi="Book Antiqua" w:cs="Book Antiqua"/>
          <w:color w:val="000000"/>
        </w:rPr>
        <w:t xml:space="preserve">mitochondrial metabolites, such as oxidized to reduced </w:t>
      </w:r>
      <w:r w:rsidR="005A4F6B">
        <w:rPr>
          <w:rFonts w:ascii="Book Antiqua" w:eastAsia="Book Antiqua" w:hAnsi="Book Antiqua" w:cs="Book Antiqua"/>
          <w:color w:val="000000"/>
        </w:rPr>
        <w:t>NAD</w:t>
      </w:r>
      <w:r w:rsidRPr="005A4F6B">
        <w:rPr>
          <w:rFonts w:ascii="Book Antiqua" w:eastAsia="Book Antiqua" w:hAnsi="Book Antiqua" w:cs="Book Antiqua"/>
          <w:color w:val="000000"/>
        </w:rPr>
        <w:t xml:space="preserve"> ratios (NAD+/NADH)</w:t>
      </w:r>
      <w:r w:rsidRPr="005A4F6B">
        <w:rPr>
          <w:rFonts w:ascii="Book Antiqua" w:eastAsia="Book Antiqua" w:hAnsi="Book Antiqua" w:cs="Book Antiqua"/>
          <w:color w:val="000000"/>
          <w:vertAlign w:val="superscript"/>
        </w:rPr>
        <w:t>[43]</w:t>
      </w:r>
      <w:r w:rsidRPr="005A4F6B">
        <w:rPr>
          <w:rFonts w:ascii="Book Antiqua" w:eastAsia="Book Antiqua" w:hAnsi="Book Antiqua" w:cs="Book Antiqua"/>
          <w:color w:val="000000"/>
        </w:rPr>
        <w:t xml:space="preserve">. The novel and straight findings of </w:t>
      </w:r>
      <w:r w:rsidR="005A4F6B">
        <w:rPr>
          <w:rFonts w:ascii="Book Antiqua" w:eastAsia="Book Antiqua" w:hAnsi="Book Antiqua" w:cs="Book Antiqua"/>
          <w:color w:val="000000"/>
        </w:rPr>
        <w:t>this</w:t>
      </w:r>
      <w:r w:rsidRPr="005A4F6B">
        <w:rPr>
          <w:rFonts w:ascii="Book Antiqua" w:eastAsia="Book Antiqua" w:hAnsi="Book Antiqua" w:cs="Book Antiqua"/>
          <w:color w:val="000000"/>
        </w:rPr>
        <w:t xml:space="preserve"> study </w:t>
      </w:r>
      <w:r w:rsidR="005A4F6B">
        <w:rPr>
          <w:rFonts w:ascii="Book Antiqua" w:eastAsia="Book Antiqua" w:hAnsi="Book Antiqua" w:cs="Book Antiqua"/>
          <w:color w:val="000000"/>
        </w:rPr>
        <w:t>demonstrate the</w:t>
      </w:r>
      <w:r w:rsidRPr="005A4F6B">
        <w:rPr>
          <w:rFonts w:ascii="Book Antiqua" w:eastAsia="Book Antiqua" w:hAnsi="Book Antiqua" w:cs="Book Antiqua"/>
          <w:color w:val="000000"/>
        </w:rPr>
        <w:t xml:space="preserve"> higher mitochondria-related respiration in trans</w:t>
      </w:r>
      <w:r w:rsidRPr="004464B3">
        <w:rPr>
          <w:rFonts w:ascii="Book Antiqua" w:eastAsia="Book Antiqua" w:hAnsi="Book Antiqua" w:cs="Book Antiqua"/>
          <w:color w:val="000000"/>
        </w:rPr>
        <w:t xml:space="preserve">differentiated HepaRG cells, which </w:t>
      </w:r>
      <w:r w:rsidR="005A4F6B">
        <w:rPr>
          <w:rFonts w:ascii="Book Antiqua" w:eastAsia="Book Antiqua" w:hAnsi="Book Antiqua" w:cs="Book Antiqua"/>
          <w:color w:val="000000"/>
        </w:rPr>
        <w:t xml:space="preserve">was </w:t>
      </w:r>
      <w:r w:rsidRPr="005A4F6B">
        <w:rPr>
          <w:rFonts w:ascii="Book Antiqua" w:eastAsia="Book Antiqua" w:hAnsi="Book Antiqua" w:cs="Book Antiqua"/>
          <w:color w:val="000000"/>
        </w:rPr>
        <w:t xml:space="preserve">not observed after induction of replicative senescence. Indeed, this respiration </w:t>
      </w:r>
      <w:r w:rsidR="005A4F6B">
        <w:rPr>
          <w:rFonts w:ascii="Book Antiqua" w:eastAsia="Book Antiqua" w:hAnsi="Book Antiqua" w:cs="Book Antiqua"/>
          <w:color w:val="000000"/>
        </w:rPr>
        <w:t>was</w:t>
      </w:r>
      <w:r w:rsidR="005A4F6B" w:rsidRPr="005A4F6B">
        <w:rPr>
          <w:rFonts w:ascii="Book Antiqua" w:eastAsia="Book Antiqua" w:hAnsi="Book Antiqua" w:cs="Book Antiqua"/>
          <w:color w:val="000000"/>
        </w:rPr>
        <w:t xml:space="preserve"> </w:t>
      </w:r>
      <w:r w:rsidRPr="005A4F6B">
        <w:rPr>
          <w:rFonts w:ascii="Book Antiqua" w:eastAsia="Book Antiqua" w:hAnsi="Book Antiqua" w:cs="Book Antiqua"/>
          <w:color w:val="000000"/>
        </w:rPr>
        <w:t>suppressed by oligomycin, a specific inhibitor of ATP synthase, suggesting that trans</w:t>
      </w:r>
      <w:r w:rsidRPr="004464B3">
        <w:rPr>
          <w:rFonts w:ascii="Book Antiqua" w:eastAsia="Book Antiqua" w:hAnsi="Book Antiqua" w:cs="Book Antiqua"/>
          <w:color w:val="000000"/>
        </w:rPr>
        <w:t xml:space="preserve">differentiated HepaRG cells in resting conditions oxidize substrates </w:t>
      </w:r>
      <w:r w:rsidRPr="004464B3">
        <w:rPr>
          <w:rFonts w:ascii="Book Antiqua" w:eastAsia="Book Antiqua" w:hAnsi="Book Antiqua" w:cs="Book Antiqua"/>
          <w:color w:val="000000"/>
        </w:rPr>
        <w:lastRenderedPageBreak/>
        <w:t>to synthetize ATP through the OxPhos system. On the other hand, senescent HepaRG cells subjected to the transdifferentiation protocol exhibit</w:t>
      </w:r>
      <w:r w:rsidR="005A4F6B">
        <w:rPr>
          <w:rFonts w:ascii="Book Antiqua" w:eastAsia="Book Antiqua" w:hAnsi="Book Antiqua" w:cs="Book Antiqua"/>
          <w:color w:val="000000"/>
        </w:rPr>
        <w:t>ed</w:t>
      </w:r>
      <w:r w:rsidRPr="005A4F6B">
        <w:rPr>
          <w:rFonts w:ascii="Book Antiqua" w:eastAsia="Book Antiqua" w:hAnsi="Book Antiqua" w:cs="Book Antiqua"/>
          <w:color w:val="000000"/>
        </w:rPr>
        <w:t xml:space="preserve"> lower oxygen consumption which </w:t>
      </w:r>
      <w:r w:rsidR="005A4F6B">
        <w:rPr>
          <w:rFonts w:ascii="Book Antiqua" w:eastAsia="Book Antiqua" w:hAnsi="Book Antiqua" w:cs="Book Antiqua"/>
          <w:color w:val="000000"/>
        </w:rPr>
        <w:t>was</w:t>
      </w:r>
      <w:r w:rsidR="005A4F6B" w:rsidRPr="005A4F6B">
        <w:rPr>
          <w:rFonts w:ascii="Book Antiqua" w:eastAsia="Book Antiqua" w:hAnsi="Book Antiqua" w:cs="Book Antiqua"/>
          <w:color w:val="000000"/>
        </w:rPr>
        <w:t xml:space="preserve"> </w:t>
      </w:r>
      <w:r w:rsidRPr="005A4F6B">
        <w:rPr>
          <w:rFonts w:ascii="Book Antiqua" w:eastAsia="Book Antiqua" w:hAnsi="Book Antiqua" w:cs="Book Antiqua"/>
          <w:color w:val="000000"/>
        </w:rPr>
        <w:t>insensitive to oligomycin. These results are consistent with a transition from a glycolytic to an oxidative metabolism in trans</w:t>
      </w:r>
      <w:r w:rsidRPr="004464B3">
        <w:rPr>
          <w:rFonts w:ascii="Book Antiqua" w:eastAsia="Book Antiqua" w:hAnsi="Book Antiqua" w:cs="Book Antiqua"/>
          <w:color w:val="000000"/>
        </w:rPr>
        <w:t>differentiated HepaRG</w:t>
      </w:r>
      <w:r w:rsidR="005A4F6B">
        <w:rPr>
          <w:rFonts w:ascii="Book Antiqua" w:eastAsia="Book Antiqua" w:hAnsi="Book Antiqua" w:cs="Book Antiqua"/>
          <w:color w:val="000000"/>
        </w:rPr>
        <w:t xml:space="preserve"> cells</w:t>
      </w:r>
      <w:r w:rsidRPr="005A4F6B">
        <w:rPr>
          <w:rFonts w:ascii="Book Antiqua" w:eastAsia="Book Antiqua" w:hAnsi="Book Antiqua" w:cs="Book Antiqua"/>
          <w:color w:val="000000"/>
        </w:rPr>
        <w:t xml:space="preserve">, which </w:t>
      </w:r>
      <w:r w:rsidR="005A4F6B">
        <w:rPr>
          <w:rFonts w:ascii="Book Antiqua" w:eastAsia="Book Antiqua" w:hAnsi="Book Antiqua" w:cs="Book Antiqua"/>
          <w:color w:val="000000"/>
        </w:rPr>
        <w:t>did</w:t>
      </w:r>
      <w:r w:rsidR="005A4F6B" w:rsidRPr="005A4F6B">
        <w:rPr>
          <w:rFonts w:ascii="Book Antiqua" w:eastAsia="Book Antiqua" w:hAnsi="Book Antiqua" w:cs="Book Antiqua"/>
          <w:color w:val="000000"/>
        </w:rPr>
        <w:t xml:space="preserve"> </w:t>
      </w:r>
      <w:r w:rsidRPr="005A4F6B">
        <w:rPr>
          <w:rFonts w:ascii="Book Antiqua" w:eastAsia="Book Antiqua" w:hAnsi="Book Antiqua" w:cs="Book Antiqua"/>
          <w:color w:val="000000"/>
        </w:rPr>
        <w:t xml:space="preserve">not occur in senescent cells. Of interest, the </w:t>
      </w:r>
      <w:r w:rsidR="005A4F6B">
        <w:rPr>
          <w:rFonts w:ascii="Book Antiqua" w:eastAsia="Book Antiqua" w:hAnsi="Book Antiqua" w:cs="Book Antiqua"/>
          <w:color w:val="000000"/>
        </w:rPr>
        <w:t>RR</w:t>
      </w:r>
      <w:r w:rsidRPr="005A4F6B">
        <w:rPr>
          <w:rFonts w:ascii="Book Antiqua" w:eastAsia="Book Antiqua" w:hAnsi="Book Antiqua" w:cs="Book Antiqua"/>
          <w:color w:val="000000"/>
        </w:rPr>
        <w:t xml:space="preserve"> in trans</w:t>
      </w:r>
      <w:r w:rsidRPr="004464B3">
        <w:rPr>
          <w:rFonts w:ascii="Book Antiqua" w:eastAsia="Book Antiqua" w:hAnsi="Book Antiqua" w:cs="Book Antiqua"/>
          <w:color w:val="000000"/>
        </w:rPr>
        <w:t xml:space="preserve">differentiated HepaRG cells was lower than that reached in the presence of an uncoupler (maximal respiratory rate), indicating the existence of a respiratory reserve. </w:t>
      </w:r>
      <w:r w:rsidR="005A4F6B">
        <w:rPr>
          <w:rFonts w:ascii="Book Antiqua" w:eastAsia="Book Antiqua" w:hAnsi="Book Antiqua" w:cs="Book Antiqua"/>
          <w:color w:val="000000"/>
        </w:rPr>
        <w:t>By contrast</w:t>
      </w:r>
      <w:r w:rsidRPr="005A4F6B">
        <w:rPr>
          <w:rFonts w:ascii="Book Antiqua" w:eastAsia="Book Antiqua" w:hAnsi="Book Antiqua" w:cs="Book Antiqua"/>
          <w:color w:val="000000"/>
        </w:rPr>
        <w:t xml:space="preserve">, </w:t>
      </w:r>
      <w:r w:rsidR="005A4F6B">
        <w:rPr>
          <w:rFonts w:ascii="Book Antiqua" w:eastAsia="Book Antiqua" w:hAnsi="Book Antiqua" w:cs="Book Antiqua"/>
          <w:color w:val="000000"/>
        </w:rPr>
        <w:t>the RR</w:t>
      </w:r>
      <w:r w:rsidRPr="005A4F6B">
        <w:rPr>
          <w:rFonts w:ascii="Book Antiqua" w:eastAsia="Book Antiqua" w:hAnsi="Book Antiqua" w:cs="Book Antiqua"/>
          <w:color w:val="000000"/>
        </w:rPr>
        <w:t xml:space="preserve"> of senescent HepaRG cells undergoing trans</w:t>
      </w:r>
      <w:r w:rsidRPr="004464B3">
        <w:rPr>
          <w:rFonts w:ascii="Book Antiqua" w:eastAsia="Book Antiqua" w:hAnsi="Book Antiqua" w:cs="Book Antiqua"/>
          <w:color w:val="000000"/>
        </w:rPr>
        <w:t xml:space="preserve">differentiation was similar to the maximal respiratory rate, suggesting the absence of a respiratory reserve. Mitochondrial dysfunction in senescent HepaRG cells after transdifferentiation was further confirmed by a reduction in cellular ATP concentration. </w:t>
      </w:r>
    </w:p>
    <w:p w14:paraId="758194EB" w14:textId="4D365FB5" w:rsidR="00A77B3E" w:rsidRPr="004464B3" w:rsidRDefault="005A4F6B" w:rsidP="00DF7525">
      <w:pPr>
        <w:spacing w:line="360" w:lineRule="auto"/>
        <w:ind w:firstLineChars="112" w:firstLine="269"/>
        <w:jc w:val="both"/>
        <w:rPr>
          <w:rFonts w:ascii="Book Antiqua" w:hAnsi="Book Antiqua"/>
        </w:rPr>
      </w:pPr>
      <w:r>
        <w:rPr>
          <w:rFonts w:ascii="Book Antiqua" w:eastAsia="Book Antiqua" w:hAnsi="Book Antiqua" w:cs="Book Antiqua"/>
          <w:color w:val="000000"/>
        </w:rPr>
        <w:t>The c</w:t>
      </w:r>
      <w:r w:rsidR="0068711B" w:rsidRPr="005A4F6B">
        <w:rPr>
          <w:rFonts w:ascii="Book Antiqua" w:eastAsia="Book Antiqua" w:hAnsi="Book Antiqua" w:cs="Book Antiqua"/>
          <w:color w:val="000000"/>
        </w:rPr>
        <w:t>oncentration of the oxidized form of NAD</w:t>
      </w:r>
      <w:r w:rsidR="0068711B" w:rsidRPr="005A4F6B">
        <w:rPr>
          <w:rFonts w:ascii="Book Antiqua" w:eastAsia="Book Antiqua" w:hAnsi="Book Antiqua" w:cs="Book Antiqua"/>
          <w:color w:val="000000"/>
          <w:vertAlign w:val="superscript"/>
        </w:rPr>
        <w:t>+</w:t>
      </w:r>
      <w:r w:rsidR="0068711B" w:rsidRPr="005A4F6B">
        <w:rPr>
          <w:rFonts w:ascii="Book Antiqua" w:eastAsia="Book Antiqua" w:hAnsi="Book Antiqua" w:cs="Book Antiqua"/>
          <w:color w:val="000000"/>
        </w:rPr>
        <w:t xml:space="preserve"> is determinant for mitochondrial homeostasis</w:t>
      </w:r>
      <w:r w:rsidR="0068711B" w:rsidRPr="006B63C8">
        <w:rPr>
          <w:rFonts w:ascii="Book Antiqua" w:eastAsia="Book Antiqua" w:hAnsi="Book Antiqua" w:cs="Book Antiqua"/>
          <w:color w:val="000000"/>
          <w:vertAlign w:val="superscript"/>
        </w:rPr>
        <w:t>[44,45]</w:t>
      </w:r>
      <w:r w:rsidR="0068711B" w:rsidRPr="006B63C8">
        <w:rPr>
          <w:rFonts w:ascii="Book Antiqua" w:eastAsia="Book Antiqua" w:hAnsi="Book Antiqua" w:cs="Book Antiqua"/>
          <w:color w:val="000000"/>
        </w:rPr>
        <w:t>. Moreover, NAD</w:t>
      </w:r>
      <w:r w:rsidR="0068711B" w:rsidRPr="006B63C8">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is crucial in several metabolic pathways, including glycolysis, citric acid cycle, and OxPhos, with consequent implications for both stemness/differentiation and cell senescence</w:t>
      </w:r>
      <w:r w:rsidR="0068711B" w:rsidRPr="004464B3">
        <w:rPr>
          <w:rFonts w:ascii="Book Antiqua" w:eastAsia="Book Antiqua" w:hAnsi="Book Antiqua" w:cs="Book Antiqua"/>
          <w:color w:val="000000"/>
          <w:vertAlign w:val="superscript"/>
        </w:rPr>
        <w:t>[46]</w:t>
      </w:r>
      <w:r w:rsidR="0068711B" w:rsidRPr="004464B3">
        <w:rPr>
          <w:rFonts w:ascii="Book Antiqua" w:eastAsia="Book Antiqua" w:hAnsi="Book Antiqua" w:cs="Book Antiqua"/>
          <w:color w:val="000000"/>
        </w:rPr>
        <w:t>. Cells that maintain a physiological quiescent state to preserve long-term self-renewal capacity are characterized by low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levels to obtain energy from glycolysis; on the contrary, cell differentiation leads to reduced glycolysis and increased OhPhos, which require high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levels</w:t>
      </w:r>
      <w:r w:rsidR="0068711B" w:rsidRPr="004464B3">
        <w:rPr>
          <w:rFonts w:ascii="Book Antiqua" w:eastAsia="Book Antiqua" w:hAnsi="Book Antiqua" w:cs="Book Antiqua"/>
          <w:color w:val="000000"/>
          <w:vertAlign w:val="superscript"/>
        </w:rPr>
        <w:t>[47]</w:t>
      </w:r>
      <w:r w:rsidR="0068711B" w:rsidRPr="004464B3">
        <w:rPr>
          <w:rFonts w:ascii="Book Antiqua" w:eastAsia="Book Antiqua" w:hAnsi="Book Antiqua" w:cs="Book Antiqua"/>
          <w:color w:val="000000"/>
        </w:rPr>
        <w:t>. Age-related reductions of both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levels and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/NADH ratio are evolutionarily preserved, and consistent evidence for low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has been provided for several old mammalian tissues</w:t>
      </w:r>
      <w:r w:rsidR="0068711B" w:rsidRPr="004464B3">
        <w:rPr>
          <w:rFonts w:ascii="Book Antiqua" w:eastAsia="Book Antiqua" w:hAnsi="Book Antiqua" w:cs="Book Antiqua"/>
          <w:color w:val="000000"/>
          <w:vertAlign w:val="superscript"/>
        </w:rPr>
        <w:t>[48]</w:t>
      </w:r>
      <w:r w:rsidR="0068711B" w:rsidRPr="004464B3">
        <w:rPr>
          <w:rFonts w:ascii="Book Antiqua" w:eastAsia="Book Antiqua" w:hAnsi="Book Antiqua" w:cs="Book Antiqua"/>
          <w:color w:val="000000"/>
        </w:rPr>
        <w:t>. Our data show that HepaRG transdifferentiation is associated with increased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and relatively stable NADH, with consequent high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/NADH. However, the raise of both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and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/NADH is not observed in HepaRG undergoing replicative senescence. Even though the effect of a treatment goes beyond the scope of our study, it is conceivable that a replenishment of NAD</w:t>
      </w:r>
      <w:r w:rsidR="0068711B"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rPr>
        <w:t xml:space="preserve"> would protect mitochondria and improve the transdifferentiation process of senescent HepaRG cells, as already described for other cell types</w:t>
      </w:r>
      <w:r w:rsidR="0068711B" w:rsidRPr="004464B3">
        <w:rPr>
          <w:rFonts w:ascii="Book Antiqua" w:eastAsia="Book Antiqua" w:hAnsi="Book Antiqua" w:cs="Book Antiqua"/>
          <w:color w:val="000000"/>
          <w:vertAlign w:val="superscript"/>
        </w:rPr>
        <w:t>[49</w:t>
      </w:r>
      <w:r w:rsidR="004E6837" w:rsidRPr="004464B3">
        <w:rPr>
          <w:rFonts w:ascii="Book Antiqua" w:eastAsia="Book Antiqua" w:hAnsi="Book Antiqua" w:cs="Book Antiqua"/>
          <w:color w:val="000000"/>
          <w:vertAlign w:val="superscript"/>
        </w:rPr>
        <w:t>-</w:t>
      </w:r>
      <w:r w:rsidR="0068711B" w:rsidRPr="004464B3">
        <w:rPr>
          <w:rFonts w:ascii="Book Antiqua" w:eastAsia="Book Antiqua" w:hAnsi="Book Antiqua" w:cs="Book Antiqua"/>
          <w:color w:val="000000"/>
          <w:vertAlign w:val="superscript"/>
        </w:rPr>
        <w:t>51]</w:t>
      </w:r>
      <w:r w:rsidR="0068711B" w:rsidRPr="004464B3">
        <w:rPr>
          <w:rFonts w:ascii="Book Antiqua" w:eastAsia="Book Antiqua" w:hAnsi="Book Antiqua" w:cs="Book Antiqua"/>
          <w:color w:val="000000"/>
        </w:rPr>
        <w:t>.</w:t>
      </w:r>
    </w:p>
    <w:p w14:paraId="073AF19D" w14:textId="77777777" w:rsidR="00A77B3E" w:rsidRPr="004464B3" w:rsidRDefault="00A77B3E" w:rsidP="001D68DD">
      <w:pPr>
        <w:spacing w:line="360" w:lineRule="auto"/>
        <w:jc w:val="both"/>
        <w:rPr>
          <w:rFonts w:ascii="Book Antiqua" w:hAnsi="Book Antiqua"/>
        </w:rPr>
      </w:pPr>
    </w:p>
    <w:p w14:paraId="7B53B96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aps/>
          <w:color w:val="000000"/>
          <w:u w:val="single"/>
        </w:rPr>
        <w:t>CONCLUSION</w:t>
      </w:r>
    </w:p>
    <w:p w14:paraId="55FD5693" w14:textId="10C3C882"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In conclusion, the present report demonstrates that HepaRG cells undergo replicative senescence, which is associated with impairment in transdifferentiation, mitochondrial dysfunction, and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depletion. Further investigations are required to refine the molecular mechanism underlying such observation. The limitations in the transdifferentiation potential of senescent HepaRG cells, with consequent alteration of metabolic and regenerative properties, may have serious implications when this cell line is applied for basic studies.</w:t>
      </w:r>
    </w:p>
    <w:p w14:paraId="72EF266F" w14:textId="77777777" w:rsidR="00A77B3E" w:rsidRPr="004464B3" w:rsidRDefault="00A77B3E" w:rsidP="001D68DD">
      <w:pPr>
        <w:spacing w:line="360" w:lineRule="auto"/>
        <w:jc w:val="both"/>
        <w:rPr>
          <w:rFonts w:ascii="Book Antiqua" w:hAnsi="Book Antiqua"/>
        </w:rPr>
      </w:pPr>
    </w:p>
    <w:p w14:paraId="5BA252C7"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aps/>
          <w:color w:val="000000"/>
          <w:u w:val="single"/>
        </w:rPr>
        <w:t>ARTICLE HIGHLIGHTS</w:t>
      </w:r>
    </w:p>
    <w:p w14:paraId="7D4E9034"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Research background</w:t>
      </w:r>
    </w:p>
    <w:p w14:paraId="49FF1B05"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The HepaRG cell line is used to study metabolism, toxicology, and the regeneration/differentiation processes, as a replacement to primary hepatocytes, HepG2, and Huh-7 cells. These cells exhibit a hepatocyte-like morphology and express hepatocyte-specific functions in defined culture conditions; furthermore, HepaRG display features of human oval ductular bipotent hepatic progenitors. </w:t>
      </w:r>
    </w:p>
    <w:p w14:paraId="5ABC59AB" w14:textId="77777777" w:rsidR="00A77B3E" w:rsidRPr="004464B3" w:rsidRDefault="00A77B3E" w:rsidP="001D68DD">
      <w:pPr>
        <w:spacing w:line="360" w:lineRule="auto"/>
        <w:jc w:val="both"/>
        <w:rPr>
          <w:rFonts w:ascii="Book Antiqua" w:hAnsi="Book Antiqua"/>
        </w:rPr>
      </w:pPr>
    </w:p>
    <w:p w14:paraId="06C8E092"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Research motivation</w:t>
      </w:r>
    </w:p>
    <w:p w14:paraId="635C06A5" w14:textId="41EFD8CD" w:rsidR="00A77B3E" w:rsidRPr="009C221C"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Cellular senescence consists in a steady cell cycle block occurring because of different harmful events, leading to defective stemness and differentiation processes, as well as changes in cell cycle regulation, signal transduction, and metabolism. The impact of senescence on HepaRG cells has not</w:t>
      </w:r>
      <w:r w:rsidR="009C221C">
        <w:rPr>
          <w:rFonts w:ascii="Book Antiqua" w:eastAsia="Book Antiqua" w:hAnsi="Book Antiqua" w:cs="Book Antiqua"/>
          <w:color w:val="000000"/>
        </w:rPr>
        <w:t xml:space="preserve"> yet</w:t>
      </w:r>
      <w:r w:rsidRPr="009C221C">
        <w:rPr>
          <w:rFonts w:ascii="Book Antiqua" w:eastAsia="Book Antiqua" w:hAnsi="Book Antiqua" w:cs="Book Antiqua"/>
          <w:color w:val="000000"/>
        </w:rPr>
        <w:t xml:space="preserve"> been investigated.</w:t>
      </w:r>
    </w:p>
    <w:p w14:paraId="5C77DE54" w14:textId="77777777" w:rsidR="00A77B3E" w:rsidRPr="006B63C8" w:rsidRDefault="00A77B3E" w:rsidP="001D68DD">
      <w:pPr>
        <w:spacing w:line="360" w:lineRule="auto"/>
        <w:jc w:val="both"/>
        <w:rPr>
          <w:rFonts w:ascii="Book Antiqua" w:hAnsi="Book Antiqua"/>
        </w:rPr>
      </w:pPr>
    </w:p>
    <w:p w14:paraId="7D99160D"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Research objectives</w:t>
      </w:r>
    </w:p>
    <w:p w14:paraId="74EFF33F" w14:textId="6C7A4425" w:rsidR="00A77B3E" w:rsidRPr="004464B3" w:rsidRDefault="009C221C" w:rsidP="001D68DD">
      <w:pPr>
        <w:spacing w:line="360" w:lineRule="auto"/>
        <w:jc w:val="both"/>
        <w:rPr>
          <w:rFonts w:ascii="Book Antiqua" w:hAnsi="Book Antiqua"/>
        </w:rPr>
      </w:pPr>
      <w:r>
        <w:rPr>
          <w:rFonts w:ascii="Book Antiqua" w:eastAsia="Book Antiqua" w:hAnsi="Book Antiqua" w:cs="Book Antiqua"/>
          <w:color w:val="000000"/>
        </w:rPr>
        <w:t>This</w:t>
      </w:r>
      <w:r w:rsidR="0068711B" w:rsidRPr="009C221C">
        <w:rPr>
          <w:rFonts w:ascii="Book Antiqua" w:eastAsia="Book Antiqua" w:hAnsi="Book Antiqua" w:cs="Book Antiqua"/>
          <w:color w:val="000000"/>
        </w:rPr>
        <w:t xml:space="preserve"> study investigat</w:t>
      </w:r>
      <w:r>
        <w:rPr>
          <w:rFonts w:ascii="Book Antiqua" w:eastAsia="Book Antiqua" w:hAnsi="Book Antiqua" w:cs="Book Antiqua"/>
          <w:color w:val="000000"/>
        </w:rPr>
        <w:t>ed</w:t>
      </w:r>
      <w:r w:rsidR="0068711B" w:rsidRPr="009C221C">
        <w:rPr>
          <w:rFonts w:ascii="Book Antiqua" w:eastAsia="Book Antiqua" w:hAnsi="Book Antiqua" w:cs="Book Antiqua"/>
          <w:color w:val="000000"/>
        </w:rPr>
        <w:t xml:space="preserve"> whether a replication protocol would induce senescence in HepaRG cells. In addition, we characterized the effects of senescence on trans</w:t>
      </w:r>
      <w:r w:rsidR="0068711B" w:rsidRPr="004464B3">
        <w:rPr>
          <w:rFonts w:ascii="Book Antiqua" w:eastAsia="Book Antiqua" w:hAnsi="Book Antiqua" w:cs="Book Antiqua"/>
          <w:color w:val="000000"/>
        </w:rPr>
        <w:t>differentiation capacity and mitochondrial metabolism.</w:t>
      </w:r>
    </w:p>
    <w:p w14:paraId="3453A1E9" w14:textId="77777777" w:rsidR="00A77B3E" w:rsidRPr="004464B3" w:rsidRDefault="00A77B3E" w:rsidP="001D68DD">
      <w:pPr>
        <w:spacing w:line="360" w:lineRule="auto"/>
        <w:jc w:val="both"/>
        <w:rPr>
          <w:rFonts w:ascii="Book Antiqua" w:hAnsi="Book Antiqua"/>
        </w:rPr>
      </w:pPr>
    </w:p>
    <w:p w14:paraId="0777426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Research methods</w:t>
      </w:r>
    </w:p>
    <w:p w14:paraId="053A822C" w14:textId="0A59D8DF" w:rsidR="00A77B3E" w:rsidRPr="009C221C"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w:t>
      </w:r>
      <w:r w:rsidR="009C221C">
        <w:rPr>
          <w:rFonts w:ascii="Book Antiqua" w:eastAsia="Book Antiqua" w:hAnsi="Book Antiqua" w:cs="Book Antiqua"/>
          <w:color w:val="000000"/>
        </w:rPr>
        <w:t>he t</w:t>
      </w:r>
      <w:r w:rsidRPr="009C221C">
        <w:rPr>
          <w:rFonts w:ascii="Book Antiqua" w:eastAsia="Book Antiqua" w:hAnsi="Book Antiqua" w:cs="Book Antiqua"/>
          <w:color w:val="000000"/>
        </w:rPr>
        <w:t>rans</w:t>
      </w:r>
      <w:r w:rsidRPr="004464B3">
        <w:rPr>
          <w:rFonts w:ascii="Book Antiqua" w:eastAsia="Book Antiqua" w:hAnsi="Book Antiqua" w:cs="Book Antiqua"/>
          <w:color w:val="000000"/>
        </w:rPr>
        <w:t xml:space="preserve">differentiation capacity of HepaRG cells over </w:t>
      </w:r>
      <w:r w:rsidR="004E6837" w:rsidRPr="004464B3">
        <w:rPr>
          <w:rFonts w:ascii="Book Antiqua" w:eastAsia="Book Antiqua" w:hAnsi="Book Antiqua" w:cs="Book Antiqua"/>
          <w:color w:val="000000"/>
        </w:rPr>
        <w:t xml:space="preserve">passage </w:t>
      </w:r>
      <w:r w:rsidRPr="004464B3">
        <w:rPr>
          <w:rFonts w:ascii="Book Antiqua" w:eastAsia="Book Antiqua" w:hAnsi="Book Antiqua" w:cs="Book Antiqua"/>
          <w:color w:val="000000"/>
        </w:rPr>
        <w:t xml:space="preserve">10 (P10) </w:t>
      </w:r>
      <w:r w:rsidRPr="004464B3">
        <w:rPr>
          <w:rFonts w:ascii="Book Antiqua" w:eastAsia="Book Antiqua" w:hAnsi="Book Antiqua" w:cs="Book Antiqua"/>
          <w:i/>
          <w:iCs/>
          <w:color w:val="000000"/>
        </w:rPr>
        <w:t>vs</w:t>
      </w:r>
      <w:r w:rsidRPr="004464B3">
        <w:rPr>
          <w:rFonts w:ascii="Book Antiqua" w:eastAsia="Book Antiqua" w:hAnsi="Book Antiqua" w:cs="Book Antiqua"/>
          <w:color w:val="000000"/>
        </w:rPr>
        <w:t xml:space="preserve"> </w:t>
      </w:r>
      <w:r w:rsidR="004E6837" w:rsidRPr="004464B3">
        <w:rPr>
          <w:rFonts w:ascii="Book Antiqua" w:eastAsia="Book Antiqua" w:hAnsi="Book Antiqua" w:cs="Book Antiqua"/>
          <w:color w:val="000000"/>
        </w:rPr>
        <w:t xml:space="preserve">passage </w:t>
      </w:r>
      <w:r w:rsidRPr="004464B3">
        <w:rPr>
          <w:rFonts w:ascii="Book Antiqua" w:eastAsia="Book Antiqua" w:hAnsi="Book Antiqua" w:cs="Book Antiqua"/>
          <w:color w:val="000000"/>
        </w:rPr>
        <w:t xml:space="preserve">20 (P20) was compared. To stimulate transdifferentiation, HepaRG cells were treated with </w:t>
      </w:r>
      <w:r w:rsidRPr="004464B3">
        <w:rPr>
          <w:rFonts w:ascii="Book Antiqua" w:eastAsia="Book Antiqua" w:hAnsi="Book Antiqua" w:cs="Book Antiqua"/>
          <w:color w:val="000000"/>
        </w:rPr>
        <w:lastRenderedPageBreak/>
        <w:t xml:space="preserve">dimethyl sulfoxide (DMSO). Aging was evaluated by senescence-associated (SA) </w:t>
      </w:r>
      <w:r w:rsidR="003D73F8" w:rsidRPr="004464B3">
        <w:rPr>
          <w:rFonts w:ascii="Book Antiqua" w:eastAsia="Book Antiqua" w:hAnsi="Book Antiqua" w:cs="Book Antiqua"/>
          <w:color w:val="000000"/>
        </w:rPr>
        <w:t>β</w:t>
      </w:r>
      <w:r w:rsidRPr="004464B3">
        <w:rPr>
          <w:rFonts w:ascii="Book Antiqua" w:eastAsia="Book Antiqua" w:hAnsi="Book Antiqua" w:cs="Book Antiqua"/>
          <w:color w:val="000000"/>
        </w:rPr>
        <w:t xml:space="preserve">-galactosidase activity and the comet assay. HepaRG transdifferentiation was analyzed by confocal microscopy and flow cytometry (expression of </w:t>
      </w:r>
      <w:r w:rsidR="009C221C">
        <w:rPr>
          <w:rFonts w:ascii="Book Antiqua" w:eastAsia="Book Antiqua" w:hAnsi="Book Antiqua" w:cs="Book Antiqua"/>
          <w:color w:val="000000"/>
        </w:rPr>
        <w:t>cluster of differentiation 49a [</w:t>
      </w:r>
      <w:r w:rsidRPr="009C221C">
        <w:rPr>
          <w:rFonts w:ascii="Book Antiqua" w:eastAsia="Book Antiqua" w:hAnsi="Book Antiqua" w:cs="Book Antiqua"/>
          <w:color w:val="000000"/>
        </w:rPr>
        <w:t>CD49a</w:t>
      </w:r>
      <w:r w:rsidR="009C221C">
        <w:rPr>
          <w:rFonts w:ascii="Book Antiqua" w:eastAsia="Book Antiqua" w:hAnsi="Book Antiqua" w:cs="Book Antiqua"/>
          <w:color w:val="000000"/>
        </w:rPr>
        <w:t>]</w:t>
      </w:r>
      <w:r w:rsidRPr="009C221C">
        <w:rPr>
          <w:rFonts w:ascii="Book Antiqua" w:eastAsia="Book Antiqua" w:hAnsi="Book Antiqua" w:cs="Book Antiqua"/>
          <w:color w:val="000000"/>
        </w:rPr>
        <w:t xml:space="preserve">, CD49f, CD184, </w:t>
      </w:r>
      <w:r w:rsidR="009C221C">
        <w:rPr>
          <w:rFonts w:ascii="Book Antiqua" w:eastAsia="Book Antiqua" w:hAnsi="Book Antiqua" w:cs="Book Antiqua"/>
          <w:color w:val="000000"/>
        </w:rPr>
        <w:t>epithelial cell adhesion molecule [</w:t>
      </w:r>
      <w:r w:rsidRPr="009C221C">
        <w:rPr>
          <w:rFonts w:ascii="Book Antiqua" w:eastAsia="Book Antiqua" w:hAnsi="Book Antiqua" w:cs="Book Antiqua"/>
          <w:color w:val="000000"/>
        </w:rPr>
        <w:t>EpCAM</w:t>
      </w:r>
      <w:r w:rsidR="009C221C">
        <w:rPr>
          <w:rFonts w:ascii="Book Antiqua" w:eastAsia="Book Antiqua" w:hAnsi="Book Antiqua" w:cs="Book Antiqua"/>
          <w:color w:val="000000"/>
        </w:rPr>
        <w:t>]</w:t>
      </w:r>
      <w:r w:rsidRPr="009C221C">
        <w:rPr>
          <w:rFonts w:ascii="Book Antiqua" w:eastAsia="Book Antiqua" w:hAnsi="Book Antiqua" w:cs="Book Antiqua"/>
          <w:color w:val="000000"/>
        </w:rPr>
        <w:t xml:space="preserve">, and </w:t>
      </w:r>
      <w:r w:rsidR="009C221C">
        <w:rPr>
          <w:rFonts w:ascii="Book Antiqua" w:eastAsia="Book Antiqua" w:hAnsi="Book Antiqua" w:cs="Book Antiqua"/>
          <w:color w:val="000000"/>
        </w:rPr>
        <w:t>cytokeratin 19 [</w:t>
      </w:r>
      <w:r w:rsidRPr="009C221C">
        <w:rPr>
          <w:rFonts w:ascii="Book Antiqua" w:eastAsia="Book Antiqua" w:hAnsi="Book Antiqua" w:cs="Book Antiqua"/>
          <w:color w:val="000000"/>
        </w:rPr>
        <w:t>CK19</w:t>
      </w:r>
      <w:r w:rsidR="009C221C">
        <w:rPr>
          <w:rFonts w:ascii="Book Antiqua" w:eastAsia="Book Antiqua" w:hAnsi="Book Antiqua" w:cs="Book Antiqua"/>
          <w:color w:val="000000"/>
        </w:rPr>
        <w:t>]</w:t>
      </w:r>
      <w:r w:rsidRPr="009C221C">
        <w:rPr>
          <w:rFonts w:ascii="Book Antiqua" w:eastAsia="Book Antiqua" w:hAnsi="Book Antiqua" w:cs="Book Antiqua"/>
          <w:color w:val="000000"/>
        </w:rPr>
        <w:t xml:space="preserve">), by </w:t>
      </w:r>
      <w:r w:rsidR="009C221C">
        <w:rPr>
          <w:rFonts w:ascii="Book Antiqua" w:eastAsia="Book Antiqua" w:hAnsi="Book Antiqua" w:cs="Book Antiqua"/>
          <w:color w:val="000000"/>
        </w:rPr>
        <w:t xml:space="preserve">quantitative </w:t>
      </w:r>
      <w:r w:rsidRPr="009C221C">
        <w:rPr>
          <w:rFonts w:ascii="Book Antiqua" w:eastAsia="Book Antiqua" w:hAnsi="Book Antiqua" w:cs="Book Antiqua"/>
          <w:color w:val="000000"/>
        </w:rPr>
        <w:t xml:space="preserve">PCR analysis (expression of albumin, </w:t>
      </w:r>
      <w:r w:rsidR="009C221C">
        <w:rPr>
          <w:rFonts w:ascii="Book Antiqua" w:eastAsia="Book Antiqua" w:hAnsi="Book Antiqua" w:cs="Book Antiqua"/>
          <w:color w:val="000000"/>
        </w:rPr>
        <w:t>c</w:t>
      </w:r>
      <w:r w:rsidR="009C221C" w:rsidRPr="004464B3">
        <w:rPr>
          <w:rFonts w:ascii="Book Antiqua" w:eastAsia="Book Antiqua" w:hAnsi="Book Antiqua" w:cs="Book Antiqua"/>
          <w:color w:val="000000"/>
        </w:rPr>
        <w:t>ytochrome P450 3A4</w:t>
      </w:r>
      <w:r w:rsidR="009C221C">
        <w:rPr>
          <w:rFonts w:ascii="Book Antiqua" w:eastAsia="Book Antiqua" w:hAnsi="Book Antiqua" w:cs="Book Antiqua"/>
          <w:color w:val="000000"/>
        </w:rPr>
        <w:t xml:space="preserve"> [</w:t>
      </w:r>
      <w:r w:rsidRPr="009C221C">
        <w:rPr>
          <w:rFonts w:ascii="Book Antiqua" w:eastAsia="Book Antiqua" w:hAnsi="Book Antiqua" w:cs="Book Antiqua"/>
          <w:color w:val="000000"/>
        </w:rPr>
        <w:t>CYP3A4</w:t>
      </w:r>
      <w:r w:rsidR="009C221C">
        <w:rPr>
          <w:rFonts w:ascii="Book Antiqua" w:eastAsia="Book Antiqua" w:hAnsi="Book Antiqua" w:cs="Book Antiqua"/>
          <w:color w:val="000000"/>
        </w:rPr>
        <w:t>]</w:t>
      </w:r>
      <w:r w:rsidRPr="009C221C">
        <w:rPr>
          <w:rFonts w:ascii="Book Antiqua" w:eastAsia="Book Antiqua" w:hAnsi="Book Antiqua" w:cs="Book Antiqua"/>
          <w:color w:val="000000"/>
        </w:rPr>
        <w:t xml:space="preserve">, </w:t>
      </w:r>
      <w:r w:rsidR="009C221C" w:rsidRPr="004464B3">
        <w:rPr>
          <w:rFonts w:ascii="Book Antiqua" w:eastAsia="Book Antiqua" w:hAnsi="Book Antiqua" w:cs="Book Antiqua"/>
          <w:color w:val="000000"/>
        </w:rPr>
        <w:t xml:space="preserve">γ-glutamyl transpeptidase </w:t>
      </w:r>
      <w:r w:rsidR="009C221C">
        <w:rPr>
          <w:rFonts w:ascii="Book Antiqua" w:eastAsia="Book Antiqua" w:hAnsi="Book Antiqua" w:cs="Book Antiqua"/>
          <w:color w:val="000000"/>
        </w:rPr>
        <w:t>[</w:t>
      </w:r>
      <w:r w:rsidRPr="009C221C">
        <w:rPr>
          <w:rFonts w:ascii="Book Antiqua" w:eastAsia="Book Antiqua" w:hAnsi="Book Antiqua" w:cs="Book Antiqua"/>
          <w:color w:val="000000"/>
        </w:rPr>
        <w:t>γ-GT</w:t>
      </w:r>
      <w:r w:rsidR="009C221C">
        <w:rPr>
          <w:rFonts w:ascii="Book Antiqua" w:eastAsia="Book Antiqua" w:hAnsi="Book Antiqua" w:cs="Book Antiqua"/>
          <w:color w:val="000000"/>
        </w:rPr>
        <w:t>]</w:t>
      </w:r>
      <w:r w:rsidRPr="009C221C">
        <w:rPr>
          <w:rFonts w:ascii="Book Antiqua" w:eastAsia="Book Antiqua" w:hAnsi="Book Antiqua" w:cs="Book Antiqua"/>
          <w:color w:val="000000"/>
        </w:rPr>
        <w:t xml:space="preserve"> and </w:t>
      </w:r>
      <w:r w:rsidR="009C221C" w:rsidRPr="004464B3">
        <w:rPr>
          <w:rFonts w:ascii="Book Antiqua" w:eastAsia="Book Antiqua" w:hAnsi="Book Antiqua" w:cs="Book Antiqua"/>
          <w:color w:val="000000"/>
        </w:rPr>
        <w:t xml:space="preserve">carcinoembryonic antigen </w:t>
      </w:r>
      <w:r w:rsidR="009C221C">
        <w:rPr>
          <w:rFonts w:ascii="Book Antiqua" w:eastAsia="Book Antiqua" w:hAnsi="Book Antiqua" w:cs="Book Antiqua"/>
          <w:color w:val="000000"/>
        </w:rPr>
        <w:t>[</w:t>
      </w:r>
      <w:r w:rsidRPr="009C221C">
        <w:rPr>
          <w:rFonts w:ascii="Book Antiqua" w:eastAsia="Book Antiqua" w:hAnsi="Book Antiqua" w:cs="Book Antiqua"/>
          <w:color w:val="000000"/>
        </w:rPr>
        <w:t>CEA</w:t>
      </w:r>
      <w:r w:rsidR="009C221C">
        <w:rPr>
          <w:rFonts w:ascii="Book Antiqua" w:eastAsia="Book Antiqua" w:hAnsi="Book Antiqua" w:cs="Book Antiqua"/>
          <w:color w:val="000000"/>
        </w:rPr>
        <w:t>]</w:t>
      </w:r>
      <w:r w:rsidRPr="009C221C">
        <w:rPr>
          <w:rFonts w:ascii="Book Antiqua" w:eastAsia="Book Antiqua" w:hAnsi="Book Antiqua" w:cs="Book Antiqua"/>
          <w:color w:val="000000"/>
        </w:rPr>
        <w:t>) and functional analysis (albumin secretion, CYP3A4 and γ-GT). Mitochondrial respiration, the ATP and the NAD</w:t>
      </w:r>
      <w:r w:rsidRPr="009C221C">
        <w:rPr>
          <w:rFonts w:ascii="Book Antiqua" w:eastAsia="Book Antiqua" w:hAnsi="Book Antiqua" w:cs="Book Antiqua"/>
          <w:color w:val="000000"/>
          <w:vertAlign w:val="superscript"/>
        </w:rPr>
        <w:t>+</w:t>
      </w:r>
      <w:r w:rsidRPr="009C221C">
        <w:rPr>
          <w:rFonts w:ascii="Book Antiqua" w:eastAsia="Book Antiqua" w:hAnsi="Book Antiqua" w:cs="Book Antiqua"/>
          <w:color w:val="000000"/>
        </w:rPr>
        <w:t>/NADH content were also measured.</w:t>
      </w:r>
      <w:r w:rsidR="009C221C">
        <w:rPr>
          <w:rFonts w:ascii="Book Antiqua" w:eastAsia="Book Antiqua" w:hAnsi="Book Antiqua" w:cs="Book Antiqua"/>
          <w:color w:val="000000"/>
        </w:rPr>
        <w:t xml:space="preserve"> </w:t>
      </w:r>
    </w:p>
    <w:p w14:paraId="30A079EC" w14:textId="77777777" w:rsidR="00A77B3E" w:rsidRPr="006B63C8" w:rsidRDefault="00A77B3E" w:rsidP="001D68DD">
      <w:pPr>
        <w:spacing w:line="360" w:lineRule="auto"/>
        <w:jc w:val="both"/>
        <w:rPr>
          <w:rFonts w:ascii="Book Antiqua" w:hAnsi="Book Antiqua"/>
        </w:rPr>
      </w:pPr>
    </w:p>
    <w:p w14:paraId="17722575"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Research results</w:t>
      </w:r>
    </w:p>
    <w:p w14:paraId="1113C15D" w14:textId="11AB7418"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We first observed that replication induces the expression of senescence markers in HepaRG cells, since SA </w:t>
      </w:r>
      <w:r w:rsidR="003D73F8" w:rsidRPr="004464B3">
        <w:rPr>
          <w:rFonts w:ascii="Book Antiqua" w:eastAsia="Book Antiqua" w:hAnsi="Book Antiqua" w:cs="Book Antiqua"/>
          <w:color w:val="000000"/>
        </w:rPr>
        <w:t>β</w:t>
      </w:r>
      <w:r w:rsidRPr="004464B3">
        <w:rPr>
          <w:rFonts w:ascii="Book Antiqua" w:eastAsia="Book Antiqua" w:hAnsi="Book Antiqua" w:cs="Book Antiqua"/>
          <w:color w:val="000000"/>
        </w:rPr>
        <w:t xml:space="preserve">-galactosidase staining was higher in P20 than </w:t>
      </w:r>
      <w:r w:rsidR="009C221C">
        <w:rPr>
          <w:rFonts w:ascii="Book Antiqua" w:eastAsia="Book Antiqua" w:hAnsi="Book Antiqua" w:cs="Book Antiqua"/>
          <w:color w:val="000000"/>
        </w:rPr>
        <w:t xml:space="preserve">in </w:t>
      </w:r>
      <w:r w:rsidRPr="009C221C">
        <w:rPr>
          <w:rFonts w:ascii="Book Antiqua" w:eastAsia="Book Antiqua" w:hAnsi="Book Antiqua" w:cs="Book Antiqua"/>
          <w:color w:val="000000"/>
        </w:rPr>
        <w:t xml:space="preserve">P10 HepaRG cells, and the comet assay showed a consistent DNA damage in </w:t>
      </w:r>
      <w:r w:rsidRPr="006B63C8">
        <w:rPr>
          <w:rFonts w:ascii="Book Antiqua" w:eastAsia="Book Antiqua" w:hAnsi="Book Antiqua" w:cs="Book Antiqua"/>
          <w:color w:val="000000"/>
        </w:rPr>
        <w:t>P20 HepaRG cells. We further reported that trans</w:t>
      </w:r>
      <w:r w:rsidRPr="004464B3">
        <w:rPr>
          <w:rFonts w:ascii="Book Antiqua" w:eastAsia="Book Antiqua" w:hAnsi="Book Antiqua" w:cs="Book Antiqua"/>
          <w:color w:val="000000"/>
        </w:rPr>
        <w:t>differentiation toward</w:t>
      </w:r>
      <w:r w:rsidR="009C221C">
        <w:rPr>
          <w:rFonts w:ascii="Book Antiqua" w:eastAsia="Book Antiqua" w:hAnsi="Book Antiqua" w:cs="Book Antiqua"/>
          <w:color w:val="000000"/>
        </w:rPr>
        <w:t>s</w:t>
      </w:r>
      <w:r w:rsidRPr="009C221C">
        <w:rPr>
          <w:rFonts w:ascii="Book Antiqua" w:eastAsia="Book Antiqua" w:hAnsi="Book Antiqua" w:cs="Book Antiqua"/>
          <w:color w:val="000000"/>
        </w:rPr>
        <w:t xml:space="preserve"> bipotent progenitors is altered in senescent HepaRG cells, as P20 HepaRG cells exhibited a reduction of CD49a, CD49f, CD184, EpCAM and CK19 – with respect to P10 – after DMSO treatment. Furthermore, </w:t>
      </w:r>
      <w:r w:rsidR="009C221C">
        <w:rPr>
          <w:rFonts w:ascii="Book Antiqua" w:eastAsia="Book Antiqua" w:hAnsi="Book Antiqua" w:cs="Book Antiqua"/>
          <w:color w:val="000000"/>
        </w:rPr>
        <w:t xml:space="preserve">the </w:t>
      </w:r>
      <w:r w:rsidRPr="009C221C">
        <w:rPr>
          <w:rFonts w:ascii="Book Antiqua" w:eastAsia="Book Antiqua" w:hAnsi="Book Antiqua" w:cs="Book Antiqua"/>
          <w:color w:val="000000"/>
        </w:rPr>
        <w:t xml:space="preserve">lower gene expression of albumin, CYP3A4, and γ-GT, as well as </w:t>
      </w:r>
      <w:r w:rsidR="008668C4">
        <w:rPr>
          <w:rFonts w:ascii="Book Antiqua" w:eastAsia="Book Antiqua" w:hAnsi="Book Antiqua" w:cs="Book Antiqua"/>
          <w:color w:val="000000"/>
        </w:rPr>
        <w:t xml:space="preserve">the </w:t>
      </w:r>
      <w:r w:rsidRPr="009C221C">
        <w:rPr>
          <w:rFonts w:ascii="Book Antiqua" w:eastAsia="Book Antiqua" w:hAnsi="Book Antiqua" w:cs="Book Antiqua"/>
          <w:color w:val="000000"/>
        </w:rPr>
        <w:t>reduced albumin secretion capacity, CYP3A4</w:t>
      </w:r>
      <w:r w:rsidR="009C221C">
        <w:rPr>
          <w:rFonts w:ascii="Book Antiqua" w:eastAsia="Book Antiqua" w:hAnsi="Book Antiqua" w:cs="Book Antiqua"/>
          <w:color w:val="000000"/>
        </w:rPr>
        <w:t>,</w:t>
      </w:r>
      <w:r w:rsidRPr="009C221C">
        <w:rPr>
          <w:rFonts w:ascii="Book Antiqua" w:eastAsia="Book Antiqua" w:hAnsi="Book Antiqua" w:cs="Book Antiqua"/>
          <w:color w:val="000000"/>
        </w:rPr>
        <w:t xml:space="preserve"> and γ-GT activity w</w:t>
      </w:r>
      <w:r w:rsidR="008668C4">
        <w:rPr>
          <w:rFonts w:ascii="Book Antiqua" w:eastAsia="Book Antiqua" w:hAnsi="Book Antiqua" w:cs="Book Antiqua"/>
          <w:color w:val="000000"/>
        </w:rPr>
        <w:t>ere</w:t>
      </w:r>
      <w:r w:rsidRPr="009C221C">
        <w:rPr>
          <w:rFonts w:ascii="Book Antiqua" w:eastAsia="Book Antiqua" w:hAnsi="Book Antiqua" w:cs="Book Antiqua"/>
          <w:color w:val="000000"/>
        </w:rPr>
        <w:t xml:space="preserve"> reported in trans</w:t>
      </w:r>
      <w:r w:rsidRPr="004464B3">
        <w:rPr>
          <w:rFonts w:ascii="Book Antiqua" w:eastAsia="Book Antiqua" w:hAnsi="Book Antiqua" w:cs="Book Antiqua"/>
          <w:color w:val="000000"/>
        </w:rPr>
        <w:t>differentiated P20 compared to P10 cells</w:t>
      </w:r>
      <w:r w:rsidR="008668C4">
        <w:rPr>
          <w:rFonts w:ascii="Book Antiqua" w:eastAsia="Book Antiqua" w:hAnsi="Book Antiqua" w:cs="Book Antiqua"/>
          <w:color w:val="000000"/>
        </w:rPr>
        <w:t>. By contrast</w:t>
      </w:r>
      <w:r w:rsidRPr="008668C4">
        <w:rPr>
          <w:rFonts w:ascii="Book Antiqua" w:eastAsia="Book Antiqua" w:hAnsi="Book Antiqua" w:cs="Book Antiqua"/>
          <w:color w:val="000000"/>
        </w:rPr>
        <w:t xml:space="preserve">, </w:t>
      </w:r>
      <w:r w:rsidR="008668C4">
        <w:rPr>
          <w:rFonts w:ascii="Book Antiqua" w:eastAsia="Book Antiqua" w:hAnsi="Book Antiqua" w:cs="Book Antiqua"/>
          <w:color w:val="000000"/>
        </w:rPr>
        <w:t xml:space="preserve">the </w:t>
      </w:r>
      <w:r w:rsidRPr="008668C4">
        <w:rPr>
          <w:rFonts w:ascii="Book Antiqua" w:eastAsia="Book Antiqua" w:hAnsi="Book Antiqua" w:cs="Book Antiqua"/>
          <w:color w:val="000000"/>
        </w:rPr>
        <w:t>gene expression level of CEA was not reduced by trans</w:t>
      </w:r>
      <w:r w:rsidRPr="004464B3">
        <w:rPr>
          <w:rFonts w:ascii="Book Antiqua" w:eastAsia="Book Antiqua" w:hAnsi="Book Antiqua" w:cs="Book Antiqua"/>
          <w:color w:val="000000"/>
        </w:rPr>
        <w:t xml:space="preserve">differentiation in P20 cells. Finally, we </w:t>
      </w:r>
      <w:r w:rsidR="008668C4">
        <w:rPr>
          <w:rFonts w:ascii="Book Antiqua" w:eastAsia="Book Antiqua" w:hAnsi="Book Antiqua" w:cs="Book Antiqua"/>
          <w:color w:val="000000"/>
        </w:rPr>
        <w:t>show</w:t>
      </w:r>
      <w:r w:rsidR="008668C4" w:rsidRPr="008668C4">
        <w:rPr>
          <w:rFonts w:ascii="Book Antiqua" w:eastAsia="Book Antiqua" w:hAnsi="Book Antiqua" w:cs="Book Antiqua"/>
          <w:color w:val="000000"/>
        </w:rPr>
        <w:t xml:space="preserve"> </w:t>
      </w:r>
      <w:r w:rsidRPr="008668C4">
        <w:rPr>
          <w:rFonts w:ascii="Book Antiqua" w:eastAsia="Book Antiqua" w:hAnsi="Book Antiqua" w:cs="Book Antiqua"/>
          <w:color w:val="000000"/>
        </w:rPr>
        <w:t>that senescence-induced impairment of HepaRG trans</w:t>
      </w:r>
      <w:r w:rsidRPr="004464B3">
        <w:rPr>
          <w:rFonts w:ascii="Book Antiqua" w:eastAsia="Book Antiqua" w:hAnsi="Book Antiqua" w:cs="Book Antiqua"/>
          <w:color w:val="000000"/>
        </w:rPr>
        <w:t>differentiation is associated with mitochondrial dysfunction, since both cellular and mitochondrial oxygen consumption were lower in P20 than</w:t>
      </w:r>
      <w:r w:rsidR="008668C4">
        <w:rPr>
          <w:rFonts w:ascii="Book Antiqua" w:eastAsia="Book Antiqua" w:hAnsi="Book Antiqua" w:cs="Book Antiqua"/>
          <w:color w:val="000000"/>
        </w:rPr>
        <w:t xml:space="preserve"> in</w:t>
      </w:r>
      <w:r w:rsidRPr="008668C4">
        <w:rPr>
          <w:rFonts w:ascii="Book Antiqua" w:eastAsia="Book Antiqua" w:hAnsi="Book Antiqua" w:cs="Book Antiqua"/>
          <w:color w:val="000000"/>
        </w:rPr>
        <w:t xml:space="preserve"> P10 trans</w:t>
      </w:r>
      <w:r w:rsidRPr="004464B3">
        <w:rPr>
          <w:rFonts w:ascii="Book Antiqua" w:eastAsia="Book Antiqua" w:hAnsi="Book Antiqua" w:cs="Book Antiqua"/>
          <w:color w:val="000000"/>
        </w:rPr>
        <w:t>differentiated cells, and both ATP and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/NADH were depleted in P20 cells with respect to P10 cells.</w:t>
      </w:r>
    </w:p>
    <w:p w14:paraId="3DEDC7AE" w14:textId="77777777" w:rsidR="00A77B3E" w:rsidRPr="004464B3" w:rsidRDefault="00A77B3E" w:rsidP="001D68DD">
      <w:pPr>
        <w:spacing w:line="360" w:lineRule="auto"/>
        <w:jc w:val="both"/>
        <w:rPr>
          <w:rFonts w:ascii="Book Antiqua" w:hAnsi="Book Antiqua"/>
        </w:rPr>
      </w:pPr>
    </w:p>
    <w:p w14:paraId="66122F35"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t>Research conclusions</w:t>
      </w:r>
    </w:p>
    <w:p w14:paraId="62A9EBA7" w14:textId="5E3BE0CC"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The present study demonstrates that HepaRG cells undergo replicative senescence, with consequent impairment in transdifferentiation, functional activity, mitochondrial dysfunction, and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depletion. </w:t>
      </w:r>
    </w:p>
    <w:p w14:paraId="2BC258FC" w14:textId="77777777" w:rsidR="00A77B3E" w:rsidRPr="004464B3" w:rsidRDefault="00A77B3E" w:rsidP="001D68DD">
      <w:pPr>
        <w:spacing w:line="360" w:lineRule="auto"/>
        <w:jc w:val="both"/>
        <w:rPr>
          <w:rFonts w:ascii="Book Antiqua" w:hAnsi="Book Antiqua"/>
        </w:rPr>
      </w:pPr>
    </w:p>
    <w:p w14:paraId="59DC83ED"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i/>
          <w:color w:val="000000"/>
        </w:rPr>
        <w:lastRenderedPageBreak/>
        <w:t>Research perspectives</w:t>
      </w:r>
    </w:p>
    <w:p w14:paraId="7BBE06C4" w14:textId="3E726CFB"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Further studies will define the molecular mechanism</w:t>
      </w:r>
      <w:r w:rsidR="00CF17F8">
        <w:rPr>
          <w:rFonts w:ascii="Book Antiqua" w:eastAsia="Book Antiqua" w:hAnsi="Book Antiqua" w:cs="Book Antiqua"/>
          <w:color w:val="000000"/>
        </w:rPr>
        <w:t>s</w:t>
      </w:r>
      <w:r w:rsidRPr="00CF17F8">
        <w:rPr>
          <w:rFonts w:ascii="Book Antiqua" w:eastAsia="Book Antiqua" w:hAnsi="Book Antiqua" w:cs="Book Antiqua"/>
          <w:color w:val="000000"/>
        </w:rPr>
        <w:t xml:space="preserve"> underlying </w:t>
      </w:r>
      <w:r w:rsidR="00CF17F8">
        <w:rPr>
          <w:rFonts w:ascii="Book Antiqua" w:eastAsia="Book Antiqua" w:hAnsi="Book Antiqua" w:cs="Book Antiqua"/>
          <w:color w:val="000000"/>
        </w:rPr>
        <w:t>our</w:t>
      </w:r>
      <w:r w:rsidR="00CF17F8" w:rsidRPr="00CF17F8">
        <w:rPr>
          <w:rFonts w:ascii="Book Antiqua" w:eastAsia="Book Antiqua" w:hAnsi="Book Antiqua" w:cs="Book Antiqua"/>
          <w:color w:val="000000"/>
        </w:rPr>
        <w:t xml:space="preserve"> </w:t>
      </w:r>
      <w:r w:rsidRPr="00CF17F8">
        <w:rPr>
          <w:rFonts w:ascii="Book Antiqua" w:eastAsia="Book Antiqua" w:hAnsi="Book Antiqua" w:cs="Book Antiqua"/>
          <w:color w:val="000000"/>
        </w:rPr>
        <w:t>observation</w:t>
      </w:r>
      <w:r w:rsidR="00CF17F8">
        <w:rPr>
          <w:rFonts w:ascii="Book Antiqua" w:eastAsia="Book Antiqua" w:hAnsi="Book Antiqua" w:cs="Book Antiqua"/>
          <w:color w:val="000000"/>
        </w:rPr>
        <w:t>s</w:t>
      </w:r>
      <w:r w:rsidRPr="00CF17F8">
        <w:rPr>
          <w:rFonts w:ascii="Book Antiqua" w:eastAsia="Book Antiqua" w:hAnsi="Book Antiqua" w:cs="Book Antiqua"/>
          <w:color w:val="000000"/>
        </w:rPr>
        <w:t>. The limitations in the trans</w:t>
      </w:r>
      <w:r w:rsidRPr="004464B3">
        <w:rPr>
          <w:rFonts w:ascii="Book Antiqua" w:eastAsia="Book Antiqua" w:hAnsi="Book Antiqua" w:cs="Book Antiqua"/>
          <w:color w:val="000000"/>
        </w:rPr>
        <w:t>differentiation potential of senescent HepaRG cells, with consequent alteration of metabolic and regenerative properties, may have serious implications when this cell line is applied for basic studies.</w:t>
      </w:r>
    </w:p>
    <w:p w14:paraId="44168E14" w14:textId="77777777" w:rsidR="00A77B3E" w:rsidRPr="004464B3" w:rsidRDefault="00A77B3E" w:rsidP="001D68DD">
      <w:pPr>
        <w:spacing w:line="360" w:lineRule="auto"/>
        <w:jc w:val="both"/>
        <w:rPr>
          <w:rFonts w:ascii="Book Antiqua" w:hAnsi="Book Antiqua"/>
        </w:rPr>
      </w:pPr>
    </w:p>
    <w:p w14:paraId="30557F4A"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REFERENCES</w:t>
      </w:r>
    </w:p>
    <w:p w14:paraId="5B01148B" w14:textId="77777777" w:rsidR="00A77B3E" w:rsidRPr="004464B3" w:rsidRDefault="0068711B" w:rsidP="001D68DD">
      <w:pPr>
        <w:spacing w:line="360" w:lineRule="auto"/>
        <w:jc w:val="both"/>
        <w:rPr>
          <w:rFonts w:ascii="Book Antiqua" w:hAnsi="Book Antiqua"/>
        </w:rPr>
      </w:pPr>
      <w:bookmarkStart w:id="3" w:name="OLE_LINK13"/>
      <w:r w:rsidRPr="004464B3">
        <w:rPr>
          <w:rFonts w:ascii="Book Antiqua" w:eastAsia="Book Antiqua" w:hAnsi="Book Antiqua" w:cs="Book Antiqua"/>
          <w:color w:val="000000"/>
        </w:rPr>
        <w:t xml:space="preserve">1 </w:t>
      </w:r>
      <w:r w:rsidRPr="004464B3">
        <w:rPr>
          <w:rFonts w:ascii="Book Antiqua" w:eastAsia="Book Antiqua" w:hAnsi="Book Antiqua" w:cs="Book Antiqua"/>
          <w:b/>
          <w:bCs/>
          <w:color w:val="000000"/>
        </w:rPr>
        <w:t>Fabre G</w:t>
      </w:r>
      <w:r w:rsidRPr="004464B3">
        <w:rPr>
          <w:rFonts w:ascii="Book Antiqua" w:eastAsia="Book Antiqua" w:hAnsi="Book Antiqua" w:cs="Book Antiqua"/>
          <w:color w:val="000000"/>
        </w:rPr>
        <w:t xml:space="preserve">, Combalbert J, Berger Y, Cano JP. Human hepatocytes as a key </w:t>
      </w:r>
      <w:r w:rsidRPr="004464B3">
        <w:rPr>
          <w:rFonts w:ascii="Book Antiqua" w:eastAsia="Book Antiqua" w:hAnsi="Book Antiqua" w:cs="Book Antiqua"/>
          <w:i/>
          <w:iCs/>
          <w:color w:val="000000"/>
        </w:rPr>
        <w:t>in vitro</w:t>
      </w:r>
      <w:r w:rsidRPr="004464B3">
        <w:rPr>
          <w:rFonts w:ascii="Book Antiqua" w:eastAsia="Book Antiqua" w:hAnsi="Book Antiqua" w:cs="Book Antiqua"/>
          <w:color w:val="000000"/>
        </w:rPr>
        <w:t xml:space="preserve"> model to improve preclinical drug development. </w:t>
      </w:r>
      <w:r w:rsidRPr="004464B3">
        <w:rPr>
          <w:rFonts w:ascii="Book Antiqua" w:eastAsia="Book Antiqua" w:hAnsi="Book Antiqua" w:cs="Book Antiqua"/>
          <w:i/>
          <w:iCs/>
          <w:color w:val="000000"/>
        </w:rPr>
        <w:t>Eur J Drug Metab Pharmacokinet</w:t>
      </w:r>
      <w:r w:rsidRPr="004464B3">
        <w:rPr>
          <w:rFonts w:ascii="Book Antiqua" w:eastAsia="Book Antiqua" w:hAnsi="Book Antiqua" w:cs="Book Antiqua"/>
          <w:color w:val="000000"/>
        </w:rPr>
        <w:t xml:space="preserve"> 1990; </w:t>
      </w:r>
      <w:r w:rsidRPr="004464B3">
        <w:rPr>
          <w:rFonts w:ascii="Book Antiqua" w:eastAsia="Book Antiqua" w:hAnsi="Book Antiqua" w:cs="Book Antiqua"/>
          <w:b/>
          <w:bCs/>
          <w:color w:val="000000"/>
        </w:rPr>
        <w:t>15</w:t>
      </w:r>
      <w:r w:rsidRPr="004464B3">
        <w:rPr>
          <w:rFonts w:ascii="Book Antiqua" w:eastAsia="Book Antiqua" w:hAnsi="Book Antiqua" w:cs="Book Antiqua"/>
          <w:color w:val="000000"/>
        </w:rPr>
        <w:t>: 165-171 [PMID: 2200686 DOI: 10.1007/BF03190200]</w:t>
      </w:r>
    </w:p>
    <w:p w14:paraId="537E1075"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 </w:t>
      </w:r>
      <w:r w:rsidRPr="004464B3">
        <w:rPr>
          <w:rFonts w:ascii="Book Antiqua" w:eastAsia="Book Antiqua" w:hAnsi="Book Antiqua" w:cs="Book Antiqua"/>
          <w:b/>
          <w:bCs/>
          <w:color w:val="000000"/>
        </w:rPr>
        <w:t>Madan A</w:t>
      </w:r>
      <w:r w:rsidRPr="004464B3">
        <w:rPr>
          <w:rFonts w:ascii="Book Antiqua" w:eastAsia="Book Antiqua" w:hAnsi="Book Antiqua" w:cs="Book Antiqua"/>
          <w:color w:val="000000"/>
        </w:rPr>
        <w:t xml:space="preserve">, Graham RA, Carroll KM, Mudra DR, Burton LA, Krueger LA, Downey AD, Czerwinski M, Forster J, Ribadeneira MD, Gan LS, LeCluyse EL, Zech K, Robertson P Jr, Koch P, Antonian L, Wagner G, Yu L, Parkinson A. Effects of prototypical microsomal enzyme inducers on cytochrome P450 expression in cultured human hepatocytes. </w:t>
      </w:r>
      <w:r w:rsidRPr="004464B3">
        <w:rPr>
          <w:rFonts w:ascii="Book Antiqua" w:eastAsia="Book Antiqua" w:hAnsi="Book Antiqua" w:cs="Book Antiqua"/>
          <w:i/>
          <w:iCs/>
          <w:color w:val="000000"/>
        </w:rPr>
        <w:t>Drug Metab Dispos</w:t>
      </w:r>
      <w:r w:rsidRPr="004464B3">
        <w:rPr>
          <w:rFonts w:ascii="Book Antiqua" w:eastAsia="Book Antiqua" w:hAnsi="Book Antiqua" w:cs="Book Antiqua"/>
          <w:color w:val="000000"/>
        </w:rPr>
        <w:t xml:space="preserve"> 2003; </w:t>
      </w:r>
      <w:r w:rsidRPr="004464B3">
        <w:rPr>
          <w:rFonts w:ascii="Book Antiqua" w:eastAsia="Book Antiqua" w:hAnsi="Book Antiqua" w:cs="Book Antiqua"/>
          <w:b/>
          <w:bCs/>
          <w:color w:val="000000"/>
        </w:rPr>
        <w:t>31</w:t>
      </w:r>
      <w:r w:rsidRPr="004464B3">
        <w:rPr>
          <w:rFonts w:ascii="Book Antiqua" w:eastAsia="Book Antiqua" w:hAnsi="Book Antiqua" w:cs="Book Antiqua"/>
          <w:color w:val="000000"/>
        </w:rPr>
        <w:t>: 421-431 [PMID: 12642468 DOI: 10.1124/dmd.31.4.421]</w:t>
      </w:r>
    </w:p>
    <w:p w14:paraId="264A2AED"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 </w:t>
      </w:r>
      <w:r w:rsidRPr="004464B3">
        <w:rPr>
          <w:rFonts w:ascii="Book Antiqua" w:eastAsia="Book Antiqua" w:hAnsi="Book Antiqua" w:cs="Book Antiqua"/>
          <w:b/>
          <w:bCs/>
          <w:color w:val="000000"/>
        </w:rPr>
        <w:t>Javitt NB</w:t>
      </w:r>
      <w:r w:rsidRPr="004464B3">
        <w:rPr>
          <w:rFonts w:ascii="Book Antiqua" w:eastAsia="Book Antiqua" w:hAnsi="Book Antiqua" w:cs="Book Antiqua"/>
          <w:color w:val="000000"/>
        </w:rPr>
        <w:t xml:space="preserve">. Hep G2 cells as a resource for metabolic studies: lipoprotein, cholesterol, and bile acids. </w:t>
      </w:r>
      <w:r w:rsidRPr="004464B3">
        <w:rPr>
          <w:rFonts w:ascii="Book Antiqua" w:eastAsia="Book Antiqua" w:hAnsi="Book Antiqua" w:cs="Book Antiqua"/>
          <w:i/>
          <w:iCs/>
          <w:color w:val="000000"/>
        </w:rPr>
        <w:t>FASEB J</w:t>
      </w:r>
      <w:r w:rsidRPr="004464B3">
        <w:rPr>
          <w:rFonts w:ascii="Book Antiqua" w:eastAsia="Book Antiqua" w:hAnsi="Book Antiqua" w:cs="Book Antiqua"/>
          <w:color w:val="000000"/>
        </w:rPr>
        <w:t xml:space="preserve"> 1990; </w:t>
      </w:r>
      <w:r w:rsidRPr="004464B3">
        <w:rPr>
          <w:rFonts w:ascii="Book Antiqua" w:eastAsia="Book Antiqua" w:hAnsi="Book Antiqua" w:cs="Book Antiqua"/>
          <w:b/>
          <w:bCs/>
          <w:color w:val="000000"/>
        </w:rPr>
        <w:t>4</w:t>
      </w:r>
      <w:r w:rsidRPr="004464B3">
        <w:rPr>
          <w:rFonts w:ascii="Book Antiqua" w:eastAsia="Book Antiqua" w:hAnsi="Book Antiqua" w:cs="Book Antiqua"/>
          <w:color w:val="000000"/>
        </w:rPr>
        <w:t>: 161-168 [PMID: 2153592 DOI: 10.1096/fasebj.4.2.2153592]</w:t>
      </w:r>
    </w:p>
    <w:p w14:paraId="065D987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 </w:t>
      </w:r>
      <w:r w:rsidRPr="004464B3">
        <w:rPr>
          <w:rFonts w:ascii="Book Antiqua" w:eastAsia="Book Antiqua" w:hAnsi="Book Antiqua" w:cs="Book Antiqua"/>
          <w:b/>
          <w:bCs/>
          <w:color w:val="000000"/>
        </w:rPr>
        <w:t>Nakabayashi H</w:t>
      </w:r>
      <w:r w:rsidRPr="004464B3">
        <w:rPr>
          <w:rFonts w:ascii="Book Antiqua" w:eastAsia="Book Antiqua" w:hAnsi="Book Antiqua" w:cs="Book Antiqua"/>
          <w:color w:val="000000"/>
        </w:rPr>
        <w:t xml:space="preserve">, Taketa K, Miyano K, Yamane T, Sato J. Growth of human hepatoma cells lines with differentiated functions in chemically defined medium. </w:t>
      </w:r>
      <w:r w:rsidRPr="004464B3">
        <w:rPr>
          <w:rFonts w:ascii="Book Antiqua" w:eastAsia="Book Antiqua" w:hAnsi="Book Antiqua" w:cs="Book Antiqua"/>
          <w:i/>
          <w:iCs/>
          <w:color w:val="000000"/>
        </w:rPr>
        <w:t>Cancer Res</w:t>
      </w:r>
      <w:r w:rsidRPr="004464B3">
        <w:rPr>
          <w:rFonts w:ascii="Book Antiqua" w:eastAsia="Book Antiqua" w:hAnsi="Book Antiqua" w:cs="Book Antiqua"/>
          <w:color w:val="000000"/>
        </w:rPr>
        <w:t xml:space="preserve"> 1982; </w:t>
      </w:r>
      <w:r w:rsidRPr="004464B3">
        <w:rPr>
          <w:rFonts w:ascii="Book Antiqua" w:eastAsia="Book Antiqua" w:hAnsi="Book Antiqua" w:cs="Book Antiqua"/>
          <w:b/>
          <w:bCs/>
          <w:color w:val="000000"/>
        </w:rPr>
        <w:t>42</w:t>
      </w:r>
      <w:r w:rsidRPr="004464B3">
        <w:rPr>
          <w:rFonts w:ascii="Book Antiqua" w:eastAsia="Book Antiqua" w:hAnsi="Book Antiqua" w:cs="Book Antiqua"/>
          <w:color w:val="000000"/>
        </w:rPr>
        <w:t>: 3858-3863 [PMID: 6286115]</w:t>
      </w:r>
    </w:p>
    <w:p w14:paraId="4FAE18CB"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5 </w:t>
      </w:r>
      <w:r w:rsidRPr="004464B3">
        <w:rPr>
          <w:rFonts w:ascii="Book Antiqua" w:eastAsia="Book Antiqua" w:hAnsi="Book Antiqua" w:cs="Book Antiqua"/>
          <w:b/>
          <w:bCs/>
          <w:color w:val="000000"/>
        </w:rPr>
        <w:t>Bulutoglu B</w:t>
      </w:r>
      <w:r w:rsidRPr="004464B3">
        <w:rPr>
          <w:rFonts w:ascii="Book Antiqua" w:eastAsia="Book Antiqua" w:hAnsi="Book Antiqua" w:cs="Book Antiqua"/>
          <w:color w:val="000000"/>
        </w:rPr>
        <w:t xml:space="preserve">, Rey-Bedón C, Mert S, Tian L, Jang YY, Yarmush ML, Usta OB. A comparison of hepato-cellular </w:t>
      </w:r>
      <w:r w:rsidRPr="004464B3">
        <w:rPr>
          <w:rFonts w:ascii="Book Antiqua" w:eastAsia="Book Antiqua" w:hAnsi="Book Antiqua" w:cs="Book Antiqua"/>
          <w:i/>
          <w:iCs/>
          <w:color w:val="000000"/>
        </w:rPr>
        <w:t>in vitro</w:t>
      </w:r>
      <w:r w:rsidRPr="004464B3">
        <w:rPr>
          <w:rFonts w:ascii="Book Antiqua" w:eastAsia="Book Antiqua" w:hAnsi="Book Antiqua" w:cs="Book Antiqua"/>
          <w:color w:val="000000"/>
        </w:rPr>
        <w:t xml:space="preserve"> platforms to study CYP3A4 induction. </w:t>
      </w:r>
      <w:r w:rsidRPr="004464B3">
        <w:rPr>
          <w:rFonts w:ascii="Book Antiqua" w:eastAsia="Book Antiqua" w:hAnsi="Book Antiqua" w:cs="Book Antiqua"/>
          <w:i/>
          <w:iCs/>
          <w:color w:val="000000"/>
        </w:rPr>
        <w:t>PLoS One</w:t>
      </w:r>
      <w:r w:rsidRPr="004464B3">
        <w:rPr>
          <w:rFonts w:ascii="Book Antiqua" w:eastAsia="Book Antiqua" w:hAnsi="Book Antiqua" w:cs="Book Antiqua"/>
          <w:color w:val="000000"/>
        </w:rPr>
        <w:t xml:space="preserve"> 2020; </w:t>
      </w:r>
      <w:r w:rsidRPr="004464B3">
        <w:rPr>
          <w:rFonts w:ascii="Book Antiqua" w:eastAsia="Book Antiqua" w:hAnsi="Book Antiqua" w:cs="Book Antiqua"/>
          <w:b/>
          <w:bCs/>
          <w:color w:val="000000"/>
        </w:rPr>
        <w:t>15</w:t>
      </w:r>
      <w:r w:rsidRPr="004464B3">
        <w:rPr>
          <w:rFonts w:ascii="Book Antiqua" w:eastAsia="Book Antiqua" w:hAnsi="Book Antiqua" w:cs="Book Antiqua"/>
          <w:color w:val="000000"/>
        </w:rPr>
        <w:t>: e0229106 [PMID: 32106230 DOI: 10.1371/journal.pone.0229106]</w:t>
      </w:r>
    </w:p>
    <w:p w14:paraId="64F9F33E"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6 </w:t>
      </w:r>
      <w:r w:rsidRPr="004464B3">
        <w:rPr>
          <w:rFonts w:ascii="Book Antiqua" w:eastAsia="Book Antiqua" w:hAnsi="Book Antiqua" w:cs="Book Antiqua"/>
          <w:b/>
          <w:bCs/>
          <w:color w:val="000000"/>
        </w:rPr>
        <w:t>McGill MR</w:t>
      </w:r>
      <w:r w:rsidRPr="004464B3">
        <w:rPr>
          <w:rFonts w:ascii="Book Antiqua" w:eastAsia="Book Antiqua" w:hAnsi="Book Antiqua" w:cs="Book Antiqua"/>
          <w:color w:val="000000"/>
        </w:rPr>
        <w:t xml:space="preserve">, Yan HM, Ramachandran A, Murray GJ, Rollins DE, Jaeschke H. HepaRG cells: a human model to study mechanisms of acetaminophen hepatotoxicity. </w:t>
      </w:r>
      <w:r w:rsidRPr="004464B3">
        <w:rPr>
          <w:rFonts w:ascii="Book Antiqua" w:eastAsia="Book Antiqua" w:hAnsi="Book Antiqua" w:cs="Book Antiqua"/>
          <w:i/>
          <w:iCs/>
          <w:color w:val="000000"/>
        </w:rPr>
        <w:t>Hepatology</w:t>
      </w:r>
      <w:r w:rsidRPr="004464B3">
        <w:rPr>
          <w:rFonts w:ascii="Book Antiqua" w:eastAsia="Book Antiqua" w:hAnsi="Book Antiqua" w:cs="Book Antiqua"/>
          <w:color w:val="000000"/>
        </w:rPr>
        <w:t xml:space="preserve"> 2011; </w:t>
      </w:r>
      <w:r w:rsidRPr="004464B3">
        <w:rPr>
          <w:rFonts w:ascii="Book Antiqua" w:eastAsia="Book Antiqua" w:hAnsi="Book Antiqua" w:cs="Book Antiqua"/>
          <w:b/>
          <w:bCs/>
          <w:color w:val="000000"/>
        </w:rPr>
        <w:t>53</w:t>
      </w:r>
      <w:r w:rsidRPr="004464B3">
        <w:rPr>
          <w:rFonts w:ascii="Book Antiqua" w:eastAsia="Book Antiqua" w:hAnsi="Book Antiqua" w:cs="Book Antiqua"/>
          <w:color w:val="000000"/>
        </w:rPr>
        <w:t>: 974-982 [PMID: 21319200 DOI: 10.1002/hep.24132]</w:t>
      </w:r>
    </w:p>
    <w:p w14:paraId="63F58702"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7 </w:t>
      </w:r>
      <w:r w:rsidRPr="004464B3">
        <w:rPr>
          <w:rFonts w:ascii="Book Antiqua" w:eastAsia="Book Antiqua" w:hAnsi="Book Antiqua" w:cs="Book Antiqua"/>
          <w:b/>
          <w:bCs/>
          <w:color w:val="000000"/>
        </w:rPr>
        <w:t>Anthérieu S</w:t>
      </w:r>
      <w:r w:rsidRPr="004464B3">
        <w:rPr>
          <w:rFonts w:ascii="Book Antiqua" w:eastAsia="Book Antiqua" w:hAnsi="Book Antiqua" w:cs="Book Antiqua"/>
          <w:color w:val="000000"/>
        </w:rPr>
        <w:t xml:space="preserve">, Chesné C, Li R, Guguen-Guillouzo C, Guillouzo A. Optimization of the HepaRG cell model for drug metabolism and toxicity studies. </w:t>
      </w:r>
      <w:r w:rsidRPr="004464B3">
        <w:rPr>
          <w:rFonts w:ascii="Book Antiqua" w:eastAsia="Book Antiqua" w:hAnsi="Book Antiqua" w:cs="Book Antiqua"/>
          <w:i/>
          <w:iCs/>
          <w:color w:val="000000"/>
        </w:rPr>
        <w:t>Toxicol In Vitro</w:t>
      </w:r>
      <w:r w:rsidRPr="004464B3">
        <w:rPr>
          <w:rFonts w:ascii="Book Antiqua" w:eastAsia="Book Antiqua" w:hAnsi="Book Antiqua" w:cs="Book Antiqua"/>
          <w:color w:val="000000"/>
        </w:rPr>
        <w:t xml:space="preserve"> 2012; </w:t>
      </w:r>
      <w:r w:rsidRPr="004464B3">
        <w:rPr>
          <w:rFonts w:ascii="Book Antiqua" w:eastAsia="Book Antiqua" w:hAnsi="Book Antiqua" w:cs="Book Antiqua"/>
          <w:b/>
          <w:bCs/>
          <w:color w:val="000000"/>
        </w:rPr>
        <w:t>26</w:t>
      </w:r>
      <w:r w:rsidRPr="004464B3">
        <w:rPr>
          <w:rFonts w:ascii="Book Antiqua" w:eastAsia="Book Antiqua" w:hAnsi="Book Antiqua" w:cs="Book Antiqua"/>
          <w:color w:val="000000"/>
        </w:rPr>
        <w:t>: 1278-1285 [PMID: 22643240 DOI: 10.1016/j.tiv.2012.05.008]</w:t>
      </w:r>
    </w:p>
    <w:p w14:paraId="5D4950B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 xml:space="preserve">8 </w:t>
      </w:r>
      <w:r w:rsidRPr="004464B3">
        <w:rPr>
          <w:rFonts w:ascii="Book Antiqua" w:eastAsia="Book Antiqua" w:hAnsi="Book Antiqua" w:cs="Book Antiqua"/>
          <w:b/>
          <w:bCs/>
          <w:color w:val="000000"/>
        </w:rPr>
        <w:t>Dubuquoy L</w:t>
      </w:r>
      <w:r w:rsidRPr="004464B3">
        <w:rPr>
          <w:rFonts w:ascii="Book Antiqua" w:eastAsia="Book Antiqua" w:hAnsi="Book Antiqua" w:cs="Book Antiqua"/>
          <w:color w:val="000000"/>
        </w:rPr>
        <w:t xml:space="preserve">, Louvet A, Lassailly G, Truant S, Boleslawski E, Artru F, Maggiotto F, Gantier E, Buob D, Leteurtre E, Cannesson A, Dharancy S, Moreno C, Pruvot FR, Bataller R, Mathurin P. Progenitor cell expansion and impaired hepatocyte regeneration in explanted livers from alcoholic hepatitis. </w:t>
      </w:r>
      <w:r w:rsidRPr="004464B3">
        <w:rPr>
          <w:rFonts w:ascii="Book Antiqua" w:eastAsia="Book Antiqua" w:hAnsi="Book Antiqua" w:cs="Book Antiqua"/>
          <w:i/>
          <w:iCs/>
          <w:color w:val="000000"/>
        </w:rPr>
        <w:t>Gut</w:t>
      </w:r>
      <w:r w:rsidRPr="004464B3">
        <w:rPr>
          <w:rFonts w:ascii="Book Antiqua" w:eastAsia="Book Antiqua" w:hAnsi="Book Antiqua" w:cs="Book Antiqua"/>
          <w:color w:val="000000"/>
        </w:rPr>
        <w:t xml:space="preserve"> 2015; </w:t>
      </w:r>
      <w:r w:rsidRPr="004464B3">
        <w:rPr>
          <w:rFonts w:ascii="Book Antiqua" w:eastAsia="Book Antiqua" w:hAnsi="Book Antiqua" w:cs="Book Antiqua"/>
          <w:b/>
          <w:bCs/>
          <w:color w:val="000000"/>
        </w:rPr>
        <w:t>64</w:t>
      </w:r>
      <w:r w:rsidRPr="004464B3">
        <w:rPr>
          <w:rFonts w:ascii="Book Antiqua" w:eastAsia="Book Antiqua" w:hAnsi="Book Antiqua" w:cs="Book Antiqua"/>
          <w:color w:val="000000"/>
        </w:rPr>
        <w:t>: 1949-1960 [PMID: 25731872 DOI: 10.1136/gutjnl-2014-308410]</w:t>
      </w:r>
    </w:p>
    <w:p w14:paraId="60AB238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9 </w:t>
      </w:r>
      <w:r w:rsidRPr="004464B3">
        <w:rPr>
          <w:rFonts w:ascii="Book Antiqua" w:eastAsia="Book Antiqua" w:hAnsi="Book Antiqua" w:cs="Book Antiqua"/>
          <w:b/>
          <w:bCs/>
          <w:color w:val="000000"/>
        </w:rPr>
        <w:t>Gripon P</w:t>
      </w:r>
      <w:r w:rsidRPr="004464B3">
        <w:rPr>
          <w:rFonts w:ascii="Book Antiqua" w:eastAsia="Book Antiqua" w:hAnsi="Book Antiqua" w:cs="Book Antiqua"/>
          <w:color w:val="000000"/>
        </w:rPr>
        <w:t xml:space="preserve">, Rumin S, Urban S, Le Seyec J, Glaise D, Cannie I, Guyomard C, Lucas J, Trepo C, Guguen-Guillouzo C. Infection of a human hepatoma cell line by hepatitis B virus. </w:t>
      </w:r>
      <w:r w:rsidRPr="004464B3">
        <w:rPr>
          <w:rFonts w:ascii="Book Antiqua" w:eastAsia="Book Antiqua" w:hAnsi="Book Antiqua" w:cs="Book Antiqua"/>
          <w:i/>
          <w:iCs/>
          <w:color w:val="000000"/>
        </w:rPr>
        <w:t>Proc Natl Acad Sci U S A</w:t>
      </w:r>
      <w:r w:rsidRPr="004464B3">
        <w:rPr>
          <w:rFonts w:ascii="Book Antiqua" w:eastAsia="Book Antiqua" w:hAnsi="Book Antiqua" w:cs="Book Antiqua"/>
          <w:color w:val="000000"/>
        </w:rPr>
        <w:t xml:space="preserve"> 2002; </w:t>
      </w:r>
      <w:r w:rsidRPr="004464B3">
        <w:rPr>
          <w:rFonts w:ascii="Book Antiqua" w:eastAsia="Book Antiqua" w:hAnsi="Book Antiqua" w:cs="Book Antiqua"/>
          <w:b/>
          <w:bCs/>
          <w:color w:val="000000"/>
        </w:rPr>
        <w:t>99</w:t>
      </w:r>
      <w:r w:rsidRPr="004464B3">
        <w:rPr>
          <w:rFonts w:ascii="Book Antiqua" w:eastAsia="Book Antiqua" w:hAnsi="Book Antiqua" w:cs="Book Antiqua"/>
          <w:color w:val="000000"/>
        </w:rPr>
        <w:t>: 15655-15660 [PMID: 12432097 DOI: 10.1073/pnas.232137699]</w:t>
      </w:r>
    </w:p>
    <w:p w14:paraId="207F973D"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10 </w:t>
      </w:r>
      <w:r w:rsidRPr="004464B3">
        <w:rPr>
          <w:rFonts w:ascii="Book Antiqua" w:eastAsia="Book Antiqua" w:hAnsi="Book Antiqua" w:cs="Book Antiqua"/>
          <w:b/>
          <w:bCs/>
          <w:color w:val="000000"/>
        </w:rPr>
        <w:t>Parent R</w:t>
      </w:r>
      <w:r w:rsidRPr="004464B3">
        <w:rPr>
          <w:rFonts w:ascii="Book Antiqua" w:eastAsia="Book Antiqua" w:hAnsi="Book Antiqua" w:cs="Book Antiqua"/>
          <w:color w:val="000000"/>
        </w:rPr>
        <w:t xml:space="preserve">, Marion MJ, Furio L, Trépo C, Petit MA. Origin and characterization of a human bipotent liver progenitor cell line. </w:t>
      </w:r>
      <w:r w:rsidRPr="004464B3">
        <w:rPr>
          <w:rFonts w:ascii="Book Antiqua" w:eastAsia="Book Antiqua" w:hAnsi="Book Antiqua" w:cs="Book Antiqua"/>
          <w:i/>
          <w:iCs/>
          <w:color w:val="000000"/>
        </w:rPr>
        <w:t>Gastroenterology</w:t>
      </w:r>
      <w:r w:rsidRPr="004464B3">
        <w:rPr>
          <w:rFonts w:ascii="Book Antiqua" w:eastAsia="Book Antiqua" w:hAnsi="Book Antiqua" w:cs="Book Antiqua"/>
          <w:color w:val="000000"/>
        </w:rPr>
        <w:t xml:space="preserve"> 2004; </w:t>
      </w:r>
      <w:r w:rsidRPr="004464B3">
        <w:rPr>
          <w:rFonts w:ascii="Book Antiqua" w:eastAsia="Book Antiqua" w:hAnsi="Book Antiqua" w:cs="Book Antiqua"/>
          <w:b/>
          <w:bCs/>
          <w:color w:val="000000"/>
        </w:rPr>
        <w:t>126</w:t>
      </w:r>
      <w:r w:rsidRPr="004464B3">
        <w:rPr>
          <w:rFonts w:ascii="Book Antiqua" w:eastAsia="Book Antiqua" w:hAnsi="Book Antiqua" w:cs="Book Antiqua"/>
          <w:color w:val="000000"/>
        </w:rPr>
        <w:t>: 1147-1156 [PMID: 15057753 DOI: 10.1053/j.gastro.2004.01.002]</w:t>
      </w:r>
    </w:p>
    <w:p w14:paraId="59D9CFC8"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11 </w:t>
      </w:r>
      <w:r w:rsidRPr="004464B3">
        <w:rPr>
          <w:rFonts w:ascii="Book Antiqua" w:eastAsia="Book Antiqua" w:hAnsi="Book Antiqua" w:cs="Book Antiqua"/>
          <w:b/>
          <w:bCs/>
          <w:color w:val="000000"/>
        </w:rPr>
        <w:t>Cerec V</w:t>
      </w:r>
      <w:r w:rsidRPr="004464B3">
        <w:rPr>
          <w:rFonts w:ascii="Book Antiqua" w:eastAsia="Book Antiqua" w:hAnsi="Book Antiqua" w:cs="Book Antiqua"/>
          <w:color w:val="000000"/>
        </w:rPr>
        <w:t xml:space="preserve">, Glaise D, Garnier D, Morosan S, Turlin B, Drenou B, Gripon P, Kremsdorf D, Guguen-Guillouzo C, Corlu A. Transdifferentiation of hepatocyte-like cells from the human hepatoma HepaRG cell line through bipotent progenitor. </w:t>
      </w:r>
      <w:r w:rsidRPr="004464B3">
        <w:rPr>
          <w:rFonts w:ascii="Book Antiqua" w:eastAsia="Book Antiqua" w:hAnsi="Book Antiqua" w:cs="Book Antiqua"/>
          <w:i/>
          <w:iCs/>
          <w:color w:val="000000"/>
        </w:rPr>
        <w:t>Hepatology</w:t>
      </w:r>
      <w:r w:rsidRPr="004464B3">
        <w:rPr>
          <w:rFonts w:ascii="Book Antiqua" w:eastAsia="Book Antiqua" w:hAnsi="Book Antiqua" w:cs="Book Antiqua"/>
          <w:color w:val="000000"/>
        </w:rPr>
        <w:t xml:space="preserve"> 2007; </w:t>
      </w:r>
      <w:r w:rsidRPr="004464B3">
        <w:rPr>
          <w:rFonts w:ascii="Book Antiqua" w:eastAsia="Book Antiqua" w:hAnsi="Book Antiqua" w:cs="Book Antiqua"/>
          <w:b/>
          <w:bCs/>
          <w:color w:val="000000"/>
        </w:rPr>
        <w:t>45</w:t>
      </w:r>
      <w:r w:rsidRPr="004464B3">
        <w:rPr>
          <w:rFonts w:ascii="Book Antiqua" w:eastAsia="Book Antiqua" w:hAnsi="Book Antiqua" w:cs="Book Antiqua"/>
          <w:color w:val="000000"/>
        </w:rPr>
        <w:t>: 957-967 [PMID: 17393521 DOI: 10.1002/hep.21536]</w:t>
      </w:r>
    </w:p>
    <w:p w14:paraId="14051695"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12 </w:t>
      </w:r>
      <w:r w:rsidRPr="004464B3">
        <w:rPr>
          <w:rFonts w:ascii="Book Antiqua" w:eastAsia="Book Antiqua" w:hAnsi="Book Antiqua" w:cs="Book Antiqua"/>
          <w:b/>
          <w:bCs/>
          <w:color w:val="000000"/>
        </w:rPr>
        <w:t>Troadec MB</w:t>
      </w:r>
      <w:r w:rsidRPr="004464B3">
        <w:rPr>
          <w:rFonts w:ascii="Book Antiqua" w:eastAsia="Book Antiqua" w:hAnsi="Book Antiqua" w:cs="Book Antiqua"/>
          <w:color w:val="000000"/>
        </w:rPr>
        <w:t xml:space="preserve">, Glaise D, Lamirault G, Le Cunff M, Guérin E, Le Meur N, Détivaud L, Zindy P, Leroyer P, Guisle I, Duval H, Gripon P, Théret N, Boudjema K, Guguen-Guillouzo C, Brissot P, Léger JJ, Loréal O. Hepatocyte iron loading capacity is associated with differentiation and repression of motility in the HepaRG cell line. </w:t>
      </w:r>
      <w:r w:rsidRPr="004464B3">
        <w:rPr>
          <w:rFonts w:ascii="Book Antiqua" w:eastAsia="Book Antiqua" w:hAnsi="Book Antiqua" w:cs="Book Antiqua"/>
          <w:i/>
          <w:iCs/>
          <w:color w:val="000000"/>
        </w:rPr>
        <w:t>Genomics</w:t>
      </w:r>
      <w:r w:rsidRPr="004464B3">
        <w:rPr>
          <w:rFonts w:ascii="Book Antiqua" w:eastAsia="Book Antiqua" w:hAnsi="Book Antiqua" w:cs="Book Antiqua"/>
          <w:color w:val="000000"/>
        </w:rPr>
        <w:t xml:space="preserve"> 2006; </w:t>
      </w:r>
      <w:r w:rsidRPr="004464B3">
        <w:rPr>
          <w:rFonts w:ascii="Book Antiqua" w:eastAsia="Book Antiqua" w:hAnsi="Book Antiqua" w:cs="Book Antiqua"/>
          <w:b/>
          <w:bCs/>
          <w:color w:val="000000"/>
        </w:rPr>
        <w:t>87</w:t>
      </w:r>
      <w:r w:rsidRPr="004464B3">
        <w:rPr>
          <w:rFonts w:ascii="Book Antiqua" w:eastAsia="Book Antiqua" w:hAnsi="Book Antiqua" w:cs="Book Antiqua"/>
          <w:color w:val="000000"/>
        </w:rPr>
        <w:t>: 93-103 [PMID: 16325370 DOI: 10.1016/j.ygeno.2005.08.016]</w:t>
      </w:r>
    </w:p>
    <w:p w14:paraId="22400D5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13 </w:t>
      </w:r>
      <w:r w:rsidRPr="004464B3">
        <w:rPr>
          <w:rFonts w:ascii="Book Antiqua" w:eastAsia="Book Antiqua" w:hAnsi="Book Antiqua" w:cs="Book Antiqua"/>
          <w:b/>
          <w:bCs/>
          <w:color w:val="000000"/>
        </w:rPr>
        <w:t>Guillouzo A</w:t>
      </w:r>
      <w:r w:rsidRPr="004464B3">
        <w:rPr>
          <w:rFonts w:ascii="Book Antiqua" w:eastAsia="Book Antiqua" w:hAnsi="Book Antiqua" w:cs="Book Antiqua"/>
          <w:color w:val="000000"/>
        </w:rPr>
        <w:t xml:space="preserve">, Corlu A, Aninat C, Glaise D, Morel F, Guguen-Guillouzo C. The human hepatoma HepaRG cells: a highly differentiated model for studies of liver metabolism and toxicity of xenobiotics. </w:t>
      </w:r>
      <w:r w:rsidRPr="004464B3">
        <w:rPr>
          <w:rFonts w:ascii="Book Antiqua" w:eastAsia="Book Antiqua" w:hAnsi="Book Antiqua" w:cs="Book Antiqua"/>
          <w:i/>
          <w:iCs/>
          <w:color w:val="000000"/>
        </w:rPr>
        <w:t>Chem Biol Interact</w:t>
      </w:r>
      <w:r w:rsidRPr="004464B3">
        <w:rPr>
          <w:rFonts w:ascii="Book Antiqua" w:eastAsia="Book Antiqua" w:hAnsi="Book Antiqua" w:cs="Book Antiqua"/>
          <w:color w:val="000000"/>
        </w:rPr>
        <w:t xml:space="preserve"> 2007; </w:t>
      </w:r>
      <w:r w:rsidRPr="004464B3">
        <w:rPr>
          <w:rFonts w:ascii="Book Antiqua" w:eastAsia="Book Antiqua" w:hAnsi="Book Antiqua" w:cs="Book Antiqua"/>
          <w:b/>
          <w:bCs/>
          <w:color w:val="000000"/>
        </w:rPr>
        <w:t>168</w:t>
      </w:r>
      <w:r w:rsidRPr="004464B3">
        <w:rPr>
          <w:rFonts w:ascii="Book Antiqua" w:eastAsia="Book Antiqua" w:hAnsi="Book Antiqua" w:cs="Book Antiqua"/>
          <w:color w:val="000000"/>
        </w:rPr>
        <w:t>: 66-73 [PMID: 17241619 DOI: 10.1016/j.cbi.2006.12.003]</w:t>
      </w:r>
    </w:p>
    <w:p w14:paraId="0E4BEFAA"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14 </w:t>
      </w:r>
      <w:r w:rsidRPr="004464B3">
        <w:rPr>
          <w:rFonts w:ascii="Book Antiqua" w:eastAsia="Book Antiqua" w:hAnsi="Book Antiqua" w:cs="Book Antiqua"/>
          <w:b/>
          <w:bCs/>
          <w:color w:val="000000"/>
        </w:rPr>
        <w:t>Hernandez-Segura A</w:t>
      </w:r>
      <w:r w:rsidRPr="004464B3">
        <w:rPr>
          <w:rFonts w:ascii="Book Antiqua" w:eastAsia="Book Antiqua" w:hAnsi="Book Antiqua" w:cs="Book Antiqua"/>
          <w:color w:val="000000"/>
        </w:rPr>
        <w:t xml:space="preserve">, Nehme J, Demaria M. Hallmarks of Cellular Senescence. </w:t>
      </w:r>
      <w:r w:rsidRPr="004464B3">
        <w:rPr>
          <w:rFonts w:ascii="Book Antiqua" w:eastAsia="Book Antiqua" w:hAnsi="Book Antiqua" w:cs="Book Antiqua"/>
          <w:i/>
          <w:iCs/>
          <w:color w:val="000000"/>
        </w:rPr>
        <w:t>Trends Cell Biol</w:t>
      </w:r>
      <w:r w:rsidRPr="004464B3">
        <w:rPr>
          <w:rFonts w:ascii="Book Antiqua" w:eastAsia="Book Antiqua" w:hAnsi="Book Antiqua" w:cs="Book Antiqua"/>
          <w:color w:val="000000"/>
        </w:rPr>
        <w:t xml:space="preserve"> 2018; </w:t>
      </w:r>
      <w:r w:rsidRPr="004464B3">
        <w:rPr>
          <w:rFonts w:ascii="Book Antiqua" w:eastAsia="Book Antiqua" w:hAnsi="Book Antiqua" w:cs="Book Antiqua"/>
          <w:b/>
          <w:bCs/>
          <w:color w:val="000000"/>
        </w:rPr>
        <w:t>28</w:t>
      </w:r>
      <w:r w:rsidRPr="004464B3">
        <w:rPr>
          <w:rFonts w:ascii="Book Antiqua" w:eastAsia="Book Antiqua" w:hAnsi="Book Antiqua" w:cs="Book Antiqua"/>
          <w:color w:val="000000"/>
        </w:rPr>
        <w:t>: 436-453 [PMID: 29477613 DOI: 10.1016/j.tcb.2018.02.001]</w:t>
      </w:r>
    </w:p>
    <w:p w14:paraId="1235FD51"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15 </w:t>
      </w:r>
      <w:r w:rsidRPr="004464B3">
        <w:rPr>
          <w:rFonts w:ascii="Book Antiqua" w:eastAsia="Book Antiqua" w:hAnsi="Book Antiqua" w:cs="Book Antiqua"/>
          <w:b/>
          <w:bCs/>
          <w:color w:val="000000"/>
        </w:rPr>
        <w:t>van Deursen JM</w:t>
      </w:r>
      <w:r w:rsidRPr="004464B3">
        <w:rPr>
          <w:rFonts w:ascii="Book Antiqua" w:eastAsia="Book Antiqua" w:hAnsi="Book Antiqua" w:cs="Book Antiqua"/>
          <w:color w:val="000000"/>
        </w:rPr>
        <w:t xml:space="preserve">. The role of senescent cells in ageing. </w:t>
      </w:r>
      <w:r w:rsidRPr="004464B3">
        <w:rPr>
          <w:rFonts w:ascii="Book Antiqua" w:eastAsia="Book Antiqua" w:hAnsi="Book Antiqua" w:cs="Book Antiqua"/>
          <w:i/>
          <w:iCs/>
          <w:color w:val="000000"/>
        </w:rPr>
        <w:t>Nature</w:t>
      </w:r>
      <w:r w:rsidRPr="004464B3">
        <w:rPr>
          <w:rFonts w:ascii="Book Antiqua" w:eastAsia="Book Antiqua" w:hAnsi="Book Antiqua" w:cs="Book Antiqua"/>
          <w:color w:val="000000"/>
        </w:rPr>
        <w:t xml:space="preserve"> 2014; </w:t>
      </w:r>
      <w:r w:rsidRPr="004464B3">
        <w:rPr>
          <w:rFonts w:ascii="Book Antiqua" w:eastAsia="Book Antiqua" w:hAnsi="Book Antiqua" w:cs="Book Antiqua"/>
          <w:b/>
          <w:bCs/>
          <w:color w:val="000000"/>
        </w:rPr>
        <w:t>509</w:t>
      </w:r>
      <w:r w:rsidRPr="004464B3">
        <w:rPr>
          <w:rFonts w:ascii="Book Antiqua" w:eastAsia="Book Antiqua" w:hAnsi="Book Antiqua" w:cs="Book Antiqua"/>
          <w:color w:val="000000"/>
        </w:rPr>
        <w:t>: 439-446 [PMID: 24848057 DOI: 10.1038/nature13193]</w:t>
      </w:r>
    </w:p>
    <w:p w14:paraId="3C43B48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16 </w:t>
      </w:r>
      <w:r w:rsidRPr="004464B3">
        <w:rPr>
          <w:rFonts w:ascii="Book Antiqua" w:eastAsia="Book Antiqua" w:hAnsi="Book Antiqua" w:cs="Book Antiqua"/>
          <w:b/>
          <w:bCs/>
          <w:color w:val="000000"/>
        </w:rPr>
        <w:t>Yildiz G</w:t>
      </w:r>
      <w:r w:rsidRPr="004464B3">
        <w:rPr>
          <w:rFonts w:ascii="Book Antiqua" w:eastAsia="Book Antiqua" w:hAnsi="Book Antiqua" w:cs="Book Antiqua"/>
          <w:color w:val="000000"/>
        </w:rPr>
        <w:t xml:space="preserve">, Arslan-Ergul A, Bagislar S, Konu O, Yuzugullu H, Gursoy-Yuzugullu O, Ozturk N, Ozen C, Ozdag H, Erdal E, Karademir S, Sagol O, Mizrak D, Bozkaya H, Ilk </w:t>
      </w:r>
      <w:r w:rsidRPr="004464B3">
        <w:rPr>
          <w:rFonts w:ascii="Book Antiqua" w:eastAsia="Book Antiqua" w:hAnsi="Book Antiqua" w:cs="Book Antiqua"/>
          <w:color w:val="000000"/>
        </w:rPr>
        <w:lastRenderedPageBreak/>
        <w:t xml:space="preserve">HG, Ilk O, Bilen B, Cetin-Atalay R, Akar N, Ozturk M. Genome-wide transcriptional reorganization associated with senescence-to-immortality switch during human hepatocellular carcinogenesis. </w:t>
      </w:r>
      <w:r w:rsidRPr="004464B3">
        <w:rPr>
          <w:rFonts w:ascii="Book Antiqua" w:eastAsia="Book Antiqua" w:hAnsi="Book Antiqua" w:cs="Book Antiqua"/>
          <w:i/>
          <w:iCs/>
          <w:color w:val="000000"/>
        </w:rPr>
        <w:t>PLoS One</w:t>
      </w:r>
      <w:r w:rsidRPr="004464B3">
        <w:rPr>
          <w:rFonts w:ascii="Book Antiqua" w:eastAsia="Book Antiqua" w:hAnsi="Book Antiqua" w:cs="Book Antiqua"/>
          <w:color w:val="000000"/>
        </w:rPr>
        <w:t xml:space="preserve"> 2013; </w:t>
      </w:r>
      <w:r w:rsidRPr="004464B3">
        <w:rPr>
          <w:rFonts w:ascii="Book Antiqua" w:eastAsia="Book Antiqua" w:hAnsi="Book Antiqua" w:cs="Book Antiqua"/>
          <w:b/>
          <w:bCs/>
          <w:color w:val="000000"/>
        </w:rPr>
        <w:t>8</w:t>
      </w:r>
      <w:r w:rsidRPr="004464B3">
        <w:rPr>
          <w:rFonts w:ascii="Book Antiqua" w:eastAsia="Book Antiqua" w:hAnsi="Book Antiqua" w:cs="Book Antiqua"/>
          <w:color w:val="000000"/>
        </w:rPr>
        <w:t>: e64016 [PMID: 23691139 DOI: 10.1371/journal.pone.0064016]</w:t>
      </w:r>
    </w:p>
    <w:p w14:paraId="0C70E64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17 </w:t>
      </w:r>
      <w:r w:rsidRPr="004464B3">
        <w:rPr>
          <w:rFonts w:ascii="Book Antiqua" w:eastAsia="Book Antiqua" w:hAnsi="Book Antiqua" w:cs="Book Antiqua"/>
          <w:b/>
          <w:bCs/>
          <w:color w:val="000000"/>
        </w:rPr>
        <w:t>Aravinthan A</w:t>
      </w:r>
      <w:r w:rsidRPr="004464B3">
        <w:rPr>
          <w:rFonts w:ascii="Book Antiqua" w:eastAsia="Book Antiqua" w:hAnsi="Book Antiqua" w:cs="Book Antiqua"/>
          <w:color w:val="000000"/>
        </w:rPr>
        <w:t xml:space="preserve">, Challis B, Shannon N, Hoare M, Heaney J, Alexander GJM. Selective insulin resistance in hepatocyte senescence. </w:t>
      </w:r>
      <w:r w:rsidRPr="004464B3">
        <w:rPr>
          <w:rFonts w:ascii="Book Antiqua" w:eastAsia="Book Antiqua" w:hAnsi="Book Antiqua" w:cs="Book Antiqua"/>
          <w:i/>
          <w:iCs/>
          <w:color w:val="000000"/>
        </w:rPr>
        <w:t>Exp Cell Res</w:t>
      </w:r>
      <w:r w:rsidRPr="004464B3">
        <w:rPr>
          <w:rFonts w:ascii="Book Antiqua" w:eastAsia="Book Antiqua" w:hAnsi="Book Antiqua" w:cs="Book Antiqua"/>
          <w:color w:val="000000"/>
        </w:rPr>
        <w:t xml:space="preserve"> 2015; </w:t>
      </w:r>
      <w:r w:rsidRPr="004464B3">
        <w:rPr>
          <w:rFonts w:ascii="Book Antiqua" w:eastAsia="Book Antiqua" w:hAnsi="Book Antiqua" w:cs="Book Antiqua"/>
          <w:b/>
          <w:bCs/>
          <w:color w:val="000000"/>
        </w:rPr>
        <w:t>331</w:t>
      </w:r>
      <w:r w:rsidRPr="004464B3">
        <w:rPr>
          <w:rFonts w:ascii="Book Antiqua" w:eastAsia="Book Antiqua" w:hAnsi="Book Antiqua" w:cs="Book Antiqua"/>
          <w:color w:val="000000"/>
        </w:rPr>
        <w:t>: 38-45 [PMID: 25263463 DOI: 10.1016/j.yexcr.2014.09.025]</w:t>
      </w:r>
    </w:p>
    <w:p w14:paraId="623DE4DD"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18 </w:t>
      </w:r>
      <w:r w:rsidRPr="004464B3">
        <w:rPr>
          <w:rFonts w:ascii="Book Antiqua" w:eastAsia="Book Antiqua" w:hAnsi="Book Antiqua" w:cs="Book Antiqua"/>
          <w:b/>
          <w:bCs/>
          <w:color w:val="000000"/>
        </w:rPr>
        <w:t>Aninat C</w:t>
      </w:r>
      <w:r w:rsidRPr="004464B3">
        <w:rPr>
          <w:rFonts w:ascii="Book Antiqua" w:eastAsia="Book Antiqua" w:hAnsi="Book Antiqua" w:cs="Book Antiqua"/>
          <w:color w:val="000000"/>
        </w:rPr>
        <w:t xml:space="preserve">, Piton A, Glaise D, Le Charpentier T, Langouët S, Morel F, Guguen-Guillouzo C, Guillouzo A. Expression of cytochromes P450, conjugating enzymes and nuclear receptors in human hepatoma HepaRG cells. </w:t>
      </w:r>
      <w:r w:rsidRPr="004464B3">
        <w:rPr>
          <w:rFonts w:ascii="Book Antiqua" w:eastAsia="Book Antiqua" w:hAnsi="Book Antiqua" w:cs="Book Antiqua"/>
          <w:i/>
          <w:iCs/>
          <w:color w:val="000000"/>
        </w:rPr>
        <w:t>Drug Metab Dispos</w:t>
      </w:r>
      <w:r w:rsidRPr="004464B3">
        <w:rPr>
          <w:rFonts w:ascii="Book Antiqua" w:eastAsia="Book Antiqua" w:hAnsi="Book Antiqua" w:cs="Book Antiqua"/>
          <w:color w:val="000000"/>
        </w:rPr>
        <w:t xml:space="preserve"> 2006; </w:t>
      </w:r>
      <w:r w:rsidRPr="004464B3">
        <w:rPr>
          <w:rFonts w:ascii="Book Antiqua" w:eastAsia="Book Antiqua" w:hAnsi="Book Antiqua" w:cs="Book Antiqua"/>
          <w:b/>
          <w:bCs/>
          <w:color w:val="000000"/>
        </w:rPr>
        <w:t>34</w:t>
      </w:r>
      <w:r w:rsidRPr="004464B3">
        <w:rPr>
          <w:rFonts w:ascii="Book Antiqua" w:eastAsia="Book Antiqua" w:hAnsi="Book Antiqua" w:cs="Book Antiqua"/>
          <w:color w:val="000000"/>
        </w:rPr>
        <w:t>: 75-83 [PMID: 16204462 DOI: 10.1124/dmd.105.006759]</w:t>
      </w:r>
    </w:p>
    <w:p w14:paraId="7B81D44A"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19 </w:t>
      </w:r>
      <w:r w:rsidRPr="004464B3">
        <w:rPr>
          <w:rFonts w:ascii="Book Antiqua" w:eastAsia="Book Antiqua" w:hAnsi="Book Antiqua" w:cs="Book Antiqua"/>
          <w:b/>
          <w:bCs/>
          <w:color w:val="000000"/>
        </w:rPr>
        <w:t>Jossé R</w:t>
      </w:r>
      <w:r w:rsidRPr="004464B3">
        <w:rPr>
          <w:rFonts w:ascii="Book Antiqua" w:eastAsia="Book Antiqua" w:hAnsi="Book Antiqua" w:cs="Book Antiqua"/>
          <w:color w:val="000000"/>
        </w:rPr>
        <w:t xml:space="preserve">, Aninat C, Glaise D, Dumont J, Fessard V, Morel F, Poul JM, Guguen-Guillouzo C, Guillouzo A. Long-term functional stability of human HepaRG hepatocytes and use for chronic toxicity and genotoxicity studies. </w:t>
      </w:r>
      <w:r w:rsidRPr="004464B3">
        <w:rPr>
          <w:rFonts w:ascii="Book Antiqua" w:eastAsia="Book Antiqua" w:hAnsi="Book Antiqua" w:cs="Book Antiqua"/>
          <w:i/>
          <w:iCs/>
          <w:color w:val="000000"/>
        </w:rPr>
        <w:t>Drug Metab Dispos</w:t>
      </w:r>
      <w:r w:rsidRPr="004464B3">
        <w:rPr>
          <w:rFonts w:ascii="Book Antiqua" w:eastAsia="Book Antiqua" w:hAnsi="Book Antiqua" w:cs="Book Antiqua"/>
          <w:color w:val="000000"/>
        </w:rPr>
        <w:t xml:space="preserve"> 2008; </w:t>
      </w:r>
      <w:r w:rsidRPr="004464B3">
        <w:rPr>
          <w:rFonts w:ascii="Book Antiqua" w:eastAsia="Book Antiqua" w:hAnsi="Book Antiqua" w:cs="Book Antiqua"/>
          <w:b/>
          <w:bCs/>
          <w:color w:val="000000"/>
        </w:rPr>
        <w:t>36</w:t>
      </w:r>
      <w:r w:rsidRPr="004464B3">
        <w:rPr>
          <w:rFonts w:ascii="Book Antiqua" w:eastAsia="Book Antiqua" w:hAnsi="Book Antiqua" w:cs="Book Antiqua"/>
          <w:color w:val="000000"/>
        </w:rPr>
        <w:t>: 1111-1118 [PMID: 18347083 DOI: 10.1124/dmd.107.019901]</w:t>
      </w:r>
    </w:p>
    <w:p w14:paraId="3EBA0B33" w14:textId="524B99B8"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20 </w:t>
      </w:r>
      <w:r w:rsidRPr="004464B3">
        <w:rPr>
          <w:rFonts w:ascii="Book Antiqua" w:eastAsia="Book Antiqua" w:hAnsi="Book Antiqua" w:cs="Book Antiqua"/>
          <w:b/>
          <w:bCs/>
          <w:color w:val="000000"/>
        </w:rPr>
        <w:t>H</w:t>
      </w:r>
      <w:r w:rsidR="0093492B" w:rsidRPr="004464B3">
        <w:rPr>
          <w:rFonts w:ascii="Book Antiqua" w:eastAsia="Book Antiqua" w:hAnsi="Book Antiqua" w:cs="Book Antiqua"/>
          <w:b/>
          <w:bCs/>
          <w:color w:val="000000"/>
        </w:rPr>
        <w:t>ayflick</w:t>
      </w:r>
      <w:r w:rsidRPr="004464B3">
        <w:rPr>
          <w:rFonts w:ascii="Book Antiqua" w:eastAsia="Book Antiqua" w:hAnsi="Book Antiqua" w:cs="Book Antiqua"/>
          <w:b/>
          <w:bCs/>
          <w:color w:val="000000"/>
        </w:rPr>
        <w:t xml:space="preserve"> L</w:t>
      </w:r>
      <w:r w:rsidRPr="004464B3">
        <w:rPr>
          <w:rFonts w:ascii="Book Antiqua" w:eastAsia="Book Antiqua" w:hAnsi="Book Antiqua" w:cs="Book Antiqua"/>
          <w:color w:val="000000"/>
        </w:rPr>
        <w:t xml:space="preserve">, MOORHEAD PS. The serial cultivation of human diploid cell strains. </w:t>
      </w:r>
      <w:r w:rsidRPr="004464B3">
        <w:rPr>
          <w:rFonts w:ascii="Book Antiqua" w:eastAsia="Book Antiqua" w:hAnsi="Book Antiqua" w:cs="Book Antiqua"/>
          <w:i/>
          <w:iCs/>
          <w:color w:val="000000"/>
        </w:rPr>
        <w:t>Exp Cell Res</w:t>
      </w:r>
      <w:r w:rsidRPr="004464B3">
        <w:rPr>
          <w:rFonts w:ascii="Book Antiqua" w:eastAsia="Book Antiqua" w:hAnsi="Book Antiqua" w:cs="Book Antiqua"/>
          <w:color w:val="000000"/>
        </w:rPr>
        <w:t xml:space="preserve"> 1961; </w:t>
      </w:r>
      <w:r w:rsidRPr="004464B3">
        <w:rPr>
          <w:rFonts w:ascii="Book Antiqua" w:eastAsia="Book Antiqua" w:hAnsi="Book Antiqua" w:cs="Book Antiqua"/>
          <w:b/>
          <w:bCs/>
          <w:color w:val="000000"/>
        </w:rPr>
        <w:t>25</w:t>
      </w:r>
      <w:r w:rsidRPr="004464B3">
        <w:rPr>
          <w:rFonts w:ascii="Book Antiqua" w:eastAsia="Book Antiqua" w:hAnsi="Book Antiqua" w:cs="Book Antiqua"/>
          <w:color w:val="000000"/>
        </w:rPr>
        <w:t>: 585-621 [PMID: 13905658 DOI: 10.1016/0014-4827(61)90192-6]</w:t>
      </w:r>
    </w:p>
    <w:p w14:paraId="024C8829" w14:textId="087D882B"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21 </w:t>
      </w:r>
      <w:r w:rsidRPr="004464B3">
        <w:rPr>
          <w:rFonts w:ascii="Book Antiqua" w:eastAsia="Book Antiqua" w:hAnsi="Book Antiqua" w:cs="Book Antiqua"/>
          <w:b/>
          <w:bCs/>
          <w:color w:val="000000"/>
        </w:rPr>
        <w:t>Kurz DJ</w:t>
      </w:r>
      <w:r w:rsidRPr="004464B3">
        <w:rPr>
          <w:rFonts w:ascii="Book Antiqua" w:eastAsia="Book Antiqua" w:hAnsi="Book Antiqua" w:cs="Book Antiqua"/>
          <w:color w:val="000000"/>
        </w:rPr>
        <w:t xml:space="preserve">, Decary S, Hong Y, Erusalimsky JD. Senescence-associated (beta)-galactosidase reflects an increase in lysosomal mass during replicative ageing of human endothelial cells. </w:t>
      </w:r>
      <w:r w:rsidRPr="004464B3">
        <w:rPr>
          <w:rFonts w:ascii="Book Antiqua" w:eastAsia="Book Antiqua" w:hAnsi="Book Antiqua" w:cs="Book Antiqua"/>
          <w:i/>
          <w:iCs/>
          <w:color w:val="000000"/>
        </w:rPr>
        <w:t>J Cell Sci</w:t>
      </w:r>
      <w:r w:rsidRPr="004464B3">
        <w:rPr>
          <w:rFonts w:ascii="Book Antiqua" w:eastAsia="Book Antiqua" w:hAnsi="Book Antiqua" w:cs="Book Antiqua"/>
          <w:color w:val="000000"/>
        </w:rPr>
        <w:t xml:space="preserve"> 2000; </w:t>
      </w:r>
      <w:r w:rsidRPr="004464B3">
        <w:rPr>
          <w:rFonts w:ascii="Book Antiqua" w:eastAsia="Book Antiqua" w:hAnsi="Book Antiqua" w:cs="Book Antiqua"/>
          <w:b/>
          <w:bCs/>
          <w:color w:val="000000"/>
        </w:rPr>
        <w:t>113</w:t>
      </w:r>
      <w:r w:rsidRPr="004464B3">
        <w:rPr>
          <w:rFonts w:ascii="Book Antiqua" w:eastAsia="Book Antiqua" w:hAnsi="Book Antiqua" w:cs="Book Antiqua"/>
          <w:color w:val="000000"/>
        </w:rPr>
        <w:t>: 3613-3622 [PMID: 11017877]</w:t>
      </w:r>
    </w:p>
    <w:p w14:paraId="4D103E32"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22 </w:t>
      </w:r>
      <w:r w:rsidRPr="004464B3">
        <w:rPr>
          <w:rFonts w:ascii="Book Antiqua" w:eastAsia="Book Antiqua" w:hAnsi="Book Antiqua" w:cs="Book Antiqua"/>
          <w:b/>
          <w:bCs/>
          <w:color w:val="000000"/>
        </w:rPr>
        <w:t>Kuilman T</w:t>
      </w:r>
      <w:r w:rsidRPr="004464B3">
        <w:rPr>
          <w:rFonts w:ascii="Book Antiqua" w:eastAsia="Book Antiqua" w:hAnsi="Book Antiqua" w:cs="Book Antiqua"/>
          <w:color w:val="000000"/>
        </w:rPr>
        <w:t xml:space="preserve">, Michaloglou C, Mooi WJ, Peeper DS. The essence of senescence. </w:t>
      </w:r>
      <w:r w:rsidRPr="004464B3">
        <w:rPr>
          <w:rFonts w:ascii="Book Antiqua" w:eastAsia="Book Antiqua" w:hAnsi="Book Antiqua" w:cs="Book Antiqua"/>
          <w:i/>
          <w:iCs/>
          <w:color w:val="000000"/>
        </w:rPr>
        <w:t>Genes Dev</w:t>
      </w:r>
      <w:r w:rsidRPr="004464B3">
        <w:rPr>
          <w:rFonts w:ascii="Book Antiqua" w:eastAsia="Book Antiqua" w:hAnsi="Book Antiqua" w:cs="Book Antiqua"/>
          <w:color w:val="000000"/>
        </w:rPr>
        <w:t xml:space="preserve"> 2010; </w:t>
      </w:r>
      <w:r w:rsidRPr="004464B3">
        <w:rPr>
          <w:rFonts w:ascii="Book Antiqua" w:eastAsia="Book Antiqua" w:hAnsi="Book Antiqua" w:cs="Book Antiqua"/>
          <w:b/>
          <w:bCs/>
          <w:color w:val="000000"/>
        </w:rPr>
        <w:t>24</w:t>
      </w:r>
      <w:r w:rsidRPr="004464B3">
        <w:rPr>
          <w:rFonts w:ascii="Book Antiqua" w:eastAsia="Book Antiqua" w:hAnsi="Book Antiqua" w:cs="Book Antiqua"/>
          <w:color w:val="000000"/>
        </w:rPr>
        <w:t>: 2463-2479 [PMID: 21078816 DOI: 10.1101/gad.1971610]</w:t>
      </w:r>
    </w:p>
    <w:p w14:paraId="032EF1F1"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23 </w:t>
      </w:r>
      <w:r w:rsidRPr="004464B3">
        <w:rPr>
          <w:rFonts w:ascii="Book Antiqua" w:eastAsia="Book Antiqua" w:hAnsi="Book Antiqua" w:cs="Book Antiqua"/>
          <w:b/>
          <w:bCs/>
          <w:color w:val="000000"/>
        </w:rPr>
        <w:t>Yovchev MI</w:t>
      </w:r>
      <w:r w:rsidRPr="004464B3">
        <w:rPr>
          <w:rFonts w:ascii="Book Antiqua" w:eastAsia="Book Antiqua" w:hAnsi="Book Antiqua" w:cs="Book Antiqua"/>
          <w:color w:val="000000"/>
        </w:rPr>
        <w:t xml:space="preserve">, Grozdanov PN, Zhou H, Racherla H, Guha C, Dabeva MD. Identification of adult hepatic progenitor cells capable of repopulating injured rat liver. </w:t>
      </w:r>
      <w:r w:rsidRPr="004464B3">
        <w:rPr>
          <w:rFonts w:ascii="Book Antiqua" w:eastAsia="Book Antiqua" w:hAnsi="Book Antiqua" w:cs="Book Antiqua"/>
          <w:i/>
          <w:iCs/>
          <w:color w:val="000000"/>
        </w:rPr>
        <w:t>Hepatology</w:t>
      </w:r>
      <w:r w:rsidRPr="004464B3">
        <w:rPr>
          <w:rFonts w:ascii="Book Antiqua" w:eastAsia="Book Antiqua" w:hAnsi="Book Antiqua" w:cs="Book Antiqua"/>
          <w:color w:val="000000"/>
        </w:rPr>
        <w:t xml:space="preserve"> 2008; </w:t>
      </w:r>
      <w:r w:rsidRPr="004464B3">
        <w:rPr>
          <w:rFonts w:ascii="Book Antiqua" w:eastAsia="Book Antiqua" w:hAnsi="Book Antiqua" w:cs="Book Antiqua"/>
          <w:b/>
          <w:bCs/>
          <w:color w:val="000000"/>
        </w:rPr>
        <w:t>47</w:t>
      </w:r>
      <w:r w:rsidRPr="004464B3">
        <w:rPr>
          <w:rFonts w:ascii="Book Antiqua" w:eastAsia="Book Antiqua" w:hAnsi="Book Antiqua" w:cs="Book Antiqua"/>
          <w:color w:val="000000"/>
        </w:rPr>
        <w:t>: 636-647 [PMID: 18023068 DOI: 10.1002/hep.22047]</w:t>
      </w:r>
    </w:p>
    <w:p w14:paraId="3B0452A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24 </w:t>
      </w:r>
      <w:r w:rsidRPr="004464B3">
        <w:rPr>
          <w:rFonts w:ascii="Book Antiqua" w:eastAsia="Book Antiqua" w:hAnsi="Book Antiqua" w:cs="Book Antiqua"/>
          <w:b/>
          <w:bCs/>
          <w:color w:val="000000"/>
        </w:rPr>
        <w:t>López-Otín C</w:t>
      </w:r>
      <w:r w:rsidRPr="004464B3">
        <w:rPr>
          <w:rFonts w:ascii="Book Antiqua" w:eastAsia="Book Antiqua" w:hAnsi="Book Antiqua" w:cs="Book Antiqua"/>
          <w:color w:val="000000"/>
        </w:rPr>
        <w:t xml:space="preserve">, Blasco MA, Partridge L, Serrano M, Kroemer G. The hallmarks of aging. </w:t>
      </w:r>
      <w:r w:rsidRPr="004464B3">
        <w:rPr>
          <w:rFonts w:ascii="Book Antiqua" w:eastAsia="Book Antiqua" w:hAnsi="Book Antiqua" w:cs="Book Antiqua"/>
          <w:i/>
          <w:iCs/>
          <w:color w:val="000000"/>
        </w:rPr>
        <w:t>Cell</w:t>
      </w:r>
      <w:r w:rsidRPr="004464B3">
        <w:rPr>
          <w:rFonts w:ascii="Book Antiqua" w:eastAsia="Book Antiqua" w:hAnsi="Book Antiqua" w:cs="Book Antiqua"/>
          <w:color w:val="000000"/>
        </w:rPr>
        <w:t xml:space="preserve"> 2013; </w:t>
      </w:r>
      <w:r w:rsidRPr="004464B3">
        <w:rPr>
          <w:rFonts w:ascii="Book Antiqua" w:eastAsia="Book Antiqua" w:hAnsi="Book Antiqua" w:cs="Book Antiqua"/>
          <w:b/>
          <w:bCs/>
          <w:color w:val="000000"/>
        </w:rPr>
        <w:t>153</w:t>
      </w:r>
      <w:r w:rsidRPr="004464B3">
        <w:rPr>
          <w:rFonts w:ascii="Book Antiqua" w:eastAsia="Book Antiqua" w:hAnsi="Book Antiqua" w:cs="Book Antiqua"/>
          <w:color w:val="000000"/>
        </w:rPr>
        <w:t>: 1194-1217 [PMID: 23746838 DOI: 10.1016/j.cell.2013.05.039]</w:t>
      </w:r>
    </w:p>
    <w:p w14:paraId="2FE317E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25 </w:t>
      </w:r>
      <w:r w:rsidRPr="004464B3">
        <w:rPr>
          <w:rFonts w:ascii="Book Antiqua" w:eastAsia="Book Antiqua" w:hAnsi="Book Antiqua" w:cs="Book Antiqua"/>
          <w:b/>
          <w:bCs/>
          <w:color w:val="000000"/>
        </w:rPr>
        <w:t>Gomes AP</w:t>
      </w:r>
      <w:r w:rsidRPr="004464B3">
        <w:rPr>
          <w:rFonts w:ascii="Book Antiqua" w:eastAsia="Book Antiqua" w:hAnsi="Book Antiqua" w:cs="Book Antiqua"/>
          <w:color w:val="000000"/>
        </w:rPr>
        <w:t xml:space="preserve">, Price NL, Ling AJ, Moslehi JJ, Montgomery MK, Rajman L, White JP, Teodoro JS, Wrann CD, Hubbard BP, Mercken EM, Palmeira CM, de Cabo R, Rolo AP, Turner N, Bell EL, Sinclair DA. Declining NAD(+) induces a pseudohypoxic state </w:t>
      </w:r>
      <w:r w:rsidRPr="004464B3">
        <w:rPr>
          <w:rFonts w:ascii="Book Antiqua" w:eastAsia="Book Antiqua" w:hAnsi="Book Antiqua" w:cs="Book Antiqua"/>
          <w:color w:val="000000"/>
        </w:rPr>
        <w:lastRenderedPageBreak/>
        <w:t xml:space="preserve">disrupting nuclear-mitochondrial communication during aging. </w:t>
      </w:r>
      <w:r w:rsidRPr="004464B3">
        <w:rPr>
          <w:rFonts w:ascii="Book Antiqua" w:eastAsia="Book Antiqua" w:hAnsi="Book Antiqua" w:cs="Book Antiqua"/>
          <w:i/>
          <w:iCs/>
          <w:color w:val="000000"/>
        </w:rPr>
        <w:t>Cell</w:t>
      </w:r>
      <w:r w:rsidRPr="004464B3">
        <w:rPr>
          <w:rFonts w:ascii="Book Antiqua" w:eastAsia="Book Antiqua" w:hAnsi="Book Antiqua" w:cs="Book Antiqua"/>
          <w:color w:val="000000"/>
        </w:rPr>
        <w:t xml:space="preserve"> 2013; </w:t>
      </w:r>
      <w:r w:rsidRPr="004464B3">
        <w:rPr>
          <w:rFonts w:ascii="Book Antiqua" w:eastAsia="Book Antiqua" w:hAnsi="Book Antiqua" w:cs="Book Antiqua"/>
          <w:b/>
          <w:bCs/>
          <w:color w:val="000000"/>
        </w:rPr>
        <w:t>155</w:t>
      </w:r>
      <w:r w:rsidRPr="004464B3">
        <w:rPr>
          <w:rFonts w:ascii="Book Antiqua" w:eastAsia="Book Antiqua" w:hAnsi="Book Antiqua" w:cs="Book Antiqua"/>
          <w:color w:val="000000"/>
        </w:rPr>
        <w:t>: 1624-1638 [PMID: 24360282 DOI: 10.1016/j.cell.2013.11.037]</w:t>
      </w:r>
    </w:p>
    <w:p w14:paraId="3617C2FE"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26 </w:t>
      </w:r>
      <w:r w:rsidRPr="004464B3">
        <w:rPr>
          <w:rFonts w:ascii="Book Antiqua" w:eastAsia="Book Antiqua" w:hAnsi="Book Antiqua" w:cs="Book Antiqua"/>
          <w:b/>
          <w:bCs/>
          <w:color w:val="000000"/>
        </w:rPr>
        <w:t>Jiang L</w:t>
      </w:r>
      <w:r w:rsidRPr="004464B3">
        <w:rPr>
          <w:rFonts w:ascii="Book Antiqua" w:eastAsia="Book Antiqua" w:hAnsi="Book Antiqua" w:cs="Book Antiqua"/>
          <w:color w:val="000000"/>
        </w:rPr>
        <w:t xml:space="preserve">, Li JG, Lan L, Wang YM, Mao Q, You JP. Human hepatoma HepaRG cell line engraftment in severe combined immunodeficient × beige mice using mouse-specific anti-Fas antibody. </w:t>
      </w:r>
      <w:r w:rsidRPr="004464B3">
        <w:rPr>
          <w:rFonts w:ascii="Book Antiqua" w:eastAsia="Book Antiqua" w:hAnsi="Book Antiqua" w:cs="Book Antiqua"/>
          <w:i/>
          <w:iCs/>
          <w:color w:val="000000"/>
        </w:rPr>
        <w:t>Transplant Proc</w:t>
      </w:r>
      <w:r w:rsidRPr="004464B3">
        <w:rPr>
          <w:rFonts w:ascii="Book Antiqua" w:eastAsia="Book Antiqua" w:hAnsi="Book Antiqua" w:cs="Book Antiqua"/>
          <w:color w:val="000000"/>
        </w:rPr>
        <w:t xml:space="preserve"> 2010; </w:t>
      </w:r>
      <w:r w:rsidRPr="004464B3">
        <w:rPr>
          <w:rFonts w:ascii="Book Antiqua" w:eastAsia="Book Antiqua" w:hAnsi="Book Antiqua" w:cs="Book Antiqua"/>
          <w:b/>
          <w:bCs/>
          <w:color w:val="000000"/>
        </w:rPr>
        <w:t>42</w:t>
      </w:r>
      <w:r w:rsidRPr="004464B3">
        <w:rPr>
          <w:rFonts w:ascii="Book Antiqua" w:eastAsia="Book Antiqua" w:hAnsi="Book Antiqua" w:cs="Book Antiqua"/>
          <w:color w:val="000000"/>
        </w:rPr>
        <w:t>: 3773-3778 [PMID: 21094855 DOI: 10.1016/j.transproceed.2010.08.064]</w:t>
      </w:r>
    </w:p>
    <w:p w14:paraId="48A06337"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27 </w:t>
      </w:r>
      <w:r w:rsidRPr="004464B3">
        <w:rPr>
          <w:rFonts w:ascii="Book Antiqua" w:eastAsia="Book Antiqua" w:hAnsi="Book Antiqua" w:cs="Book Antiqua"/>
          <w:b/>
          <w:bCs/>
          <w:color w:val="000000"/>
        </w:rPr>
        <w:t>Higuchi Y</w:t>
      </w:r>
      <w:r w:rsidRPr="004464B3">
        <w:rPr>
          <w:rFonts w:ascii="Book Antiqua" w:eastAsia="Book Antiqua" w:hAnsi="Book Antiqua" w:cs="Book Antiqua"/>
          <w:color w:val="000000"/>
        </w:rPr>
        <w:t xml:space="preserve">, Kawai K, Yamazaki H, Nakamura M, Bree F, Guguen-Guillouzo C, Suemizu H. The human hepatic cell line HepaRG as a possible cell source for the generation of humanized liver TK-NOG mice. </w:t>
      </w:r>
      <w:r w:rsidRPr="004464B3">
        <w:rPr>
          <w:rFonts w:ascii="Book Antiqua" w:eastAsia="Book Antiqua" w:hAnsi="Book Antiqua" w:cs="Book Antiqua"/>
          <w:i/>
          <w:iCs/>
          <w:color w:val="000000"/>
        </w:rPr>
        <w:t>Xenobiotica</w:t>
      </w:r>
      <w:r w:rsidRPr="004464B3">
        <w:rPr>
          <w:rFonts w:ascii="Book Antiqua" w:eastAsia="Book Antiqua" w:hAnsi="Book Antiqua" w:cs="Book Antiqua"/>
          <w:color w:val="000000"/>
        </w:rPr>
        <w:t xml:space="preserve"> 2014; </w:t>
      </w:r>
      <w:r w:rsidRPr="004464B3">
        <w:rPr>
          <w:rFonts w:ascii="Book Antiqua" w:eastAsia="Book Antiqua" w:hAnsi="Book Antiqua" w:cs="Book Antiqua"/>
          <w:b/>
          <w:bCs/>
          <w:color w:val="000000"/>
        </w:rPr>
        <w:t>44</w:t>
      </w:r>
      <w:r w:rsidRPr="004464B3">
        <w:rPr>
          <w:rFonts w:ascii="Book Antiqua" w:eastAsia="Book Antiqua" w:hAnsi="Book Antiqua" w:cs="Book Antiqua"/>
          <w:color w:val="000000"/>
        </w:rPr>
        <w:t>: 146-153 [PMID: 24066694 DOI: 10.3109/00498254.2013.836257]</w:t>
      </w:r>
    </w:p>
    <w:p w14:paraId="4C0AFFC2"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28 </w:t>
      </w:r>
      <w:r w:rsidRPr="004464B3">
        <w:rPr>
          <w:rFonts w:ascii="Book Antiqua" w:eastAsia="Book Antiqua" w:hAnsi="Book Antiqua" w:cs="Book Antiqua"/>
          <w:b/>
          <w:bCs/>
          <w:color w:val="000000"/>
        </w:rPr>
        <w:t>HAYFLICK L</w:t>
      </w:r>
      <w:r w:rsidRPr="004464B3">
        <w:rPr>
          <w:rFonts w:ascii="Book Antiqua" w:eastAsia="Book Antiqua" w:hAnsi="Book Antiqua" w:cs="Book Antiqua"/>
          <w:color w:val="000000"/>
        </w:rPr>
        <w:t xml:space="preserve">. THE LIMITED IN VITRO LIFETIME OF HUMAN DIPLOID CELL STRAINS. </w:t>
      </w:r>
      <w:r w:rsidRPr="004464B3">
        <w:rPr>
          <w:rFonts w:ascii="Book Antiqua" w:eastAsia="Book Antiqua" w:hAnsi="Book Antiqua" w:cs="Book Antiqua"/>
          <w:i/>
          <w:iCs/>
          <w:color w:val="000000"/>
        </w:rPr>
        <w:t>Exp Cell Res</w:t>
      </w:r>
      <w:r w:rsidRPr="004464B3">
        <w:rPr>
          <w:rFonts w:ascii="Book Antiqua" w:eastAsia="Book Antiqua" w:hAnsi="Book Antiqua" w:cs="Book Antiqua"/>
          <w:color w:val="000000"/>
        </w:rPr>
        <w:t xml:space="preserve"> 1965; </w:t>
      </w:r>
      <w:r w:rsidRPr="004464B3">
        <w:rPr>
          <w:rFonts w:ascii="Book Antiqua" w:eastAsia="Book Antiqua" w:hAnsi="Book Antiqua" w:cs="Book Antiqua"/>
          <w:b/>
          <w:bCs/>
          <w:color w:val="000000"/>
        </w:rPr>
        <w:t>37</w:t>
      </w:r>
      <w:r w:rsidRPr="004464B3">
        <w:rPr>
          <w:rFonts w:ascii="Book Antiqua" w:eastAsia="Book Antiqua" w:hAnsi="Book Antiqua" w:cs="Book Antiqua"/>
          <w:color w:val="000000"/>
        </w:rPr>
        <w:t>: 614-636 [PMID: 14315085 DOI: 10.1016/0014-4827(65)90211-9]</w:t>
      </w:r>
    </w:p>
    <w:p w14:paraId="5D0299F4"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29 </w:t>
      </w:r>
      <w:r w:rsidRPr="004464B3">
        <w:rPr>
          <w:rFonts w:ascii="Book Antiqua" w:eastAsia="Book Antiqua" w:hAnsi="Book Antiqua" w:cs="Book Antiqua"/>
          <w:b/>
          <w:bCs/>
          <w:color w:val="000000"/>
        </w:rPr>
        <w:t>Coates PJ</w:t>
      </w:r>
      <w:r w:rsidRPr="004464B3">
        <w:rPr>
          <w:rFonts w:ascii="Book Antiqua" w:eastAsia="Book Antiqua" w:hAnsi="Book Antiqua" w:cs="Book Antiqua"/>
          <w:color w:val="000000"/>
        </w:rPr>
        <w:t xml:space="preserve">. Markers of senescence? </w:t>
      </w:r>
      <w:r w:rsidRPr="004464B3">
        <w:rPr>
          <w:rFonts w:ascii="Book Antiqua" w:eastAsia="Book Antiqua" w:hAnsi="Book Antiqua" w:cs="Book Antiqua"/>
          <w:i/>
          <w:iCs/>
          <w:color w:val="000000"/>
        </w:rPr>
        <w:t>J Pathol</w:t>
      </w:r>
      <w:r w:rsidRPr="004464B3">
        <w:rPr>
          <w:rFonts w:ascii="Book Antiqua" w:eastAsia="Book Antiqua" w:hAnsi="Book Antiqua" w:cs="Book Antiqua"/>
          <w:color w:val="000000"/>
        </w:rPr>
        <w:t xml:space="preserve"> 2002; </w:t>
      </w:r>
      <w:r w:rsidRPr="004464B3">
        <w:rPr>
          <w:rFonts w:ascii="Book Antiqua" w:eastAsia="Book Antiqua" w:hAnsi="Book Antiqua" w:cs="Book Antiqua"/>
          <w:b/>
          <w:bCs/>
          <w:color w:val="000000"/>
        </w:rPr>
        <w:t>196</w:t>
      </w:r>
      <w:r w:rsidRPr="004464B3">
        <w:rPr>
          <w:rFonts w:ascii="Book Antiqua" w:eastAsia="Book Antiqua" w:hAnsi="Book Antiqua" w:cs="Book Antiqua"/>
          <w:color w:val="000000"/>
        </w:rPr>
        <w:t>: 371-373 [PMID: 11920730 DOI: 10.1002/path.1073]</w:t>
      </w:r>
    </w:p>
    <w:p w14:paraId="47D915B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30 </w:t>
      </w:r>
      <w:r w:rsidRPr="004464B3">
        <w:rPr>
          <w:rFonts w:ascii="Book Antiqua" w:eastAsia="Book Antiqua" w:hAnsi="Book Antiqua" w:cs="Book Antiqua"/>
          <w:b/>
          <w:bCs/>
          <w:color w:val="000000"/>
        </w:rPr>
        <w:t>Bodnar AG</w:t>
      </w:r>
      <w:r w:rsidRPr="004464B3">
        <w:rPr>
          <w:rFonts w:ascii="Book Antiqua" w:eastAsia="Book Antiqua" w:hAnsi="Book Antiqua" w:cs="Book Antiqua"/>
          <w:color w:val="000000"/>
        </w:rPr>
        <w:t xml:space="preserve">, Ouellette M, Frolkis M, Holt SE, Chiu CP, Morin GB, Harley CB, Shay JW, Lichtsteiner S, Wright WE. Extension of life-span by introduction of telomerase into normal human cells. </w:t>
      </w:r>
      <w:r w:rsidRPr="004464B3">
        <w:rPr>
          <w:rFonts w:ascii="Book Antiqua" w:eastAsia="Book Antiqua" w:hAnsi="Book Antiqua" w:cs="Book Antiqua"/>
          <w:i/>
          <w:iCs/>
          <w:color w:val="000000"/>
        </w:rPr>
        <w:t>Science</w:t>
      </w:r>
      <w:r w:rsidRPr="004464B3">
        <w:rPr>
          <w:rFonts w:ascii="Book Antiqua" w:eastAsia="Book Antiqua" w:hAnsi="Book Antiqua" w:cs="Book Antiqua"/>
          <w:color w:val="000000"/>
        </w:rPr>
        <w:t xml:space="preserve"> 1998; </w:t>
      </w:r>
      <w:r w:rsidRPr="004464B3">
        <w:rPr>
          <w:rFonts w:ascii="Book Antiqua" w:eastAsia="Book Antiqua" w:hAnsi="Book Antiqua" w:cs="Book Antiqua"/>
          <w:b/>
          <w:bCs/>
          <w:color w:val="000000"/>
        </w:rPr>
        <w:t>279</w:t>
      </w:r>
      <w:r w:rsidRPr="004464B3">
        <w:rPr>
          <w:rFonts w:ascii="Book Antiqua" w:eastAsia="Book Antiqua" w:hAnsi="Book Antiqua" w:cs="Book Antiqua"/>
          <w:color w:val="000000"/>
        </w:rPr>
        <w:t>: 349-352 [PMID: 9454332 DOI: 10.1126/science.279.5349.349]</w:t>
      </w:r>
    </w:p>
    <w:p w14:paraId="6E239CF1"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31 </w:t>
      </w:r>
      <w:r w:rsidRPr="004464B3">
        <w:rPr>
          <w:rFonts w:ascii="Book Antiqua" w:eastAsia="Book Antiqua" w:hAnsi="Book Antiqua" w:cs="Book Antiqua"/>
          <w:b/>
          <w:bCs/>
          <w:color w:val="000000"/>
        </w:rPr>
        <w:t>Ali SH</w:t>
      </w:r>
      <w:r w:rsidRPr="004464B3">
        <w:rPr>
          <w:rFonts w:ascii="Book Antiqua" w:eastAsia="Book Antiqua" w:hAnsi="Book Antiqua" w:cs="Book Antiqua"/>
          <w:color w:val="000000"/>
        </w:rPr>
        <w:t xml:space="preserve">, DeCaprio JA. Cellular transformation by SV40 Large T antigen: interaction with host proteins. </w:t>
      </w:r>
      <w:r w:rsidRPr="004464B3">
        <w:rPr>
          <w:rFonts w:ascii="Book Antiqua" w:eastAsia="Book Antiqua" w:hAnsi="Book Antiqua" w:cs="Book Antiqua"/>
          <w:i/>
          <w:iCs/>
          <w:color w:val="000000"/>
        </w:rPr>
        <w:t>Semin Cancer Biol</w:t>
      </w:r>
      <w:r w:rsidRPr="004464B3">
        <w:rPr>
          <w:rFonts w:ascii="Book Antiqua" w:eastAsia="Book Antiqua" w:hAnsi="Book Antiqua" w:cs="Book Antiqua"/>
          <w:color w:val="000000"/>
        </w:rPr>
        <w:t xml:space="preserve"> 2001; </w:t>
      </w:r>
      <w:r w:rsidRPr="004464B3">
        <w:rPr>
          <w:rFonts w:ascii="Book Antiqua" w:eastAsia="Book Antiqua" w:hAnsi="Book Antiqua" w:cs="Book Antiqua"/>
          <w:b/>
          <w:bCs/>
          <w:color w:val="000000"/>
        </w:rPr>
        <w:t>11</w:t>
      </w:r>
      <w:r w:rsidRPr="004464B3">
        <w:rPr>
          <w:rFonts w:ascii="Book Antiqua" w:eastAsia="Book Antiqua" w:hAnsi="Book Antiqua" w:cs="Book Antiqua"/>
          <w:color w:val="000000"/>
        </w:rPr>
        <w:t>: 15-23 [PMID: 11243895 DOI: 10.1006/scbi.2000.0342]</w:t>
      </w:r>
    </w:p>
    <w:p w14:paraId="6748CCF9"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32 </w:t>
      </w:r>
      <w:r w:rsidRPr="004464B3">
        <w:rPr>
          <w:rFonts w:ascii="Book Antiqua" w:eastAsia="Book Antiqua" w:hAnsi="Book Antiqua" w:cs="Book Antiqua"/>
          <w:b/>
          <w:bCs/>
          <w:color w:val="000000"/>
        </w:rPr>
        <w:t>Sirma H</w:t>
      </w:r>
      <w:r w:rsidRPr="004464B3">
        <w:rPr>
          <w:rFonts w:ascii="Book Antiqua" w:eastAsia="Book Antiqua" w:hAnsi="Book Antiqua" w:cs="Book Antiqua"/>
          <w:color w:val="000000"/>
        </w:rPr>
        <w:t xml:space="preserve">, Kumar M, Meena JK, Witt B, Weise JM, Lechel A, Ande S, Sakk V, Guguen-Guillouzo C, Zender L, Rudolph KL, Günes C. The promoter of human telomerase reverse transcriptase is activated during liver regeneration and hepatocyte proliferation. </w:t>
      </w:r>
      <w:r w:rsidRPr="004464B3">
        <w:rPr>
          <w:rFonts w:ascii="Book Antiqua" w:eastAsia="Book Antiqua" w:hAnsi="Book Antiqua" w:cs="Book Antiqua"/>
          <w:i/>
          <w:iCs/>
          <w:color w:val="000000"/>
        </w:rPr>
        <w:t>Gastroenterology</w:t>
      </w:r>
      <w:r w:rsidRPr="004464B3">
        <w:rPr>
          <w:rFonts w:ascii="Book Antiqua" w:eastAsia="Book Antiqua" w:hAnsi="Book Antiqua" w:cs="Book Antiqua"/>
          <w:color w:val="000000"/>
        </w:rPr>
        <w:t xml:space="preserve"> 2011; </w:t>
      </w:r>
      <w:r w:rsidRPr="004464B3">
        <w:rPr>
          <w:rFonts w:ascii="Book Antiqua" w:eastAsia="Book Antiqua" w:hAnsi="Book Antiqua" w:cs="Book Antiqua"/>
          <w:b/>
          <w:bCs/>
          <w:color w:val="000000"/>
        </w:rPr>
        <w:t>141</w:t>
      </w:r>
      <w:r w:rsidRPr="004464B3">
        <w:rPr>
          <w:rFonts w:ascii="Book Antiqua" w:eastAsia="Book Antiqua" w:hAnsi="Book Antiqua" w:cs="Book Antiqua"/>
          <w:color w:val="000000"/>
        </w:rPr>
        <w:t>: 326-337, 337.e1-337.e3 [PMID: 21447332 DOI: 10.1053/j.gastro.2011.03.047]</w:t>
      </w:r>
    </w:p>
    <w:p w14:paraId="6EEC5D5F"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33 </w:t>
      </w:r>
      <w:r w:rsidRPr="004464B3">
        <w:rPr>
          <w:rFonts w:ascii="Book Antiqua" w:eastAsia="Book Antiqua" w:hAnsi="Book Antiqua" w:cs="Book Antiqua"/>
          <w:b/>
          <w:bCs/>
          <w:color w:val="000000"/>
        </w:rPr>
        <w:t>Sun CK</w:t>
      </w:r>
      <w:r w:rsidRPr="004464B3">
        <w:rPr>
          <w:rFonts w:ascii="Book Antiqua" w:eastAsia="Book Antiqua" w:hAnsi="Book Antiqua" w:cs="Book Antiqua"/>
          <w:color w:val="000000"/>
        </w:rPr>
        <w:t xml:space="preserve">, Zhou D, Zhang Z, He L, Zhang F, Wang X, Yuan J, Chen Q, Wu LG, Yang Q. Senescence impairs direct conversion of human somatic cells to neurons. </w:t>
      </w:r>
      <w:r w:rsidRPr="004464B3">
        <w:rPr>
          <w:rFonts w:ascii="Book Antiqua" w:eastAsia="Book Antiqua" w:hAnsi="Book Antiqua" w:cs="Book Antiqua"/>
          <w:i/>
          <w:iCs/>
          <w:color w:val="000000"/>
        </w:rPr>
        <w:t>Nat Commun</w:t>
      </w:r>
      <w:r w:rsidRPr="004464B3">
        <w:rPr>
          <w:rFonts w:ascii="Book Antiqua" w:eastAsia="Book Antiqua" w:hAnsi="Book Antiqua" w:cs="Book Antiqua"/>
          <w:color w:val="000000"/>
        </w:rPr>
        <w:t xml:space="preserve"> 2014; </w:t>
      </w:r>
      <w:r w:rsidRPr="004464B3">
        <w:rPr>
          <w:rFonts w:ascii="Book Antiqua" w:eastAsia="Book Antiqua" w:hAnsi="Book Antiqua" w:cs="Book Antiqua"/>
          <w:b/>
          <w:bCs/>
          <w:color w:val="000000"/>
        </w:rPr>
        <w:t>5</w:t>
      </w:r>
      <w:r w:rsidRPr="004464B3">
        <w:rPr>
          <w:rFonts w:ascii="Book Antiqua" w:eastAsia="Book Antiqua" w:hAnsi="Book Antiqua" w:cs="Book Antiqua"/>
          <w:color w:val="000000"/>
        </w:rPr>
        <w:t>: 4112 [PMID: 24934763 DOI: 10.1038/ncomms5112]</w:t>
      </w:r>
    </w:p>
    <w:p w14:paraId="7CC6FB72"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 xml:space="preserve">34 </w:t>
      </w:r>
      <w:r w:rsidRPr="004464B3">
        <w:rPr>
          <w:rFonts w:ascii="Book Antiqua" w:eastAsia="Book Antiqua" w:hAnsi="Book Antiqua" w:cs="Book Antiqua"/>
          <w:b/>
          <w:bCs/>
          <w:color w:val="000000"/>
        </w:rPr>
        <w:t>García-Prat L</w:t>
      </w:r>
      <w:r w:rsidRPr="004464B3">
        <w:rPr>
          <w:rFonts w:ascii="Book Antiqua" w:eastAsia="Book Antiqua" w:hAnsi="Book Antiqua" w:cs="Book Antiqua"/>
          <w:color w:val="000000"/>
        </w:rPr>
        <w:t xml:space="preserve">, Muñoz-Cánoves P. Aging, metabolism and stem cells: Spotlight on muscle stem cells. </w:t>
      </w:r>
      <w:r w:rsidRPr="004464B3">
        <w:rPr>
          <w:rFonts w:ascii="Book Antiqua" w:eastAsia="Book Antiqua" w:hAnsi="Book Antiqua" w:cs="Book Antiqua"/>
          <w:i/>
          <w:iCs/>
          <w:color w:val="000000"/>
        </w:rPr>
        <w:t>Mol Cell Endocrinol</w:t>
      </w:r>
      <w:r w:rsidRPr="004464B3">
        <w:rPr>
          <w:rFonts w:ascii="Book Antiqua" w:eastAsia="Book Antiqua" w:hAnsi="Book Antiqua" w:cs="Book Antiqua"/>
          <w:color w:val="000000"/>
        </w:rPr>
        <w:t xml:space="preserve"> 2017; </w:t>
      </w:r>
      <w:r w:rsidRPr="004464B3">
        <w:rPr>
          <w:rFonts w:ascii="Book Antiqua" w:eastAsia="Book Antiqua" w:hAnsi="Book Antiqua" w:cs="Book Antiqua"/>
          <w:b/>
          <w:bCs/>
          <w:color w:val="000000"/>
        </w:rPr>
        <w:t>445</w:t>
      </w:r>
      <w:r w:rsidRPr="004464B3">
        <w:rPr>
          <w:rFonts w:ascii="Book Antiqua" w:eastAsia="Book Antiqua" w:hAnsi="Book Antiqua" w:cs="Book Antiqua"/>
          <w:color w:val="000000"/>
        </w:rPr>
        <w:t>: 109-117 [PMID: 27531569 DOI: 10.1016/j.mce.2016.08.021]</w:t>
      </w:r>
    </w:p>
    <w:p w14:paraId="78A94104"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35 </w:t>
      </w:r>
      <w:r w:rsidRPr="004464B3">
        <w:rPr>
          <w:rFonts w:ascii="Book Antiqua" w:eastAsia="Book Antiqua" w:hAnsi="Book Antiqua" w:cs="Book Antiqua"/>
          <w:b/>
          <w:bCs/>
          <w:color w:val="000000"/>
        </w:rPr>
        <w:t>Moimas S</w:t>
      </w:r>
      <w:r w:rsidRPr="004464B3">
        <w:rPr>
          <w:rFonts w:ascii="Book Antiqua" w:eastAsia="Book Antiqua" w:hAnsi="Book Antiqua" w:cs="Book Antiqua"/>
          <w:color w:val="000000"/>
        </w:rPr>
        <w:t xml:space="preserve">, Salton F, Kosmider B, Ring N, Volpe MC, Bahmed K, Braga L, Rehman M, Vodret S, Graziani ML, Wolfson MR, Marchetti N, Rogers TJ, Giacca M, Criner GJ, Zacchigna S, Confalonieri M. miR-200 family members reduce senescence and restore idiopathic pulmonary fibrosis type II alveolar epithelial cell transdifferentiation. </w:t>
      </w:r>
      <w:r w:rsidRPr="004464B3">
        <w:rPr>
          <w:rFonts w:ascii="Book Antiqua" w:eastAsia="Book Antiqua" w:hAnsi="Book Antiqua" w:cs="Book Antiqua"/>
          <w:i/>
          <w:iCs/>
          <w:color w:val="000000"/>
        </w:rPr>
        <w:t>ERJ Open Res</w:t>
      </w:r>
      <w:r w:rsidRPr="004464B3">
        <w:rPr>
          <w:rFonts w:ascii="Book Antiqua" w:eastAsia="Book Antiqua" w:hAnsi="Book Antiqua" w:cs="Book Antiqua"/>
          <w:color w:val="000000"/>
        </w:rPr>
        <w:t xml:space="preserve"> 2019; </w:t>
      </w:r>
      <w:r w:rsidRPr="004464B3">
        <w:rPr>
          <w:rFonts w:ascii="Book Antiqua" w:eastAsia="Book Antiqua" w:hAnsi="Book Antiqua" w:cs="Book Antiqua"/>
          <w:b/>
          <w:bCs/>
          <w:color w:val="000000"/>
        </w:rPr>
        <w:t>5</w:t>
      </w:r>
      <w:r w:rsidRPr="004464B3">
        <w:rPr>
          <w:rFonts w:ascii="Book Antiqua" w:eastAsia="Book Antiqua" w:hAnsi="Book Antiqua" w:cs="Book Antiqua"/>
          <w:color w:val="000000"/>
        </w:rPr>
        <w:t xml:space="preserve"> [PMID: 31857992 DOI: 10.1183/23120541.00138-2019]</w:t>
      </w:r>
    </w:p>
    <w:p w14:paraId="1030395B"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36 </w:t>
      </w:r>
      <w:r w:rsidRPr="004464B3">
        <w:rPr>
          <w:rFonts w:ascii="Book Antiqua" w:eastAsia="Book Antiqua" w:hAnsi="Book Antiqua" w:cs="Book Antiqua"/>
          <w:b/>
          <w:bCs/>
          <w:color w:val="000000"/>
        </w:rPr>
        <w:t>Han L</w:t>
      </w:r>
      <w:r w:rsidRPr="004464B3">
        <w:rPr>
          <w:rFonts w:ascii="Book Antiqua" w:eastAsia="Book Antiqua" w:hAnsi="Book Antiqua" w:cs="Book Antiqua"/>
          <w:color w:val="000000"/>
        </w:rPr>
        <w:t xml:space="preserve">, Zhang Y, Zhang M, Guo L, Wang J, Zeng F, Xu D, Yin Z, Xu Y, Wang D, Zhou H. Interleukin-1β-Induced Senescence Promotes Osteoblastic Transition of Vascular Smooth Muscle Cells. </w:t>
      </w:r>
      <w:r w:rsidRPr="004464B3">
        <w:rPr>
          <w:rFonts w:ascii="Book Antiqua" w:eastAsia="Book Antiqua" w:hAnsi="Book Antiqua" w:cs="Book Antiqua"/>
          <w:i/>
          <w:iCs/>
          <w:color w:val="000000"/>
        </w:rPr>
        <w:t>Kidney Blood Press Res</w:t>
      </w:r>
      <w:r w:rsidRPr="004464B3">
        <w:rPr>
          <w:rFonts w:ascii="Book Antiqua" w:eastAsia="Book Antiqua" w:hAnsi="Book Antiqua" w:cs="Book Antiqua"/>
          <w:color w:val="000000"/>
        </w:rPr>
        <w:t xml:space="preserve"> 2020; </w:t>
      </w:r>
      <w:r w:rsidRPr="004464B3">
        <w:rPr>
          <w:rFonts w:ascii="Book Antiqua" w:eastAsia="Book Antiqua" w:hAnsi="Book Antiqua" w:cs="Book Antiqua"/>
          <w:b/>
          <w:bCs/>
          <w:color w:val="000000"/>
        </w:rPr>
        <w:t>45</w:t>
      </w:r>
      <w:r w:rsidRPr="004464B3">
        <w:rPr>
          <w:rFonts w:ascii="Book Antiqua" w:eastAsia="Book Antiqua" w:hAnsi="Book Antiqua" w:cs="Book Antiqua"/>
          <w:color w:val="000000"/>
        </w:rPr>
        <w:t>: 314-330 [PMID: 32126555 DOI: 10.1159/000504298]</w:t>
      </w:r>
    </w:p>
    <w:p w14:paraId="2515182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37 </w:t>
      </w:r>
      <w:r w:rsidRPr="004464B3">
        <w:rPr>
          <w:rFonts w:ascii="Book Antiqua" w:eastAsia="Book Antiqua" w:hAnsi="Book Antiqua" w:cs="Book Antiqua"/>
          <w:b/>
          <w:bCs/>
          <w:color w:val="000000"/>
        </w:rPr>
        <w:t>Baar MP</w:t>
      </w:r>
      <w:r w:rsidRPr="004464B3">
        <w:rPr>
          <w:rFonts w:ascii="Book Antiqua" w:eastAsia="Book Antiqua" w:hAnsi="Book Antiqua" w:cs="Book Antiqua"/>
          <w:color w:val="000000"/>
        </w:rPr>
        <w:t xml:space="preserve">, Perdiguero E, Muñoz-Cánoves P, de Keizer PL. Musculoskeletal senescence: a moving target ready to be eliminated. </w:t>
      </w:r>
      <w:r w:rsidRPr="004464B3">
        <w:rPr>
          <w:rFonts w:ascii="Book Antiqua" w:eastAsia="Book Antiqua" w:hAnsi="Book Antiqua" w:cs="Book Antiqua"/>
          <w:i/>
          <w:iCs/>
          <w:color w:val="000000"/>
        </w:rPr>
        <w:t>Curr Opin Pharmacol</w:t>
      </w:r>
      <w:r w:rsidRPr="004464B3">
        <w:rPr>
          <w:rFonts w:ascii="Book Antiqua" w:eastAsia="Book Antiqua" w:hAnsi="Book Antiqua" w:cs="Book Antiqua"/>
          <w:color w:val="000000"/>
        </w:rPr>
        <w:t xml:space="preserve"> 2018; </w:t>
      </w:r>
      <w:r w:rsidRPr="004464B3">
        <w:rPr>
          <w:rFonts w:ascii="Book Antiqua" w:eastAsia="Book Antiqua" w:hAnsi="Book Antiqua" w:cs="Book Antiqua"/>
          <w:b/>
          <w:bCs/>
          <w:color w:val="000000"/>
        </w:rPr>
        <w:t>40</w:t>
      </w:r>
      <w:r w:rsidRPr="004464B3">
        <w:rPr>
          <w:rFonts w:ascii="Book Antiqua" w:eastAsia="Book Antiqua" w:hAnsi="Book Antiqua" w:cs="Book Antiqua"/>
          <w:color w:val="000000"/>
        </w:rPr>
        <w:t>: 147-155 [PMID: 29883814 DOI: 10.1016/j.coph.2018.05.007]</w:t>
      </w:r>
    </w:p>
    <w:p w14:paraId="354B42B7"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38 </w:t>
      </w:r>
      <w:r w:rsidRPr="004464B3">
        <w:rPr>
          <w:rFonts w:ascii="Book Antiqua" w:eastAsia="Book Antiqua" w:hAnsi="Book Antiqua" w:cs="Book Antiqua"/>
          <w:b/>
          <w:bCs/>
          <w:color w:val="000000"/>
        </w:rPr>
        <w:t>Nicaise AM</w:t>
      </w:r>
      <w:r w:rsidRPr="004464B3">
        <w:rPr>
          <w:rFonts w:ascii="Book Antiqua" w:eastAsia="Book Antiqua" w:hAnsi="Book Antiqua" w:cs="Book Antiqua"/>
          <w:color w:val="000000"/>
        </w:rPr>
        <w:t xml:space="preserve">, Wagstaff LJ, Willis CM, Paisie C, Chandok H, Robson P, Fossati V, Williams A, Crocker SJ. Cellular senescence in progenitor cells contributes to diminished remyelination potential in progressive multiple sclerosis. </w:t>
      </w:r>
      <w:r w:rsidRPr="004464B3">
        <w:rPr>
          <w:rFonts w:ascii="Book Antiqua" w:eastAsia="Book Antiqua" w:hAnsi="Book Antiqua" w:cs="Book Antiqua"/>
          <w:i/>
          <w:iCs/>
          <w:color w:val="000000"/>
        </w:rPr>
        <w:t>Proc Natl Acad Sci U S A</w:t>
      </w:r>
      <w:r w:rsidRPr="004464B3">
        <w:rPr>
          <w:rFonts w:ascii="Book Antiqua" w:eastAsia="Book Antiqua" w:hAnsi="Book Antiqua" w:cs="Book Antiqua"/>
          <w:color w:val="000000"/>
        </w:rPr>
        <w:t xml:space="preserve"> 2019; </w:t>
      </w:r>
      <w:r w:rsidRPr="004464B3">
        <w:rPr>
          <w:rFonts w:ascii="Book Antiqua" w:eastAsia="Book Antiqua" w:hAnsi="Book Antiqua" w:cs="Book Antiqua"/>
          <w:b/>
          <w:bCs/>
          <w:color w:val="000000"/>
        </w:rPr>
        <w:t>116</w:t>
      </w:r>
      <w:r w:rsidRPr="004464B3">
        <w:rPr>
          <w:rFonts w:ascii="Book Antiqua" w:eastAsia="Book Antiqua" w:hAnsi="Book Antiqua" w:cs="Book Antiqua"/>
          <w:color w:val="000000"/>
        </w:rPr>
        <w:t>: 9030-9039 [PMID: 30910981 DOI: 10.1073/pnas.1818348116]</w:t>
      </w:r>
    </w:p>
    <w:p w14:paraId="234B3E1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39 </w:t>
      </w:r>
      <w:r w:rsidRPr="004464B3">
        <w:rPr>
          <w:rFonts w:ascii="Book Antiqua" w:eastAsia="Book Antiqua" w:hAnsi="Book Antiqua" w:cs="Book Antiqua"/>
          <w:b/>
          <w:bCs/>
          <w:color w:val="000000"/>
        </w:rPr>
        <w:t>Coppé JP</w:t>
      </w:r>
      <w:r w:rsidRPr="004464B3">
        <w:rPr>
          <w:rFonts w:ascii="Book Antiqua" w:eastAsia="Book Antiqua" w:hAnsi="Book Antiqua" w:cs="Book Antiqua"/>
          <w:color w:val="000000"/>
        </w:rPr>
        <w:t xml:space="preserve">, Patil CK, Rodier F, Sun Y, Muñoz DP, Goldstein J, Nelson PS, Desprez PY, Campisi J. Senescence-associated secretory phenotypes reveal cell-nonautonomous functions of oncogenic RAS and the p53 tumor suppressor. </w:t>
      </w:r>
      <w:r w:rsidRPr="004464B3">
        <w:rPr>
          <w:rFonts w:ascii="Book Antiqua" w:eastAsia="Book Antiqua" w:hAnsi="Book Antiqua" w:cs="Book Antiqua"/>
          <w:i/>
          <w:iCs/>
          <w:color w:val="000000"/>
        </w:rPr>
        <w:t>PLoS Biol</w:t>
      </w:r>
      <w:r w:rsidRPr="004464B3">
        <w:rPr>
          <w:rFonts w:ascii="Book Antiqua" w:eastAsia="Book Antiqua" w:hAnsi="Book Antiqua" w:cs="Book Antiqua"/>
          <w:color w:val="000000"/>
        </w:rPr>
        <w:t xml:space="preserve"> 2008; </w:t>
      </w:r>
      <w:r w:rsidRPr="004464B3">
        <w:rPr>
          <w:rFonts w:ascii="Book Antiqua" w:eastAsia="Book Antiqua" w:hAnsi="Book Antiqua" w:cs="Book Antiqua"/>
          <w:b/>
          <w:bCs/>
          <w:color w:val="000000"/>
        </w:rPr>
        <w:t>6</w:t>
      </w:r>
      <w:r w:rsidRPr="004464B3">
        <w:rPr>
          <w:rFonts w:ascii="Book Antiqua" w:eastAsia="Book Antiqua" w:hAnsi="Book Antiqua" w:cs="Book Antiqua"/>
          <w:color w:val="000000"/>
        </w:rPr>
        <w:t>: 2853-2868 [PMID: 19053174 DOI: 10.1371/journal.pbio.0060301]</w:t>
      </w:r>
    </w:p>
    <w:p w14:paraId="18991F58"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40 </w:t>
      </w:r>
      <w:r w:rsidRPr="004464B3">
        <w:rPr>
          <w:rFonts w:ascii="Book Antiqua" w:eastAsia="Book Antiqua" w:hAnsi="Book Antiqua" w:cs="Book Antiqua"/>
          <w:b/>
          <w:bCs/>
          <w:color w:val="000000"/>
        </w:rPr>
        <w:t>Razdan N</w:t>
      </w:r>
      <w:r w:rsidRPr="004464B3">
        <w:rPr>
          <w:rFonts w:ascii="Book Antiqua" w:eastAsia="Book Antiqua" w:hAnsi="Book Antiqua" w:cs="Book Antiqua"/>
          <w:color w:val="000000"/>
        </w:rPr>
        <w:t xml:space="preserve">, Vasilopoulos T, Herbig U. Telomere dysfunction promotes transdifferentiation of human fibroblasts into myofibroblasts. </w:t>
      </w:r>
      <w:r w:rsidRPr="004464B3">
        <w:rPr>
          <w:rFonts w:ascii="Book Antiqua" w:eastAsia="Book Antiqua" w:hAnsi="Book Antiqua" w:cs="Book Antiqua"/>
          <w:i/>
          <w:iCs/>
          <w:color w:val="000000"/>
        </w:rPr>
        <w:t>Aging Cell</w:t>
      </w:r>
      <w:r w:rsidRPr="004464B3">
        <w:rPr>
          <w:rFonts w:ascii="Book Antiqua" w:eastAsia="Book Antiqua" w:hAnsi="Book Antiqua" w:cs="Book Antiqua"/>
          <w:color w:val="000000"/>
        </w:rPr>
        <w:t xml:space="preserve"> 2018; </w:t>
      </w:r>
      <w:r w:rsidRPr="004464B3">
        <w:rPr>
          <w:rFonts w:ascii="Book Antiqua" w:eastAsia="Book Antiqua" w:hAnsi="Book Antiqua" w:cs="Book Antiqua"/>
          <w:b/>
          <w:bCs/>
          <w:color w:val="000000"/>
        </w:rPr>
        <w:t>17</w:t>
      </w:r>
      <w:r w:rsidRPr="004464B3">
        <w:rPr>
          <w:rFonts w:ascii="Book Antiqua" w:eastAsia="Book Antiqua" w:hAnsi="Book Antiqua" w:cs="Book Antiqua"/>
          <w:color w:val="000000"/>
        </w:rPr>
        <w:t>: e12838 [PMID: 30244523 DOI: 10.1111/acel.12838]</w:t>
      </w:r>
    </w:p>
    <w:p w14:paraId="45542E89"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41 </w:t>
      </w:r>
      <w:r w:rsidRPr="004464B3">
        <w:rPr>
          <w:rFonts w:ascii="Book Antiqua" w:eastAsia="Book Antiqua" w:hAnsi="Book Antiqua" w:cs="Book Antiqua"/>
          <w:b/>
          <w:bCs/>
          <w:color w:val="000000"/>
        </w:rPr>
        <w:t>Birch J</w:t>
      </w:r>
      <w:r w:rsidRPr="004464B3">
        <w:rPr>
          <w:rFonts w:ascii="Book Antiqua" w:eastAsia="Book Antiqua" w:hAnsi="Book Antiqua" w:cs="Book Antiqua"/>
          <w:color w:val="000000"/>
        </w:rPr>
        <w:t xml:space="preserve">, Barnes PJ, Passos JF. Mitochondria, telomeres and cell senescence: Implications for lung ageing and disease. </w:t>
      </w:r>
      <w:r w:rsidRPr="004464B3">
        <w:rPr>
          <w:rFonts w:ascii="Book Antiqua" w:eastAsia="Book Antiqua" w:hAnsi="Book Antiqua" w:cs="Book Antiqua"/>
          <w:i/>
          <w:iCs/>
          <w:color w:val="000000"/>
        </w:rPr>
        <w:t>Pharmacol Ther</w:t>
      </w:r>
      <w:r w:rsidRPr="004464B3">
        <w:rPr>
          <w:rFonts w:ascii="Book Antiqua" w:eastAsia="Book Antiqua" w:hAnsi="Book Antiqua" w:cs="Book Antiqua"/>
          <w:color w:val="000000"/>
        </w:rPr>
        <w:t xml:space="preserve"> 2018; </w:t>
      </w:r>
      <w:r w:rsidRPr="004464B3">
        <w:rPr>
          <w:rFonts w:ascii="Book Antiqua" w:eastAsia="Book Antiqua" w:hAnsi="Book Antiqua" w:cs="Book Antiqua"/>
          <w:b/>
          <w:bCs/>
          <w:color w:val="000000"/>
        </w:rPr>
        <w:t>183</w:t>
      </w:r>
      <w:r w:rsidRPr="004464B3">
        <w:rPr>
          <w:rFonts w:ascii="Book Antiqua" w:eastAsia="Book Antiqua" w:hAnsi="Book Antiqua" w:cs="Book Antiqua"/>
          <w:color w:val="000000"/>
        </w:rPr>
        <w:t>: 34-49 [PMID: 28987319 DOI: 10.1016/j.pharmthera.2017.10.005]</w:t>
      </w:r>
    </w:p>
    <w:p w14:paraId="498A271E"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 xml:space="preserve">42 </w:t>
      </w:r>
      <w:r w:rsidRPr="004464B3">
        <w:rPr>
          <w:rFonts w:ascii="Book Antiqua" w:eastAsia="Book Antiqua" w:hAnsi="Book Antiqua" w:cs="Book Antiqua"/>
          <w:b/>
          <w:bCs/>
          <w:color w:val="000000"/>
        </w:rPr>
        <w:t>Vasileiou PVS</w:t>
      </w:r>
      <w:r w:rsidRPr="004464B3">
        <w:rPr>
          <w:rFonts w:ascii="Book Antiqua" w:eastAsia="Book Antiqua" w:hAnsi="Book Antiqua" w:cs="Book Antiqua"/>
          <w:color w:val="000000"/>
        </w:rPr>
        <w:t xml:space="preserve">, Evangelou K, Vlasis K, Fildisis G, Panayiotidis MI, Chronopoulos E, Passias PG, Kouloukoussa M, Gorgoulis VG, Havaki S. Mitochondrial Homeostasis and Cellular Senescence. </w:t>
      </w:r>
      <w:r w:rsidRPr="004464B3">
        <w:rPr>
          <w:rFonts w:ascii="Book Antiqua" w:eastAsia="Book Antiqua" w:hAnsi="Book Antiqua" w:cs="Book Antiqua"/>
          <w:i/>
          <w:iCs/>
          <w:color w:val="000000"/>
        </w:rPr>
        <w:t>Cells</w:t>
      </w:r>
      <w:r w:rsidRPr="004464B3">
        <w:rPr>
          <w:rFonts w:ascii="Book Antiqua" w:eastAsia="Book Antiqua" w:hAnsi="Book Antiqua" w:cs="Book Antiqua"/>
          <w:color w:val="000000"/>
        </w:rPr>
        <w:t xml:space="preserve"> 2019; </w:t>
      </w:r>
      <w:r w:rsidRPr="004464B3">
        <w:rPr>
          <w:rFonts w:ascii="Book Antiqua" w:eastAsia="Book Antiqua" w:hAnsi="Book Antiqua" w:cs="Book Antiqua"/>
          <w:b/>
          <w:bCs/>
          <w:color w:val="000000"/>
        </w:rPr>
        <w:t>8</w:t>
      </w:r>
      <w:r w:rsidRPr="004464B3">
        <w:rPr>
          <w:rFonts w:ascii="Book Antiqua" w:eastAsia="Book Antiqua" w:hAnsi="Book Antiqua" w:cs="Book Antiqua"/>
          <w:color w:val="000000"/>
        </w:rPr>
        <w:t xml:space="preserve"> [PMID: 31284597 DOI: 10.3390/cells8070686]</w:t>
      </w:r>
    </w:p>
    <w:p w14:paraId="540B929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43 </w:t>
      </w:r>
      <w:r w:rsidRPr="004464B3">
        <w:rPr>
          <w:rFonts w:ascii="Book Antiqua" w:eastAsia="Book Antiqua" w:hAnsi="Book Antiqua" w:cs="Book Antiqua"/>
          <w:b/>
          <w:bCs/>
          <w:color w:val="000000"/>
        </w:rPr>
        <w:t>Correia-Melo C</w:t>
      </w:r>
      <w:r w:rsidRPr="004464B3">
        <w:rPr>
          <w:rFonts w:ascii="Book Antiqua" w:eastAsia="Book Antiqua" w:hAnsi="Book Antiqua" w:cs="Book Antiqua"/>
          <w:color w:val="000000"/>
        </w:rPr>
        <w:t xml:space="preserve">, Passos JF. Mitochondria: Are they causal players in cellular senescence? </w:t>
      </w:r>
      <w:r w:rsidRPr="004464B3">
        <w:rPr>
          <w:rFonts w:ascii="Book Antiqua" w:eastAsia="Book Antiqua" w:hAnsi="Book Antiqua" w:cs="Book Antiqua"/>
          <w:i/>
          <w:iCs/>
          <w:color w:val="000000"/>
        </w:rPr>
        <w:t>Biochim Biophys Acta</w:t>
      </w:r>
      <w:r w:rsidRPr="004464B3">
        <w:rPr>
          <w:rFonts w:ascii="Book Antiqua" w:eastAsia="Book Antiqua" w:hAnsi="Book Antiqua" w:cs="Book Antiqua"/>
          <w:color w:val="000000"/>
        </w:rPr>
        <w:t xml:space="preserve"> 2015; </w:t>
      </w:r>
      <w:r w:rsidRPr="004464B3">
        <w:rPr>
          <w:rFonts w:ascii="Book Antiqua" w:eastAsia="Book Antiqua" w:hAnsi="Book Antiqua" w:cs="Book Antiqua"/>
          <w:b/>
          <w:bCs/>
          <w:color w:val="000000"/>
        </w:rPr>
        <w:t>1847</w:t>
      </w:r>
      <w:r w:rsidRPr="004464B3">
        <w:rPr>
          <w:rFonts w:ascii="Book Antiqua" w:eastAsia="Book Antiqua" w:hAnsi="Book Antiqua" w:cs="Book Antiqua"/>
          <w:color w:val="000000"/>
        </w:rPr>
        <w:t>: 1373-1379 [PMID: 26028303 DOI: 10.1016/j.bbabio.2015.05.017]</w:t>
      </w:r>
    </w:p>
    <w:p w14:paraId="5B02E1B9"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44 </w:t>
      </w:r>
      <w:r w:rsidRPr="004464B3">
        <w:rPr>
          <w:rFonts w:ascii="Book Antiqua" w:eastAsia="Book Antiqua" w:hAnsi="Book Antiqua" w:cs="Book Antiqua"/>
          <w:b/>
          <w:bCs/>
          <w:color w:val="000000"/>
        </w:rPr>
        <w:t>Houtkooper RH</w:t>
      </w:r>
      <w:r w:rsidRPr="004464B3">
        <w:rPr>
          <w:rFonts w:ascii="Book Antiqua" w:eastAsia="Book Antiqua" w:hAnsi="Book Antiqua" w:cs="Book Antiqua"/>
          <w:color w:val="000000"/>
        </w:rPr>
        <w:t xml:space="preserve">, Cantó C, Wanders RJ, Auwerx J. The secret life of NAD+: an old metabolite controlling new metabolic signaling pathways. </w:t>
      </w:r>
      <w:r w:rsidRPr="004464B3">
        <w:rPr>
          <w:rFonts w:ascii="Book Antiqua" w:eastAsia="Book Antiqua" w:hAnsi="Book Antiqua" w:cs="Book Antiqua"/>
          <w:i/>
          <w:iCs/>
          <w:color w:val="000000"/>
        </w:rPr>
        <w:t>Endocr Rev</w:t>
      </w:r>
      <w:r w:rsidRPr="004464B3">
        <w:rPr>
          <w:rFonts w:ascii="Book Antiqua" w:eastAsia="Book Antiqua" w:hAnsi="Book Antiqua" w:cs="Book Antiqua"/>
          <w:color w:val="000000"/>
        </w:rPr>
        <w:t xml:space="preserve"> 2010; </w:t>
      </w:r>
      <w:r w:rsidRPr="004464B3">
        <w:rPr>
          <w:rFonts w:ascii="Book Antiqua" w:eastAsia="Book Antiqua" w:hAnsi="Book Antiqua" w:cs="Book Antiqua"/>
          <w:b/>
          <w:bCs/>
          <w:color w:val="000000"/>
        </w:rPr>
        <w:t>31</w:t>
      </w:r>
      <w:r w:rsidRPr="004464B3">
        <w:rPr>
          <w:rFonts w:ascii="Book Antiqua" w:eastAsia="Book Antiqua" w:hAnsi="Book Antiqua" w:cs="Book Antiqua"/>
          <w:color w:val="000000"/>
        </w:rPr>
        <w:t>: 194-223 [PMID: 20007326 DOI: 10.1210/er.2009-0026]</w:t>
      </w:r>
    </w:p>
    <w:p w14:paraId="189A6B9F"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45 </w:t>
      </w:r>
      <w:r w:rsidRPr="004464B3">
        <w:rPr>
          <w:rFonts w:ascii="Book Antiqua" w:eastAsia="Book Antiqua" w:hAnsi="Book Antiqua" w:cs="Book Antiqua"/>
          <w:b/>
          <w:bCs/>
          <w:color w:val="000000"/>
        </w:rPr>
        <w:t>Cantó C</w:t>
      </w:r>
      <w:r w:rsidRPr="004464B3">
        <w:rPr>
          <w:rFonts w:ascii="Book Antiqua" w:eastAsia="Book Antiqua" w:hAnsi="Book Antiqua" w:cs="Book Antiqua"/>
          <w:color w:val="000000"/>
        </w:rPr>
        <w:t xml:space="preserve">, Houtkooper RH, Pirinen E, Youn DY, Oosterveer MH, Cen Y, Fernandez-Marcos PJ, Yamamoto H, Andreux PA, Cettour-Rose P, Gademann K, Rinsch C, Schoonjans K, Sauve AA, Auwerx J. The NAD(+) precursor nicotinamide riboside enhances oxidative metabolism and protects against high-fat diet-induced obesity. </w:t>
      </w:r>
      <w:r w:rsidRPr="004464B3">
        <w:rPr>
          <w:rFonts w:ascii="Book Antiqua" w:eastAsia="Book Antiqua" w:hAnsi="Book Antiqua" w:cs="Book Antiqua"/>
          <w:i/>
          <w:iCs/>
          <w:color w:val="000000"/>
        </w:rPr>
        <w:t>Cell Metab</w:t>
      </w:r>
      <w:r w:rsidRPr="004464B3">
        <w:rPr>
          <w:rFonts w:ascii="Book Antiqua" w:eastAsia="Book Antiqua" w:hAnsi="Book Antiqua" w:cs="Book Antiqua"/>
          <w:color w:val="000000"/>
        </w:rPr>
        <w:t xml:space="preserve"> 2012; </w:t>
      </w:r>
      <w:r w:rsidRPr="004464B3">
        <w:rPr>
          <w:rFonts w:ascii="Book Antiqua" w:eastAsia="Book Antiqua" w:hAnsi="Book Antiqua" w:cs="Book Antiqua"/>
          <w:b/>
          <w:bCs/>
          <w:color w:val="000000"/>
        </w:rPr>
        <w:t>15</w:t>
      </w:r>
      <w:r w:rsidRPr="004464B3">
        <w:rPr>
          <w:rFonts w:ascii="Book Antiqua" w:eastAsia="Book Antiqua" w:hAnsi="Book Antiqua" w:cs="Book Antiqua"/>
          <w:color w:val="000000"/>
        </w:rPr>
        <w:t>: 838-847 [PMID: 22682224 DOI: 10.1016/j.cmet.2012.04.022]</w:t>
      </w:r>
    </w:p>
    <w:p w14:paraId="771F7E7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46 </w:t>
      </w:r>
      <w:r w:rsidRPr="004464B3">
        <w:rPr>
          <w:rFonts w:ascii="Book Antiqua" w:eastAsia="Book Antiqua" w:hAnsi="Book Antiqua" w:cs="Book Antiqua"/>
          <w:b/>
          <w:bCs/>
          <w:color w:val="000000"/>
        </w:rPr>
        <w:t>Johnson S</w:t>
      </w:r>
      <w:r w:rsidRPr="004464B3">
        <w:rPr>
          <w:rFonts w:ascii="Book Antiqua" w:eastAsia="Book Antiqua" w:hAnsi="Book Antiqua" w:cs="Book Antiqua"/>
          <w:color w:val="000000"/>
        </w:rPr>
        <w:t xml:space="preserve">, Imai SI. NAD </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biosynthesis, aging, and disease. </w:t>
      </w:r>
      <w:r w:rsidRPr="004464B3">
        <w:rPr>
          <w:rFonts w:ascii="Book Antiqua" w:eastAsia="Book Antiqua" w:hAnsi="Book Antiqua" w:cs="Book Antiqua"/>
          <w:i/>
          <w:iCs/>
          <w:color w:val="000000"/>
        </w:rPr>
        <w:t>F1000Res</w:t>
      </w:r>
      <w:r w:rsidRPr="004464B3">
        <w:rPr>
          <w:rFonts w:ascii="Book Antiqua" w:eastAsia="Book Antiqua" w:hAnsi="Book Antiqua" w:cs="Book Antiqua"/>
          <w:color w:val="000000"/>
        </w:rPr>
        <w:t xml:space="preserve"> 2018; </w:t>
      </w:r>
      <w:r w:rsidRPr="004464B3">
        <w:rPr>
          <w:rFonts w:ascii="Book Antiqua" w:eastAsia="Book Antiqua" w:hAnsi="Book Antiqua" w:cs="Book Antiqua"/>
          <w:b/>
          <w:bCs/>
          <w:color w:val="000000"/>
        </w:rPr>
        <w:t>7</w:t>
      </w:r>
      <w:r w:rsidRPr="004464B3">
        <w:rPr>
          <w:rFonts w:ascii="Book Antiqua" w:eastAsia="Book Antiqua" w:hAnsi="Book Antiqua" w:cs="Book Antiqua"/>
          <w:color w:val="000000"/>
        </w:rPr>
        <w:t>: 132 [PMID: 29744033 DOI: 10.12688/f1000research.12120.1]</w:t>
      </w:r>
    </w:p>
    <w:p w14:paraId="0E427A1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47 </w:t>
      </w:r>
      <w:r w:rsidRPr="004464B3">
        <w:rPr>
          <w:rFonts w:ascii="Book Antiqua" w:eastAsia="Book Antiqua" w:hAnsi="Book Antiqua" w:cs="Book Antiqua"/>
          <w:b/>
          <w:bCs/>
          <w:color w:val="000000"/>
        </w:rPr>
        <w:t>Shyh-Chang N</w:t>
      </w:r>
      <w:r w:rsidRPr="004464B3">
        <w:rPr>
          <w:rFonts w:ascii="Book Antiqua" w:eastAsia="Book Antiqua" w:hAnsi="Book Antiqua" w:cs="Book Antiqua"/>
          <w:color w:val="000000"/>
        </w:rPr>
        <w:t xml:space="preserve">, Ng HH. The metabolic programming of stem cells. </w:t>
      </w:r>
      <w:r w:rsidRPr="004464B3">
        <w:rPr>
          <w:rFonts w:ascii="Book Antiqua" w:eastAsia="Book Antiqua" w:hAnsi="Book Antiqua" w:cs="Book Antiqua"/>
          <w:i/>
          <w:iCs/>
          <w:color w:val="000000"/>
        </w:rPr>
        <w:t>Genes Dev</w:t>
      </w:r>
      <w:r w:rsidRPr="004464B3">
        <w:rPr>
          <w:rFonts w:ascii="Book Antiqua" w:eastAsia="Book Antiqua" w:hAnsi="Book Antiqua" w:cs="Book Antiqua"/>
          <w:color w:val="000000"/>
        </w:rPr>
        <w:t xml:space="preserve"> 2017; </w:t>
      </w:r>
      <w:r w:rsidRPr="004464B3">
        <w:rPr>
          <w:rFonts w:ascii="Book Antiqua" w:eastAsia="Book Antiqua" w:hAnsi="Book Antiqua" w:cs="Book Antiqua"/>
          <w:b/>
          <w:bCs/>
          <w:color w:val="000000"/>
        </w:rPr>
        <w:t>31</w:t>
      </w:r>
      <w:r w:rsidRPr="004464B3">
        <w:rPr>
          <w:rFonts w:ascii="Book Antiqua" w:eastAsia="Book Antiqua" w:hAnsi="Book Antiqua" w:cs="Book Antiqua"/>
          <w:color w:val="000000"/>
        </w:rPr>
        <w:t>: 336-346 [PMID: 28314766 DOI: 10.1101/gad.293167.116]</w:t>
      </w:r>
    </w:p>
    <w:p w14:paraId="27517688"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48 </w:t>
      </w:r>
      <w:r w:rsidRPr="004464B3">
        <w:rPr>
          <w:rFonts w:ascii="Book Antiqua" w:eastAsia="Book Antiqua" w:hAnsi="Book Antiqua" w:cs="Book Antiqua"/>
          <w:b/>
          <w:bCs/>
          <w:color w:val="000000"/>
        </w:rPr>
        <w:t>Yoshino J</w:t>
      </w:r>
      <w:r w:rsidRPr="004464B3">
        <w:rPr>
          <w:rFonts w:ascii="Book Antiqua" w:eastAsia="Book Antiqua" w:hAnsi="Book Antiqua" w:cs="Book Antiqua"/>
          <w:color w:val="000000"/>
        </w:rPr>
        <w:t>, Baur JA, Imai SI.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Intermediates: The Biology and Therapeutic Potential of NMN and NR. </w:t>
      </w:r>
      <w:r w:rsidRPr="004464B3">
        <w:rPr>
          <w:rFonts w:ascii="Book Antiqua" w:eastAsia="Book Antiqua" w:hAnsi="Book Antiqua" w:cs="Book Antiqua"/>
          <w:i/>
          <w:iCs/>
          <w:color w:val="000000"/>
        </w:rPr>
        <w:t>Cell Metab</w:t>
      </w:r>
      <w:r w:rsidRPr="004464B3">
        <w:rPr>
          <w:rFonts w:ascii="Book Antiqua" w:eastAsia="Book Antiqua" w:hAnsi="Book Antiqua" w:cs="Book Antiqua"/>
          <w:color w:val="000000"/>
        </w:rPr>
        <w:t xml:space="preserve"> 2018; </w:t>
      </w:r>
      <w:r w:rsidRPr="004464B3">
        <w:rPr>
          <w:rFonts w:ascii="Book Antiqua" w:eastAsia="Book Antiqua" w:hAnsi="Book Antiqua" w:cs="Book Antiqua"/>
          <w:b/>
          <w:bCs/>
          <w:color w:val="000000"/>
        </w:rPr>
        <w:t>27</w:t>
      </w:r>
      <w:r w:rsidRPr="004464B3">
        <w:rPr>
          <w:rFonts w:ascii="Book Antiqua" w:eastAsia="Book Antiqua" w:hAnsi="Book Antiqua" w:cs="Book Antiqua"/>
          <w:color w:val="000000"/>
        </w:rPr>
        <w:t>: 513-528 [PMID: 29249689 DOI: 10.1016/j.cmet.2017.11.002]</w:t>
      </w:r>
    </w:p>
    <w:p w14:paraId="7B3CF427"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49 </w:t>
      </w:r>
      <w:r w:rsidRPr="004464B3">
        <w:rPr>
          <w:rFonts w:ascii="Book Antiqua" w:eastAsia="Book Antiqua" w:hAnsi="Book Antiqua" w:cs="Book Antiqua"/>
          <w:b/>
          <w:bCs/>
          <w:color w:val="000000"/>
        </w:rPr>
        <w:t>Zhang H</w:t>
      </w:r>
      <w:r w:rsidRPr="004464B3">
        <w:rPr>
          <w:rFonts w:ascii="Book Antiqua" w:eastAsia="Book Antiqua" w:hAnsi="Book Antiqua" w:cs="Book Antiqua"/>
          <w:color w:val="000000"/>
        </w:rPr>
        <w:t>, Ryu D, Wu Y, Gariani K, Wang X, Luan P, D'Amico D, Ropelle ER, Lutolf MP, Aebersold R, Schoonjans K, Menzies KJ, Auwerx J. NAD</w:t>
      </w:r>
      <w:r w:rsidRPr="004464B3">
        <w:rPr>
          <w:rFonts w:ascii="MS Mincho" w:eastAsia="MS Mincho" w:hAnsi="MS Mincho" w:cs="MS Mincho"/>
          <w:color w:val="000000"/>
        </w:rPr>
        <w:t>⁺</w:t>
      </w:r>
      <w:r w:rsidRPr="004464B3">
        <w:rPr>
          <w:rFonts w:ascii="Book Antiqua" w:eastAsia="Book Antiqua" w:hAnsi="Book Antiqua" w:cs="Book Antiqua"/>
          <w:color w:val="000000"/>
        </w:rPr>
        <w:t xml:space="preserve"> repletion improves mitochondrial and stem cell function and enhances life span in mice. </w:t>
      </w:r>
      <w:r w:rsidRPr="004464B3">
        <w:rPr>
          <w:rFonts w:ascii="Book Antiqua" w:eastAsia="Book Antiqua" w:hAnsi="Book Antiqua" w:cs="Book Antiqua"/>
          <w:i/>
          <w:iCs/>
          <w:color w:val="000000"/>
        </w:rPr>
        <w:t>Science</w:t>
      </w:r>
      <w:r w:rsidRPr="004464B3">
        <w:rPr>
          <w:rFonts w:ascii="Book Antiqua" w:eastAsia="Book Antiqua" w:hAnsi="Book Antiqua" w:cs="Book Antiqua"/>
          <w:color w:val="000000"/>
        </w:rPr>
        <w:t xml:space="preserve"> 2016; </w:t>
      </w:r>
      <w:r w:rsidRPr="004464B3">
        <w:rPr>
          <w:rFonts w:ascii="Book Antiqua" w:eastAsia="Book Antiqua" w:hAnsi="Book Antiqua" w:cs="Book Antiqua"/>
          <w:b/>
          <w:bCs/>
          <w:color w:val="000000"/>
        </w:rPr>
        <w:t>352</w:t>
      </w:r>
      <w:r w:rsidRPr="004464B3">
        <w:rPr>
          <w:rFonts w:ascii="Book Antiqua" w:eastAsia="Book Antiqua" w:hAnsi="Book Antiqua" w:cs="Book Antiqua"/>
          <w:color w:val="000000"/>
        </w:rPr>
        <w:t>: 1436-1443 [PMID: 27127236 DOI: 10.1126/science.aaf2693]</w:t>
      </w:r>
    </w:p>
    <w:p w14:paraId="6C6F779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 xml:space="preserve">50 </w:t>
      </w:r>
      <w:r w:rsidRPr="004464B3">
        <w:rPr>
          <w:rFonts w:ascii="Book Antiqua" w:eastAsia="Book Antiqua" w:hAnsi="Book Antiqua" w:cs="Book Antiqua"/>
          <w:b/>
          <w:bCs/>
          <w:color w:val="000000"/>
        </w:rPr>
        <w:t>Igarashi M</w:t>
      </w:r>
      <w:r w:rsidRPr="004464B3">
        <w:rPr>
          <w:rFonts w:ascii="Book Antiqua" w:eastAsia="Book Antiqua" w:hAnsi="Book Antiqua" w:cs="Book Antiqua"/>
          <w:color w:val="000000"/>
        </w:rPr>
        <w:t>, Miura M, Williams E, Jaksch F, Kadowaki T, Yamauchi T, Guarente L.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supplementation rejuvenates aged gut adult stem cells. </w:t>
      </w:r>
      <w:r w:rsidRPr="004464B3">
        <w:rPr>
          <w:rFonts w:ascii="Book Antiqua" w:eastAsia="Book Antiqua" w:hAnsi="Book Antiqua" w:cs="Book Antiqua"/>
          <w:i/>
          <w:iCs/>
          <w:color w:val="000000"/>
        </w:rPr>
        <w:t>Aging Cell</w:t>
      </w:r>
      <w:r w:rsidRPr="004464B3">
        <w:rPr>
          <w:rFonts w:ascii="Book Antiqua" w:eastAsia="Book Antiqua" w:hAnsi="Book Antiqua" w:cs="Book Antiqua"/>
          <w:color w:val="000000"/>
        </w:rPr>
        <w:t xml:space="preserve"> 2019; </w:t>
      </w:r>
      <w:r w:rsidRPr="004464B3">
        <w:rPr>
          <w:rFonts w:ascii="Book Antiqua" w:eastAsia="Book Antiqua" w:hAnsi="Book Antiqua" w:cs="Book Antiqua"/>
          <w:b/>
          <w:bCs/>
          <w:color w:val="000000"/>
        </w:rPr>
        <w:t>18</w:t>
      </w:r>
      <w:r w:rsidRPr="004464B3">
        <w:rPr>
          <w:rFonts w:ascii="Book Antiqua" w:eastAsia="Book Antiqua" w:hAnsi="Book Antiqua" w:cs="Book Antiqua"/>
          <w:color w:val="000000"/>
        </w:rPr>
        <w:t>: e12935 [PMID: 30917412 DOI: 10.1111/acel.12935]</w:t>
      </w:r>
    </w:p>
    <w:p w14:paraId="0B4B228A"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lastRenderedPageBreak/>
        <w:t xml:space="preserve">51 </w:t>
      </w:r>
      <w:r w:rsidRPr="004464B3">
        <w:rPr>
          <w:rFonts w:ascii="Book Antiqua" w:eastAsia="Book Antiqua" w:hAnsi="Book Antiqua" w:cs="Book Antiqua"/>
          <w:b/>
          <w:bCs/>
          <w:color w:val="000000"/>
        </w:rPr>
        <w:t>Lees JG</w:t>
      </w:r>
      <w:r w:rsidRPr="004464B3">
        <w:rPr>
          <w:rFonts w:ascii="Book Antiqua" w:eastAsia="Book Antiqua" w:hAnsi="Book Antiqua" w:cs="Book Antiqua"/>
          <w:color w:val="000000"/>
        </w:rPr>
        <w:t xml:space="preserve">, Gardner DK, Harvey AJ. Nicotinamide adenine dinucleotide induces a bivalent metabolism and maintains pluripotency in human embryonic stem cells. </w:t>
      </w:r>
      <w:r w:rsidRPr="004464B3">
        <w:rPr>
          <w:rFonts w:ascii="Book Antiqua" w:eastAsia="Book Antiqua" w:hAnsi="Book Antiqua" w:cs="Book Antiqua"/>
          <w:i/>
          <w:iCs/>
          <w:color w:val="000000"/>
        </w:rPr>
        <w:t>Stem Cells</w:t>
      </w:r>
      <w:r w:rsidRPr="004464B3">
        <w:rPr>
          <w:rFonts w:ascii="Book Antiqua" w:eastAsia="Book Antiqua" w:hAnsi="Book Antiqua" w:cs="Book Antiqua"/>
          <w:color w:val="000000"/>
        </w:rPr>
        <w:t xml:space="preserve"> 2020; </w:t>
      </w:r>
      <w:r w:rsidRPr="004464B3">
        <w:rPr>
          <w:rFonts w:ascii="Book Antiqua" w:eastAsia="Book Antiqua" w:hAnsi="Book Antiqua" w:cs="Book Antiqua"/>
          <w:b/>
          <w:bCs/>
          <w:color w:val="000000"/>
        </w:rPr>
        <w:t>38</w:t>
      </w:r>
      <w:r w:rsidRPr="004464B3">
        <w:rPr>
          <w:rFonts w:ascii="Book Antiqua" w:eastAsia="Book Antiqua" w:hAnsi="Book Antiqua" w:cs="Book Antiqua"/>
          <w:color w:val="000000"/>
        </w:rPr>
        <w:t>: 624-638 [PMID: 32003519 DOI: 10.1002/stem.3152]</w:t>
      </w:r>
    </w:p>
    <w:p w14:paraId="5C78BD68" w14:textId="77777777" w:rsidR="00A77B3E" w:rsidRPr="004464B3" w:rsidRDefault="00A77B3E" w:rsidP="001D68DD">
      <w:pPr>
        <w:spacing w:line="360" w:lineRule="auto"/>
        <w:jc w:val="both"/>
        <w:rPr>
          <w:rFonts w:ascii="Book Antiqua" w:hAnsi="Book Antiqua"/>
        </w:rPr>
        <w:sectPr w:rsidR="00A77B3E" w:rsidRPr="004464B3">
          <w:pgSz w:w="12240" w:h="15840"/>
          <w:pgMar w:top="1440" w:right="1440" w:bottom="1440" w:left="1440" w:header="720" w:footer="720" w:gutter="0"/>
          <w:cols w:space="720"/>
          <w:docGrid w:linePitch="360"/>
        </w:sectPr>
      </w:pPr>
    </w:p>
    <w:bookmarkEnd w:id="3"/>
    <w:p w14:paraId="1F071E3E"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lastRenderedPageBreak/>
        <w:t>Footnotes</w:t>
      </w:r>
    </w:p>
    <w:p w14:paraId="6F1FF3BB"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Institutional review board statement: </w:t>
      </w:r>
      <w:r w:rsidRPr="004464B3">
        <w:rPr>
          <w:rFonts w:ascii="Book Antiqua" w:eastAsia="Book Antiqua" w:hAnsi="Book Antiqua" w:cs="Book Antiqua"/>
          <w:color w:val="000000"/>
        </w:rPr>
        <w:t>The study was reviewed and approved by the Institutional Review Board at the University of Foggia.</w:t>
      </w:r>
    </w:p>
    <w:p w14:paraId="37D64A84" w14:textId="77777777" w:rsidR="00A77B3E" w:rsidRPr="004464B3" w:rsidRDefault="00A77B3E" w:rsidP="001D68DD">
      <w:pPr>
        <w:spacing w:line="360" w:lineRule="auto"/>
        <w:jc w:val="both"/>
        <w:rPr>
          <w:rFonts w:ascii="Book Antiqua" w:hAnsi="Book Antiqua"/>
        </w:rPr>
      </w:pPr>
    </w:p>
    <w:p w14:paraId="32F56DEA"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Conflict-of-interest statement: </w:t>
      </w:r>
      <w:r w:rsidRPr="004464B3">
        <w:rPr>
          <w:rFonts w:ascii="Book Antiqua" w:eastAsia="Book Antiqua" w:hAnsi="Book Antiqua" w:cs="Book Antiqua"/>
          <w:color w:val="000000"/>
        </w:rPr>
        <w:t>All authors have nothing to disclose.</w:t>
      </w:r>
    </w:p>
    <w:p w14:paraId="0C867A2F" w14:textId="77777777" w:rsidR="00A77B3E" w:rsidRPr="004464B3" w:rsidRDefault="00A77B3E" w:rsidP="001D68DD">
      <w:pPr>
        <w:spacing w:line="360" w:lineRule="auto"/>
        <w:jc w:val="both"/>
        <w:rPr>
          <w:rFonts w:ascii="Book Antiqua" w:hAnsi="Book Antiqua"/>
        </w:rPr>
      </w:pPr>
    </w:p>
    <w:p w14:paraId="1E0A1E3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Data sharing statement: </w:t>
      </w:r>
      <w:r w:rsidRPr="004464B3">
        <w:rPr>
          <w:rFonts w:ascii="Book Antiqua" w:eastAsia="Book Antiqua" w:hAnsi="Book Antiqua" w:cs="Book Antiqua"/>
          <w:color w:val="000000"/>
        </w:rPr>
        <w:t>No additional data are available.</w:t>
      </w:r>
    </w:p>
    <w:p w14:paraId="61C5BB41" w14:textId="77777777" w:rsidR="00A77B3E" w:rsidRPr="004464B3" w:rsidRDefault="00A77B3E" w:rsidP="001D68DD">
      <w:pPr>
        <w:spacing w:line="360" w:lineRule="auto"/>
        <w:jc w:val="both"/>
        <w:rPr>
          <w:rFonts w:ascii="Book Antiqua" w:hAnsi="Book Antiqua"/>
        </w:rPr>
      </w:pPr>
    </w:p>
    <w:p w14:paraId="79ADA9F7"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bCs/>
          <w:color w:val="000000"/>
        </w:rPr>
        <w:t xml:space="preserve">Open-Access: </w:t>
      </w:r>
      <w:r w:rsidRPr="004464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5E6484" w14:textId="77777777" w:rsidR="00A77B3E" w:rsidRPr="004464B3" w:rsidRDefault="00A77B3E" w:rsidP="001D68DD">
      <w:pPr>
        <w:spacing w:line="360" w:lineRule="auto"/>
        <w:jc w:val="both"/>
        <w:rPr>
          <w:rFonts w:ascii="Book Antiqua" w:hAnsi="Book Antiqua"/>
        </w:rPr>
      </w:pPr>
    </w:p>
    <w:p w14:paraId="3E42D220" w14:textId="735685CE"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Manuscript source: </w:t>
      </w:r>
      <w:r w:rsidRPr="004464B3">
        <w:rPr>
          <w:rFonts w:ascii="Book Antiqua" w:eastAsia="Book Antiqua" w:hAnsi="Book Antiqua" w:cs="Book Antiqua"/>
          <w:color w:val="000000"/>
        </w:rPr>
        <w:t xml:space="preserve">Invited </w:t>
      </w:r>
      <w:r w:rsidR="00A5031A" w:rsidRPr="004464B3">
        <w:rPr>
          <w:rFonts w:ascii="Book Antiqua" w:eastAsia="Book Antiqua" w:hAnsi="Book Antiqua" w:cs="Book Antiqua"/>
          <w:color w:val="000000"/>
        </w:rPr>
        <w:t>m</w:t>
      </w:r>
      <w:r w:rsidRPr="004464B3">
        <w:rPr>
          <w:rFonts w:ascii="Book Antiqua" w:eastAsia="Book Antiqua" w:hAnsi="Book Antiqua" w:cs="Book Antiqua"/>
          <w:color w:val="000000"/>
        </w:rPr>
        <w:t>anuscript</w:t>
      </w:r>
    </w:p>
    <w:p w14:paraId="2483FBFB" w14:textId="77777777" w:rsidR="00A77B3E" w:rsidRPr="004464B3" w:rsidRDefault="00A77B3E" w:rsidP="001D68DD">
      <w:pPr>
        <w:spacing w:line="360" w:lineRule="auto"/>
        <w:jc w:val="both"/>
        <w:rPr>
          <w:rFonts w:ascii="Book Antiqua" w:hAnsi="Book Antiqua"/>
        </w:rPr>
      </w:pPr>
    </w:p>
    <w:p w14:paraId="7666844D"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Peer-review started: </w:t>
      </w:r>
      <w:r w:rsidRPr="004464B3">
        <w:rPr>
          <w:rFonts w:ascii="Book Antiqua" w:eastAsia="Book Antiqua" w:hAnsi="Book Antiqua" w:cs="Book Antiqua"/>
          <w:color w:val="000000"/>
        </w:rPr>
        <w:t>April 26, 2021</w:t>
      </w:r>
    </w:p>
    <w:p w14:paraId="55EE800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First decision: </w:t>
      </w:r>
      <w:r w:rsidRPr="004464B3">
        <w:rPr>
          <w:rFonts w:ascii="Book Antiqua" w:eastAsia="Book Antiqua" w:hAnsi="Book Antiqua" w:cs="Book Antiqua"/>
          <w:color w:val="000000"/>
        </w:rPr>
        <w:t>May 12, 2021</w:t>
      </w:r>
    </w:p>
    <w:p w14:paraId="39B332C9"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Article in press: </w:t>
      </w:r>
    </w:p>
    <w:p w14:paraId="2AB02E79" w14:textId="77777777" w:rsidR="00A77B3E" w:rsidRPr="004464B3" w:rsidRDefault="00A77B3E" w:rsidP="001D68DD">
      <w:pPr>
        <w:spacing w:line="360" w:lineRule="auto"/>
        <w:jc w:val="both"/>
        <w:rPr>
          <w:rFonts w:ascii="Book Antiqua" w:hAnsi="Book Antiqua"/>
        </w:rPr>
      </w:pPr>
    </w:p>
    <w:p w14:paraId="43F3AF8C" w14:textId="26578B78"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Specialty type: </w:t>
      </w:r>
      <w:r w:rsidRPr="004464B3">
        <w:rPr>
          <w:rFonts w:ascii="Book Antiqua" w:eastAsia="Book Antiqua" w:hAnsi="Book Antiqua" w:cs="Book Antiqua"/>
          <w:color w:val="000000"/>
        </w:rPr>
        <w:t xml:space="preserve">Gastroenterology and </w:t>
      </w:r>
      <w:r w:rsidR="00A5031A" w:rsidRPr="004464B3">
        <w:rPr>
          <w:rFonts w:ascii="Book Antiqua" w:eastAsia="Book Antiqua" w:hAnsi="Book Antiqua" w:cs="Book Antiqua"/>
          <w:color w:val="000000"/>
        </w:rPr>
        <w:t>h</w:t>
      </w:r>
      <w:r w:rsidRPr="004464B3">
        <w:rPr>
          <w:rFonts w:ascii="Book Antiqua" w:eastAsia="Book Antiqua" w:hAnsi="Book Antiqua" w:cs="Book Antiqua"/>
          <w:color w:val="000000"/>
        </w:rPr>
        <w:t>epatology</w:t>
      </w:r>
    </w:p>
    <w:p w14:paraId="76A274A8"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 xml:space="preserve">Country/Territory of origin: </w:t>
      </w:r>
      <w:r w:rsidRPr="004464B3">
        <w:rPr>
          <w:rFonts w:ascii="Book Antiqua" w:eastAsia="Book Antiqua" w:hAnsi="Book Antiqua" w:cs="Book Antiqua"/>
          <w:color w:val="000000"/>
        </w:rPr>
        <w:t>Italy</w:t>
      </w:r>
    </w:p>
    <w:p w14:paraId="51625953"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t>Peer-review report’s scientific quality classification</w:t>
      </w:r>
    </w:p>
    <w:p w14:paraId="4509AE94"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Grade A (Excellent): 0</w:t>
      </w:r>
    </w:p>
    <w:p w14:paraId="1F7B2D0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Grade B (Very good): 0</w:t>
      </w:r>
    </w:p>
    <w:p w14:paraId="537BF19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Grade C (Good): C</w:t>
      </w:r>
    </w:p>
    <w:p w14:paraId="54EEF0BC"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Grade D (Fair): 0</w:t>
      </w:r>
    </w:p>
    <w:p w14:paraId="6D964AD0" w14:textId="77777777" w:rsidR="00A77B3E" w:rsidRPr="004464B3" w:rsidRDefault="0068711B" w:rsidP="001D68DD">
      <w:pPr>
        <w:spacing w:line="360" w:lineRule="auto"/>
        <w:jc w:val="both"/>
        <w:rPr>
          <w:rFonts w:ascii="Book Antiqua" w:hAnsi="Book Antiqua"/>
        </w:rPr>
      </w:pPr>
      <w:r w:rsidRPr="004464B3">
        <w:rPr>
          <w:rFonts w:ascii="Book Antiqua" w:eastAsia="Book Antiqua" w:hAnsi="Book Antiqua" w:cs="Book Antiqua"/>
          <w:color w:val="000000"/>
        </w:rPr>
        <w:t>Grade E (Poor): 0</w:t>
      </w:r>
    </w:p>
    <w:p w14:paraId="39C10AB2" w14:textId="77777777" w:rsidR="00A77B3E" w:rsidRPr="004464B3" w:rsidRDefault="00A77B3E" w:rsidP="001D68DD">
      <w:pPr>
        <w:spacing w:line="360" w:lineRule="auto"/>
        <w:jc w:val="both"/>
        <w:rPr>
          <w:rFonts w:ascii="Book Antiqua" w:hAnsi="Book Antiqua"/>
        </w:rPr>
      </w:pPr>
    </w:p>
    <w:p w14:paraId="3DC40F54" w14:textId="48DF70F0" w:rsidR="00A77B3E" w:rsidRPr="004464B3" w:rsidRDefault="0068711B" w:rsidP="001D68DD">
      <w:pPr>
        <w:spacing w:line="360" w:lineRule="auto"/>
        <w:jc w:val="both"/>
        <w:rPr>
          <w:rFonts w:ascii="Book Antiqua" w:hAnsi="Book Antiqua"/>
        </w:rPr>
        <w:sectPr w:rsidR="00A77B3E" w:rsidRPr="004464B3">
          <w:pgSz w:w="12240" w:h="15840"/>
          <w:pgMar w:top="1440" w:right="1440" w:bottom="1440" w:left="1440" w:header="720" w:footer="720" w:gutter="0"/>
          <w:cols w:space="720"/>
          <w:docGrid w:linePitch="360"/>
        </w:sectPr>
      </w:pPr>
      <w:r w:rsidRPr="004464B3">
        <w:rPr>
          <w:rFonts w:ascii="Book Antiqua" w:eastAsia="Book Antiqua" w:hAnsi="Book Antiqua" w:cs="Book Antiqua"/>
          <w:b/>
          <w:color w:val="000000"/>
        </w:rPr>
        <w:lastRenderedPageBreak/>
        <w:t xml:space="preserve">P-Reviewer: </w:t>
      </w:r>
      <w:r w:rsidRPr="004464B3">
        <w:rPr>
          <w:rFonts w:ascii="Book Antiqua" w:eastAsia="Book Antiqua" w:hAnsi="Book Antiqua" w:cs="Book Antiqua"/>
          <w:color w:val="000000"/>
        </w:rPr>
        <w:t>Chen S</w:t>
      </w:r>
      <w:r w:rsidRPr="004464B3">
        <w:rPr>
          <w:rFonts w:ascii="Book Antiqua" w:eastAsia="Book Antiqua" w:hAnsi="Book Antiqua" w:cs="Book Antiqua"/>
          <w:b/>
          <w:color w:val="000000"/>
        </w:rPr>
        <w:t xml:space="preserve"> S-Editor: </w:t>
      </w:r>
      <w:r w:rsidR="002B3E36" w:rsidRPr="004464B3">
        <w:rPr>
          <w:rFonts w:ascii="Book Antiqua" w:eastAsia="Book Antiqua" w:hAnsi="Book Antiqua" w:cs="Book Antiqua"/>
          <w:color w:val="000000"/>
        </w:rPr>
        <w:t>Wu XYJ</w:t>
      </w:r>
      <w:r w:rsidRPr="004464B3">
        <w:rPr>
          <w:rFonts w:ascii="Book Antiqua" w:eastAsia="Book Antiqua" w:hAnsi="Book Antiqua" w:cs="Book Antiqua"/>
          <w:b/>
          <w:color w:val="000000"/>
        </w:rPr>
        <w:t xml:space="preserve"> L-Editor: </w:t>
      </w:r>
      <w:r w:rsidR="005662BA" w:rsidRPr="004464B3">
        <w:rPr>
          <w:rFonts w:ascii="Book Antiqua" w:eastAsia="Book Antiqua" w:hAnsi="Book Antiqua" w:cs="Book Antiqua"/>
          <w:bCs/>
          <w:color w:val="000000"/>
        </w:rPr>
        <w:t xml:space="preserve">Filipodia </w:t>
      </w:r>
      <w:r w:rsidRPr="004464B3">
        <w:rPr>
          <w:rFonts w:ascii="Book Antiqua" w:eastAsia="Book Antiqua" w:hAnsi="Book Antiqua" w:cs="Book Antiqua"/>
          <w:b/>
          <w:color w:val="000000"/>
        </w:rPr>
        <w:t xml:space="preserve">P-Editor: </w:t>
      </w:r>
    </w:p>
    <w:p w14:paraId="258CD9FE" w14:textId="77777777" w:rsidR="00A77B3E" w:rsidRPr="008E04BD" w:rsidRDefault="0068711B" w:rsidP="001D68DD">
      <w:pPr>
        <w:spacing w:line="360" w:lineRule="auto"/>
        <w:jc w:val="both"/>
        <w:rPr>
          <w:rFonts w:ascii="Book Antiqua" w:hAnsi="Book Antiqua"/>
        </w:rPr>
      </w:pPr>
      <w:r w:rsidRPr="004464B3">
        <w:rPr>
          <w:rFonts w:ascii="Book Antiqua" w:eastAsia="Book Antiqua" w:hAnsi="Book Antiqua" w:cs="Book Antiqua"/>
          <w:b/>
          <w:color w:val="000000"/>
        </w:rPr>
        <w:lastRenderedPageBreak/>
        <w:t>Figure Legends</w:t>
      </w:r>
    </w:p>
    <w:p w14:paraId="77C5DCB6" w14:textId="6AFD7EB3" w:rsidR="00D85B9A" w:rsidRPr="004464B3" w:rsidRDefault="00446ADD" w:rsidP="001D68DD">
      <w:pPr>
        <w:spacing w:line="360" w:lineRule="auto"/>
        <w:jc w:val="both"/>
        <w:rPr>
          <w:rFonts w:ascii="Book Antiqua" w:eastAsia="Book Antiqua" w:hAnsi="Book Antiqua" w:cs="Book Antiqua"/>
          <w:b/>
          <w:bCs/>
          <w:color w:val="000000"/>
        </w:rPr>
      </w:pPr>
      <w:r w:rsidRPr="004464B3">
        <w:rPr>
          <w:noProof/>
        </w:rPr>
        <w:drawing>
          <wp:inline distT="0" distB="0" distL="0" distR="0" wp14:anchorId="19F2787D" wp14:editId="371EF357">
            <wp:extent cx="4867555"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67555" cy="2743200"/>
                    </a:xfrm>
                    <a:prstGeom prst="rect">
                      <a:avLst/>
                    </a:prstGeom>
                  </pic:spPr>
                </pic:pic>
              </a:graphicData>
            </a:graphic>
          </wp:inline>
        </w:drawing>
      </w:r>
    </w:p>
    <w:p w14:paraId="27939BE6" w14:textId="4752A992" w:rsidR="00A77B3E" w:rsidRPr="00CF17F8" w:rsidRDefault="0068711B" w:rsidP="001D68DD">
      <w:pPr>
        <w:spacing w:line="360" w:lineRule="auto"/>
        <w:jc w:val="both"/>
        <w:rPr>
          <w:rFonts w:ascii="Book Antiqua" w:hAnsi="Book Antiqua"/>
        </w:rPr>
      </w:pPr>
      <w:r w:rsidRPr="008E04BD">
        <w:rPr>
          <w:rFonts w:ascii="Book Antiqua" w:eastAsia="Book Antiqua" w:hAnsi="Book Antiqua" w:cs="Book Antiqua"/>
          <w:b/>
          <w:bCs/>
          <w:color w:val="000000"/>
        </w:rPr>
        <w:t xml:space="preserve">Figure 1 Characterization of markers of cellular senescence in HepaRG cells. </w:t>
      </w:r>
      <w:r w:rsidRPr="008E04BD">
        <w:rPr>
          <w:rFonts w:ascii="Book Antiqua" w:eastAsia="Book Antiqua" w:hAnsi="Book Antiqua" w:cs="Book Antiqua"/>
          <w:color w:val="000000"/>
        </w:rPr>
        <w:t>A: Senescence-associated</w:t>
      </w:r>
      <w:r w:rsidR="00900209" w:rsidRPr="00A66726">
        <w:rPr>
          <w:rFonts w:ascii="Book Antiqua" w:eastAsia="Book Antiqua" w:hAnsi="Book Antiqua" w:cs="Book Antiqua"/>
          <w:color w:val="000000"/>
        </w:rPr>
        <w:t xml:space="preserve"> </w:t>
      </w:r>
      <w:r w:rsidRPr="00CF17F8">
        <w:rPr>
          <w:rFonts w:ascii="Book Antiqua" w:eastAsia="Book Antiqua" w:hAnsi="Book Antiqua" w:cs="Book Antiqua"/>
          <w:color w:val="000000"/>
        </w:rPr>
        <w:t xml:space="preserve">β-galactosidase staining of HepaRG cells at </w:t>
      </w:r>
      <w:r w:rsidR="00CF17F8">
        <w:rPr>
          <w:rFonts w:ascii="Book Antiqua" w:eastAsia="Book Antiqua" w:hAnsi="Book Antiqua" w:cs="Book Antiqua"/>
          <w:color w:val="000000"/>
        </w:rPr>
        <w:t xml:space="preserve">passage </w:t>
      </w:r>
      <w:r w:rsidRPr="00CF17F8">
        <w:rPr>
          <w:rFonts w:ascii="Book Antiqua" w:eastAsia="Book Antiqua" w:hAnsi="Book Antiqua" w:cs="Book Antiqua"/>
          <w:color w:val="000000"/>
        </w:rPr>
        <w:t>10 (P10) or P20. After staining, the cells were imaged by phase contrast microscopy. Micrographs are shown at magnification</w:t>
      </w:r>
      <w:r w:rsidR="000E2B71" w:rsidRPr="00CF17F8">
        <w:rPr>
          <w:rFonts w:ascii="Book Antiqua" w:eastAsia="Book Antiqua" w:hAnsi="Book Antiqua" w:cs="Book Antiqua"/>
          <w:color w:val="000000"/>
        </w:rPr>
        <w:t xml:space="preserve"> 200 ×</w:t>
      </w:r>
      <w:r w:rsidR="003144D0" w:rsidRPr="00CF17F8">
        <w:rPr>
          <w:rFonts w:ascii="Book Antiqua" w:eastAsia="Book Antiqua" w:hAnsi="Book Antiqua" w:cs="Book Antiqua"/>
          <w:color w:val="000000"/>
        </w:rPr>
        <w:t>;</w:t>
      </w:r>
      <w:r w:rsidRPr="00CF17F8">
        <w:rPr>
          <w:rFonts w:ascii="Book Antiqua" w:eastAsia="Book Antiqua" w:hAnsi="Book Antiqua" w:cs="Book Antiqua"/>
          <w:color w:val="000000"/>
        </w:rPr>
        <w:t xml:space="preserve"> B: Quantitative analysis of positive β-galactosidase-stained cells in P10 and P20 HepaRG cells</w:t>
      </w:r>
      <w:r w:rsidR="003144D0" w:rsidRPr="00CF17F8">
        <w:rPr>
          <w:rFonts w:ascii="Book Antiqua" w:eastAsia="Book Antiqua" w:hAnsi="Book Antiqua" w:cs="Book Antiqua"/>
          <w:color w:val="000000"/>
        </w:rPr>
        <w:t>;</w:t>
      </w:r>
      <w:r w:rsidRPr="00CF17F8">
        <w:rPr>
          <w:rFonts w:ascii="Book Antiqua" w:eastAsia="Book Antiqua" w:hAnsi="Book Antiqua" w:cs="Book Antiqua"/>
          <w:color w:val="000000"/>
        </w:rPr>
        <w:t xml:space="preserve"> C: Representative images of DNA damage analysis by the </w:t>
      </w:r>
      <w:r w:rsidR="00CF17F8">
        <w:rPr>
          <w:rFonts w:ascii="Book Antiqua" w:eastAsia="Book Antiqua" w:hAnsi="Book Antiqua" w:cs="Book Antiqua"/>
          <w:color w:val="000000"/>
        </w:rPr>
        <w:t>c</w:t>
      </w:r>
      <w:r w:rsidRPr="004464B3">
        <w:rPr>
          <w:rFonts w:ascii="Book Antiqua" w:eastAsia="Book Antiqua" w:hAnsi="Book Antiqua" w:cs="Book Antiqua"/>
          <w:color w:val="000000"/>
        </w:rPr>
        <w:t>omet assay in P10 and P20 HepaRG cells. After staining, the cells were imaged by fluorescence microscopy. Micrographs are shown at magnification</w:t>
      </w:r>
      <w:r w:rsidR="00414ED7" w:rsidRPr="004464B3">
        <w:rPr>
          <w:rFonts w:ascii="Book Antiqua" w:eastAsia="Book Antiqua" w:hAnsi="Book Antiqua" w:cs="Book Antiqua"/>
          <w:color w:val="000000"/>
        </w:rPr>
        <w:t xml:space="preserve"> 600 ×</w:t>
      </w:r>
      <w:r w:rsidR="00BE7E39" w:rsidRPr="004464B3">
        <w:rPr>
          <w:rFonts w:ascii="Book Antiqua" w:eastAsia="Book Antiqua" w:hAnsi="Book Antiqua" w:cs="Book Antiqua"/>
          <w:color w:val="000000"/>
        </w:rPr>
        <w:t>;</w:t>
      </w:r>
      <w:r w:rsidRPr="004464B3">
        <w:rPr>
          <w:rFonts w:ascii="Book Antiqua" w:eastAsia="Book Antiqua" w:hAnsi="Book Antiqua" w:cs="Book Antiqua"/>
          <w:color w:val="000000"/>
        </w:rPr>
        <w:t xml:space="preserve"> D: Quantitative analysis of DNA tails from 100 cells. Data in the graphs are represented as </w:t>
      </w:r>
      <w:r w:rsidR="00CF17F8">
        <w:rPr>
          <w:rFonts w:ascii="Book Antiqua" w:eastAsia="Book Antiqua" w:hAnsi="Book Antiqua" w:cs="Book Antiqua"/>
          <w:color w:val="000000"/>
        </w:rPr>
        <w:t xml:space="preserve">the </w:t>
      </w:r>
      <w:r w:rsidRPr="00CF17F8">
        <w:rPr>
          <w:rFonts w:ascii="Book Antiqua" w:eastAsia="Book Antiqua" w:hAnsi="Book Antiqua" w:cs="Book Antiqua"/>
          <w:color w:val="000000"/>
        </w:rPr>
        <w:t xml:space="preserve">mean ± </w:t>
      </w:r>
      <w:r w:rsidR="00CF17F8">
        <w:rPr>
          <w:rFonts w:ascii="Book Antiqua" w:eastAsia="Book Antiqua" w:hAnsi="Book Antiqua" w:cs="Book Antiqua"/>
          <w:color w:val="000000"/>
        </w:rPr>
        <w:t>standard deviation</w:t>
      </w:r>
      <w:r w:rsidR="00CF17F8" w:rsidRPr="00CF17F8">
        <w:rPr>
          <w:rFonts w:ascii="Book Antiqua" w:eastAsia="Book Antiqua" w:hAnsi="Book Antiqua" w:cs="Book Antiqua"/>
          <w:color w:val="000000"/>
        </w:rPr>
        <w:t xml:space="preserve"> </w:t>
      </w:r>
      <w:r w:rsidRPr="00CF17F8">
        <w:rPr>
          <w:rFonts w:ascii="Book Antiqua" w:eastAsia="Book Antiqua" w:hAnsi="Book Antiqua" w:cs="Book Antiqua"/>
          <w:color w:val="000000"/>
        </w:rPr>
        <w:t xml:space="preserve">of three independent experiments. Statistical differences were assessed by </w:t>
      </w:r>
      <w:r w:rsidR="00CF17F8">
        <w:rPr>
          <w:rFonts w:ascii="Book Antiqua" w:eastAsia="Book Antiqua" w:hAnsi="Book Antiqua" w:cs="Book Antiqua"/>
          <w:color w:val="000000"/>
        </w:rPr>
        <w:t>the S</w:t>
      </w:r>
      <w:r w:rsidRPr="00CF17F8">
        <w:rPr>
          <w:rFonts w:ascii="Book Antiqua" w:eastAsia="Book Antiqua" w:hAnsi="Book Antiqua" w:cs="Book Antiqua"/>
          <w:color w:val="000000"/>
        </w:rPr>
        <w:t xml:space="preserve">tudent’s </w:t>
      </w:r>
      <w:r w:rsidRPr="00CF17F8">
        <w:rPr>
          <w:rFonts w:ascii="Book Antiqua" w:eastAsia="Book Antiqua" w:hAnsi="Book Antiqua" w:cs="Book Antiqua"/>
          <w:i/>
          <w:iCs/>
          <w:color w:val="000000"/>
        </w:rPr>
        <w:t>t</w:t>
      </w:r>
      <w:r w:rsidRPr="00CF17F8">
        <w:rPr>
          <w:rFonts w:ascii="Book Antiqua" w:eastAsia="Book Antiqua" w:hAnsi="Book Antiqua" w:cs="Book Antiqua"/>
          <w:color w:val="000000"/>
        </w:rPr>
        <w:t xml:space="preserve">-test. </w:t>
      </w:r>
      <w:r w:rsidR="00A437DC" w:rsidRPr="00CF17F8">
        <w:rPr>
          <w:rFonts w:ascii="Book Antiqua" w:eastAsia="Book Antiqua" w:hAnsi="Book Antiqua" w:cs="Book Antiqua"/>
          <w:color w:val="000000"/>
          <w:vertAlign w:val="superscript"/>
        </w:rPr>
        <w:t>a</w:t>
      </w:r>
      <w:r w:rsidR="00A437DC" w:rsidRPr="00CF17F8">
        <w:rPr>
          <w:rFonts w:ascii="Book Antiqua" w:eastAsia="Book Antiqua" w:hAnsi="Book Antiqua" w:cs="Book Antiqua"/>
          <w:i/>
          <w:iCs/>
          <w:color w:val="000000"/>
        </w:rPr>
        <w:t>P</w:t>
      </w:r>
      <w:r w:rsidRPr="00CF17F8">
        <w:rPr>
          <w:rFonts w:ascii="Book Antiqua" w:eastAsia="Book Antiqua" w:hAnsi="Book Antiqua" w:cs="Book Antiqua"/>
          <w:color w:val="000000"/>
        </w:rPr>
        <w:t xml:space="preserve"> &lt; 0.05 </w:t>
      </w:r>
      <w:r w:rsidRPr="00CF17F8">
        <w:rPr>
          <w:rFonts w:ascii="Book Antiqua" w:eastAsia="Book Antiqua" w:hAnsi="Book Antiqua" w:cs="Book Antiqua"/>
          <w:i/>
          <w:iCs/>
          <w:color w:val="000000"/>
        </w:rPr>
        <w:t>vs</w:t>
      </w:r>
      <w:r w:rsidRPr="00CF17F8">
        <w:rPr>
          <w:rFonts w:ascii="Book Antiqua" w:eastAsia="Book Antiqua" w:hAnsi="Book Antiqua" w:cs="Book Antiqua"/>
          <w:color w:val="000000"/>
        </w:rPr>
        <w:t xml:space="preserve"> P10; </w:t>
      </w:r>
      <w:r w:rsidR="00A437DC" w:rsidRPr="00CF17F8">
        <w:rPr>
          <w:rFonts w:ascii="Book Antiqua" w:eastAsia="Book Antiqua" w:hAnsi="Book Antiqua" w:cs="Book Antiqua"/>
          <w:color w:val="000000"/>
          <w:vertAlign w:val="superscript"/>
        </w:rPr>
        <w:t>b</w:t>
      </w:r>
      <w:r w:rsidR="00A437DC" w:rsidRPr="00CF17F8">
        <w:rPr>
          <w:rFonts w:ascii="Book Antiqua" w:eastAsia="Book Antiqua" w:hAnsi="Book Antiqua" w:cs="Book Antiqua"/>
          <w:i/>
          <w:iCs/>
          <w:color w:val="000000"/>
        </w:rPr>
        <w:t>P</w:t>
      </w:r>
      <w:r w:rsidRPr="00CF17F8">
        <w:rPr>
          <w:rFonts w:ascii="Book Antiqua" w:eastAsia="Book Antiqua" w:hAnsi="Book Antiqua" w:cs="Book Antiqua"/>
          <w:color w:val="000000"/>
        </w:rPr>
        <w:t xml:space="preserve"> &lt; 0.01 </w:t>
      </w:r>
      <w:r w:rsidRPr="00CF17F8">
        <w:rPr>
          <w:rFonts w:ascii="Book Antiqua" w:eastAsia="Book Antiqua" w:hAnsi="Book Antiqua" w:cs="Book Antiqua"/>
          <w:i/>
          <w:iCs/>
          <w:color w:val="000000"/>
        </w:rPr>
        <w:t>vs</w:t>
      </w:r>
      <w:r w:rsidRPr="00CF17F8">
        <w:rPr>
          <w:rFonts w:ascii="Book Antiqua" w:eastAsia="Book Antiqua" w:hAnsi="Book Antiqua" w:cs="Book Antiqua"/>
          <w:color w:val="000000"/>
        </w:rPr>
        <w:t xml:space="preserve"> P10.</w:t>
      </w:r>
      <w:r w:rsidR="00FE0111" w:rsidRPr="00CF17F8">
        <w:rPr>
          <w:rFonts w:ascii="Book Antiqua" w:eastAsia="Book Antiqua" w:hAnsi="Book Antiqua" w:cs="Book Antiqua"/>
          <w:color w:val="000000"/>
        </w:rPr>
        <w:t xml:space="preserve"> </w:t>
      </w:r>
    </w:p>
    <w:p w14:paraId="4EFFC85C" w14:textId="77777777" w:rsidR="00D85B9A" w:rsidRPr="004464B3" w:rsidRDefault="00D85B9A" w:rsidP="001D68DD">
      <w:pPr>
        <w:spacing w:line="360" w:lineRule="auto"/>
        <w:jc w:val="both"/>
        <w:rPr>
          <w:rFonts w:ascii="Book Antiqua" w:hAnsi="Book Antiqua"/>
        </w:rPr>
        <w:sectPr w:rsidR="00D85B9A" w:rsidRPr="004464B3">
          <w:pgSz w:w="12240" w:h="15840"/>
          <w:pgMar w:top="1440" w:right="1440" w:bottom="1440" w:left="1440" w:header="720" w:footer="720" w:gutter="0"/>
          <w:cols w:space="720"/>
          <w:docGrid w:linePitch="360"/>
        </w:sectPr>
      </w:pPr>
    </w:p>
    <w:p w14:paraId="64D089FD" w14:textId="509FD8AF" w:rsidR="00A77B3E" w:rsidRPr="004464B3" w:rsidRDefault="00C26D9A" w:rsidP="001D68DD">
      <w:pPr>
        <w:spacing w:line="360" w:lineRule="auto"/>
        <w:jc w:val="both"/>
        <w:rPr>
          <w:rFonts w:ascii="Book Antiqua" w:hAnsi="Book Antiqua"/>
        </w:rPr>
      </w:pPr>
      <w:r w:rsidRPr="004464B3">
        <w:rPr>
          <w:noProof/>
        </w:rPr>
        <w:lastRenderedPageBreak/>
        <w:drawing>
          <wp:inline distT="0" distB="0" distL="0" distR="0" wp14:anchorId="1F48A21E" wp14:editId="77F5C018">
            <wp:extent cx="5146967" cy="2990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6967" cy="2990850"/>
                    </a:xfrm>
                    <a:prstGeom prst="rect">
                      <a:avLst/>
                    </a:prstGeom>
                  </pic:spPr>
                </pic:pic>
              </a:graphicData>
            </a:graphic>
          </wp:inline>
        </w:drawing>
      </w:r>
    </w:p>
    <w:p w14:paraId="2F4A9B08" w14:textId="44BDCA59" w:rsidR="00A77B3E" w:rsidRPr="00CF17F8" w:rsidRDefault="0068711B" w:rsidP="001D68DD">
      <w:pPr>
        <w:spacing w:line="360" w:lineRule="auto"/>
        <w:jc w:val="both"/>
        <w:rPr>
          <w:rFonts w:ascii="Book Antiqua" w:hAnsi="Book Antiqua"/>
        </w:rPr>
      </w:pPr>
      <w:r w:rsidRPr="008E04BD">
        <w:rPr>
          <w:rFonts w:ascii="Book Antiqua" w:eastAsia="Book Antiqua" w:hAnsi="Book Antiqua" w:cs="Book Antiqua"/>
          <w:b/>
          <w:bCs/>
          <w:color w:val="000000"/>
        </w:rPr>
        <w:t xml:space="preserve">Figure 2 Expression of progenitor markers in HepaRG cells after the transdifferentiation process. </w:t>
      </w:r>
      <w:r w:rsidRPr="00A66726">
        <w:rPr>
          <w:rFonts w:ascii="Book Antiqua" w:eastAsia="Book Antiqua" w:hAnsi="Book Antiqua" w:cs="Book Antiqua"/>
          <w:color w:val="000000"/>
        </w:rPr>
        <w:t xml:space="preserve">A: Representative immunofluorescence images of HepaRG cells at </w:t>
      </w:r>
      <w:r w:rsidR="00CF17F8">
        <w:rPr>
          <w:rFonts w:ascii="Book Antiqua" w:eastAsia="Book Antiqua" w:hAnsi="Book Antiqua" w:cs="Book Antiqua"/>
          <w:color w:val="000000"/>
        </w:rPr>
        <w:t xml:space="preserve">passage </w:t>
      </w:r>
      <w:r w:rsidRPr="00A66726">
        <w:rPr>
          <w:rFonts w:ascii="Book Antiqua" w:eastAsia="Book Antiqua" w:hAnsi="Book Antiqua" w:cs="Book Antiqua"/>
          <w:color w:val="000000"/>
        </w:rPr>
        <w:t xml:space="preserve">10 (P10) or P20. After staining, the cells were </w:t>
      </w:r>
      <w:r w:rsidRPr="00CF17F8">
        <w:rPr>
          <w:rFonts w:ascii="Book Antiqua" w:eastAsia="Book Antiqua" w:hAnsi="Book Antiqua" w:cs="Book Antiqua"/>
          <w:color w:val="000000"/>
        </w:rPr>
        <w:t>imaged by confocal microscopy. Micrographs are shown at magnification</w:t>
      </w:r>
      <w:r w:rsidR="007569D1" w:rsidRPr="00CF17F8">
        <w:rPr>
          <w:rFonts w:ascii="Book Antiqua" w:eastAsia="Book Antiqua" w:hAnsi="Book Antiqua" w:cs="Book Antiqua"/>
          <w:color w:val="000000"/>
        </w:rPr>
        <w:t xml:space="preserve"> 200 ×</w:t>
      </w:r>
      <w:r w:rsidR="00CF2A76" w:rsidRPr="00CF17F8">
        <w:rPr>
          <w:rFonts w:ascii="Book Antiqua" w:eastAsia="Book Antiqua" w:hAnsi="Book Antiqua" w:cs="Book Antiqua"/>
          <w:color w:val="000000"/>
        </w:rPr>
        <w:t>;</w:t>
      </w:r>
      <w:r w:rsidRPr="00CF17F8">
        <w:rPr>
          <w:rFonts w:ascii="Book Antiqua" w:eastAsia="Book Antiqua" w:hAnsi="Book Antiqua" w:cs="Book Antiqua"/>
          <w:color w:val="000000"/>
        </w:rPr>
        <w:t xml:space="preserve"> B: Quantitative analysis of positive</w:t>
      </w:r>
      <w:r w:rsidR="00CF17F8">
        <w:rPr>
          <w:rFonts w:ascii="Book Antiqua" w:eastAsia="Book Antiqua" w:hAnsi="Book Antiqua" w:cs="Book Antiqua"/>
          <w:color w:val="000000"/>
        </w:rPr>
        <w:t>ly</w:t>
      </w:r>
      <w:r w:rsidRPr="00CF17F8">
        <w:rPr>
          <w:rFonts w:ascii="Book Antiqua" w:eastAsia="Book Antiqua" w:hAnsi="Book Antiqua" w:cs="Book Antiqua"/>
          <w:color w:val="000000"/>
        </w:rPr>
        <w:t xml:space="preserve"> stained cells in P10 and P20 HepaRG cells. Data in the graphs are represented as </w:t>
      </w:r>
      <w:r w:rsidR="00CF17F8">
        <w:rPr>
          <w:rFonts w:ascii="Book Antiqua" w:eastAsia="Book Antiqua" w:hAnsi="Book Antiqua" w:cs="Book Antiqua"/>
          <w:color w:val="000000"/>
        </w:rPr>
        <w:t xml:space="preserve">the </w:t>
      </w:r>
      <w:r w:rsidRPr="00CF17F8">
        <w:rPr>
          <w:rFonts w:ascii="Book Antiqua" w:eastAsia="Book Antiqua" w:hAnsi="Book Antiqua" w:cs="Book Antiqua"/>
          <w:color w:val="000000"/>
        </w:rPr>
        <w:t xml:space="preserve">mean ± </w:t>
      </w:r>
      <w:r w:rsidR="00CF17F8">
        <w:rPr>
          <w:rFonts w:ascii="Book Antiqua" w:eastAsia="Book Antiqua" w:hAnsi="Book Antiqua" w:cs="Book Antiqua"/>
          <w:color w:val="000000"/>
        </w:rPr>
        <w:t>standard deviation</w:t>
      </w:r>
      <w:r w:rsidR="00CF17F8" w:rsidRPr="00CF17F8">
        <w:rPr>
          <w:rFonts w:ascii="Book Antiqua" w:eastAsia="Book Antiqua" w:hAnsi="Book Antiqua" w:cs="Book Antiqua"/>
          <w:color w:val="000000"/>
        </w:rPr>
        <w:t xml:space="preserve"> </w:t>
      </w:r>
      <w:r w:rsidRPr="00CF17F8">
        <w:rPr>
          <w:rFonts w:ascii="Book Antiqua" w:eastAsia="Book Antiqua" w:hAnsi="Book Antiqua" w:cs="Book Antiqua"/>
          <w:color w:val="000000"/>
        </w:rPr>
        <w:t xml:space="preserve">of three independent experiments. Statistical differences were assessed by </w:t>
      </w:r>
      <w:r w:rsidR="00CF17F8">
        <w:rPr>
          <w:rFonts w:ascii="Book Antiqua" w:eastAsia="Book Antiqua" w:hAnsi="Book Antiqua" w:cs="Book Antiqua"/>
          <w:color w:val="000000"/>
        </w:rPr>
        <w:t>the S</w:t>
      </w:r>
      <w:r w:rsidRPr="00CF17F8">
        <w:rPr>
          <w:rFonts w:ascii="Book Antiqua" w:eastAsia="Book Antiqua" w:hAnsi="Book Antiqua" w:cs="Book Antiqua"/>
          <w:color w:val="000000"/>
        </w:rPr>
        <w:t xml:space="preserve">tudent’s </w:t>
      </w:r>
      <w:r w:rsidRPr="00CF17F8">
        <w:rPr>
          <w:rFonts w:ascii="Book Antiqua" w:eastAsia="Book Antiqua" w:hAnsi="Book Antiqua" w:cs="Book Antiqua"/>
          <w:i/>
          <w:iCs/>
          <w:color w:val="000000"/>
        </w:rPr>
        <w:t>t</w:t>
      </w:r>
      <w:r w:rsidRPr="00CF17F8">
        <w:rPr>
          <w:rFonts w:ascii="Book Antiqua" w:eastAsia="Book Antiqua" w:hAnsi="Book Antiqua" w:cs="Book Antiqua"/>
          <w:color w:val="000000"/>
        </w:rPr>
        <w:t xml:space="preserve">-test. </w:t>
      </w:r>
      <w:r w:rsidR="00CF2A76" w:rsidRPr="00CF17F8">
        <w:rPr>
          <w:rFonts w:ascii="Book Antiqua" w:eastAsia="Book Antiqua" w:hAnsi="Book Antiqua" w:cs="Book Antiqua"/>
          <w:color w:val="000000"/>
          <w:vertAlign w:val="superscript"/>
        </w:rPr>
        <w:t>a</w:t>
      </w:r>
      <w:r w:rsidR="00CF2A76" w:rsidRPr="00CF17F8">
        <w:rPr>
          <w:rFonts w:ascii="Book Antiqua" w:eastAsia="Book Antiqua" w:hAnsi="Book Antiqua" w:cs="Book Antiqua"/>
          <w:i/>
          <w:iCs/>
          <w:color w:val="000000"/>
        </w:rPr>
        <w:t>P</w:t>
      </w:r>
      <w:r w:rsidR="00CF2A76" w:rsidRPr="00CF17F8">
        <w:rPr>
          <w:rFonts w:ascii="Book Antiqua" w:eastAsia="Book Antiqua" w:hAnsi="Book Antiqua" w:cs="Book Antiqua"/>
          <w:color w:val="000000"/>
        </w:rPr>
        <w:t xml:space="preserve"> </w:t>
      </w:r>
      <w:r w:rsidRPr="00CF17F8">
        <w:rPr>
          <w:rFonts w:ascii="Book Antiqua" w:eastAsia="Book Antiqua" w:hAnsi="Book Antiqua" w:cs="Book Antiqua"/>
          <w:color w:val="000000"/>
        </w:rPr>
        <w:t xml:space="preserve">&lt; 0.05 </w:t>
      </w:r>
      <w:r w:rsidRPr="00CF17F8">
        <w:rPr>
          <w:rFonts w:ascii="Book Antiqua" w:eastAsia="Book Antiqua" w:hAnsi="Book Antiqua" w:cs="Book Antiqua"/>
          <w:i/>
          <w:iCs/>
          <w:color w:val="000000"/>
        </w:rPr>
        <w:t>vs</w:t>
      </w:r>
      <w:r w:rsidRPr="00CF17F8">
        <w:rPr>
          <w:rFonts w:ascii="Book Antiqua" w:eastAsia="Book Antiqua" w:hAnsi="Book Antiqua" w:cs="Book Antiqua"/>
          <w:color w:val="000000"/>
        </w:rPr>
        <w:t xml:space="preserve"> P10; </w:t>
      </w:r>
      <w:r w:rsidR="00C645A8" w:rsidRPr="00CF17F8">
        <w:rPr>
          <w:rFonts w:ascii="Book Antiqua" w:eastAsia="Book Antiqua" w:hAnsi="Book Antiqua" w:cs="Book Antiqua"/>
          <w:color w:val="000000"/>
          <w:vertAlign w:val="superscript"/>
        </w:rPr>
        <w:t>c</w:t>
      </w:r>
      <w:r w:rsidR="001B3C35" w:rsidRPr="00CF17F8">
        <w:rPr>
          <w:rFonts w:ascii="Book Antiqua" w:eastAsia="Book Antiqua" w:hAnsi="Book Antiqua" w:cs="Book Antiqua"/>
          <w:i/>
          <w:iCs/>
          <w:color w:val="000000"/>
        </w:rPr>
        <w:t>P</w:t>
      </w:r>
      <w:r w:rsidRPr="00CF17F8">
        <w:rPr>
          <w:rFonts w:ascii="Book Antiqua" w:eastAsia="Book Antiqua" w:hAnsi="Book Antiqua" w:cs="Book Antiqua"/>
          <w:color w:val="000000"/>
        </w:rPr>
        <w:t xml:space="preserve"> &lt; 0.001 </w:t>
      </w:r>
      <w:r w:rsidRPr="00CF17F8">
        <w:rPr>
          <w:rFonts w:ascii="Book Antiqua" w:eastAsia="Book Antiqua" w:hAnsi="Book Antiqua" w:cs="Book Antiqua"/>
          <w:i/>
          <w:iCs/>
          <w:color w:val="000000"/>
        </w:rPr>
        <w:t>vs</w:t>
      </w:r>
      <w:r w:rsidRPr="00CF17F8">
        <w:rPr>
          <w:rFonts w:ascii="Book Antiqua" w:eastAsia="Book Antiqua" w:hAnsi="Book Antiqua" w:cs="Book Antiqua"/>
          <w:color w:val="000000"/>
        </w:rPr>
        <w:t xml:space="preserve"> P10. </w:t>
      </w:r>
    </w:p>
    <w:p w14:paraId="7FD37F97" w14:textId="77777777" w:rsidR="00D85B9A" w:rsidRPr="004464B3" w:rsidRDefault="00D85B9A" w:rsidP="001D68DD">
      <w:pPr>
        <w:spacing w:line="360" w:lineRule="auto"/>
        <w:jc w:val="both"/>
        <w:rPr>
          <w:rFonts w:ascii="Book Antiqua" w:hAnsi="Book Antiqua"/>
        </w:rPr>
        <w:sectPr w:rsidR="00D85B9A" w:rsidRPr="004464B3">
          <w:pgSz w:w="12240" w:h="15840"/>
          <w:pgMar w:top="1440" w:right="1440" w:bottom="1440" w:left="1440" w:header="720" w:footer="720" w:gutter="0"/>
          <w:cols w:space="720"/>
          <w:docGrid w:linePitch="360"/>
        </w:sectPr>
      </w:pPr>
    </w:p>
    <w:p w14:paraId="60AC98F2" w14:textId="3BA88308" w:rsidR="00A77B3E" w:rsidRPr="00CF17F8" w:rsidRDefault="00BF1151" w:rsidP="001D68DD">
      <w:pPr>
        <w:spacing w:line="360" w:lineRule="auto"/>
        <w:jc w:val="both"/>
        <w:rPr>
          <w:rFonts w:ascii="Book Antiqua" w:hAnsi="Book Antiqua"/>
        </w:rPr>
      </w:pPr>
      <w:r w:rsidRPr="004464B3">
        <w:rPr>
          <w:noProof/>
        </w:rPr>
        <w:lastRenderedPageBreak/>
        <w:drawing>
          <wp:inline distT="0" distB="0" distL="0" distR="0" wp14:anchorId="1D792EBC" wp14:editId="7C6BE3B0">
            <wp:extent cx="5943600" cy="3390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90900"/>
                    </a:xfrm>
                    <a:prstGeom prst="rect">
                      <a:avLst/>
                    </a:prstGeom>
                  </pic:spPr>
                </pic:pic>
              </a:graphicData>
            </a:graphic>
          </wp:inline>
        </w:drawing>
      </w:r>
      <w:r w:rsidR="0068711B" w:rsidRPr="004464B3">
        <w:rPr>
          <w:rFonts w:ascii="Book Antiqua" w:eastAsia="Book Antiqua" w:hAnsi="Book Antiqua" w:cs="Book Antiqua"/>
          <w:b/>
          <w:bCs/>
          <w:color w:val="000000"/>
        </w:rPr>
        <w:t xml:space="preserve">Figure 3 Expression of progenitor markers in HepaRG cells before and after the transdifferentiation process. </w:t>
      </w:r>
      <w:r w:rsidR="0068711B" w:rsidRPr="008E04BD">
        <w:rPr>
          <w:rFonts w:ascii="Book Antiqua" w:eastAsia="Book Antiqua" w:hAnsi="Book Antiqua" w:cs="Book Antiqua"/>
          <w:color w:val="000000"/>
        </w:rPr>
        <w:t xml:space="preserve">Flow cytometry histograms of HepaRG cells at </w:t>
      </w:r>
      <w:r w:rsidR="00CF17F8">
        <w:rPr>
          <w:rFonts w:ascii="Book Antiqua" w:eastAsia="Book Antiqua" w:hAnsi="Book Antiqua" w:cs="Book Antiqua"/>
          <w:color w:val="000000"/>
        </w:rPr>
        <w:t xml:space="preserve">passage </w:t>
      </w:r>
      <w:r w:rsidR="0068711B" w:rsidRPr="008E04BD">
        <w:rPr>
          <w:rFonts w:ascii="Book Antiqua" w:eastAsia="Book Antiqua" w:hAnsi="Book Antiqua" w:cs="Book Antiqua"/>
          <w:color w:val="000000"/>
        </w:rPr>
        <w:t xml:space="preserve">10 </w:t>
      </w:r>
      <w:r w:rsidR="00CF17F8">
        <w:rPr>
          <w:rFonts w:ascii="Book Antiqua" w:eastAsia="Book Antiqua" w:hAnsi="Book Antiqua" w:cs="Book Antiqua"/>
          <w:color w:val="000000"/>
        </w:rPr>
        <w:t xml:space="preserve">(P10) </w:t>
      </w:r>
      <w:r w:rsidR="0068711B" w:rsidRPr="00CF17F8">
        <w:rPr>
          <w:rFonts w:ascii="Book Antiqua" w:eastAsia="Book Antiqua" w:hAnsi="Book Antiqua" w:cs="Book Antiqua"/>
          <w:color w:val="000000"/>
        </w:rPr>
        <w:t xml:space="preserve">or </w:t>
      </w:r>
      <w:r w:rsidR="00CF17F8">
        <w:rPr>
          <w:rFonts w:ascii="Book Antiqua" w:eastAsia="Book Antiqua" w:hAnsi="Book Antiqua" w:cs="Book Antiqua"/>
          <w:color w:val="000000"/>
        </w:rPr>
        <w:t>P</w:t>
      </w:r>
      <w:r w:rsidR="0068711B" w:rsidRPr="00CF17F8">
        <w:rPr>
          <w:rFonts w:ascii="Book Antiqua" w:eastAsia="Book Antiqua" w:hAnsi="Book Antiqua" w:cs="Book Antiqua"/>
          <w:color w:val="000000"/>
        </w:rPr>
        <w:t>20 in basal conditions or after the transdifferentiation protocol (</w:t>
      </w:r>
      <w:r w:rsidR="00215EB1">
        <w:rPr>
          <w:rFonts w:ascii="Book Antiqua" w:eastAsia="Book Antiqua" w:hAnsi="Book Antiqua" w:cs="Book Antiqua"/>
          <w:color w:val="000000"/>
        </w:rPr>
        <w:t>dimethyl sulfoxide</w:t>
      </w:r>
      <w:r w:rsidR="0068711B" w:rsidRPr="00CF17F8">
        <w:rPr>
          <w:rFonts w:ascii="Book Antiqua" w:eastAsia="Book Antiqua" w:hAnsi="Book Antiqua" w:cs="Book Antiqua"/>
          <w:color w:val="000000"/>
        </w:rPr>
        <w:t xml:space="preserve">). After staining, the cells were analyzed with flow cytometry. </w:t>
      </w:r>
    </w:p>
    <w:p w14:paraId="04F476F9" w14:textId="77777777" w:rsidR="00D85B9A" w:rsidRPr="004464B3" w:rsidRDefault="00D85B9A" w:rsidP="001D68DD">
      <w:pPr>
        <w:spacing w:line="360" w:lineRule="auto"/>
        <w:jc w:val="both"/>
        <w:rPr>
          <w:rFonts w:ascii="Book Antiqua" w:hAnsi="Book Antiqua"/>
        </w:rPr>
        <w:sectPr w:rsidR="00D85B9A" w:rsidRPr="004464B3">
          <w:pgSz w:w="12240" w:h="15840"/>
          <w:pgMar w:top="1440" w:right="1440" w:bottom="1440" w:left="1440" w:header="720" w:footer="720" w:gutter="0"/>
          <w:cols w:space="720"/>
          <w:docGrid w:linePitch="360"/>
        </w:sectPr>
      </w:pPr>
    </w:p>
    <w:p w14:paraId="587458D3" w14:textId="1375FAEE" w:rsidR="00A77B3E" w:rsidRPr="004464B3" w:rsidRDefault="00A6075B" w:rsidP="001D68DD">
      <w:pPr>
        <w:spacing w:line="360" w:lineRule="auto"/>
        <w:jc w:val="both"/>
        <w:rPr>
          <w:rFonts w:ascii="Book Antiqua" w:hAnsi="Book Antiqua"/>
        </w:rPr>
      </w:pPr>
      <w:r w:rsidRPr="004464B3">
        <w:rPr>
          <w:noProof/>
        </w:rPr>
        <w:lastRenderedPageBreak/>
        <w:drawing>
          <wp:inline distT="0" distB="0" distL="0" distR="0" wp14:anchorId="3028345C" wp14:editId="4D61B59E">
            <wp:extent cx="4889500" cy="26709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9500" cy="2670942"/>
                    </a:xfrm>
                    <a:prstGeom prst="rect">
                      <a:avLst/>
                    </a:prstGeom>
                  </pic:spPr>
                </pic:pic>
              </a:graphicData>
            </a:graphic>
          </wp:inline>
        </w:drawing>
      </w:r>
    </w:p>
    <w:p w14:paraId="0280797D" w14:textId="509BB687" w:rsidR="00A77B3E" w:rsidRPr="00215EB1" w:rsidRDefault="0068711B" w:rsidP="001D68DD">
      <w:pPr>
        <w:spacing w:line="360" w:lineRule="auto"/>
        <w:jc w:val="both"/>
        <w:rPr>
          <w:rFonts w:ascii="Book Antiqua" w:hAnsi="Book Antiqua"/>
        </w:rPr>
      </w:pPr>
      <w:r w:rsidRPr="008E04BD">
        <w:rPr>
          <w:rFonts w:ascii="Book Antiqua" w:eastAsia="Book Antiqua" w:hAnsi="Book Antiqua" w:cs="Book Antiqua"/>
          <w:b/>
          <w:bCs/>
          <w:color w:val="000000"/>
        </w:rPr>
        <w:t xml:space="preserve">Figure 4 Gene expression analysis in HepaRG cells at </w:t>
      </w:r>
      <w:r w:rsidR="00215EB1">
        <w:rPr>
          <w:rFonts w:ascii="Book Antiqua" w:eastAsia="Book Antiqua" w:hAnsi="Book Antiqua" w:cs="Book Antiqua"/>
          <w:b/>
          <w:bCs/>
          <w:color w:val="000000"/>
        </w:rPr>
        <w:t xml:space="preserve">passage </w:t>
      </w:r>
      <w:r w:rsidRPr="008E04BD">
        <w:rPr>
          <w:rFonts w:ascii="Book Antiqua" w:eastAsia="Book Antiqua" w:hAnsi="Book Antiqua" w:cs="Book Antiqua"/>
          <w:b/>
          <w:bCs/>
          <w:color w:val="000000"/>
        </w:rPr>
        <w:t xml:space="preserve">10 </w:t>
      </w:r>
      <w:r w:rsidRPr="00CF17F8">
        <w:rPr>
          <w:rFonts w:ascii="Book Antiqua" w:eastAsia="Book Antiqua" w:hAnsi="Book Antiqua" w:cs="Book Antiqua"/>
          <w:b/>
          <w:bCs/>
          <w:color w:val="000000"/>
        </w:rPr>
        <w:t>or passage</w:t>
      </w:r>
      <w:r w:rsidR="00215EB1">
        <w:rPr>
          <w:rFonts w:ascii="Book Antiqua" w:eastAsia="Book Antiqua" w:hAnsi="Book Antiqua" w:cs="Book Antiqua"/>
          <w:b/>
          <w:bCs/>
          <w:color w:val="000000"/>
        </w:rPr>
        <w:t xml:space="preserve"> 20</w:t>
      </w:r>
      <w:r w:rsidR="006D430E" w:rsidRPr="00215EB1">
        <w:rPr>
          <w:rFonts w:ascii="Book Antiqua" w:eastAsia="Book Antiqua" w:hAnsi="Book Antiqua" w:cs="Book Antiqua"/>
          <w:b/>
          <w:bCs/>
          <w:color w:val="000000"/>
        </w:rPr>
        <w:t xml:space="preserve"> </w:t>
      </w:r>
      <w:r w:rsidRPr="00215EB1">
        <w:rPr>
          <w:rFonts w:ascii="Book Antiqua" w:eastAsia="Book Antiqua" w:hAnsi="Book Antiqua" w:cs="Book Antiqua"/>
          <w:b/>
          <w:bCs/>
          <w:color w:val="000000"/>
        </w:rPr>
        <w:t>in basal conditions or after the transdifferentiation protocol (</w:t>
      </w:r>
      <w:r w:rsidR="00BE7E39" w:rsidRPr="00215EB1">
        <w:rPr>
          <w:rFonts w:ascii="Book Antiqua" w:eastAsia="Book Antiqua" w:hAnsi="Book Antiqua" w:cs="Book Antiqua"/>
          <w:b/>
          <w:bCs/>
          <w:color w:val="000000"/>
        </w:rPr>
        <w:t>dimethyl sulfoxide</w:t>
      </w:r>
      <w:r w:rsidRPr="00215EB1">
        <w:rPr>
          <w:rFonts w:ascii="Book Antiqua" w:eastAsia="Book Antiqua" w:hAnsi="Book Antiqua" w:cs="Book Antiqua"/>
          <w:b/>
          <w:bCs/>
          <w:color w:val="000000"/>
        </w:rPr>
        <w:t xml:space="preserve">). </w:t>
      </w:r>
      <w:r w:rsidR="00921B1E" w:rsidRPr="00215EB1">
        <w:rPr>
          <w:rFonts w:ascii="Book Antiqua" w:eastAsia="Book Antiqua" w:hAnsi="Book Antiqua" w:cs="Book Antiqua"/>
          <w:color w:val="000000"/>
        </w:rPr>
        <w:t xml:space="preserve">A: </w:t>
      </w:r>
      <w:r w:rsidRPr="00215EB1">
        <w:rPr>
          <w:rFonts w:ascii="Book Antiqua" w:eastAsia="Book Antiqua" w:hAnsi="Book Antiqua" w:cs="Book Antiqua"/>
          <w:color w:val="000000"/>
        </w:rPr>
        <w:t>mRNA level of albumin</w:t>
      </w:r>
      <w:r w:rsidR="00921B1E" w:rsidRPr="00215EB1">
        <w:rPr>
          <w:rFonts w:ascii="Book Antiqua" w:eastAsia="Book Antiqua" w:hAnsi="Book Antiqua" w:cs="Book Antiqua"/>
          <w:color w:val="000000"/>
        </w:rPr>
        <w:t>; B:</w:t>
      </w:r>
      <w:r w:rsidRPr="00215EB1">
        <w:rPr>
          <w:rFonts w:ascii="Book Antiqua" w:eastAsia="Book Antiqua" w:hAnsi="Book Antiqua" w:cs="Book Antiqua"/>
          <w:color w:val="000000"/>
        </w:rPr>
        <w:t xml:space="preserve"> </w:t>
      </w:r>
      <w:r w:rsidR="00921B1E" w:rsidRPr="00215EB1">
        <w:rPr>
          <w:rFonts w:ascii="Book Antiqua" w:eastAsia="Book Antiqua" w:hAnsi="Book Antiqua" w:cs="Book Antiqua"/>
          <w:color w:val="000000"/>
        </w:rPr>
        <w:t>C</w:t>
      </w:r>
      <w:r w:rsidRPr="00215EB1">
        <w:rPr>
          <w:rFonts w:ascii="Book Antiqua" w:eastAsia="Book Antiqua" w:hAnsi="Book Antiqua" w:cs="Book Antiqua"/>
          <w:color w:val="000000"/>
        </w:rPr>
        <w:t>ytochrome P350 3A4</w:t>
      </w:r>
      <w:r w:rsidR="00215EB1">
        <w:rPr>
          <w:rFonts w:ascii="Book Antiqua" w:eastAsia="Book Antiqua" w:hAnsi="Book Antiqua" w:cs="Book Antiqua"/>
          <w:color w:val="000000"/>
        </w:rPr>
        <w:t xml:space="preserve"> (CYP3A4)</w:t>
      </w:r>
      <w:r w:rsidR="00921B1E" w:rsidRPr="00215EB1">
        <w:rPr>
          <w:rFonts w:ascii="Book Antiqua" w:eastAsia="Book Antiqua" w:hAnsi="Book Antiqua" w:cs="Book Antiqua"/>
          <w:color w:val="000000"/>
        </w:rPr>
        <w:t>; C: G</w:t>
      </w:r>
      <w:r w:rsidRPr="00215EB1">
        <w:rPr>
          <w:rFonts w:ascii="Book Antiqua" w:eastAsia="Book Antiqua" w:hAnsi="Book Antiqua" w:cs="Book Antiqua"/>
          <w:color w:val="000000"/>
        </w:rPr>
        <w:t>amma-glutamyl tra</w:t>
      </w:r>
      <w:r w:rsidR="00215EB1">
        <w:rPr>
          <w:rFonts w:ascii="Book Antiqua" w:eastAsia="Book Antiqua" w:hAnsi="Book Antiqua" w:cs="Book Antiqua"/>
          <w:color w:val="000000"/>
        </w:rPr>
        <w:t>n</w:t>
      </w:r>
      <w:r w:rsidRPr="00215EB1">
        <w:rPr>
          <w:rFonts w:ascii="Book Antiqua" w:eastAsia="Book Antiqua" w:hAnsi="Book Antiqua" w:cs="Book Antiqua"/>
          <w:color w:val="000000"/>
        </w:rPr>
        <w:t>speptidase</w:t>
      </w:r>
      <w:r w:rsidR="00215EB1">
        <w:rPr>
          <w:rFonts w:ascii="Book Antiqua" w:eastAsia="Book Antiqua" w:hAnsi="Book Antiqua" w:cs="Book Antiqua"/>
          <w:color w:val="000000"/>
        </w:rPr>
        <w:t xml:space="preserve"> (</w:t>
      </w:r>
      <w:r w:rsidR="00215EB1" w:rsidRPr="00215EB1">
        <w:rPr>
          <w:rFonts w:ascii="Book Antiqua" w:eastAsia="Book Antiqua" w:hAnsi="Book Antiqua" w:cs="Book Antiqua"/>
          <w:color w:val="000000"/>
        </w:rPr>
        <w:t>γ-GT</w:t>
      </w:r>
      <w:r w:rsidR="00215EB1">
        <w:rPr>
          <w:rFonts w:ascii="Book Antiqua" w:eastAsia="Book Antiqua" w:hAnsi="Book Antiqua" w:cs="Book Antiqua"/>
          <w:color w:val="000000"/>
        </w:rPr>
        <w:t>)</w:t>
      </w:r>
      <w:r w:rsidR="00921B1E" w:rsidRPr="00215EB1">
        <w:rPr>
          <w:rFonts w:ascii="Book Antiqua" w:eastAsia="Book Antiqua" w:hAnsi="Book Antiqua" w:cs="Book Antiqua"/>
          <w:color w:val="000000"/>
        </w:rPr>
        <w:t>;</w:t>
      </w:r>
      <w:r w:rsidRPr="00215EB1">
        <w:rPr>
          <w:rFonts w:ascii="Book Antiqua" w:eastAsia="Book Antiqua" w:hAnsi="Book Antiqua" w:cs="Book Antiqua"/>
          <w:color w:val="000000"/>
        </w:rPr>
        <w:t xml:space="preserve"> </w:t>
      </w:r>
      <w:r w:rsidR="00921B1E" w:rsidRPr="00215EB1">
        <w:rPr>
          <w:rFonts w:ascii="Book Antiqua" w:eastAsia="Book Antiqua" w:hAnsi="Book Antiqua" w:cs="Book Antiqua"/>
          <w:color w:val="000000"/>
        </w:rPr>
        <w:t>D: C</w:t>
      </w:r>
      <w:r w:rsidRPr="00215EB1">
        <w:rPr>
          <w:rFonts w:ascii="Book Antiqua" w:eastAsia="Book Antiqua" w:hAnsi="Book Antiqua" w:cs="Book Antiqua"/>
          <w:color w:val="000000"/>
        </w:rPr>
        <w:t>arcinoembryonic antigen</w:t>
      </w:r>
      <w:r w:rsidR="00215EB1">
        <w:rPr>
          <w:rFonts w:ascii="Book Antiqua" w:eastAsia="Book Antiqua" w:hAnsi="Book Antiqua" w:cs="Book Antiqua"/>
          <w:color w:val="000000"/>
        </w:rPr>
        <w:t xml:space="preserve"> (CEA)</w:t>
      </w:r>
      <w:r w:rsidRPr="00215EB1">
        <w:rPr>
          <w:rFonts w:ascii="Book Antiqua" w:eastAsia="Book Antiqua" w:hAnsi="Book Antiqua" w:cs="Book Antiqua"/>
          <w:color w:val="000000"/>
        </w:rPr>
        <w:t xml:space="preserve"> measured by </w:t>
      </w:r>
      <w:r w:rsidR="00215EB1">
        <w:rPr>
          <w:rFonts w:ascii="Book Antiqua" w:eastAsia="Book Antiqua" w:hAnsi="Book Antiqua" w:cs="Book Antiqua"/>
          <w:color w:val="000000"/>
        </w:rPr>
        <w:t>reverse transcription</w:t>
      </w:r>
      <w:r w:rsidR="000317B2" w:rsidRPr="00215EB1">
        <w:rPr>
          <w:rFonts w:ascii="Book Antiqua" w:eastAsia="Book Antiqua" w:hAnsi="Book Antiqua" w:cs="Book Antiqua"/>
          <w:color w:val="000000"/>
        </w:rPr>
        <w:t>-</w:t>
      </w:r>
      <w:r w:rsidR="00215EB1">
        <w:rPr>
          <w:rFonts w:ascii="Book Antiqua" w:eastAsia="Book Antiqua" w:hAnsi="Book Antiqua" w:cs="Book Antiqua"/>
          <w:color w:val="000000"/>
        </w:rPr>
        <w:t>polymerase chain reaction</w:t>
      </w:r>
      <w:r w:rsidRPr="00215EB1">
        <w:rPr>
          <w:rFonts w:ascii="Book Antiqua" w:eastAsia="Book Antiqua" w:hAnsi="Book Antiqua" w:cs="Book Antiqua"/>
          <w:color w:val="000000"/>
        </w:rPr>
        <w:t xml:space="preserve">. Data in the graphs are represented as </w:t>
      </w:r>
      <w:r w:rsidR="00215EB1">
        <w:rPr>
          <w:rFonts w:ascii="Book Antiqua" w:eastAsia="Book Antiqua" w:hAnsi="Book Antiqua" w:cs="Book Antiqua"/>
          <w:color w:val="000000"/>
        </w:rPr>
        <w:t xml:space="preserve">the </w:t>
      </w:r>
      <w:r w:rsidRPr="00215EB1">
        <w:rPr>
          <w:rFonts w:ascii="Book Antiqua" w:eastAsia="Book Antiqua" w:hAnsi="Book Antiqua" w:cs="Book Antiqua"/>
          <w:color w:val="000000"/>
        </w:rPr>
        <w:t xml:space="preserve">mean ± </w:t>
      </w:r>
      <w:r w:rsidR="00215EB1">
        <w:rPr>
          <w:rFonts w:ascii="Book Antiqua" w:eastAsia="Book Antiqua" w:hAnsi="Book Antiqua" w:cs="Book Antiqua"/>
          <w:color w:val="000000"/>
        </w:rPr>
        <w:t>standard deviation</w:t>
      </w:r>
      <w:r w:rsidRPr="00215EB1">
        <w:rPr>
          <w:rFonts w:ascii="Book Antiqua" w:eastAsia="Book Antiqua" w:hAnsi="Book Antiqua" w:cs="Book Antiqua"/>
          <w:color w:val="000000"/>
        </w:rPr>
        <w:t xml:space="preserve"> of three independent experiments. Statistical differences were assessed by two-way analysis of variance followed by the Tukey </w:t>
      </w:r>
      <w:r w:rsidR="00215EB1">
        <w:rPr>
          <w:rFonts w:ascii="Book Antiqua" w:eastAsia="Book Antiqua" w:hAnsi="Book Antiqua" w:cs="Book Antiqua"/>
          <w:color w:val="000000"/>
        </w:rPr>
        <w:t xml:space="preserve">test </w:t>
      </w:r>
      <w:r w:rsidRPr="00215EB1">
        <w:rPr>
          <w:rFonts w:ascii="Book Antiqua" w:eastAsia="Book Antiqua" w:hAnsi="Book Antiqua" w:cs="Book Antiqua"/>
          <w:color w:val="000000"/>
        </w:rPr>
        <w:t xml:space="preserve">as </w:t>
      </w:r>
      <w:r w:rsidR="00215EB1">
        <w:rPr>
          <w:rFonts w:ascii="Book Antiqua" w:eastAsia="Book Antiqua" w:hAnsi="Book Antiqua" w:cs="Book Antiqua"/>
          <w:color w:val="000000"/>
        </w:rPr>
        <w:t xml:space="preserve">the </w:t>
      </w:r>
      <w:r w:rsidRPr="00215EB1">
        <w:rPr>
          <w:rFonts w:ascii="Book Antiqua" w:eastAsia="Book Antiqua" w:hAnsi="Book Antiqua" w:cs="Book Antiqua"/>
          <w:color w:val="000000"/>
        </w:rPr>
        <w:t xml:space="preserve">post hoc test. </w:t>
      </w:r>
      <w:r w:rsidR="00A46FF5" w:rsidRPr="00215EB1">
        <w:rPr>
          <w:rFonts w:ascii="Book Antiqua" w:eastAsia="Book Antiqua" w:hAnsi="Book Antiqua" w:cs="Book Antiqua"/>
          <w:color w:val="000000"/>
          <w:vertAlign w:val="superscript"/>
        </w:rPr>
        <w:t>a</w:t>
      </w:r>
      <w:r w:rsidR="00A46FF5" w:rsidRPr="00215EB1">
        <w:rPr>
          <w:rFonts w:ascii="Book Antiqua" w:eastAsia="Book Antiqua" w:hAnsi="Book Antiqua" w:cs="Book Antiqua"/>
          <w:i/>
          <w:iCs/>
          <w:color w:val="000000"/>
        </w:rPr>
        <w:t>P</w:t>
      </w:r>
      <w:r w:rsidRPr="00215EB1">
        <w:rPr>
          <w:rFonts w:ascii="Book Antiqua" w:eastAsia="Book Antiqua" w:hAnsi="Book Antiqua" w:cs="Book Antiqua"/>
          <w:color w:val="000000"/>
        </w:rPr>
        <w:t xml:space="preserve"> &lt; 0.05; </w:t>
      </w:r>
      <w:r w:rsidR="00A46FF5" w:rsidRPr="00215EB1">
        <w:rPr>
          <w:rFonts w:ascii="Book Antiqua" w:eastAsia="Book Antiqua" w:hAnsi="Book Antiqua" w:cs="Book Antiqua"/>
          <w:color w:val="000000"/>
          <w:vertAlign w:val="superscript"/>
        </w:rPr>
        <w:t>b</w:t>
      </w:r>
      <w:r w:rsidR="00A46FF5" w:rsidRPr="00215EB1">
        <w:rPr>
          <w:rFonts w:ascii="Book Antiqua" w:eastAsia="Book Antiqua" w:hAnsi="Book Antiqua" w:cs="Book Antiqua"/>
          <w:i/>
          <w:iCs/>
          <w:color w:val="000000"/>
        </w:rPr>
        <w:t>P</w:t>
      </w:r>
      <w:r w:rsidRPr="00215EB1">
        <w:rPr>
          <w:rFonts w:ascii="Book Antiqua" w:eastAsia="Book Antiqua" w:hAnsi="Book Antiqua" w:cs="Book Antiqua"/>
          <w:color w:val="000000"/>
        </w:rPr>
        <w:t xml:space="preserve"> &lt; 0.01; </w:t>
      </w:r>
      <w:r w:rsidR="00A46FF5" w:rsidRPr="00215EB1">
        <w:rPr>
          <w:rFonts w:ascii="Book Antiqua" w:eastAsia="Book Antiqua" w:hAnsi="Book Antiqua" w:cs="Book Antiqua"/>
          <w:color w:val="000000"/>
          <w:vertAlign w:val="superscript"/>
        </w:rPr>
        <w:t>c</w:t>
      </w:r>
      <w:r w:rsidR="00A46FF5" w:rsidRPr="00215EB1">
        <w:rPr>
          <w:rFonts w:ascii="Book Antiqua" w:eastAsia="Book Antiqua" w:hAnsi="Book Antiqua" w:cs="Book Antiqua"/>
          <w:i/>
          <w:iCs/>
          <w:color w:val="000000"/>
        </w:rPr>
        <w:t>P</w:t>
      </w:r>
      <w:r w:rsidRPr="00215EB1">
        <w:rPr>
          <w:rFonts w:ascii="Book Antiqua" w:eastAsia="Book Antiqua" w:hAnsi="Book Antiqua" w:cs="Book Antiqua"/>
          <w:color w:val="000000"/>
        </w:rPr>
        <w:t xml:space="preserve"> &lt; 0.001.</w:t>
      </w:r>
      <w:r w:rsidR="00215EB1">
        <w:rPr>
          <w:rFonts w:ascii="Book Antiqua" w:eastAsia="Book Antiqua" w:hAnsi="Book Antiqua" w:cs="Book Antiqua"/>
          <w:color w:val="000000"/>
        </w:rPr>
        <w:t xml:space="preserve"> </w:t>
      </w:r>
      <w:r w:rsidR="00DC6295" w:rsidRPr="00215EB1">
        <w:rPr>
          <w:rFonts w:ascii="Book Antiqua" w:eastAsia="Book Antiqua" w:hAnsi="Book Antiqua" w:cs="Book Antiqua"/>
          <w:color w:val="000000"/>
        </w:rPr>
        <w:t xml:space="preserve">P10: </w:t>
      </w:r>
      <w:r w:rsidR="00215EB1">
        <w:rPr>
          <w:rFonts w:ascii="Book Antiqua" w:eastAsia="Book Antiqua" w:hAnsi="Book Antiqua" w:cs="Book Antiqua"/>
          <w:color w:val="000000"/>
        </w:rPr>
        <w:t xml:space="preserve">Passage </w:t>
      </w:r>
      <w:r w:rsidR="00DC6295" w:rsidRPr="00215EB1">
        <w:rPr>
          <w:rFonts w:ascii="Book Antiqua" w:eastAsia="Book Antiqua" w:hAnsi="Book Antiqua" w:cs="Book Antiqua"/>
          <w:color w:val="000000"/>
        </w:rPr>
        <w:t xml:space="preserve">10; P20: </w:t>
      </w:r>
      <w:r w:rsidR="00215EB1">
        <w:rPr>
          <w:rFonts w:ascii="Book Antiqua" w:eastAsia="Book Antiqua" w:hAnsi="Book Antiqua" w:cs="Book Antiqua"/>
          <w:color w:val="000000"/>
        </w:rPr>
        <w:t xml:space="preserve">Passage </w:t>
      </w:r>
      <w:r w:rsidR="00DC6295" w:rsidRPr="00215EB1">
        <w:rPr>
          <w:rFonts w:ascii="Book Antiqua" w:eastAsia="Book Antiqua" w:hAnsi="Book Antiqua" w:cs="Book Antiqua"/>
          <w:color w:val="000000"/>
        </w:rPr>
        <w:t>20; DMSO: Dimethyl sulfoxide.</w:t>
      </w:r>
    </w:p>
    <w:p w14:paraId="53E787F5" w14:textId="77777777" w:rsidR="00D85B9A" w:rsidRPr="004464B3" w:rsidRDefault="00D85B9A" w:rsidP="001D68DD">
      <w:pPr>
        <w:spacing w:line="360" w:lineRule="auto"/>
        <w:jc w:val="both"/>
        <w:rPr>
          <w:rFonts w:ascii="Book Antiqua" w:hAnsi="Book Antiqua"/>
        </w:rPr>
        <w:sectPr w:rsidR="00D85B9A" w:rsidRPr="004464B3">
          <w:pgSz w:w="12240" w:h="15840"/>
          <w:pgMar w:top="1440" w:right="1440" w:bottom="1440" w:left="1440" w:header="720" w:footer="720" w:gutter="0"/>
          <w:cols w:space="720"/>
          <w:docGrid w:linePitch="360"/>
        </w:sectPr>
      </w:pPr>
    </w:p>
    <w:p w14:paraId="15C153EE" w14:textId="7A425D60" w:rsidR="00A77B3E" w:rsidRPr="004464B3" w:rsidRDefault="00CA40E4" w:rsidP="001D68DD">
      <w:pPr>
        <w:spacing w:line="360" w:lineRule="auto"/>
        <w:jc w:val="both"/>
        <w:rPr>
          <w:rFonts w:ascii="Book Antiqua" w:hAnsi="Book Antiqua"/>
        </w:rPr>
      </w:pPr>
      <w:r w:rsidRPr="004464B3">
        <w:rPr>
          <w:noProof/>
        </w:rPr>
        <w:lastRenderedPageBreak/>
        <w:drawing>
          <wp:inline distT="0" distB="0" distL="0" distR="0" wp14:anchorId="5F052170" wp14:editId="5459CC1F">
            <wp:extent cx="5943600" cy="33267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6765"/>
                    </a:xfrm>
                    <a:prstGeom prst="rect">
                      <a:avLst/>
                    </a:prstGeom>
                  </pic:spPr>
                </pic:pic>
              </a:graphicData>
            </a:graphic>
          </wp:inline>
        </w:drawing>
      </w:r>
    </w:p>
    <w:p w14:paraId="34BD88B0" w14:textId="551949C2" w:rsidR="00A77B3E" w:rsidRPr="00AA6E34" w:rsidRDefault="0068711B" w:rsidP="001D68DD">
      <w:pPr>
        <w:spacing w:line="360" w:lineRule="auto"/>
        <w:jc w:val="both"/>
        <w:rPr>
          <w:rFonts w:ascii="Book Antiqua" w:eastAsia="Book Antiqua" w:hAnsi="Book Antiqua" w:cs="Book Antiqua"/>
          <w:color w:val="000000"/>
        </w:rPr>
      </w:pPr>
      <w:r w:rsidRPr="008E04BD">
        <w:rPr>
          <w:rFonts w:ascii="Book Antiqua" w:eastAsia="Book Antiqua" w:hAnsi="Book Antiqua" w:cs="Book Antiqua"/>
          <w:b/>
          <w:bCs/>
          <w:color w:val="000000"/>
        </w:rPr>
        <w:t>Figure 5</w:t>
      </w:r>
      <w:r w:rsidR="00BE41EF" w:rsidRPr="005241F2">
        <w:rPr>
          <w:rFonts w:ascii="Book Antiqua" w:eastAsia="Book Antiqua" w:hAnsi="Book Antiqua" w:cs="Book Antiqua"/>
          <w:b/>
          <w:bCs/>
          <w:color w:val="000000"/>
        </w:rPr>
        <w:t xml:space="preserve"> </w:t>
      </w:r>
      <w:r w:rsidRPr="00215EB1">
        <w:rPr>
          <w:rFonts w:ascii="Book Antiqua" w:eastAsia="Book Antiqua" w:hAnsi="Book Antiqua" w:cs="Book Antiqua"/>
          <w:b/>
          <w:bCs/>
          <w:color w:val="000000"/>
        </w:rPr>
        <w:t xml:space="preserve">Functional tests in HepaRG cells at </w:t>
      </w:r>
      <w:r w:rsidR="00AA6E34">
        <w:rPr>
          <w:rFonts w:ascii="Book Antiqua" w:eastAsia="Book Antiqua" w:hAnsi="Book Antiqua" w:cs="Book Antiqua"/>
          <w:b/>
          <w:bCs/>
          <w:color w:val="000000"/>
        </w:rPr>
        <w:t xml:space="preserve">passage </w:t>
      </w:r>
      <w:r w:rsidRPr="00215EB1">
        <w:rPr>
          <w:rFonts w:ascii="Book Antiqua" w:eastAsia="Book Antiqua" w:hAnsi="Book Antiqua" w:cs="Book Antiqua"/>
          <w:b/>
          <w:bCs/>
          <w:color w:val="000000"/>
        </w:rPr>
        <w:t xml:space="preserve">10 </w:t>
      </w:r>
      <w:r w:rsidRPr="00AA6E34">
        <w:rPr>
          <w:rFonts w:ascii="Book Antiqua" w:eastAsia="Book Antiqua" w:hAnsi="Book Antiqua" w:cs="Book Antiqua"/>
          <w:b/>
          <w:bCs/>
          <w:color w:val="000000"/>
        </w:rPr>
        <w:t xml:space="preserve">or </w:t>
      </w:r>
      <w:r w:rsidR="00AA6E34">
        <w:rPr>
          <w:rFonts w:ascii="Book Antiqua" w:eastAsia="Book Antiqua" w:hAnsi="Book Antiqua" w:cs="Book Antiqua"/>
          <w:b/>
          <w:bCs/>
          <w:color w:val="000000"/>
        </w:rPr>
        <w:t>passage</w:t>
      </w:r>
      <w:r w:rsidRPr="00AA6E34">
        <w:rPr>
          <w:rFonts w:ascii="Book Antiqua" w:eastAsia="Book Antiqua" w:hAnsi="Book Antiqua" w:cs="Book Antiqua"/>
          <w:b/>
          <w:bCs/>
          <w:color w:val="000000"/>
        </w:rPr>
        <w:t xml:space="preserve"> 20) in basal conditions or after the transdifferentiation protocol (</w:t>
      </w:r>
      <w:r w:rsidR="00BE7E39" w:rsidRPr="00AA6E34">
        <w:rPr>
          <w:rFonts w:ascii="Book Antiqua" w:eastAsia="Book Antiqua" w:hAnsi="Book Antiqua" w:cs="Book Antiqua"/>
          <w:b/>
          <w:bCs/>
          <w:color w:val="000000"/>
        </w:rPr>
        <w:t>dimethyl sulfoxide</w:t>
      </w:r>
      <w:r w:rsidRPr="00AA6E34">
        <w:rPr>
          <w:rFonts w:ascii="Book Antiqua" w:eastAsia="Book Antiqua" w:hAnsi="Book Antiqua" w:cs="Book Antiqua"/>
          <w:b/>
          <w:bCs/>
          <w:color w:val="000000"/>
        </w:rPr>
        <w:t>).</w:t>
      </w:r>
      <w:r w:rsidRPr="006B63C8">
        <w:rPr>
          <w:rFonts w:ascii="Book Antiqua" w:eastAsia="Book Antiqua" w:hAnsi="Book Antiqua" w:cs="Book Antiqua"/>
          <w:color w:val="000000"/>
        </w:rPr>
        <w:t xml:space="preserve"> </w:t>
      </w:r>
      <w:r w:rsidR="00276F29" w:rsidRPr="006B63C8">
        <w:rPr>
          <w:rFonts w:ascii="Book Antiqua" w:eastAsia="Book Antiqua" w:hAnsi="Book Antiqua" w:cs="Book Antiqua"/>
          <w:color w:val="000000"/>
        </w:rPr>
        <w:t>A: Albumin secretion; B: Cytochrome P350 3A4</w:t>
      </w:r>
      <w:r w:rsidR="00AA6E34">
        <w:rPr>
          <w:rFonts w:ascii="Book Antiqua" w:eastAsia="Book Antiqua" w:hAnsi="Book Antiqua" w:cs="Book Antiqua"/>
          <w:color w:val="000000"/>
        </w:rPr>
        <w:t xml:space="preserve"> (CYP3A4)</w:t>
      </w:r>
      <w:r w:rsidR="00276F29" w:rsidRPr="00AA6E34">
        <w:rPr>
          <w:rFonts w:ascii="Book Antiqua" w:eastAsia="Book Antiqua" w:hAnsi="Book Antiqua" w:cs="Book Antiqua"/>
          <w:color w:val="000000"/>
        </w:rPr>
        <w:t>; C: Gamma-glutamyl tra</w:t>
      </w:r>
      <w:r w:rsidR="00AA6E34">
        <w:rPr>
          <w:rFonts w:ascii="Book Antiqua" w:eastAsia="Book Antiqua" w:hAnsi="Book Antiqua" w:cs="Book Antiqua"/>
          <w:color w:val="000000"/>
        </w:rPr>
        <w:t>n</w:t>
      </w:r>
      <w:r w:rsidR="00276F29" w:rsidRPr="00AA6E34">
        <w:rPr>
          <w:rFonts w:ascii="Book Antiqua" w:eastAsia="Book Antiqua" w:hAnsi="Book Antiqua" w:cs="Book Antiqua"/>
          <w:color w:val="000000"/>
        </w:rPr>
        <w:t>speptidase</w:t>
      </w:r>
      <w:r w:rsidR="00AA6E34">
        <w:rPr>
          <w:rFonts w:ascii="Book Antiqua" w:eastAsia="Book Antiqua" w:hAnsi="Book Antiqua" w:cs="Book Antiqua"/>
          <w:color w:val="000000"/>
        </w:rPr>
        <w:t xml:space="preserve"> (</w:t>
      </w:r>
      <w:r w:rsidR="00AA6E34" w:rsidRPr="00215EB1">
        <w:rPr>
          <w:rFonts w:ascii="Book Antiqua" w:eastAsia="Book Antiqua" w:hAnsi="Book Antiqua" w:cs="Book Antiqua"/>
          <w:color w:val="000000"/>
        </w:rPr>
        <w:t>γ-GT</w:t>
      </w:r>
      <w:r w:rsidR="00AA6E34">
        <w:rPr>
          <w:rFonts w:ascii="Book Antiqua" w:eastAsia="Book Antiqua" w:hAnsi="Book Antiqua" w:cs="Book Antiqua"/>
          <w:color w:val="000000"/>
        </w:rPr>
        <w:t>)</w:t>
      </w:r>
      <w:r w:rsidR="00276F29" w:rsidRPr="00AA6E34">
        <w:rPr>
          <w:rFonts w:ascii="Book Antiqua" w:eastAsia="Book Antiqua" w:hAnsi="Book Antiqua" w:cs="Book Antiqua"/>
          <w:color w:val="000000"/>
        </w:rPr>
        <w:t xml:space="preserve"> activities. </w:t>
      </w:r>
      <w:r w:rsidRPr="00AA6E34">
        <w:rPr>
          <w:rFonts w:ascii="Book Antiqua" w:eastAsia="Book Antiqua" w:hAnsi="Book Antiqua" w:cs="Book Antiqua"/>
          <w:color w:val="000000"/>
        </w:rPr>
        <w:t xml:space="preserve">Data in the graphs are represented as </w:t>
      </w:r>
      <w:r w:rsidR="00AA6E34">
        <w:rPr>
          <w:rFonts w:ascii="Book Antiqua" w:eastAsia="Book Antiqua" w:hAnsi="Book Antiqua" w:cs="Book Antiqua"/>
          <w:color w:val="000000"/>
        </w:rPr>
        <w:t xml:space="preserve">the </w:t>
      </w:r>
      <w:r w:rsidRPr="00AA6E34">
        <w:rPr>
          <w:rFonts w:ascii="Book Antiqua" w:eastAsia="Book Antiqua" w:hAnsi="Book Antiqua" w:cs="Book Antiqua"/>
          <w:color w:val="000000"/>
        </w:rPr>
        <w:t xml:space="preserve">mean ± </w:t>
      </w:r>
      <w:r w:rsidR="00AA6E34">
        <w:rPr>
          <w:rFonts w:ascii="Book Antiqua" w:eastAsia="Book Antiqua" w:hAnsi="Book Antiqua" w:cs="Book Antiqua"/>
          <w:color w:val="000000"/>
        </w:rPr>
        <w:t>standard deviation</w:t>
      </w:r>
      <w:r w:rsidRPr="00AA6E34">
        <w:rPr>
          <w:rFonts w:ascii="Book Antiqua" w:eastAsia="Book Antiqua" w:hAnsi="Book Antiqua" w:cs="Book Antiqua"/>
          <w:color w:val="000000"/>
        </w:rPr>
        <w:t xml:space="preserve"> of three independent experiments. Statistical differences were assessed by two-way </w:t>
      </w:r>
      <w:r w:rsidR="00AA6E34">
        <w:rPr>
          <w:rFonts w:ascii="Book Antiqua" w:eastAsia="Book Antiqua" w:hAnsi="Book Antiqua" w:cs="Book Antiqua"/>
          <w:color w:val="000000"/>
        </w:rPr>
        <w:t>analysis of variance</w:t>
      </w:r>
      <w:r w:rsidR="00AA6E34" w:rsidRPr="00AA6E34">
        <w:rPr>
          <w:rFonts w:ascii="Book Antiqua" w:eastAsia="Book Antiqua" w:hAnsi="Book Antiqua" w:cs="Book Antiqua"/>
          <w:color w:val="000000"/>
        </w:rPr>
        <w:t xml:space="preserve"> </w:t>
      </w:r>
      <w:r w:rsidRPr="00AA6E34">
        <w:rPr>
          <w:rFonts w:ascii="Book Antiqua" w:eastAsia="Book Antiqua" w:hAnsi="Book Antiqua" w:cs="Book Antiqua"/>
          <w:color w:val="000000"/>
        </w:rPr>
        <w:t>followed by the Tukey</w:t>
      </w:r>
      <w:r w:rsidR="00AA6E34">
        <w:rPr>
          <w:rFonts w:ascii="Book Antiqua" w:eastAsia="Book Antiqua" w:hAnsi="Book Antiqua" w:cs="Book Antiqua"/>
          <w:color w:val="000000"/>
        </w:rPr>
        <w:t xml:space="preserve"> test</w:t>
      </w:r>
      <w:r w:rsidRPr="00AA6E34">
        <w:rPr>
          <w:rFonts w:ascii="Book Antiqua" w:eastAsia="Book Antiqua" w:hAnsi="Book Antiqua" w:cs="Book Antiqua"/>
          <w:color w:val="000000"/>
        </w:rPr>
        <w:t xml:space="preserve"> as </w:t>
      </w:r>
      <w:r w:rsidR="00AA6E34">
        <w:rPr>
          <w:rFonts w:ascii="Book Antiqua" w:eastAsia="Book Antiqua" w:hAnsi="Book Antiqua" w:cs="Book Antiqua"/>
          <w:color w:val="000000"/>
        </w:rPr>
        <w:t xml:space="preserve">the </w:t>
      </w:r>
      <w:r w:rsidRPr="00AA6E34">
        <w:rPr>
          <w:rFonts w:ascii="Book Antiqua" w:eastAsia="Book Antiqua" w:hAnsi="Book Antiqua" w:cs="Book Antiqua"/>
          <w:color w:val="000000"/>
        </w:rPr>
        <w:t xml:space="preserve">post hoc test. </w:t>
      </w:r>
      <w:r w:rsidR="00276F29" w:rsidRPr="00AA6E34">
        <w:rPr>
          <w:rFonts w:ascii="Book Antiqua" w:eastAsia="Book Antiqua" w:hAnsi="Book Antiqua" w:cs="Book Antiqua"/>
          <w:color w:val="000000"/>
          <w:vertAlign w:val="superscript"/>
        </w:rPr>
        <w:t>a</w:t>
      </w:r>
      <w:r w:rsidR="00276F29" w:rsidRPr="00AA6E34">
        <w:rPr>
          <w:rFonts w:ascii="Book Antiqua" w:eastAsia="Book Antiqua" w:hAnsi="Book Antiqua" w:cs="Book Antiqua"/>
          <w:i/>
          <w:iCs/>
          <w:color w:val="000000"/>
        </w:rPr>
        <w:t>P</w:t>
      </w:r>
      <w:r w:rsidRPr="00AA6E34">
        <w:rPr>
          <w:rFonts w:ascii="Book Antiqua" w:eastAsia="Book Antiqua" w:hAnsi="Book Antiqua" w:cs="Book Antiqua"/>
          <w:color w:val="000000"/>
        </w:rPr>
        <w:t xml:space="preserve"> &lt; 0.05; </w:t>
      </w:r>
      <w:r w:rsidR="00276F29" w:rsidRPr="00AA6E34">
        <w:rPr>
          <w:rFonts w:ascii="Book Antiqua" w:eastAsia="Book Antiqua" w:hAnsi="Book Antiqua" w:cs="Book Antiqua"/>
          <w:color w:val="000000"/>
          <w:vertAlign w:val="superscript"/>
        </w:rPr>
        <w:t>b</w:t>
      </w:r>
      <w:r w:rsidR="00276F29" w:rsidRPr="00AA6E34">
        <w:rPr>
          <w:rFonts w:ascii="Book Antiqua" w:eastAsia="Book Antiqua" w:hAnsi="Book Antiqua" w:cs="Book Antiqua"/>
          <w:i/>
          <w:iCs/>
          <w:color w:val="000000"/>
        </w:rPr>
        <w:t>P</w:t>
      </w:r>
      <w:r w:rsidRPr="00AA6E34">
        <w:rPr>
          <w:rFonts w:ascii="Book Antiqua" w:eastAsia="Book Antiqua" w:hAnsi="Book Antiqua" w:cs="Book Antiqua"/>
          <w:color w:val="000000"/>
        </w:rPr>
        <w:t xml:space="preserve"> &lt; 0.01; </w:t>
      </w:r>
      <w:r w:rsidR="00276F29" w:rsidRPr="00AA6E34">
        <w:rPr>
          <w:rFonts w:ascii="Book Antiqua" w:eastAsia="Book Antiqua" w:hAnsi="Book Antiqua" w:cs="Book Antiqua"/>
          <w:color w:val="000000"/>
          <w:vertAlign w:val="superscript"/>
        </w:rPr>
        <w:t>c</w:t>
      </w:r>
      <w:r w:rsidR="00276F29" w:rsidRPr="00AA6E34">
        <w:rPr>
          <w:rFonts w:ascii="Book Antiqua" w:eastAsia="Book Antiqua" w:hAnsi="Book Antiqua" w:cs="Book Antiqua"/>
          <w:i/>
          <w:iCs/>
          <w:color w:val="000000"/>
        </w:rPr>
        <w:t>P</w:t>
      </w:r>
      <w:r w:rsidRPr="00AA6E34">
        <w:rPr>
          <w:rFonts w:ascii="Book Antiqua" w:eastAsia="Book Antiqua" w:hAnsi="Book Antiqua" w:cs="Book Antiqua"/>
          <w:color w:val="000000"/>
        </w:rPr>
        <w:t xml:space="preserve"> &lt; 0.001. </w:t>
      </w:r>
      <w:r w:rsidR="009552A0" w:rsidRPr="00AA6E34">
        <w:rPr>
          <w:rFonts w:ascii="Book Antiqua" w:eastAsia="Book Antiqua" w:hAnsi="Book Antiqua" w:cs="Book Antiqua"/>
          <w:color w:val="000000"/>
        </w:rPr>
        <w:t xml:space="preserve">P10: </w:t>
      </w:r>
      <w:r w:rsidR="00AA6E34">
        <w:rPr>
          <w:rFonts w:ascii="Book Antiqua" w:eastAsia="Book Antiqua" w:hAnsi="Book Antiqua" w:cs="Book Antiqua"/>
          <w:color w:val="000000"/>
        </w:rPr>
        <w:t xml:space="preserve">Passage </w:t>
      </w:r>
      <w:r w:rsidR="009552A0" w:rsidRPr="00AA6E34">
        <w:rPr>
          <w:rFonts w:ascii="Book Antiqua" w:eastAsia="Book Antiqua" w:hAnsi="Book Antiqua" w:cs="Book Antiqua"/>
          <w:color w:val="000000"/>
        </w:rPr>
        <w:t xml:space="preserve">10; P20: </w:t>
      </w:r>
      <w:r w:rsidR="00AA6E34">
        <w:rPr>
          <w:rFonts w:ascii="Book Antiqua" w:eastAsia="Book Antiqua" w:hAnsi="Book Antiqua" w:cs="Book Antiqua"/>
          <w:color w:val="000000"/>
        </w:rPr>
        <w:t xml:space="preserve">Passage </w:t>
      </w:r>
      <w:r w:rsidR="009552A0" w:rsidRPr="00AA6E34">
        <w:rPr>
          <w:rFonts w:ascii="Book Antiqua" w:eastAsia="Book Antiqua" w:hAnsi="Book Antiqua" w:cs="Book Antiqua"/>
          <w:color w:val="000000"/>
        </w:rPr>
        <w:t>20; DMSO: Dimethyl sulfoxide.</w:t>
      </w:r>
    </w:p>
    <w:p w14:paraId="6286622B" w14:textId="77777777" w:rsidR="00D85B9A" w:rsidRPr="004464B3" w:rsidRDefault="00D85B9A" w:rsidP="001D68DD">
      <w:pPr>
        <w:spacing w:line="360" w:lineRule="auto"/>
        <w:jc w:val="both"/>
        <w:rPr>
          <w:rFonts w:ascii="Book Antiqua" w:hAnsi="Book Antiqua"/>
        </w:rPr>
        <w:sectPr w:rsidR="00D85B9A" w:rsidRPr="004464B3">
          <w:pgSz w:w="12240" w:h="15840"/>
          <w:pgMar w:top="1440" w:right="1440" w:bottom="1440" w:left="1440" w:header="720" w:footer="720" w:gutter="0"/>
          <w:cols w:space="720"/>
          <w:docGrid w:linePitch="360"/>
        </w:sectPr>
      </w:pPr>
    </w:p>
    <w:p w14:paraId="66318D65" w14:textId="6FFB64C1" w:rsidR="00A77B3E" w:rsidRPr="004464B3" w:rsidRDefault="00BE41EF" w:rsidP="001D68DD">
      <w:pPr>
        <w:spacing w:line="360" w:lineRule="auto"/>
        <w:jc w:val="both"/>
        <w:rPr>
          <w:rFonts w:ascii="Book Antiqua" w:hAnsi="Book Antiqua"/>
        </w:rPr>
      </w:pPr>
      <w:r w:rsidRPr="004464B3">
        <w:rPr>
          <w:noProof/>
        </w:rPr>
        <w:lastRenderedPageBreak/>
        <w:drawing>
          <wp:inline distT="0" distB="0" distL="0" distR="0" wp14:anchorId="1A554557" wp14:editId="42ED1350">
            <wp:extent cx="4552950" cy="25333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3039" cy="2533357"/>
                    </a:xfrm>
                    <a:prstGeom prst="rect">
                      <a:avLst/>
                    </a:prstGeom>
                  </pic:spPr>
                </pic:pic>
              </a:graphicData>
            </a:graphic>
          </wp:inline>
        </w:drawing>
      </w:r>
    </w:p>
    <w:p w14:paraId="160A4425" w14:textId="0F9427DD" w:rsidR="00A77B3E" w:rsidRPr="005241F2" w:rsidRDefault="0068711B" w:rsidP="001D68DD">
      <w:pPr>
        <w:spacing w:line="360" w:lineRule="auto"/>
        <w:jc w:val="both"/>
        <w:rPr>
          <w:rFonts w:ascii="Book Antiqua" w:eastAsia="Book Antiqua" w:hAnsi="Book Antiqua" w:cs="Book Antiqua"/>
          <w:color w:val="000000"/>
        </w:rPr>
      </w:pPr>
      <w:r w:rsidRPr="0087104B">
        <w:rPr>
          <w:rFonts w:ascii="Book Antiqua" w:eastAsia="Book Antiqua" w:hAnsi="Book Antiqua" w:cs="Book Antiqua"/>
          <w:b/>
          <w:bCs/>
          <w:color w:val="000000"/>
        </w:rPr>
        <w:t xml:space="preserve">Figure 6 </w:t>
      </w:r>
      <w:r w:rsidRPr="008E04BD">
        <w:rPr>
          <w:rFonts w:ascii="Book Antiqua" w:eastAsia="Book Antiqua" w:hAnsi="Book Antiqua" w:cs="Book Antiqua"/>
          <w:b/>
          <w:bCs/>
          <w:color w:val="000000"/>
        </w:rPr>
        <w:t>Measurement of mitochondrial respiration in HepaRG cells at</w:t>
      </w:r>
      <w:r w:rsidR="006146F7">
        <w:rPr>
          <w:rFonts w:ascii="Book Antiqua" w:eastAsia="Book Antiqua" w:hAnsi="Book Antiqua" w:cs="Book Antiqua"/>
          <w:b/>
          <w:bCs/>
          <w:color w:val="000000"/>
        </w:rPr>
        <w:t xml:space="preserve"> passage</w:t>
      </w:r>
      <w:r w:rsidRPr="008E04BD">
        <w:rPr>
          <w:rFonts w:ascii="Book Antiqua" w:eastAsia="Book Antiqua" w:hAnsi="Book Antiqua" w:cs="Book Antiqua"/>
          <w:b/>
          <w:bCs/>
          <w:color w:val="000000"/>
        </w:rPr>
        <w:t xml:space="preserve"> 10 or </w:t>
      </w:r>
      <w:r w:rsidR="006146F7">
        <w:rPr>
          <w:rFonts w:ascii="Book Antiqua" w:eastAsia="Book Antiqua" w:hAnsi="Book Antiqua" w:cs="Book Antiqua"/>
          <w:b/>
          <w:bCs/>
          <w:color w:val="000000"/>
        </w:rPr>
        <w:t>passage</w:t>
      </w:r>
      <w:r w:rsidR="006146F7" w:rsidRPr="008E04BD">
        <w:rPr>
          <w:rFonts w:ascii="Book Antiqua" w:eastAsia="Book Antiqua" w:hAnsi="Book Antiqua" w:cs="Book Antiqua"/>
          <w:b/>
          <w:bCs/>
          <w:color w:val="000000"/>
        </w:rPr>
        <w:t xml:space="preserve"> </w:t>
      </w:r>
      <w:r w:rsidRPr="008E04BD">
        <w:rPr>
          <w:rFonts w:ascii="Book Antiqua" w:eastAsia="Book Antiqua" w:hAnsi="Book Antiqua" w:cs="Book Antiqua"/>
          <w:b/>
          <w:bCs/>
          <w:color w:val="000000"/>
        </w:rPr>
        <w:t>20 in basal conditions or after the transdifferentiation protocol (</w:t>
      </w:r>
      <w:r w:rsidR="00BE7E39" w:rsidRPr="005241F2">
        <w:rPr>
          <w:rFonts w:ascii="Book Antiqua" w:eastAsia="Book Antiqua" w:hAnsi="Book Antiqua" w:cs="Book Antiqua"/>
          <w:b/>
          <w:bCs/>
          <w:color w:val="000000"/>
        </w:rPr>
        <w:t>dimethyl sulfoxide</w:t>
      </w:r>
      <w:r w:rsidRPr="006146F7">
        <w:rPr>
          <w:rFonts w:ascii="Book Antiqua" w:eastAsia="Book Antiqua" w:hAnsi="Book Antiqua" w:cs="Book Antiqua"/>
          <w:b/>
          <w:bCs/>
          <w:color w:val="000000"/>
        </w:rPr>
        <w:t xml:space="preserve">). </w:t>
      </w:r>
      <w:r w:rsidRPr="006146F7">
        <w:rPr>
          <w:rFonts w:ascii="Book Antiqua" w:eastAsia="Book Antiqua" w:hAnsi="Book Antiqua" w:cs="Book Antiqua"/>
          <w:color w:val="000000"/>
        </w:rPr>
        <w:t>A: Representative oxymetric traces of mitochondrial respiration in HepaRG cells. Where indicated, the following were added: 4</w:t>
      </w:r>
      <w:r w:rsidR="005A2A96" w:rsidRPr="006146F7">
        <w:rPr>
          <w:rFonts w:ascii="Book Antiqua" w:eastAsia="Book Antiqua" w:hAnsi="Book Antiqua" w:cs="Book Antiqua"/>
          <w:color w:val="000000"/>
        </w:rPr>
        <w:t xml:space="preserve"> </w:t>
      </w:r>
      <w:r w:rsidRPr="00AA6E34">
        <w:rPr>
          <w:rFonts w:ascii="Book Antiqua" w:eastAsia="Book Antiqua" w:hAnsi="Book Antiqua" w:cs="Book Antiqua"/>
          <w:color w:val="000000"/>
        </w:rPr>
        <w:t>×</w:t>
      </w:r>
      <w:r w:rsidR="005A2A96" w:rsidRPr="00AA6E34">
        <w:rPr>
          <w:rFonts w:ascii="Book Antiqua" w:eastAsia="Book Antiqua" w:hAnsi="Book Antiqua" w:cs="Book Antiqua"/>
          <w:color w:val="000000"/>
        </w:rPr>
        <w:t xml:space="preserve"> </w:t>
      </w:r>
      <w:r w:rsidRPr="00AA6E34">
        <w:rPr>
          <w:rFonts w:ascii="Book Antiqua" w:eastAsia="Book Antiqua" w:hAnsi="Book Antiqua" w:cs="Book Antiqua"/>
          <w:color w:val="000000"/>
        </w:rPr>
        <w:t>10</w:t>
      </w:r>
      <w:r w:rsidRPr="00AA6E34">
        <w:rPr>
          <w:rFonts w:ascii="Book Antiqua" w:eastAsia="Book Antiqua" w:hAnsi="Book Antiqua" w:cs="Book Antiqua"/>
          <w:color w:val="000000"/>
          <w:vertAlign w:val="superscript"/>
        </w:rPr>
        <w:t>6</w:t>
      </w:r>
      <w:r w:rsidRPr="00AA6E34">
        <w:rPr>
          <w:rFonts w:ascii="Book Antiqua" w:eastAsia="Book Antiqua" w:hAnsi="Book Antiqua" w:cs="Book Antiqua"/>
          <w:color w:val="000000"/>
        </w:rPr>
        <w:t xml:space="preserve"> HepaRG </w:t>
      </w:r>
      <w:r w:rsidR="00AA6E34">
        <w:rPr>
          <w:rFonts w:ascii="Book Antiqua" w:eastAsia="Book Antiqua" w:hAnsi="Book Antiqua" w:cs="Book Antiqua"/>
          <w:color w:val="000000"/>
        </w:rPr>
        <w:t>c</w:t>
      </w:r>
      <w:r w:rsidRPr="004464B3">
        <w:rPr>
          <w:rFonts w:ascii="Book Antiqua" w:eastAsia="Book Antiqua" w:hAnsi="Book Antiqua" w:cs="Book Antiqua"/>
          <w:color w:val="000000"/>
        </w:rPr>
        <w:t xml:space="preserve">ells, 8 </w:t>
      </w:r>
      <w:r w:rsidR="005A2A96" w:rsidRPr="004464B3">
        <w:rPr>
          <w:rFonts w:ascii="Book Antiqua" w:eastAsia="Book Antiqua" w:hAnsi="Book Antiqua" w:cs="Book Antiqua"/>
          <w:color w:val="000000"/>
        </w:rPr>
        <w:t>μ</w:t>
      </w:r>
      <w:r w:rsidRPr="004464B3">
        <w:rPr>
          <w:rFonts w:ascii="Book Antiqua" w:eastAsia="Book Antiqua" w:hAnsi="Book Antiqua" w:cs="Book Antiqua"/>
          <w:color w:val="000000"/>
        </w:rPr>
        <w:t>g/m</w:t>
      </w:r>
      <w:r w:rsidR="00E44F24" w:rsidRPr="004464B3">
        <w:rPr>
          <w:rFonts w:ascii="Book Antiqua" w:eastAsia="Book Antiqua" w:hAnsi="Book Antiqua" w:cs="Book Antiqua"/>
          <w:color w:val="000000"/>
        </w:rPr>
        <w:t xml:space="preserve">L </w:t>
      </w:r>
      <w:r w:rsidRPr="004464B3">
        <w:rPr>
          <w:rFonts w:ascii="Book Antiqua" w:eastAsia="Book Antiqua" w:hAnsi="Book Antiqua" w:cs="Book Antiqua"/>
          <w:color w:val="000000"/>
        </w:rPr>
        <w:t>oligomycin</w:t>
      </w:r>
      <w:r w:rsidR="00270505" w:rsidRPr="004464B3">
        <w:rPr>
          <w:rFonts w:ascii="Book Antiqua" w:eastAsia="Book Antiqua" w:hAnsi="Book Antiqua" w:cs="Book Antiqua"/>
          <w:color w:val="000000"/>
        </w:rPr>
        <w:t xml:space="preserve"> (OL)</w:t>
      </w:r>
      <w:r w:rsidRPr="004464B3">
        <w:rPr>
          <w:rFonts w:ascii="Book Antiqua" w:eastAsia="Book Antiqua" w:hAnsi="Book Antiqua" w:cs="Book Antiqua"/>
          <w:color w:val="000000"/>
        </w:rPr>
        <w:t xml:space="preserve">, 2 </w:t>
      </w:r>
      <w:r w:rsidR="00922A51" w:rsidRPr="004464B3">
        <w:rPr>
          <w:rFonts w:ascii="Book Antiqua" w:eastAsia="Book Antiqua" w:hAnsi="Book Antiqua" w:cs="Book Antiqua"/>
          <w:color w:val="000000"/>
        </w:rPr>
        <w:t>μ</w:t>
      </w:r>
      <w:r w:rsidRPr="004464B3">
        <w:rPr>
          <w:rFonts w:ascii="Book Antiqua" w:eastAsia="Book Antiqua" w:hAnsi="Book Antiqua" w:cs="Book Antiqua"/>
          <w:color w:val="000000"/>
        </w:rPr>
        <w:t>g/mL valinomycin (</w:t>
      </w:r>
      <w:r w:rsidR="00556C25" w:rsidRPr="004464B3">
        <w:rPr>
          <w:rFonts w:ascii="Book Antiqua" w:eastAsia="Book Antiqua" w:hAnsi="Book Antiqua" w:cs="Book Antiqua"/>
          <w:color w:val="000000"/>
        </w:rPr>
        <w:t>VAL</w:t>
      </w:r>
      <w:r w:rsidRPr="004464B3">
        <w:rPr>
          <w:rFonts w:ascii="Book Antiqua" w:eastAsia="Book Antiqua" w:hAnsi="Book Antiqua" w:cs="Book Antiqua"/>
          <w:color w:val="000000"/>
        </w:rPr>
        <w:t xml:space="preserve">), 3 mmol/L </w:t>
      </w:r>
      <w:r w:rsidR="006B63C8">
        <w:rPr>
          <w:rFonts w:ascii="Book Antiqua" w:eastAsia="Book Antiqua" w:hAnsi="Book Antiqua" w:cs="Book Antiqua"/>
          <w:color w:val="000000"/>
        </w:rPr>
        <w:t>potassium cyanide (</w:t>
      </w:r>
      <w:r w:rsidRPr="006B63C8">
        <w:rPr>
          <w:rFonts w:ascii="Book Antiqua" w:eastAsia="Book Antiqua" w:hAnsi="Book Antiqua" w:cs="Book Antiqua"/>
          <w:color w:val="000000"/>
        </w:rPr>
        <w:t>KCN</w:t>
      </w:r>
      <w:r w:rsidR="006B63C8">
        <w:rPr>
          <w:rFonts w:ascii="Book Antiqua" w:eastAsia="Book Antiqua" w:hAnsi="Book Antiqua" w:cs="Book Antiqua"/>
          <w:color w:val="000000"/>
        </w:rPr>
        <w:t>)</w:t>
      </w:r>
      <w:r w:rsidRPr="006B63C8">
        <w:rPr>
          <w:rFonts w:ascii="Book Antiqua" w:eastAsia="Book Antiqua" w:hAnsi="Book Antiqua" w:cs="Book Antiqua"/>
          <w:color w:val="000000"/>
        </w:rPr>
        <w:t xml:space="preserve">. The continuous line represents the </w:t>
      </w:r>
      <w:r w:rsidR="00AA6E34">
        <w:rPr>
          <w:rFonts w:ascii="Book Antiqua" w:eastAsia="Book Antiqua" w:hAnsi="Book Antiqua" w:cs="Book Antiqua"/>
          <w:color w:val="000000"/>
        </w:rPr>
        <w:t>oxygen</w:t>
      </w:r>
      <w:r w:rsidR="00AA6E34" w:rsidRPr="00AA6E34">
        <w:rPr>
          <w:rFonts w:ascii="Book Antiqua" w:eastAsia="Book Antiqua" w:hAnsi="Book Antiqua" w:cs="Book Antiqua"/>
          <w:color w:val="000000"/>
        </w:rPr>
        <w:t xml:space="preserve"> </w:t>
      </w:r>
      <w:r w:rsidRPr="00AA6E34">
        <w:rPr>
          <w:rFonts w:ascii="Book Antiqua" w:eastAsia="Book Antiqua" w:hAnsi="Book Antiqua" w:cs="Book Antiqua"/>
          <w:color w:val="000000"/>
        </w:rPr>
        <w:t>concentration measured every 0.1 s throughout the time-course of the assay</w:t>
      </w:r>
      <w:r w:rsidR="00782FB2" w:rsidRPr="00AA6E34">
        <w:rPr>
          <w:rFonts w:ascii="Book Antiqua" w:eastAsia="Book Antiqua" w:hAnsi="Book Antiqua" w:cs="Book Antiqua"/>
          <w:color w:val="000000"/>
        </w:rPr>
        <w:t>;</w:t>
      </w:r>
      <w:r w:rsidRPr="006B63C8">
        <w:rPr>
          <w:rFonts w:ascii="Book Antiqua" w:eastAsia="Book Antiqua" w:hAnsi="Book Antiqua" w:cs="Book Antiqua"/>
          <w:color w:val="000000"/>
        </w:rPr>
        <w:t xml:space="preserve"> B: Representative graph of the normalized and KCN-insensitive-corrected oxygen consumption rates measured under resting </w:t>
      </w:r>
      <w:r w:rsidR="00AA6E34">
        <w:rPr>
          <w:rFonts w:ascii="Book Antiqua" w:eastAsia="Book Antiqua" w:hAnsi="Book Antiqua" w:cs="Book Antiqua"/>
          <w:color w:val="000000"/>
        </w:rPr>
        <w:t xml:space="preserve">respiration (RR) </w:t>
      </w:r>
      <w:r w:rsidRPr="00AA6E34">
        <w:rPr>
          <w:rFonts w:ascii="Book Antiqua" w:eastAsia="Book Antiqua" w:hAnsi="Book Antiqua" w:cs="Book Antiqua"/>
          <w:color w:val="000000"/>
        </w:rPr>
        <w:t xml:space="preserve">conditions, in the presence of </w:t>
      </w:r>
      <w:r w:rsidR="00E44F24" w:rsidRPr="00AA6E34">
        <w:rPr>
          <w:rFonts w:ascii="Book Antiqua" w:eastAsia="Book Antiqua" w:hAnsi="Book Antiqua" w:cs="Book Antiqua"/>
          <w:color w:val="000000"/>
        </w:rPr>
        <w:t>OL</w:t>
      </w:r>
      <w:r w:rsidRPr="00AA6E34">
        <w:rPr>
          <w:rFonts w:ascii="Book Antiqua" w:eastAsia="Book Antiqua" w:hAnsi="Book Antiqua" w:cs="Book Antiqua"/>
          <w:color w:val="000000"/>
        </w:rPr>
        <w:t xml:space="preserve"> and in the presence of VAL (see panel A)</w:t>
      </w:r>
      <w:r w:rsidR="00412051" w:rsidRPr="00AA6E34">
        <w:rPr>
          <w:rFonts w:ascii="Book Antiqua" w:eastAsia="Book Antiqua" w:hAnsi="Book Antiqua" w:cs="Book Antiqua"/>
          <w:color w:val="000000"/>
        </w:rPr>
        <w:t xml:space="preserve">; </w:t>
      </w:r>
      <w:r w:rsidRPr="006B63C8">
        <w:rPr>
          <w:rFonts w:ascii="Book Antiqua" w:eastAsia="Book Antiqua" w:hAnsi="Book Antiqua" w:cs="Book Antiqua"/>
          <w:color w:val="000000"/>
        </w:rPr>
        <w:t xml:space="preserve">C: ATP-dependent </w:t>
      </w:r>
      <w:r w:rsidR="006B63C8">
        <w:rPr>
          <w:rFonts w:ascii="Book Antiqua" w:eastAsia="Book Antiqua" w:hAnsi="Book Antiqua" w:cs="Book Antiqua"/>
          <w:color w:val="000000"/>
        </w:rPr>
        <w:t>oxygen</w:t>
      </w:r>
      <w:r w:rsidR="006B63C8" w:rsidRPr="006B63C8">
        <w:rPr>
          <w:rFonts w:ascii="Book Antiqua" w:eastAsia="Book Antiqua" w:hAnsi="Book Antiqua" w:cs="Book Antiqua"/>
          <w:color w:val="000000"/>
        </w:rPr>
        <w:t xml:space="preserve"> </w:t>
      </w:r>
      <w:r w:rsidRPr="006B63C8">
        <w:rPr>
          <w:rFonts w:ascii="Book Antiqua" w:eastAsia="Book Antiqua" w:hAnsi="Book Antiqua" w:cs="Book Antiqua"/>
          <w:color w:val="000000"/>
        </w:rPr>
        <w:t>consumption measured as absolute difference between that obtained in the absence and that in the presence of oligomycin (RR-OL)</w:t>
      </w:r>
      <w:r w:rsidR="000A52BC" w:rsidRPr="006B63C8">
        <w:rPr>
          <w:rFonts w:ascii="Book Antiqua" w:eastAsia="Book Antiqua" w:hAnsi="Book Antiqua" w:cs="Book Antiqua"/>
          <w:color w:val="000000"/>
        </w:rPr>
        <w:t xml:space="preserve">; </w:t>
      </w:r>
      <w:r w:rsidRPr="006B63C8">
        <w:rPr>
          <w:rFonts w:ascii="Book Antiqua" w:eastAsia="Book Antiqua" w:hAnsi="Book Antiqua" w:cs="Book Antiqua"/>
          <w:color w:val="000000"/>
        </w:rPr>
        <w:t xml:space="preserve">D: Respiratory control ratios obtained dividing the oxygen consumption rates measured under resting conditions by that in the presence of oligomycin (RR/OL). Data in the graphs are represented as </w:t>
      </w:r>
      <w:r w:rsidR="006B63C8">
        <w:rPr>
          <w:rFonts w:ascii="Book Antiqua" w:eastAsia="Book Antiqua" w:hAnsi="Book Antiqua" w:cs="Book Antiqua"/>
          <w:color w:val="000000"/>
        </w:rPr>
        <w:t xml:space="preserve">the </w:t>
      </w:r>
      <w:r w:rsidRPr="006B63C8">
        <w:rPr>
          <w:rFonts w:ascii="Book Antiqua" w:eastAsia="Book Antiqua" w:hAnsi="Book Antiqua" w:cs="Book Antiqua"/>
          <w:color w:val="000000"/>
        </w:rPr>
        <w:t xml:space="preserve">mean ± </w:t>
      </w:r>
      <w:r w:rsidR="005241F2">
        <w:rPr>
          <w:rFonts w:ascii="Book Antiqua" w:eastAsia="Book Antiqua" w:hAnsi="Book Antiqua" w:cs="Book Antiqua"/>
          <w:color w:val="000000"/>
        </w:rPr>
        <w:t>standard deviation</w:t>
      </w:r>
      <w:r w:rsidR="005241F2" w:rsidRPr="005241F2">
        <w:rPr>
          <w:rFonts w:ascii="Book Antiqua" w:eastAsia="Book Antiqua" w:hAnsi="Book Antiqua" w:cs="Book Antiqua"/>
          <w:color w:val="000000"/>
        </w:rPr>
        <w:t xml:space="preserve"> </w:t>
      </w:r>
      <w:r w:rsidRPr="005241F2">
        <w:rPr>
          <w:rFonts w:ascii="Book Antiqua" w:eastAsia="Book Antiqua" w:hAnsi="Book Antiqua" w:cs="Book Antiqua"/>
          <w:color w:val="000000"/>
        </w:rPr>
        <w:t xml:space="preserve">of three independent experiments. Statistical differences were assessed by two-way </w:t>
      </w:r>
      <w:r w:rsidR="005241F2">
        <w:rPr>
          <w:rFonts w:ascii="Book Antiqua" w:eastAsia="Book Antiqua" w:hAnsi="Book Antiqua" w:cs="Book Antiqua"/>
          <w:color w:val="000000"/>
        </w:rPr>
        <w:t xml:space="preserve">analysis of variance </w:t>
      </w:r>
      <w:r w:rsidRPr="005241F2">
        <w:rPr>
          <w:rFonts w:ascii="Book Antiqua" w:eastAsia="Book Antiqua" w:hAnsi="Book Antiqua" w:cs="Book Antiqua"/>
          <w:color w:val="000000"/>
        </w:rPr>
        <w:t>followed by the Tukey</w:t>
      </w:r>
      <w:r w:rsidR="005241F2">
        <w:rPr>
          <w:rFonts w:ascii="Book Antiqua" w:eastAsia="Book Antiqua" w:hAnsi="Book Antiqua" w:cs="Book Antiqua"/>
          <w:color w:val="000000"/>
        </w:rPr>
        <w:t>’s test</w:t>
      </w:r>
      <w:r w:rsidRPr="005241F2">
        <w:rPr>
          <w:rFonts w:ascii="Book Antiqua" w:eastAsia="Book Antiqua" w:hAnsi="Book Antiqua" w:cs="Book Antiqua"/>
          <w:color w:val="000000"/>
        </w:rPr>
        <w:t xml:space="preserve"> as </w:t>
      </w:r>
      <w:r w:rsidR="005241F2">
        <w:rPr>
          <w:rFonts w:ascii="Book Antiqua" w:eastAsia="Book Antiqua" w:hAnsi="Book Antiqua" w:cs="Book Antiqua"/>
          <w:color w:val="000000"/>
        </w:rPr>
        <w:t xml:space="preserve">the </w:t>
      </w:r>
      <w:r w:rsidRPr="005241F2">
        <w:rPr>
          <w:rFonts w:ascii="Book Antiqua" w:eastAsia="Book Antiqua" w:hAnsi="Book Antiqua" w:cs="Book Antiqua"/>
          <w:color w:val="000000"/>
        </w:rPr>
        <w:t xml:space="preserve">post hoc test. </w:t>
      </w:r>
      <w:r w:rsidR="0079443E" w:rsidRPr="005241F2">
        <w:rPr>
          <w:rFonts w:ascii="Book Antiqua" w:eastAsia="Book Antiqua" w:hAnsi="Book Antiqua" w:cs="Book Antiqua"/>
          <w:color w:val="000000"/>
          <w:vertAlign w:val="superscript"/>
        </w:rPr>
        <w:t>a</w:t>
      </w:r>
      <w:r w:rsidR="0079443E" w:rsidRPr="005241F2">
        <w:rPr>
          <w:rFonts w:ascii="Book Antiqua" w:eastAsia="Book Antiqua" w:hAnsi="Book Antiqua" w:cs="Book Antiqua"/>
          <w:i/>
          <w:iCs/>
          <w:color w:val="000000"/>
        </w:rPr>
        <w:t>P</w:t>
      </w:r>
      <w:r w:rsidRPr="005241F2">
        <w:rPr>
          <w:rFonts w:ascii="Book Antiqua" w:eastAsia="Book Antiqua" w:hAnsi="Book Antiqua" w:cs="Book Antiqua"/>
          <w:color w:val="000000"/>
        </w:rPr>
        <w:t xml:space="preserve"> &lt; 0.05; </w:t>
      </w:r>
      <w:r w:rsidR="0079443E" w:rsidRPr="005241F2">
        <w:rPr>
          <w:rFonts w:ascii="Book Antiqua" w:eastAsia="Book Antiqua" w:hAnsi="Book Antiqua" w:cs="Book Antiqua"/>
          <w:color w:val="000000"/>
          <w:vertAlign w:val="superscript"/>
        </w:rPr>
        <w:t>b</w:t>
      </w:r>
      <w:r w:rsidR="0079443E" w:rsidRPr="005241F2">
        <w:rPr>
          <w:rFonts w:ascii="Book Antiqua" w:eastAsia="Book Antiqua" w:hAnsi="Book Antiqua" w:cs="Book Antiqua"/>
          <w:i/>
          <w:iCs/>
          <w:color w:val="000000"/>
        </w:rPr>
        <w:t>P</w:t>
      </w:r>
      <w:r w:rsidRPr="005241F2">
        <w:rPr>
          <w:rFonts w:ascii="Book Antiqua" w:eastAsia="Book Antiqua" w:hAnsi="Book Antiqua" w:cs="Book Antiqua"/>
          <w:color w:val="000000"/>
        </w:rPr>
        <w:t xml:space="preserve"> &lt; 0.01; </w:t>
      </w:r>
      <w:r w:rsidR="0079443E" w:rsidRPr="005241F2">
        <w:rPr>
          <w:rFonts w:ascii="Book Antiqua" w:eastAsia="Book Antiqua" w:hAnsi="Book Antiqua" w:cs="Book Antiqua"/>
          <w:color w:val="000000"/>
          <w:vertAlign w:val="superscript"/>
        </w:rPr>
        <w:t>c</w:t>
      </w:r>
      <w:r w:rsidR="0079443E" w:rsidRPr="005241F2">
        <w:rPr>
          <w:rFonts w:ascii="Book Antiqua" w:eastAsia="Book Antiqua" w:hAnsi="Book Antiqua" w:cs="Book Antiqua"/>
          <w:i/>
          <w:iCs/>
          <w:color w:val="000000"/>
        </w:rPr>
        <w:t>P</w:t>
      </w:r>
      <w:r w:rsidRPr="005241F2">
        <w:rPr>
          <w:rFonts w:ascii="Book Antiqua" w:eastAsia="Book Antiqua" w:hAnsi="Book Antiqua" w:cs="Book Antiqua"/>
          <w:color w:val="000000"/>
        </w:rPr>
        <w:t xml:space="preserve"> &lt; 0.001.</w:t>
      </w:r>
      <w:r w:rsidR="00E44F24" w:rsidRPr="005241F2">
        <w:rPr>
          <w:rFonts w:ascii="Book Antiqua" w:eastAsia="Book Antiqua" w:hAnsi="Book Antiqua" w:cs="Book Antiqua"/>
          <w:color w:val="000000"/>
        </w:rPr>
        <w:t xml:space="preserve"> </w:t>
      </w:r>
      <w:r w:rsidR="00483914" w:rsidRPr="004464B3">
        <w:rPr>
          <w:rFonts w:ascii="Book Antiqua" w:eastAsia="Book Antiqua" w:hAnsi="Book Antiqua" w:cs="Book Antiqua"/>
          <w:color w:val="000000"/>
        </w:rPr>
        <w:t>DMSO: Dimethyl sulfoxide</w:t>
      </w:r>
      <w:r w:rsidR="00E44F24" w:rsidRPr="004464B3">
        <w:rPr>
          <w:rFonts w:ascii="Book Antiqua" w:eastAsia="Book Antiqua" w:hAnsi="Book Antiqua" w:cs="Book Antiqua"/>
          <w:color w:val="000000"/>
        </w:rPr>
        <w:t xml:space="preserve">; </w:t>
      </w:r>
      <w:r w:rsidR="005241F2" w:rsidRPr="00383EC6">
        <w:rPr>
          <w:rFonts w:ascii="Book Antiqua" w:eastAsia="Book Antiqua" w:hAnsi="Book Antiqua" w:cs="Book Antiqua"/>
          <w:color w:val="000000"/>
        </w:rPr>
        <w:t xml:space="preserve">P10: </w:t>
      </w:r>
      <w:r w:rsidR="005241F2">
        <w:rPr>
          <w:rFonts w:ascii="Book Antiqua" w:eastAsia="Book Antiqua" w:hAnsi="Book Antiqua" w:cs="Book Antiqua"/>
          <w:color w:val="000000"/>
        </w:rPr>
        <w:t xml:space="preserve">Passage </w:t>
      </w:r>
      <w:r w:rsidR="005241F2" w:rsidRPr="00383EC6">
        <w:rPr>
          <w:rFonts w:ascii="Book Antiqua" w:eastAsia="Book Antiqua" w:hAnsi="Book Antiqua" w:cs="Book Antiqua"/>
          <w:color w:val="000000"/>
        </w:rPr>
        <w:t xml:space="preserve">10; P20: </w:t>
      </w:r>
      <w:r w:rsidR="005241F2">
        <w:rPr>
          <w:rFonts w:ascii="Book Antiqua" w:eastAsia="Book Antiqua" w:hAnsi="Book Antiqua" w:cs="Book Antiqua"/>
          <w:color w:val="000000"/>
        </w:rPr>
        <w:t xml:space="preserve">Passage </w:t>
      </w:r>
      <w:r w:rsidR="005241F2" w:rsidRPr="00383EC6">
        <w:rPr>
          <w:rFonts w:ascii="Book Antiqua" w:eastAsia="Book Antiqua" w:hAnsi="Book Antiqua" w:cs="Book Antiqua"/>
          <w:color w:val="000000"/>
        </w:rPr>
        <w:t>20</w:t>
      </w:r>
      <w:r w:rsidR="00836500" w:rsidRPr="005241F2">
        <w:rPr>
          <w:rFonts w:ascii="Book Antiqua" w:eastAsia="Book Antiqua" w:hAnsi="Book Antiqua" w:cs="Book Antiqua"/>
          <w:color w:val="000000"/>
        </w:rPr>
        <w:t>.</w:t>
      </w:r>
    </w:p>
    <w:p w14:paraId="74B49D41" w14:textId="77777777" w:rsidR="00467E0C" w:rsidRPr="00AA6E34" w:rsidRDefault="00467E0C" w:rsidP="001D68DD">
      <w:pPr>
        <w:spacing w:line="360" w:lineRule="auto"/>
        <w:jc w:val="both"/>
        <w:rPr>
          <w:rFonts w:ascii="Book Antiqua" w:hAnsi="Book Antiqua"/>
        </w:rPr>
      </w:pPr>
    </w:p>
    <w:p w14:paraId="0377F3FC" w14:textId="77777777" w:rsidR="00D85B9A" w:rsidRPr="004464B3" w:rsidRDefault="00D85B9A" w:rsidP="001D68DD">
      <w:pPr>
        <w:spacing w:line="360" w:lineRule="auto"/>
        <w:jc w:val="both"/>
        <w:rPr>
          <w:rFonts w:ascii="Book Antiqua" w:hAnsi="Book Antiqua"/>
        </w:rPr>
        <w:sectPr w:rsidR="00D85B9A" w:rsidRPr="004464B3">
          <w:pgSz w:w="12240" w:h="15840"/>
          <w:pgMar w:top="1440" w:right="1440" w:bottom="1440" w:left="1440" w:header="720" w:footer="720" w:gutter="0"/>
          <w:cols w:space="720"/>
          <w:docGrid w:linePitch="360"/>
        </w:sectPr>
      </w:pPr>
    </w:p>
    <w:p w14:paraId="22E4FADD" w14:textId="6035467F" w:rsidR="00A77B3E" w:rsidRPr="004464B3" w:rsidRDefault="00490ADB" w:rsidP="001D68DD">
      <w:pPr>
        <w:spacing w:line="360" w:lineRule="auto"/>
        <w:jc w:val="both"/>
        <w:rPr>
          <w:rFonts w:ascii="Book Antiqua" w:hAnsi="Book Antiqua"/>
        </w:rPr>
      </w:pPr>
      <w:r w:rsidRPr="004464B3">
        <w:rPr>
          <w:noProof/>
        </w:rPr>
        <w:lastRenderedPageBreak/>
        <w:drawing>
          <wp:inline distT="0" distB="0" distL="0" distR="0" wp14:anchorId="76DE5E5C" wp14:editId="06AF83DB">
            <wp:extent cx="5943600" cy="2659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59380"/>
                    </a:xfrm>
                    <a:prstGeom prst="rect">
                      <a:avLst/>
                    </a:prstGeom>
                  </pic:spPr>
                </pic:pic>
              </a:graphicData>
            </a:graphic>
          </wp:inline>
        </w:drawing>
      </w:r>
    </w:p>
    <w:p w14:paraId="4578A556" w14:textId="66F83096" w:rsidR="00A77B3E" w:rsidRPr="003E4D95" w:rsidRDefault="0068711B" w:rsidP="001D68DD">
      <w:pPr>
        <w:spacing w:line="360" w:lineRule="auto"/>
        <w:jc w:val="both"/>
        <w:rPr>
          <w:rFonts w:ascii="Book Antiqua" w:eastAsia="Book Antiqua" w:hAnsi="Book Antiqua" w:cs="Book Antiqua"/>
          <w:color w:val="000000"/>
        </w:rPr>
      </w:pPr>
      <w:r w:rsidRPr="0087104B">
        <w:rPr>
          <w:rFonts w:ascii="Book Antiqua" w:eastAsia="Book Antiqua" w:hAnsi="Book Antiqua" w:cs="Book Antiqua"/>
          <w:b/>
          <w:bCs/>
          <w:color w:val="000000"/>
        </w:rPr>
        <w:t>Figure 7 ATP</w:t>
      </w:r>
      <w:r w:rsidR="004646A4" w:rsidRPr="0087104B">
        <w:rPr>
          <w:rFonts w:ascii="Book Antiqua" w:eastAsia="Book Antiqua" w:hAnsi="Book Antiqua" w:cs="Book Antiqua"/>
          <w:b/>
          <w:bCs/>
          <w:color w:val="000000"/>
        </w:rPr>
        <w:t xml:space="preserve"> </w:t>
      </w:r>
      <w:r w:rsidRPr="0087104B">
        <w:rPr>
          <w:rFonts w:ascii="Book Antiqua" w:eastAsia="Book Antiqua" w:hAnsi="Book Antiqua" w:cs="Book Antiqua"/>
          <w:b/>
          <w:bCs/>
          <w:color w:val="000000"/>
        </w:rPr>
        <w:t>and</w:t>
      </w:r>
      <w:r w:rsidR="00273393" w:rsidRPr="0087104B">
        <w:rPr>
          <w:rFonts w:ascii="Book Antiqua" w:eastAsia="Book Antiqua" w:hAnsi="Book Antiqua" w:cs="Book Antiqua"/>
          <w:b/>
          <w:bCs/>
          <w:color w:val="000000"/>
        </w:rPr>
        <w:t xml:space="preserve"> </w:t>
      </w:r>
      <w:r w:rsidR="008E04BD" w:rsidRPr="00DF7525">
        <w:rPr>
          <w:rFonts w:ascii="Book Antiqua" w:eastAsia="Book Antiqua" w:hAnsi="Book Antiqua" w:cs="Book Antiqua"/>
          <w:b/>
          <w:bCs/>
          <w:color w:val="000000"/>
        </w:rPr>
        <w:t>nicotinamide adenine dinucleotide</w:t>
      </w:r>
      <w:r w:rsidR="005241F2">
        <w:rPr>
          <w:rFonts w:ascii="Book Antiqua" w:eastAsia="Book Antiqua" w:hAnsi="Book Antiqua" w:cs="Book Antiqua"/>
          <w:b/>
          <w:bCs/>
          <w:color w:val="000000"/>
        </w:rPr>
        <w:t xml:space="preserve"> (NAD)</w:t>
      </w:r>
      <w:r w:rsidR="008E04BD" w:rsidRPr="00DF7525">
        <w:rPr>
          <w:rFonts w:ascii="Book Antiqua" w:eastAsia="Book Antiqua" w:hAnsi="Book Antiqua" w:cs="Book Antiqua"/>
          <w:b/>
          <w:bCs/>
          <w:color w:val="000000"/>
        </w:rPr>
        <w:t>/NAD with hydrogen</w:t>
      </w:r>
      <w:r w:rsidR="008E04BD">
        <w:rPr>
          <w:rFonts w:ascii="Book Antiqua" w:eastAsia="Book Antiqua" w:hAnsi="Book Antiqua" w:cs="Book Antiqua"/>
          <w:color w:val="000000"/>
        </w:rPr>
        <w:t xml:space="preserve"> </w:t>
      </w:r>
      <w:r w:rsidRPr="0087104B">
        <w:rPr>
          <w:rFonts w:ascii="Book Antiqua" w:eastAsia="Book Antiqua" w:hAnsi="Book Antiqua" w:cs="Book Antiqua"/>
          <w:b/>
          <w:bCs/>
          <w:color w:val="000000"/>
        </w:rPr>
        <w:t xml:space="preserve">content in HepaRG cells at </w:t>
      </w:r>
      <w:r w:rsidR="0087104B">
        <w:rPr>
          <w:rFonts w:ascii="Book Antiqua" w:eastAsia="Book Antiqua" w:hAnsi="Book Antiqua" w:cs="Book Antiqua"/>
          <w:b/>
          <w:bCs/>
          <w:color w:val="000000"/>
        </w:rPr>
        <w:t xml:space="preserve">passage </w:t>
      </w:r>
      <w:r w:rsidRPr="0087104B">
        <w:rPr>
          <w:rFonts w:ascii="Book Antiqua" w:eastAsia="Book Antiqua" w:hAnsi="Book Antiqua" w:cs="Book Antiqua"/>
          <w:b/>
          <w:bCs/>
          <w:color w:val="000000"/>
        </w:rPr>
        <w:t xml:space="preserve">10 or </w:t>
      </w:r>
      <w:r w:rsidR="0087104B">
        <w:rPr>
          <w:rFonts w:ascii="Book Antiqua" w:eastAsia="Book Antiqua" w:hAnsi="Book Antiqua" w:cs="Book Antiqua"/>
          <w:b/>
          <w:bCs/>
          <w:color w:val="000000"/>
        </w:rPr>
        <w:t>passage</w:t>
      </w:r>
      <w:r w:rsidRPr="0087104B">
        <w:rPr>
          <w:rFonts w:ascii="Book Antiqua" w:eastAsia="Book Antiqua" w:hAnsi="Book Antiqua" w:cs="Book Antiqua"/>
          <w:b/>
          <w:bCs/>
          <w:color w:val="000000"/>
        </w:rPr>
        <w:t xml:space="preserve"> 20 in basal conditions or after the transdifferentiation protocol (</w:t>
      </w:r>
      <w:r w:rsidR="00BE7E39" w:rsidRPr="0087104B">
        <w:rPr>
          <w:rFonts w:ascii="Book Antiqua" w:eastAsia="Book Antiqua" w:hAnsi="Book Antiqua" w:cs="Book Antiqua"/>
          <w:b/>
          <w:bCs/>
          <w:color w:val="000000"/>
        </w:rPr>
        <w:t>dimethyl sulfoxide</w:t>
      </w:r>
      <w:r w:rsidRPr="0087104B">
        <w:rPr>
          <w:rFonts w:ascii="Book Antiqua" w:eastAsia="Book Antiqua" w:hAnsi="Book Antiqua" w:cs="Book Antiqua"/>
          <w:b/>
          <w:bCs/>
          <w:color w:val="000000"/>
        </w:rPr>
        <w:t>).</w:t>
      </w:r>
      <w:r w:rsidRPr="0087104B">
        <w:rPr>
          <w:rFonts w:ascii="Book Antiqua" w:eastAsia="Book Antiqua" w:hAnsi="Book Antiqua" w:cs="Book Antiqua"/>
          <w:color w:val="000000"/>
        </w:rPr>
        <w:t xml:space="preserve"> A: Cellular ATP content was expressed as ATP concentration/cells</w:t>
      </w:r>
      <w:r w:rsidR="00DA7306" w:rsidRPr="008E04BD">
        <w:rPr>
          <w:rFonts w:ascii="Book Antiqua" w:eastAsia="Book Antiqua" w:hAnsi="Book Antiqua" w:cs="Book Antiqua"/>
          <w:color w:val="000000"/>
        </w:rPr>
        <w:t>;</w:t>
      </w:r>
      <w:r w:rsidRPr="008E04BD">
        <w:rPr>
          <w:rFonts w:ascii="Book Antiqua" w:eastAsia="Book Antiqua" w:hAnsi="Book Antiqua" w:cs="Book Antiqua"/>
          <w:color w:val="000000"/>
        </w:rPr>
        <w:t xml:space="preserve"> B: Intracellular </w:t>
      </w:r>
      <w:r w:rsidR="003E4D95">
        <w:rPr>
          <w:rFonts w:ascii="Book Antiqua" w:eastAsia="Book Antiqua" w:hAnsi="Book Antiqua" w:cs="Book Antiqua"/>
          <w:color w:val="000000"/>
        </w:rPr>
        <w:t>n</w:t>
      </w:r>
      <w:r w:rsidR="003E4D95" w:rsidRPr="00383EC6">
        <w:rPr>
          <w:rFonts w:ascii="Book Antiqua" w:eastAsia="Book Antiqua" w:hAnsi="Book Antiqua" w:cs="Book Antiqua"/>
          <w:color w:val="000000"/>
        </w:rPr>
        <w:t>icotinamide adenine dinucleotide</w:t>
      </w:r>
      <w:r w:rsidR="003E4D95">
        <w:rPr>
          <w:rFonts w:ascii="Book Antiqua" w:eastAsia="Book Antiqua" w:hAnsi="Book Antiqua" w:cs="Book Antiqua"/>
          <w:color w:val="000000"/>
        </w:rPr>
        <w:t xml:space="preserve"> (</w:t>
      </w:r>
      <w:r w:rsidRPr="008E04BD">
        <w:rPr>
          <w:rFonts w:ascii="Book Antiqua" w:eastAsia="Book Antiqua" w:hAnsi="Book Antiqua" w:cs="Book Antiqua"/>
          <w:color w:val="000000"/>
        </w:rPr>
        <w:t>NAD</w:t>
      </w:r>
      <w:r w:rsidRPr="008E04BD">
        <w:rPr>
          <w:rFonts w:ascii="Book Antiqua" w:eastAsia="Book Antiqua" w:hAnsi="Book Antiqua" w:cs="Book Antiqua"/>
          <w:color w:val="000000"/>
          <w:vertAlign w:val="superscript"/>
        </w:rPr>
        <w:t>+</w:t>
      </w:r>
      <w:r w:rsidR="003E4D95">
        <w:rPr>
          <w:rFonts w:ascii="Book Antiqua" w:eastAsia="Book Antiqua" w:hAnsi="Book Antiqua" w:cs="Book Antiqua"/>
          <w:color w:val="000000"/>
        </w:rPr>
        <w:t>)</w:t>
      </w:r>
      <w:r w:rsidR="004E649F" w:rsidRPr="008E04BD">
        <w:rPr>
          <w:rFonts w:ascii="Book Antiqua" w:eastAsia="Book Antiqua" w:hAnsi="Book Antiqua" w:cs="Book Antiqua"/>
          <w:color w:val="000000"/>
        </w:rPr>
        <w:t xml:space="preserve"> </w:t>
      </w:r>
      <w:r w:rsidRPr="003E4D95">
        <w:rPr>
          <w:rFonts w:ascii="Book Antiqua" w:eastAsia="Book Antiqua" w:hAnsi="Book Antiqua" w:cs="Book Antiqua"/>
          <w:color w:val="000000"/>
        </w:rPr>
        <w:t xml:space="preserve">and </w:t>
      </w:r>
      <w:r w:rsidR="003E4D95">
        <w:rPr>
          <w:rFonts w:ascii="Book Antiqua" w:eastAsia="Book Antiqua" w:hAnsi="Book Antiqua" w:cs="Book Antiqua"/>
          <w:color w:val="000000"/>
        </w:rPr>
        <w:t>NAD with hydrogen (</w:t>
      </w:r>
      <w:r w:rsidRPr="003E4D95">
        <w:rPr>
          <w:rFonts w:ascii="Book Antiqua" w:eastAsia="Book Antiqua" w:hAnsi="Book Antiqua" w:cs="Book Antiqua"/>
          <w:color w:val="000000"/>
        </w:rPr>
        <w:t>NADH</w:t>
      </w:r>
      <w:r w:rsidR="003E4D95">
        <w:rPr>
          <w:rFonts w:ascii="Book Antiqua" w:eastAsia="Book Antiqua" w:hAnsi="Book Antiqua" w:cs="Book Antiqua"/>
          <w:color w:val="000000"/>
        </w:rPr>
        <w:t>)</w:t>
      </w:r>
      <w:r w:rsidRPr="003E4D95">
        <w:rPr>
          <w:rFonts w:ascii="Book Antiqua" w:eastAsia="Book Antiqua" w:hAnsi="Book Antiqua" w:cs="Book Antiqua"/>
          <w:color w:val="000000"/>
        </w:rPr>
        <w:t xml:space="preserve"> were extracted, and NAD</w:t>
      </w:r>
      <w:r w:rsidRPr="003E4D95">
        <w:rPr>
          <w:rFonts w:ascii="Book Antiqua" w:eastAsia="Book Antiqua" w:hAnsi="Book Antiqua" w:cs="Book Antiqua"/>
          <w:color w:val="000000"/>
          <w:vertAlign w:val="superscript"/>
        </w:rPr>
        <w:t>+</w:t>
      </w:r>
      <w:r w:rsidR="009B1132" w:rsidRPr="003E4D95">
        <w:rPr>
          <w:rFonts w:ascii="Book Antiqua" w:eastAsia="Book Antiqua" w:hAnsi="Book Antiqua" w:cs="Book Antiqua"/>
          <w:color w:val="000000"/>
        </w:rPr>
        <w:t xml:space="preserve"> </w:t>
      </w:r>
      <w:r w:rsidRPr="003E4D95">
        <w:rPr>
          <w:rFonts w:ascii="Book Antiqua" w:eastAsia="Book Antiqua" w:hAnsi="Book Antiqua" w:cs="Book Antiqua"/>
          <w:color w:val="000000"/>
        </w:rPr>
        <w:t>and NADH levels were measured using a microplate reader. NAD</w:t>
      </w:r>
      <w:r w:rsidRPr="003E4D95">
        <w:rPr>
          <w:rFonts w:ascii="Book Antiqua" w:eastAsia="Book Antiqua" w:hAnsi="Book Antiqua" w:cs="Book Antiqua"/>
          <w:color w:val="000000"/>
          <w:vertAlign w:val="superscript"/>
        </w:rPr>
        <w:t>+</w:t>
      </w:r>
      <w:r w:rsidRPr="00AA6E34">
        <w:rPr>
          <w:rFonts w:ascii="Book Antiqua" w:eastAsia="Book Antiqua" w:hAnsi="Book Antiqua" w:cs="Book Antiqua"/>
          <w:color w:val="000000"/>
        </w:rPr>
        <w:t>/NADH ratio was calculated based on the concentration of NAD</w:t>
      </w:r>
      <w:r w:rsidRPr="004464B3">
        <w:rPr>
          <w:rFonts w:ascii="Book Antiqua" w:eastAsia="Book Antiqua" w:hAnsi="Book Antiqua" w:cs="Book Antiqua"/>
          <w:color w:val="000000"/>
          <w:vertAlign w:val="superscript"/>
        </w:rPr>
        <w:t>+</w:t>
      </w:r>
      <w:r w:rsidRPr="004464B3">
        <w:rPr>
          <w:rFonts w:ascii="Book Antiqua" w:eastAsia="Book Antiqua" w:hAnsi="Book Antiqua" w:cs="Book Antiqua"/>
          <w:color w:val="000000"/>
        </w:rPr>
        <w:t xml:space="preserve"> and NADH. Data in the graphs are represented as </w:t>
      </w:r>
      <w:r w:rsidR="005241F2">
        <w:rPr>
          <w:rFonts w:ascii="Book Antiqua" w:eastAsia="Book Antiqua" w:hAnsi="Book Antiqua" w:cs="Book Antiqua"/>
          <w:color w:val="000000"/>
        </w:rPr>
        <w:t xml:space="preserve">the </w:t>
      </w:r>
      <w:r w:rsidRPr="005241F2">
        <w:rPr>
          <w:rFonts w:ascii="Book Antiqua" w:eastAsia="Book Antiqua" w:hAnsi="Book Antiqua" w:cs="Book Antiqua"/>
          <w:color w:val="000000"/>
        </w:rPr>
        <w:t xml:space="preserve">mean ± </w:t>
      </w:r>
      <w:r w:rsidR="003E4D95">
        <w:rPr>
          <w:rFonts w:ascii="Book Antiqua" w:eastAsia="Book Antiqua" w:hAnsi="Book Antiqua" w:cs="Book Antiqua"/>
          <w:color w:val="000000"/>
        </w:rPr>
        <w:t>standard deviation</w:t>
      </w:r>
      <w:r w:rsidR="003E4D95" w:rsidRPr="003E4D95">
        <w:rPr>
          <w:rFonts w:ascii="Book Antiqua" w:eastAsia="Book Antiqua" w:hAnsi="Book Antiqua" w:cs="Book Antiqua"/>
          <w:color w:val="000000"/>
        </w:rPr>
        <w:t xml:space="preserve"> </w:t>
      </w:r>
      <w:r w:rsidRPr="003E4D95">
        <w:rPr>
          <w:rFonts w:ascii="Book Antiqua" w:eastAsia="Book Antiqua" w:hAnsi="Book Antiqua" w:cs="Book Antiqua"/>
          <w:color w:val="000000"/>
        </w:rPr>
        <w:t xml:space="preserve">of three independent experiments. Statistical differences were assessed by two-way </w:t>
      </w:r>
      <w:r w:rsidR="003E4D95">
        <w:rPr>
          <w:rFonts w:ascii="Book Antiqua" w:eastAsia="Book Antiqua" w:hAnsi="Book Antiqua" w:cs="Book Antiqua"/>
          <w:color w:val="000000"/>
        </w:rPr>
        <w:t xml:space="preserve">analysis of variance </w:t>
      </w:r>
      <w:r w:rsidRPr="003E4D95">
        <w:rPr>
          <w:rFonts w:ascii="Book Antiqua" w:eastAsia="Book Antiqua" w:hAnsi="Book Antiqua" w:cs="Book Antiqua"/>
          <w:color w:val="000000"/>
        </w:rPr>
        <w:t>followed by the Tukey</w:t>
      </w:r>
      <w:r w:rsidR="003E4D95">
        <w:rPr>
          <w:rFonts w:ascii="Book Antiqua" w:eastAsia="Book Antiqua" w:hAnsi="Book Antiqua" w:cs="Book Antiqua"/>
          <w:color w:val="000000"/>
        </w:rPr>
        <w:t>’s test</w:t>
      </w:r>
      <w:r w:rsidRPr="003E4D95">
        <w:rPr>
          <w:rFonts w:ascii="Book Antiqua" w:eastAsia="Book Antiqua" w:hAnsi="Book Antiqua" w:cs="Book Antiqua"/>
          <w:color w:val="000000"/>
        </w:rPr>
        <w:t xml:space="preserve"> as </w:t>
      </w:r>
      <w:r w:rsidR="003E4D95">
        <w:rPr>
          <w:rFonts w:ascii="Book Antiqua" w:eastAsia="Book Antiqua" w:hAnsi="Book Antiqua" w:cs="Book Antiqua"/>
          <w:color w:val="000000"/>
        </w:rPr>
        <w:t xml:space="preserve">the </w:t>
      </w:r>
      <w:r w:rsidRPr="003E4D95">
        <w:rPr>
          <w:rFonts w:ascii="Book Antiqua" w:eastAsia="Book Antiqua" w:hAnsi="Book Antiqua" w:cs="Book Antiqua"/>
          <w:color w:val="000000"/>
        </w:rPr>
        <w:t xml:space="preserve">post hoc test. </w:t>
      </w:r>
      <w:r w:rsidR="005C6EAD" w:rsidRPr="003E4D95">
        <w:rPr>
          <w:rFonts w:ascii="Book Antiqua" w:eastAsia="Book Antiqua" w:hAnsi="Book Antiqua" w:cs="Book Antiqua"/>
          <w:color w:val="000000"/>
          <w:vertAlign w:val="superscript"/>
        </w:rPr>
        <w:t>a</w:t>
      </w:r>
      <w:r w:rsidR="005C6EAD" w:rsidRPr="003E4D95">
        <w:rPr>
          <w:rFonts w:ascii="Book Antiqua" w:eastAsia="Book Antiqua" w:hAnsi="Book Antiqua" w:cs="Book Antiqua"/>
          <w:i/>
          <w:iCs/>
          <w:color w:val="000000"/>
        </w:rPr>
        <w:t>P</w:t>
      </w:r>
      <w:r w:rsidR="005C6EAD" w:rsidRPr="003E4D95">
        <w:rPr>
          <w:rFonts w:ascii="Book Antiqua" w:eastAsia="Book Antiqua" w:hAnsi="Book Antiqua" w:cs="Book Antiqua"/>
          <w:color w:val="000000"/>
        </w:rPr>
        <w:t xml:space="preserve"> </w:t>
      </w:r>
      <w:r w:rsidRPr="003E4D95">
        <w:rPr>
          <w:rFonts w:ascii="Book Antiqua" w:eastAsia="Book Antiqua" w:hAnsi="Book Antiqua" w:cs="Book Antiqua"/>
          <w:color w:val="000000"/>
        </w:rPr>
        <w:t>&lt; 0.05;</w:t>
      </w:r>
      <w:r w:rsidR="005C6EAD" w:rsidRPr="003E4D95">
        <w:rPr>
          <w:rFonts w:ascii="Book Antiqua" w:eastAsia="Book Antiqua" w:hAnsi="Book Antiqua" w:cs="Book Antiqua"/>
          <w:color w:val="000000"/>
          <w:vertAlign w:val="superscript"/>
        </w:rPr>
        <w:t xml:space="preserve"> </w:t>
      </w:r>
      <w:r w:rsidR="00333420" w:rsidRPr="003E4D95">
        <w:rPr>
          <w:rFonts w:ascii="Book Antiqua" w:eastAsia="Book Antiqua" w:hAnsi="Book Antiqua" w:cs="Book Antiqua"/>
          <w:color w:val="000000"/>
          <w:vertAlign w:val="superscript"/>
        </w:rPr>
        <w:t>b</w:t>
      </w:r>
      <w:r w:rsidR="005C6EAD" w:rsidRPr="003E4D95">
        <w:rPr>
          <w:rFonts w:ascii="Book Antiqua" w:eastAsia="Book Antiqua" w:hAnsi="Book Antiqua" w:cs="Book Antiqua"/>
          <w:i/>
          <w:iCs/>
          <w:color w:val="000000"/>
        </w:rPr>
        <w:t>P</w:t>
      </w:r>
      <w:r w:rsidRPr="003E4D95">
        <w:rPr>
          <w:rFonts w:ascii="Book Antiqua" w:eastAsia="Book Antiqua" w:hAnsi="Book Antiqua" w:cs="Book Antiqua"/>
          <w:color w:val="000000"/>
        </w:rPr>
        <w:t xml:space="preserve"> &lt; 0.01. </w:t>
      </w:r>
      <w:r w:rsidR="005241F2" w:rsidRPr="003E4D95">
        <w:rPr>
          <w:rFonts w:ascii="Book Antiqua" w:eastAsia="Book Antiqua" w:hAnsi="Book Antiqua" w:cs="Book Antiqua"/>
          <w:color w:val="000000"/>
        </w:rPr>
        <w:t>DMSO: Dimethyl sulfoxide</w:t>
      </w:r>
      <w:r w:rsidR="005241F2">
        <w:rPr>
          <w:rFonts w:ascii="Book Antiqua" w:eastAsia="Book Antiqua" w:hAnsi="Book Antiqua" w:cs="Book Antiqua"/>
          <w:color w:val="000000"/>
        </w:rPr>
        <w:t xml:space="preserve">; </w:t>
      </w:r>
      <w:r w:rsidR="009711F3" w:rsidRPr="003E4D95">
        <w:rPr>
          <w:rFonts w:ascii="Book Antiqua" w:eastAsia="Book Antiqua" w:hAnsi="Book Antiqua" w:cs="Book Antiqua"/>
          <w:color w:val="000000"/>
        </w:rPr>
        <w:t xml:space="preserve">P10: </w:t>
      </w:r>
      <w:r w:rsidR="003E4D95">
        <w:rPr>
          <w:rFonts w:ascii="Book Antiqua" w:eastAsia="Book Antiqua" w:hAnsi="Book Antiqua" w:cs="Book Antiqua"/>
          <w:color w:val="000000"/>
        </w:rPr>
        <w:t xml:space="preserve">Passage </w:t>
      </w:r>
      <w:r w:rsidR="009711F3" w:rsidRPr="003E4D95">
        <w:rPr>
          <w:rFonts w:ascii="Book Antiqua" w:eastAsia="Book Antiqua" w:hAnsi="Book Antiqua" w:cs="Book Antiqua"/>
          <w:color w:val="000000"/>
        </w:rPr>
        <w:t xml:space="preserve">10; P20: </w:t>
      </w:r>
      <w:r w:rsidR="003E4D95">
        <w:rPr>
          <w:rFonts w:ascii="Book Antiqua" w:eastAsia="Book Antiqua" w:hAnsi="Book Antiqua" w:cs="Book Antiqua"/>
          <w:color w:val="000000"/>
        </w:rPr>
        <w:t xml:space="preserve">Passage </w:t>
      </w:r>
      <w:r w:rsidR="009711F3" w:rsidRPr="003E4D95">
        <w:rPr>
          <w:rFonts w:ascii="Book Antiqua" w:eastAsia="Book Antiqua" w:hAnsi="Book Antiqua" w:cs="Book Antiqua"/>
          <w:color w:val="000000"/>
        </w:rPr>
        <w:t>20</w:t>
      </w:r>
      <w:r w:rsidR="00BE3D62" w:rsidRPr="003E4D95">
        <w:rPr>
          <w:rFonts w:ascii="Book Antiqua" w:eastAsia="Book Antiqua" w:hAnsi="Book Antiqua" w:cs="Book Antiqua"/>
          <w:color w:val="000000"/>
        </w:rPr>
        <w:t>.</w:t>
      </w:r>
    </w:p>
    <w:p w14:paraId="504ED175" w14:textId="77777777" w:rsidR="00B95B42" w:rsidRPr="004464B3" w:rsidRDefault="00B95B42" w:rsidP="001D68DD">
      <w:pPr>
        <w:spacing w:line="360" w:lineRule="auto"/>
        <w:jc w:val="both"/>
        <w:rPr>
          <w:rFonts w:ascii="Book Antiqua" w:eastAsia="Book Antiqua" w:hAnsi="Book Antiqua" w:cs="Book Antiqua"/>
          <w:color w:val="000000"/>
        </w:rPr>
        <w:sectPr w:rsidR="00B95B42" w:rsidRPr="004464B3">
          <w:pgSz w:w="12240" w:h="15840"/>
          <w:pgMar w:top="1440" w:right="1440" w:bottom="1440" w:left="1440" w:header="720" w:footer="720" w:gutter="0"/>
          <w:cols w:space="720"/>
          <w:docGrid w:linePitch="360"/>
        </w:sectPr>
      </w:pPr>
    </w:p>
    <w:p w14:paraId="277A054C" w14:textId="77777777" w:rsidR="001E5F74" w:rsidRPr="00DF7525" w:rsidRDefault="001E5F74" w:rsidP="001E5F74">
      <w:pPr>
        <w:spacing w:line="360" w:lineRule="auto"/>
        <w:jc w:val="both"/>
        <w:rPr>
          <w:rFonts w:ascii="Book Antiqua" w:hAnsi="Book Antiqua"/>
          <w:b/>
          <w:bCs/>
        </w:rPr>
      </w:pPr>
      <w:r w:rsidRPr="00DF7525">
        <w:rPr>
          <w:rFonts w:ascii="Book Antiqua" w:hAnsi="Book Antiqua"/>
          <w:b/>
          <w:bCs/>
        </w:rPr>
        <w:lastRenderedPageBreak/>
        <w:t>Table 1 Sequences of forward and reverse primers of the genes studied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1389"/>
        <w:gridCol w:w="1888"/>
        <w:gridCol w:w="4636"/>
      </w:tblGrid>
      <w:tr w:rsidR="001E5F74" w:rsidRPr="004464B3" w14:paraId="22D7021C" w14:textId="77777777" w:rsidTr="0087104B">
        <w:trPr>
          <w:jc w:val="center"/>
        </w:trPr>
        <w:tc>
          <w:tcPr>
            <w:tcW w:w="1447" w:type="dxa"/>
            <w:vMerge w:val="restart"/>
            <w:tcBorders>
              <w:top w:val="single" w:sz="4" w:space="0" w:color="auto"/>
            </w:tcBorders>
            <w:vAlign w:val="center"/>
          </w:tcPr>
          <w:p w14:paraId="0F2A0E27" w14:textId="77777777" w:rsidR="001E5F74" w:rsidRPr="00DF7525" w:rsidRDefault="001E5F74" w:rsidP="00FB4A6A">
            <w:pPr>
              <w:spacing w:line="360" w:lineRule="auto"/>
              <w:jc w:val="both"/>
              <w:rPr>
                <w:rFonts w:ascii="Book Antiqua" w:hAnsi="Book Antiqua"/>
                <w:bCs/>
                <w:lang w:val="en-US"/>
              </w:rPr>
            </w:pPr>
            <w:r w:rsidRPr="00DF7525">
              <w:rPr>
                <w:rFonts w:ascii="Book Antiqua" w:hAnsi="Book Antiqua"/>
                <w:bCs/>
                <w:lang w:val="en-US"/>
              </w:rPr>
              <w:t>Actin</w:t>
            </w:r>
          </w:p>
        </w:tc>
        <w:tc>
          <w:tcPr>
            <w:tcW w:w="1389" w:type="dxa"/>
            <w:vMerge w:val="restart"/>
            <w:tcBorders>
              <w:top w:val="single" w:sz="4" w:space="0" w:color="auto"/>
            </w:tcBorders>
            <w:vAlign w:val="center"/>
          </w:tcPr>
          <w:p w14:paraId="5B6DA3F7"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Human</w:t>
            </w:r>
          </w:p>
        </w:tc>
        <w:tc>
          <w:tcPr>
            <w:tcW w:w="1888" w:type="dxa"/>
            <w:tcBorders>
              <w:top w:val="single" w:sz="4" w:space="0" w:color="auto"/>
            </w:tcBorders>
            <w:vAlign w:val="center"/>
          </w:tcPr>
          <w:p w14:paraId="1838249B"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FOR</w:t>
            </w:r>
          </w:p>
        </w:tc>
        <w:tc>
          <w:tcPr>
            <w:tcW w:w="4636" w:type="dxa"/>
            <w:tcBorders>
              <w:top w:val="single" w:sz="4" w:space="0" w:color="auto"/>
            </w:tcBorders>
            <w:vAlign w:val="center"/>
          </w:tcPr>
          <w:p w14:paraId="3CE11B09"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5’-TGGACATCCGCAAAGACCTG-3’</w:t>
            </w:r>
          </w:p>
        </w:tc>
      </w:tr>
      <w:tr w:rsidR="001E5F74" w:rsidRPr="004464B3" w14:paraId="0EFD78EE" w14:textId="77777777" w:rsidTr="0087104B">
        <w:trPr>
          <w:trHeight w:val="255"/>
          <w:jc w:val="center"/>
        </w:trPr>
        <w:tc>
          <w:tcPr>
            <w:tcW w:w="1447" w:type="dxa"/>
            <w:vMerge/>
            <w:vAlign w:val="center"/>
          </w:tcPr>
          <w:p w14:paraId="2D78BDD8" w14:textId="77777777" w:rsidR="001E5F74" w:rsidRPr="00DF7525" w:rsidRDefault="001E5F74" w:rsidP="00FB4A6A">
            <w:pPr>
              <w:spacing w:line="360" w:lineRule="auto"/>
              <w:jc w:val="both"/>
              <w:rPr>
                <w:rFonts w:ascii="Book Antiqua" w:hAnsi="Book Antiqua"/>
                <w:bCs/>
                <w:lang w:val="en-US"/>
              </w:rPr>
            </w:pPr>
          </w:p>
        </w:tc>
        <w:tc>
          <w:tcPr>
            <w:tcW w:w="1389" w:type="dxa"/>
            <w:vMerge/>
            <w:vAlign w:val="center"/>
          </w:tcPr>
          <w:p w14:paraId="0C17E0DD" w14:textId="77777777" w:rsidR="001E5F74" w:rsidRPr="00DF7525" w:rsidRDefault="001E5F74" w:rsidP="00FB4A6A">
            <w:pPr>
              <w:spacing w:line="360" w:lineRule="auto"/>
              <w:jc w:val="both"/>
              <w:rPr>
                <w:rFonts w:ascii="Book Antiqua" w:hAnsi="Book Antiqua"/>
                <w:lang w:val="en-US"/>
              </w:rPr>
            </w:pPr>
          </w:p>
        </w:tc>
        <w:tc>
          <w:tcPr>
            <w:tcW w:w="1888" w:type="dxa"/>
            <w:vAlign w:val="center"/>
          </w:tcPr>
          <w:p w14:paraId="0B1A2627"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REV</w:t>
            </w:r>
          </w:p>
        </w:tc>
        <w:tc>
          <w:tcPr>
            <w:tcW w:w="4636" w:type="dxa"/>
            <w:vAlign w:val="center"/>
          </w:tcPr>
          <w:p w14:paraId="05364B90"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5’-GCCGATCCACACGGAGTACTT-3’</w:t>
            </w:r>
          </w:p>
        </w:tc>
      </w:tr>
      <w:tr w:rsidR="001E5F74" w:rsidRPr="004464B3" w14:paraId="0273BC53" w14:textId="77777777" w:rsidTr="0087104B">
        <w:trPr>
          <w:jc w:val="center"/>
        </w:trPr>
        <w:tc>
          <w:tcPr>
            <w:tcW w:w="1447" w:type="dxa"/>
            <w:vMerge w:val="restart"/>
            <w:vAlign w:val="center"/>
          </w:tcPr>
          <w:p w14:paraId="2D14FCFB" w14:textId="77777777" w:rsidR="001E5F74" w:rsidRPr="00DF7525" w:rsidRDefault="001E5F74" w:rsidP="00FB4A6A">
            <w:pPr>
              <w:spacing w:line="360" w:lineRule="auto"/>
              <w:jc w:val="both"/>
              <w:rPr>
                <w:rFonts w:ascii="Book Antiqua" w:hAnsi="Book Antiqua"/>
                <w:bCs/>
                <w:lang w:val="en-US"/>
              </w:rPr>
            </w:pPr>
            <w:r w:rsidRPr="00DF7525">
              <w:rPr>
                <w:rFonts w:ascii="Book Antiqua" w:hAnsi="Book Antiqua"/>
                <w:bCs/>
                <w:lang w:val="en-US"/>
              </w:rPr>
              <w:t>Albumin</w:t>
            </w:r>
          </w:p>
        </w:tc>
        <w:tc>
          <w:tcPr>
            <w:tcW w:w="1389" w:type="dxa"/>
            <w:vMerge w:val="restart"/>
            <w:vAlign w:val="center"/>
          </w:tcPr>
          <w:p w14:paraId="1939FDB5"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Human</w:t>
            </w:r>
          </w:p>
        </w:tc>
        <w:tc>
          <w:tcPr>
            <w:tcW w:w="1888" w:type="dxa"/>
            <w:vAlign w:val="center"/>
          </w:tcPr>
          <w:p w14:paraId="60C6B808"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FOR</w:t>
            </w:r>
          </w:p>
        </w:tc>
        <w:tc>
          <w:tcPr>
            <w:tcW w:w="4636" w:type="dxa"/>
            <w:vAlign w:val="center"/>
          </w:tcPr>
          <w:p w14:paraId="428EFC59"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5’-CCTGTTGCCAAAGCTCGATG-3’</w:t>
            </w:r>
          </w:p>
        </w:tc>
      </w:tr>
      <w:tr w:rsidR="001E5F74" w:rsidRPr="004464B3" w14:paraId="01D6FBFD" w14:textId="77777777" w:rsidTr="0087104B">
        <w:trPr>
          <w:jc w:val="center"/>
        </w:trPr>
        <w:tc>
          <w:tcPr>
            <w:tcW w:w="1447" w:type="dxa"/>
            <w:vMerge/>
            <w:vAlign w:val="center"/>
          </w:tcPr>
          <w:p w14:paraId="2D0C7566" w14:textId="77777777" w:rsidR="001E5F74" w:rsidRPr="00DF7525" w:rsidRDefault="001E5F74" w:rsidP="00FB4A6A">
            <w:pPr>
              <w:spacing w:line="360" w:lineRule="auto"/>
              <w:jc w:val="both"/>
              <w:rPr>
                <w:rFonts w:ascii="Book Antiqua" w:hAnsi="Book Antiqua"/>
                <w:bCs/>
                <w:lang w:val="en-US"/>
              </w:rPr>
            </w:pPr>
          </w:p>
        </w:tc>
        <w:tc>
          <w:tcPr>
            <w:tcW w:w="1389" w:type="dxa"/>
            <w:vMerge/>
            <w:vAlign w:val="center"/>
          </w:tcPr>
          <w:p w14:paraId="52009B34" w14:textId="77777777" w:rsidR="001E5F74" w:rsidRPr="00DF7525" w:rsidRDefault="001E5F74" w:rsidP="00FB4A6A">
            <w:pPr>
              <w:spacing w:line="360" w:lineRule="auto"/>
              <w:jc w:val="both"/>
              <w:rPr>
                <w:rFonts w:ascii="Book Antiqua" w:hAnsi="Book Antiqua"/>
                <w:lang w:val="en-US"/>
              </w:rPr>
            </w:pPr>
          </w:p>
        </w:tc>
        <w:tc>
          <w:tcPr>
            <w:tcW w:w="1888" w:type="dxa"/>
            <w:vAlign w:val="center"/>
          </w:tcPr>
          <w:p w14:paraId="7C4EFFDD"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REV</w:t>
            </w:r>
          </w:p>
        </w:tc>
        <w:tc>
          <w:tcPr>
            <w:tcW w:w="4636" w:type="dxa"/>
            <w:vAlign w:val="center"/>
          </w:tcPr>
          <w:p w14:paraId="7DBAC9A7"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5’-GAAATCTCTGGCTCAGGCGA-3’</w:t>
            </w:r>
          </w:p>
        </w:tc>
      </w:tr>
      <w:tr w:rsidR="001E5F74" w:rsidRPr="004464B3" w14:paraId="7F1E2216" w14:textId="77777777" w:rsidTr="0087104B">
        <w:trPr>
          <w:jc w:val="center"/>
        </w:trPr>
        <w:tc>
          <w:tcPr>
            <w:tcW w:w="1447" w:type="dxa"/>
            <w:vMerge w:val="restart"/>
            <w:vAlign w:val="center"/>
          </w:tcPr>
          <w:p w14:paraId="2F8DD72D" w14:textId="77777777" w:rsidR="001E5F74" w:rsidRPr="00DF7525" w:rsidRDefault="001E5F74" w:rsidP="00FB4A6A">
            <w:pPr>
              <w:spacing w:line="360" w:lineRule="auto"/>
              <w:jc w:val="both"/>
              <w:rPr>
                <w:rFonts w:ascii="Book Antiqua" w:hAnsi="Book Antiqua"/>
                <w:bCs/>
                <w:lang w:val="en-US"/>
              </w:rPr>
            </w:pPr>
            <w:r w:rsidRPr="00DF7525">
              <w:rPr>
                <w:rFonts w:ascii="Book Antiqua" w:hAnsi="Book Antiqua"/>
                <w:bCs/>
                <w:lang w:val="en-US"/>
              </w:rPr>
              <w:t>CYP3A4</w:t>
            </w:r>
          </w:p>
        </w:tc>
        <w:tc>
          <w:tcPr>
            <w:tcW w:w="1389" w:type="dxa"/>
            <w:vMerge w:val="restart"/>
            <w:vAlign w:val="center"/>
          </w:tcPr>
          <w:p w14:paraId="6F84B103"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Human</w:t>
            </w:r>
          </w:p>
        </w:tc>
        <w:tc>
          <w:tcPr>
            <w:tcW w:w="1888" w:type="dxa"/>
            <w:vAlign w:val="center"/>
          </w:tcPr>
          <w:p w14:paraId="5087C4DD"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FOR</w:t>
            </w:r>
          </w:p>
        </w:tc>
        <w:tc>
          <w:tcPr>
            <w:tcW w:w="4636" w:type="dxa"/>
            <w:vAlign w:val="center"/>
          </w:tcPr>
          <w:p w14:paraId="03982708"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5’-CTTCATCCAATGGACTGCATAAAT-3’</w:t>
            </w:r>
          </w:p>
        </w:tc>
      </w:tr>
      <w:tr w:rsidR="001E5F74" w:rsidRPr="004464B3" w14:paraId="67F29D11" w14:textId="77777777" w:rsidTr="0087104B">
        <w:trPr>
          <w:jc w:val="center"/>
        </w:trPr>
        <w:tc>
          <w:tcPr>
            <w:tcW w:w="1447" w:type="dxa"/>
            <w:vMerge/>
            <w:vAlign w:val="center"/>
          </w:tcPr>
          <w:p w14:paraId="420EB16F" w14:textId="77777777" w:rsidR="001E5F74" w:rsidRPr="00DF7525" w:rsidRDefault="001E5F74" w:rsidP="00FB4A6A">
            <w:pPr>
              <w:spacing w:line="360" w:lineRule="auto"/>
              <w:jc w:val="both"/>
              <w:rPr>
                <w:rFonts w:ascii="Book Antiqua" w:hAnsi="Book Antiqua"/>
                <w:bCs/>
                <w:lang w:val="en-US"/>
              </w:rPr>
            </w:pPr>
          </w:p>
        </w:tc>
        <w:tc>
          <w:tcPr>
            <w:tcW w:w="1389" w:type="dxa"/>
            <w:vMerge/>
            <w:vAlign w:val="center"/>
          </w:tcPr>
          <w:p w14:paraId="48B9CA83" w14:textId="77777777" w:rsidR="001E5F74" w:rsidRPr="00DF7525" w:rsidRDefault="001E5F74" w:rsidP="00FB4A6A">
            <w:pPr>
              <w:spacing w:line="360" w:lineRule="auto"/>
              <w:jc w:val="both"/>
              <w:rPr>
                <w:rFonts w:ascii="Book Antiqua" w:hAnsi="Book Antiqua"/>
                <w:lang w:val="en-US"/>
              </w:rPr>
            </w:pPr>
          </w:p>
        </w:tc>
        <w:tc>
          <w:tcPr>
            <w:tcW w:w="1888" w:type="dxa"/>
            <w:vAlign w:val="center"/>
          </w:tcPr>
          <w:p w14:paraId="1A9ADF9B"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REV</w:t>
            </w:r>
          </w:p>
        </w:tc>
        <w:tc>
          <w:tcPr>
            <w:tcW w:w="4636" w:type="dxa"/>
            <w:vAlign w:val="center"/>
          </w:tcPr>
          <w:p w14:paraId="4280F2E2"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5’-TCCCAAGTATAACACTCTACACAG-3’</w:t>
            </w:r>
          </w:p>
        </w:tc>
      </w:tr>
      <w:tr w:rsidR="001E5F74" w:rsidRPr="004464B3" w14:paraId="28BFE033" w14:textId="77777777" w:rsidTr="0087104B">
        <w:trPr>
          <w:jc w:val="center"/>
        </w:trPr>
        <w:tc>
          <w:tcPr>
            <w:tcW w:w="1447" w:type="dxa"/>
            <w:vMerge w:val="restart"/>
            <w:vAlign w:val="center"/>
          </w:tcPr>
          <w:p w14:paraId="618094A1" w14:textId="77777777" w:rsidR="001E5F74" w:rsidRPr="00DF7525" w:rsidRDefault="001E5F74" w:rsidP="00FB4A6A">
            <w:pPr>
              <w:spacing w:line="360" w:lineRule="auto"/>
              <w:jc w:val="both"/>
              <w:rPr>
                <w:rFonts w:ascii="Book Antiqua" w:hAnsi="Book Antiqua"/>
                <w:bCs/>
                <w:lang w:val="en-US"/>
              </w:rPr>
            </w:pPr>
            <w:r w:rsidRPr="00DF7525">
              <w:rPr>
                <w:rFonts w:ascii="Book Antiqua" w:hAnsi="Book Antiqua"/>
                <w:bCs/>
                <w:lang w:val="en-US"/>
              </w:rPr>
              <w:t>CEA</w:t>
            </w:r>
          </w:p>
        </w:tc>
        <w:tc>
          <w:tcPr>
            <w:tcW w:w="1389" w:type="dxa"/>
            <w:vMerge w:val="restart"/>
            <w:vAlign w:val="center"/>
          </w:tcPr>
          <w:p w14:paraId="1CD2BD35"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Human</w:t>
            </w:r>
          </w:p>
        </w:tc>
        <w:tc>
          <w:tcPr>
            <w:tcW w:w="1888" w:type="dxa"/>
            <w:vAlign w:val="center"/>
          </w:tcPr>
          <w:p w14:paraId="5BB15020"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FOR</w:t>
            </w:r>
          </w:p>
        </w:tc>
        <w:tc>
          <w:tcPr>
            <w:tcW w:w="4636" w:type="dxa"/>
            <w:vAlign w:val="center"/>
          </w:tcPr>
          <w:p w14:paraId="3C5BCC78"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5’-GGTCTTCAACCCAATCAGTAAGAAC-3’</w:t>
            </w:r>
          </w:p>
        </w:tc>
      </w:tr>
      <w:tr w:rsidR="001E5F74" w:rsidRPr="004464B3" w14:paraId="48EDE049" w14:textId="77777777" w:rsidTr="0087104B">
        <w:trPr>
          <w:jc w:val="center"/>
        </w:trPr>
        <w:tc>
          <w:tcPr>
            <w:tcW w:w="1447" w:type="dxa"/>
            <w:vMerge/>
            <w:vAlign w:val="center"/>
          </w:tcPr>
          <w:p w14:paraId="6408DEBD" w14:textId="77777777" w:rsidR="001E5F74" w:rsidRPr="00DF7525" w:rsidRDefault="001E5F74" w:rsidP="00FB4A6A">
            <w:pPr>
              <w:spacing w:line="360" w:lineRule="auto"/>
              <w:jc w:val="both"/>
              <w:rPr>
                <w:rFonts w:ascii="Book Antiqua" w:hAnsi="Book Antiqua"/>
                <w:lang w:val="en-US"/>
              </w:rPr>
            </w:pPr>
          </w:p>
        </w:tc>
        <w:tc>
          <w:tcPr>
            <w:tcW w:w="1389" w:type="dxa"/>
            <w:vMerge/>
            <w:vAlign w:val="center"/>
          </w:tcPr>
          <w:p w14:paraId="4355ED2C" w14:textId="77777777" w:rsidR="001E5F74" w:rsidRPr="00DF7525" w:rsidRDefault="001E5F74" w:rsidP="00FB4A6A">
            <w:pPr>
              <w:spacing w:line="360" w:lineRule="auto"/>
              <w:jc w:val="both"/>
              <w:rPr>
                <w:rFonts w:ascii="Book Antiqua" w:hAnsi="Book Antiqua"/>
                <w:lang w:val="en-US"/>
              </w:rPr>
            </w:pPr>
          </w:p>
        </w:tc>
        <w:tc>
          <w:tcPr>
            <w:tcW w:w="1888" w:type="dxa"/>
            <w:vAlign w:val="center"/>
          </w:tcPr>
          <w:p w14:paraId="52789C22"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REV</w:t>
            </w:r>
          </w:p>
        </w:tc>
        <w:tc>
          <w:tcPr>
            <w:tcW w:w="4636" w:type="dxa"/>
            <w:vAlign w:val="center"/>
          </w:tcPr>
          <w:p w14:paraId="780A9472"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5’-ATGGCCCCAGGTGAGAGG-3’</w:t>
            </w:r>
          </w:p>
        </w:tc>
      </w:tr>
      <w:tr w:rsidR="001E5F74" w:rsidRPr="004464B3" w14:paraId="405296E6" w14:textId="77777777" w:rsidTr="0087104B">
        <w:trPr>
          <w:jc w:val="center"/>
        </w:trPr>
        <w:tc>
          <w:tcPr>
            <w:tcW w:w="1447" w:type="dxa"/>
            <w:vMerge w:val="restart"/>
            <w:tcBorders>
              <w:bottom w:val="single" w:sz="4" w:space="0" w:color="auto"/>
            </w:tcBorders>
            <w:vAlign w:val="center"/>
          </w:tcPr>
          <w:p w14:paraId="68C2288F"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cstheme="minorHAnsi"/>
                <w:lang w:val="en-US"/>
              </w:rPr>
              <w:t>γ</w:t>
            </w:r>
            <w:r w:rsidRPr="00DF7525">
              <w:rPr>
                <w:rFonts w:ascii="Book Antiqua" w:hAnsi="Book Antiqua"/>
                <w:lang w:val="en-US"/>
              </w:rPr>
              <w:t>-GT</w:t>
            </w:r>
          </w:p>
        </w:tc>
        <w:tc>
          <w:tcPr>
            <w:tcW w:w="1389" w:type="dxa"/>
            <w:vMerge w:val="restart"/>
            <w:tcBorders>
              <w:bottom w:val="single" w:sz="4" w:space="0" w:color="auto"/>
            </w:tcBorders>
            <w:vAlign w:val="center"/>
          </w:tcPr>
          <w:p w14:paraId="7B9AE032"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Human</w:t>
            </w:r>
          </w:p>
        </w:tc>
        <w:tc>
          <w:tcPr>
            <w:tcW w:w="1888" w:type="dxa"/>
            <w:vAlign w:val="center"/>
          </w:tcPr>
          <w:p w14:paraId="7F97CDBB"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FOR</w:t>
            </w:r>
          </w:p>
        </w:tc>
        <w:tc>
          <w:tcPr>
            <w:tcW w:w="4636" w:type="dxa"/>
            <w:vAlign w:val="center"/>
          </w:tcPr>
          <w:p w14:paraId="7DBC6A9A"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5’-TTTGGTGTGCTGCTGGATGAC-3’</w:t>
            </w:r>
          </w:p>
        </w:tc>
      </w:tr>
      <w:tr w:rsidR="001E5F74" w:rsidRPr="004464B3" w14:paraId="1E88529F" w14:textId="77777777" w:rsidTr="0087104B">
        <w:trPr>
          <w:jc w:val="center"/>
        </w:trPr>
        <w:tc>
          <w:tcPr>
            <w:tcW w:w="1447" w:type="dxa"/>
            <w:vMerge/>
            <w:tcBorders>
              <w:bottom w:val="single" w:sz="4" w:space="0" w:color="auto"/>
            </w:tcBorders>
            <w:vAlign w:val="center"/>
          </w:tcPr>
          <w:p w14:paraId="3B73C042" w14:textId="77777777" w:rsidR="001E5F74" w:rsidRPr="00DF7525" w:rsidRDefault="001E5F74" w:rsidP="00FB4A6A">
            <w:pPr>
              <w:spacing w:line="360" w:lineRule="auto"/>
              <w:jc w:val="both"/>
              <w:rPr>
                <w:rFonts w:ascii="Book Antiqua" w:hAnsi="Book Antiqua"/>
                <w:lang w:val="en-US"/>
              </w:rPr>
            </w:pPr>
          </w:p>
        </w:tc>
        <w:tc>
          <w:tcPr>
            <w:tcW w:w="1389" w:type="dxa"/>
            <w:vMerge/>
            <w:tcBorders>
              <w:bottom w:val="single" w:sz="4" w:space="0" w:color="auto"/>
            </w:tcBorders>
            <w:vAlign w:val="center"/>
          </w:tcPr>
          <w:p w14:paraId="62A3817C" w14:textId="77777777" w:rsidR="001E5F74" w:rsidRPr="00DF7525" w:rsidRDefault="001E5F74" w:rsidP="00FB4A6A">
            <w:pPr>
              <w:spacing w:line="360" w:lineRule="auto"/>
              <w:jc w:val="both"/>
              <w:rPr>
                <w:rFonts w:ascii="Book Antiqua" w:hAnsi="Book Antiqua"/>
                <w:lang w:val="en-US"/>
              </w:rPr>
            </w:pPr>
          </w:p>
        </w:tc>
        <w:tc>
          <w:tcPr>
            <w:tcW w:w="1888" w:type="dxa"/>
            <w:tcBorders>
              <w:bottom w:val="single" w:sz="4" w:space="0" w:color="auto"/>
            </w:tcBorders>
            <w:vAlign w:val="center"/>
          </w:tcPr>
          <w:p w14:paraId="35AB6643"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REV</w:t>
            </w:r>
          </w:p>
        </w:tc>
        <w:tc>
          <w:tcPr>
            <w:tcW w:w="4636" w:type="dxa"/>
            <w:tcBorders>
              <w:bottom w:val="single" w:sz="4" w:space="0" w:color="auto"/>
            </w:tcBorders>
            <w:vAlign w:val="center"/>
          </w:tcPr>
          <w:p w14:paraId="0B7EE79E" w14:textId="77777777" w:rsidR="001E5F74" w:rsidRPr="00DF7525" w:rsidRDefault="001E5F74" w:rsidP="00FB4A6A">
            <w:pPr>
              <w:spacing w:line="360" w:lineRule="auto"/>
              <w:jc w:val="both"/>
              <w:rPr>
                <w:rFonts w:ascii="Book Antiqua" w:hAnsi="Book Antiqua"/>
                <w:lang w:val="en-US"/>
              </w:rPr>
            </w:pPr>
            <w:r w:rsidRPr="00DF7525">
              <w:rPr>
                <w:rFonts w:ascii="Book Antiqua" w:hAnsi="Book Antiqua"/>
                <w:lang w:val="en-US"/>
              </w:rPr>
              <w:t>5’-ACCTGAGCTTCCCCACCTATG-3’</w:t>
            </w:r>
          </w:p>
        </w:tc>
      </w:tr>
    </w:tbl>
    <w:p w14:paraId="2C069069" w14:textId="2FF9106A" w:rsidR="005A5AE9" w:rsidRPr="004464B3" w:rsidRDefault="0087104B" w:rsidP="001D68DD">
      <w:pPr>
        <w:spacing w:line="360" w:lineRule="auto"/>
        <w:jc w:val="both"/>
      </w:pPr>
      <w:r w:rsidRPr="00383EC6">
        <w:rPr>
          <w:rFonts w:ascii="Book Antiqua" w:hAnsi="Book Antiqua"/>
        </w:rPr>
        <w:t xml:space="preserve">CEA: Carcinoembryonic antigen; </w:t>
      </w:r>
      <w:r w:rsidR="001E5F74" w:rsidRPr="00DF7525">
        <w:rPr>
          <w:rFonts w:ascii="Book Antiqua" w:hAnsi="Book Antiqua"/>
        </w:rPr>
        <w:t xml:space="preserve">CYP3A4: Cytochrome P350 3A4; </w:t>
      </w:r>
      <w:r w:rsidRPr="00383EC6">
        <w:rPr>
          <w:rFonts w:ascii="Book Antiqua" w:hAnsi="Book Antiqua"/>
        </w:rPr>
        <w:t xml:space="preserve">FOR: Forward; </w:t>
      </w:r>
      <w:r w:rsidRPr="004464B3">
        <w:rPr>
          <w:rFonts w:ascii="Book Antiqua" w:hAnsi="Book Antiqua"/>
        </w:rPr>
        <w:t>γ</w:t>
      </w:r>
      <w:r w:rsidRPr="00383EC6">
        <w:rPr>
          <w:rFonts w:ascii="Book Antiqua" w:hAnsi="Book Antiqua"/>
        </w:rPr>
        <w:t>-GT: Gamma-glutamyl transpeptidase; REV: Reverse</w:t>
      </w:r>
      <w:r>
        <w:rPr>
          <w:rFonts w:ascii="Book Antiqua" w:hAnsi="Book Antiqua"/>
        </w:rPr>
        <w:t>.</w:t>
      </w:r>
    </w:p>
    <w:sectPr w:rsidR="005A5AE9" w:rsidRPr="004464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C5FC" w14:textId="77777777" w:rsidR="00242865" w:rsidRDefault="00242865" w:rsidP="001D68DD">
      <w:r>
        <w:separator/>
      </w:r>
    </w:p>
  </w:endnote>
  <w:endnote w:type="continuationSeparator" w:id="0">
    <w:p w14:paraId="0E5F1624" w14:textId="77777777" w:rsidR="00242865" w:rsidRDefault="00242865" w:rsidP="001D6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433B" w14:textId="22BED8AB" w:rsidR="001D68DD" w:rsidRPr="001D68DD" w:rsidRDefault="001D68DD" w:rsidP="001D68DD">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744EAE">
      <w:rPr>
        <w:rFonts w:ascii="Book Antiqua" w:hAnsi="Book Antiqua"/>
        <w:sz w:val="24"/>
        <w:szCs w:val="24"/>
      </w:rPr>
      <w:t xml:space="preserve"> </w:t>
    </w:r>
    <w:r>
      <w:rPr>
        <w:rFonts w:ascii="Book Antiqua" w:hAnsi="Book Antiqua"/>
        <w:sz w:val="24"/>
        <w:szCs w:val="24"/>
      </w:rPr>
      <w:t>/</w:t>
    </w:r>
    <w:r w:rsidR="00744EAE">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30</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9829C" w14:textId="77777777" w:rsidR="00242865" w:rsidRDefault="00242865" w:rsidP="001D68DD">
      <w:r>
        <w:separator/>
      </w:r>
    </w:p>
  </w:footnote>
  <w:footnote w:type="continuationSeparator" w:id="0">
    <w:p w14:paraId="1A19819D" w14:textId="77777777" w:rsidR="00242865" w:rsidRDefault="00242865" w:rsidP="001D68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291"/>
    <w:rsid w:val="00022ED2"/>
    <w:rsid w:val="000317B2"/>
    <w:rsid w:val="00034CED"/>
    <w:rsid w:val="000575B1"/>
    <w:rsid w:val="000774C6"/>
    <w:rsid w:val="000A52BC"/>
    <w:rsid w:val="000A6595"/>
    <w:rsid w:val="000C4C57"/>
    <w:rsid w:val="000E0B50"/>
    <w:rsid w:val="000E2B71"/>
    <w:rsid w:val="000E7E1B"/>
    <w:rsid w:val="000F0D35"/>
    <w:rsid w:val="000F4E95"/>
    <w:rsid w:val="000F759C"/>
    <w:rsid w:val="00110600"/>
    <w:rsid w:val="00140352"/>
    <w:rsid w:val="00143619"/>
    <w:rsid w:val="0018429D"/>
    <w:rsid w:val="001A6B0B"/>
    <w:rsid w:val="001B3C35"/>
    <w:rsid w:val="001B629D"/>
    <w:rsid w:val="001D68DD"/>
    <w:rsid w:val="001E2AE4"/>
    <w:rsid w:val="001E5F74"/>
    <w:rsid w:val="001F1658"/>
    <w:rsid w:val="00215EB1"/>
    <w:rsid w:val="00227145"/>
    <w:rsid w:val="00227288"/>
    <w:rsid w:val="00242865"/>
    <w:rsid w:val="00270505"/>
    <w:rsid w:val="00273393"/>
    <w:rsid w:val="00274CD3"/>
    <w:rsid w:val="00276F29"/>
    <w:rsid w:val="00286EBF"/>
    <w:rsid w:val="0029060C"/>
    <w:rsid w:val="002A5D2F"/>
    <w:rsid w:val="002B3E36"/>
    <w:rsid w:val="002C1146"/>
    <w:rsid w:val="002C288C"/>
    <w:rsid w:val="002C46AC"/>
    <w:rsid w:val="002E773D"/>
    <w:rsid w:val="002F38BE"/>
    <w:rsid w:val="002F40C8"/>
    <w:rsid w:val="002F51CD"/>
    <w:rsid w:val="002F577B"/>
    <w:rsid w:val="00310674"/>
    <w:rsid w:val="00312872"/>
    <w:rsid w:val="003144D0"/>
    <w:rsid w:val="00314777"/>
    <w:rsid w:val="00314E24"/>
    <w:rsid w:val="00316B6C"/>
    <w:rsid w:val="003203C8"/>
    <w:rsid w:val="0033205C"/>
    <w:rsid w:val="00333420"/>
    <w:rsid w:val="00352246"/>
    <w:rsid w:val="00366D27"/>
    <w:rsid w:val="00373B6D"/>
    <w:rsid w:val="00377A5A"/>
    <w:rsid w:val="00390C39"/>
    <w:rsid w:val="0039160D"/>
    <w:rsid w:val="003A17FA"/>
    <w:rsid w:val="003A3E48"/>
    <w:rsid w:val="003B39F9"/>
    <w:rsid w:val="003C1C07"/>
    <w:rsid w:val="003C636E"/>
    <w:rsid w:val="003D43C0"/>
    <w:rsid w:val="003D73F8"/>
    <w:rsid w:val="003D776F"/>
    <w:rsid w:val="003E4D95"/>
    <w:rsid w:val="003F3B8D"/>
    <w:rsid w:val="00400B9A"/>
    <w:rsid w:val="00412051"/>
    <w:rsid w:val="00414ED7"/>
    <w:rsid w:val="004464B3"/>
    <w:rsid w:val="00446ADD"/>
    <w:rsid w:val="00460223"/>
    <w:rsid w:val="00462723"/>
    <w:rsid w:val="0046398B"/>
    <w:rsid w:val="004646A4"/>
    <w:rsid w:val="00467E0C"/>
    <w:rsid w:val="00472CCE"/>
    <w:rsid w:val="004800C8"/>
    <w:rsid w:val="00483914"/>
    <w:rsid w:val="00490ADB"/>
    <w:rsid w:val="004A4C1F"/>
    <w:rsid w:val="004B1073"/>
    <w:rsid w:val="004B3761"/>
    <w:rsid w:val="004B5F3E"/>
    <w:rsid w:val="004C38B9"/>
    <w:rsid w:val="004D08A4"/>
    <w:rsid w:val="004E649F"/>
    <w:rsid w:val="004E6837"/>
    <w:rsid w:val="004F2B33"/>
    <w:rsid w:val="00507C86"/>
    <w:rsid w:val="005241F2"/>
    <w:rsid w:val="00533A6A"/>
    <w:rsid w:val="00534BD9"/>
    <w:rsid w:val="00550EF7"/>
    <w:rsid w:val="00556C25"/>
    <w:rsid w:val="005604F9"/>
    <w:rsid w:val="00561F7F"/>
    <w:rsid w:val="005662BA"/>
    <w:rsid w:val="0057188F"/>
    <w:rsid w:val="005846F6"/>
    <w:rsid w:val="00590BBB"/>
    <w:rsid w:val="005A2A96"/>
    <w:rsid w:val="005A4F6B"/>
    <w:rsid w:val="005A5AE9"/>
    <w:rsid w:val="005B280B"/>
    <w:rsid w:val="005B2E1A"/>
    <w:rsid w:val="005B353E"/>
    <w:rsid w:val="005B6F02"/>
    <w:rsid w:val="005C6EAD"/>
    <w:rsid w:val="005E2C5B"/>
    <w:rsid w:val="005E433A"/>
    <w:rsid w:val="005F4812"/>
    <w:rsid w:val="005F4C6A"/>
    <w:rsid w:val="005F712B"/>
    <w:rsid w:val="00613AD9"/>
    <w:rsid w:val="006146F7"/>
    <w:rsid w:val="006337BE"/>
    <w:rsid w:val="00634269"/>
    <w:rsid w:val="006416E2"/>
    <w:rsid w:val="006610D4"/>
    <w:rsid w:val="0068711B"/>
    <w:rsid w:val="006B63C8"/>
    <w:rsid w:val="006C68AF"/>
    <w:rsid w:val="006C6DDE"/>
    <w:rsid w:val="006D430E"/>
    <w:rsid w:val="006D6FF2"/>
    <w:rsid w:val="00716052"/>
    <w:rsid w:val="0072205C"/>
    <w:rsid w:val="007370A5"/>
    <w:rsid w:val="00744EAE"/>
    <w:rsid w:val="007456C2"/>
    <w:rsid w:val="00745E7A"/>
    <w:rsid w:val="00755C8A"/>
    <w:rsid w:val="00756275"/>
    <w:rsid w:val="007569D1"/>
    <w:rsid w:val="0077003E"/>
    <w:rsid w:val="00772B16"/>
    <w:rsid w:val="00772FF2"/>
    <w:rsid w:val="00782FB2"/>
    <w:rsid w:val="007855AA"/>
    <w:rsid w:val="00793924"/>
    <w:rsid w:val="0079443E"/>
    <w:rsid w:val="007B5EE0"/>
    <w:rsid w:val="007D7546"/>
    <w:rsid w:val="007F4147"/>
    <w:rsid w:val="00801E61"/>
    <w:rsid w:val="00805132"/>
    <w:rsid w:val="008069E6"/>
    <w:rsid w:val="00812371"/>
    <w:rsid w:val="00820AFA"/>
    <w:rsid w:val="00833894"/>
    <w:rsid w:val="00836500"/>
    <w:rsid w:val="008668C4"/>
    <w:rsid w:val="0087104B"/>
    <w:rsid w:val="00877703"/>
    <w:rsid w:val="00885075"/>
    <w:rsid w:val="0088664C"/>
    <w:rsid w:val="008B4358"/>
    <w:rsid w:val="008C004D"/>
    <w:rsid w:val="008D06EB"/>
    <w:rsid w:val="008D464E"/>
    <w:rsid w:val="008D4DE2"/>
    <w:rsid w:val="008E04BD"/>
    <w:rsid w:val="00900209"/>
    <w:rsid w:val="00900B12"/>
    <w:rsid w:val="009169AF"/>
    <w:rsid w:val="00921B1E"/>
    <w:rsid w:val="00922A51"/>
    <w:rsid w:val="009327CB"/>
    <w:rsid w:val="0093492B"/>
    <w:rsid w:val="0093509A"/>
    <w:rsid w:val="00942A2E"/>
    <w:rsid w:val="00944E36"/>
    <w:rsid w:val="00951BDE"/>
    <w:rsid w:val="009552A0"/>
    <w:rsid w:val="00962049"/>
    <w:rsid w:val="00963B03"/>
    <w:rsid w:val="00963B3D"/>
    <w:rsid w:val="009711F3"/>
    <w:rsid w:val="00980E52"/>
    <w:rsid w:val="009A0D62"/>
    <w:rsid w:val="009B1132"/>
    <w:rsid w:val="009B60B6"/>
    <w:rsid w:val="009C221C"/>
    <w:rsid w:val="009D04BE"/>
    <w:rsid w:val="009F5588"/>
    <w:rsid w:val="009F666C"/>
    <w:rsid w:val="009F7FA0"/>
    <w:rsid w:val="00A06173"/>
    <w:rsid w:val="00A2665F"/>
    <w:rsid w:val="00A437DC"/>
    <w:rsid w:val="00A44FAE"/>
    <w:rsid w:val="00A46FF5"/>
    <w:rsid w:val="00A5031A"/>
    <w:rsid w:val="00A6075B"/>
    <w:rsid w:val="00A65628"/>
    <w:rsid w:val="00A66726"/>
    <w:rsid w:val="00A70248"/>
    <w:rsid w:val="00A7051F"/>
    <w:rsid w:val="00A717DD"/>
    <w:rsid w:val="00A74B98"/>
    <w:rsid w:val="00A77B3E"/>
    <w:rsid w:val="00A919EB"/>
    <w:rsid w:val="00AA6E34"/>
    <w:rsid w:val="00AC1174"/>
    <w:rsid w:val="00AC4E15"/>
    <w:rsid w:val="00AC54D6"/>
    <w:rsid w:val="00AE657A"/>
    <w:rsid w:val="00B0713F"/>
    <w:rsid w:val="00B21566"/>
    <w:rsid w:val="00B22241"/>
    <w:rsid w:val="00B30276"/>
    <w:rsid w:val="00B3363C"/>
    <w:rsid w:val="00B344EA"/>
    <w:rsid w:val="00B44CF3"/>
    <w:rsid w:val="00B562F5"/>
    <w:rsid w:val="00B6275C"/>
    <w:rsid w:val="00B65B48"/>
    <w:rsid w:val="00B7405E"/>
    <w:rsid w:val="00B858EF"/>
    <w:rsid w:val="00B95B42"/>
    <w:rsid w:val="00BB181B"/>
    <w:rsid w:val="00BB4E3D"/>
    <w:rsid w:val="00BC4F7A"/>
    <w:rsid w:val="00BD259C"/>
    <w:rsid w:val="00BE3A79"/>
    <w:rsid w:val="00BE3D62"/>
    <w:rsid w:val="00BE41EF"/>
    <w:rsid w:val="00BE7E39"/>
    <w:rsid w:val="00BF0BDB"/>
    <w:rsid w:val="00BF1151"/>
    <w:rsid w:val="00BF62E3"/>
    <w:rsid w:val="00C02936"/>
    <w:rsid w:val="00C07CA7"/>
    <w:rsid w:val="00C10A49"/>
    <w:rsid w:val="00C10C04"/>
    <w:rsid w:val="00C26D9A"/>
    <w:rsid w:val="00C27F55"/>
    <w:rsid w:val="00C53CCB"/>
    <w:rsid w:val="00C63B0D"/>
    <w:rsid w:val="00C645A8"/>
    <w:rsid w:val="00C734A7"/>
    <w:rsid w:val="00C85C71"/>
    <w:rsid w:val="00CA08AA"/>
    <w:rsid w:val="00CA20B5"/>
    <w:rsid w:val="00CA2A55"/>
    <w:rsid w:val="00CA40E4"/>
    <w:rsid w:val="00CC1DF8"/>
    <w:rsid w:val="00CD401B"/>
    <w:rsid w:val="00CE2DA1"/>
    <w:rsid w:val="00CE56E5"/>
    <w:rsid w:val="00CE7D4C"/>
    <w:rsid w:val="00CF17F8"/>
    <w:rsid w:val="00CF2A76"/>
    <w:rsid w:val="00D00150"/>
    <w:rsid w:val="00D11A61"/>
    <w:rsid w:val="00D1255B"/>
    <w:rsid w:val="00D45BC2"/>
    <w:rsid w:val="00D572E7"/>
    <w:rsid w:val="00D71AC8"/>
    <w:rsid w:val="00D72758"/>
    <w:rsid w:val="00D74FA2"/>
    <w:rsid w:val="00D80416"/>
    <w:rsid w:val="00D85B9A"/>
    <w:rsid w:val="00DA0677"/>
    <w:rsid w:val="00DA6BF5"/>
    <w:rsid w:val="00DA7306"/>
    <w:rsid w:val="00DA79F5"/>
    <w:rsid w:val="00DC31D8"/>
    <w:rsid w:val="00DC6295"/>
    <w:rsid w:val="00DF0ACC"/>
    <w:rsid w:val="00DF5E73"/>
    <w:rsid w:val="00DF6B3F"/>
    <w:rsid w:val="00DF7525"/>
    <w:rsid w:val="00E01263"/>
    <w:rsid w:val="00E06B8A"/>
    <w:rsid w:val="00E26E02"/>
    <w:rsid w:val="00E43237"/>
    <w:rsid w:val="00E44F24"/>
    <w:rsid w:val="00E55C6F"/>
    <w:rsid w:val="00EA3F79"/>
    <w:rsid w:val="00EB026F"/>
    <w:rsid w:val="00EB61DF"/>
    <w:rsid w:val="00EC003A"/>
    <w:rsid w:val="00EC1AC8"/>
    <w:rsid w:val="00EC3C0B"/>
    <w:rsid w:val="00EC40ED"/>
    <w:rsid w:val="00F07937"/>
    <w:rsid w:val="00F126D8"/>
    <w:rsid w:val="00F21C9F"/>
    <w:rsid w:val="00F364AB"/>
    <w:rsid w:val="00F43523"/>
    <w:rsid w:val="00F579EE"/>
    <w:rsid w:val="00F61E70"/>
    <w:rsid w:val="00F70077"/>
    <w:rsid w:val="00F76A68"/>
    <w:rsid w:val="00F77090"/>
    <w:rsid w:val="00F77E07"/>
    <w:rsid w:val="00FA196E"/>
    <w:rsid w:val="00FA1EBA"/>
    <w:rsid w:val="00FB0102"/>
    <w:rsid w:val="00FB0AE2"/>
    <w:rsid w:val="00FB5A03"/>
    <w:rsid w:val="00FC0A98"/>
    <w:rsid w:val="00FD0964"/>
    <w:rsid w:val="00FD40DF"/>
    <w:rsid w:val="00FE0111"/>
    <w:rsid w:val="00FF3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7C7AE"/>
  <w15:docId w15:val="{BB850822-AAE7-4B5D-9522-7F605309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D68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D68DD"/>
    <w:rPr>
      <w:sz w:val="18"/>
      <w:szCs w:val="18"/>
    </w:rPr>
  </w:style>
  <w:style w:type="paragraph" w:styleId="Footer">
    <w:name w:val="footer"/>
    <w:basedOn w:val="Normal"/>
    <w:link w:val="FooterChar"/>
    <w:unhideWhenUsed/>
    <w:rsid w:val="001D68DD"/>
    <w:pPr>
      <w:tabs>
        <w:tab w:val="center" w:pos="4153"/>
        <w:tab w:val="right" w:pos="8306"/>
      </w:tabs>
      <w:snapToGrid w:val="0"/>
    </w:pPr>
    <w:rPr>
      <w:sz w:val="18"/>
      <w:szCs w:val="18"/>
    </w:rPr>
  </w:style>
  <w:style w:type="character" w:customStyle="1" w:styleId="FooterChar">
    <w:name w:val="Footer Char"/>
    <w:basedOn w:val="DefaultParagraphFont"/>
    <w:link w:val="Footer"/>
    <w:rsid w:val="001D68DD"/>
    <w:rPr>
      <w:sz w:val="18"/>
      <w:szCs w:val="18"/>
    </w:rPr>
  </w:style>
  <w:style w:type="table" w:styleId="TableGrid">
    <w:name w:val="Table Grid"/>
    <w:basedOn w:val="TableNormal"/>
    <w:uiPriority w:val="39"/>
    <w:rsid w:val="001E5F74"/>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75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409648">
      <w:bodyDiv w:val="1"/>
      <w:marLeft w:val="0"/>
      <w:marRight w:val="0"/>
      <w:marTop w:val="0"/>
      <w:marBottom w:val="0"/>
      <w:divBdr>
        <w:top w:val="none" w:sz="0" w:space="0" w:color="auto"/>
        <w:left w:val="none" w:sz="0" w:space="0" w:color="auto"/>
        <w:bottom w:val="none" w:sz="0" w:space="0" w:color="auto"/>
        <w:right w:val="none" w:sz="0" w:space="0" w:color="auto"/>
      </w:divBdr>
    </w:div>
    <w:div w:id="1065683376">
      <w:bodyDiv w:val="1"/>
      <w:marLeft w:val="0"/>
      <w:marRight w:val="0"/>
      <w:marTop w:val="0"/>
      <w:marBottom w:val="0"/>
      <w:divBdr>
        <w:top w:val="none" w:sz="0" w:space="0" w:color="auto"/>
        <w:left w:val="none" w:sz="0" w:space="0" w:color="auto"/>
        <w:bottom w:val="none" w:sz="0" w:space="0" w:color="auto"/>
        <w:right w:val="none" w:sz="0" w:space="0" w:color="auto"/>
      </w:divBdr>
    </w:div>
    <w:div w:id="191103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7971</Words>
  <Characters>45439</Characters>
  <Application>Microsoft Office Word</Application>
  <DocSecurity>0</DocSecurity>
  <Lines>378</Lines>
  <Paragraphs>106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 li</dc:creator>
  <cp:lastModifiedBy>Donna Fox</cp:lastModifiedBy>
  <cp:revision>2</cp:revision>
  <dcterms:created xsi:type="dcterms:W3CDTF">2021-09-03T20:18:00Z</dcterms:created>
  <dcterms:modified xsi:type="dcterms:W3CDTF">2021-09-03T20:18:00Z</dcterms:modified>
</cp:coreProperties>
</file>