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05C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Name of Journal: </w:t>
      </w:r>
      <w:r w:rsidRPr="00572D61">
        <w:rPr>
          <w:rFonts w:ascii="Book Antiqua" w:eastAsia="Book Antiqua" w:hAnsi="Book Antiqua" w:cs="Book Antiqua"/>
          <w:i/>
          <w:color w:val="000000"/>
          <w:lang w:val="en-GB"/>
        </w:rPr>
        <w:t>World Journal of Clinical Cases</w:t>
      </w:r>
    </w:p>
    <w:p w14:paraId="7F3F910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Manuscript NO: </w:t>
      </w:r>
      <w:r w:rsidRPr="00572D61">
        <w:rPr>
          <w:rFonts w:ascii="Book Antiqua" w:eastAsia="Book Antiqua" w:hAnsi="Book Antiqua" w:cs="Book Antiqua"/>
          <w:color w:val="000000"/>
          <w:lang w:val="en-GB"/>
        </w:rPr>
        <w:t>67568</w:t>
      </w:r>
    </w:p>
    <w:p w14:paraId="44AB36D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Manuscript Type: </w:t>
      </w:r>
      <w:r w:rsidRPr="00572D61">
        <w:rPr>
          <w:rFonts w:ascii="Book Antiqua" w:eastAsia="Book Antiqua" w:hAnsi="Book Antiqua" w:cs="Book Antiqua"/>
          <w:color w:val="000000"/>
          <w:lang w:val="en-GB"/>
        </w:rPr>
        <w:t>ORIGINAL ARTICLE</w:t>
      </w:r>
    </w:p>
    <w:p w14:paraId="7763E7FD" w14:textId="77777777" w:rsidR="00A77B3E" w:rsidRPr="00572D61" w:rsidRDefault="00A77B3E" w:rsidP="00450E72">
      <w:pPr>
        <w:adjustRightInd w:val="0"/>
        <w:snapToGrid w:val="0"/>
        <w:spacing w:line="360" w:lineRule="auto"/>
        <w:jc w:val="both"/>
        <w:rPr>
          <w:rFonts w:ascii="Book Antiqua" w:hAnsi="Book Antiqua"/>
          <w:lang w:val="en-GB"/>
        </w:rPr>
      </w:pPr>
    </w:p>
    <w:p w14:paraId="4EC7C7D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Retrospective Study</w:t>
      </w:r>
    </w:p>
    <w:p w14:paraId="614AC23F" w14:textId="7743ACEC"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Nomogram based on inflammation-related markers for predicting survival of patients undergoing hepatectomy for </w:t>
      </w:r>
      <w:bookmarkStart w:id="0" w:name="OLE_LINK666"/>
      <w:bookmarkStart w:id="1" w:name="OLE_LINK667"/>
      <w:r w:rsidRPr="00572D61">
        <w:rPr>
          <w:rFonts w:ascii="Book Antiqua" w:eastAsia="Book Antiqua" w:hAnsi="Book Antiqua" w:cs="Book Antiqua"/>
          <w:b/>
          <w:bCs/>
          <w:color w:val="000000"/>
          <w:lang w:val="en-GB"/>
        </w:rPr>
        <w:t>hepatocellular carcinoma</w:t>
      </w:r>
      <w:bookmarkEnd w:id="0"/>
      <w:bookmarkEnd w:id="1"/>
    </w:p>
    <w:p w14:paraId="0C0AD2BE" w14:textId="77777777" w:rsidR="00A77B3E" w:rsidRPr="00572D61" w:rsidRDefault="00A77B3E" w:rsidP="00450E72">
      <w:pPr>
        <w:adjustRightInd w:val="0"/>
        <w:snapToGrid w:val="0"/>
        <w:spacing w:line="360" w:lineRule="auto"/>
        <w:jc w:val="both"/>
        <w:rPr>
          <w:rFonts w:ascii="Book Antiqua" w:hAnsi="Book Antiqua"/>
          <w:lang w:val="en-GB"/>
        </w:rPr>
      </w:pPr>
    </w:p>
    <w:p w14:paraId="16436D10" w14:textId="77777777" w:rsidR="00A77B3E" w:rsidRPr="00572D61" w:rsidRDefault="004555EF"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Pu </w:t>
      </w:r>
      <w:r w:rsidRPr="00572D61">
        <w:rPr>
          <w:rFonts w:ascii="Book Antiqua" w:hAnsi="Book Antiqua" w:cs="Book Antiqua"/>
          <w:color w:val="000000"/>
          <w:lang w:val="en-GB" w:eastAsia="zh-CN"/>
        </w:rPr>
        <w:t xml:space="preserve">T </w:t>
      </w:r>
      <w:r w:rsidRPr="00572D61">
        <w:rPr>
          <w:rFonts w:ascii="Book Antiqua" w:hAnsi="Book Antiqua" w:cs="Book Antiqua"/>
          <w:i/>
          <w:color w:val="000000"/>
          <w:lang w:val="en-GB" w:eastAsia="zh-CN"/>
        </w:rPr>
        <w:t>et al</w:t>
      </w:r>
      <w:r w:rsidRPr="00572D61">
        <w:rPr>
          <w:rFonts w:ascii="Book Antiqua" w:hAnsi="Book Antiqua" w:cs="Book Antiqua"/>
          <w:color w:val="000000"/>
          <w:lang w:val="en-GB" w:eastAsia="zh-CN"/>
        </w:rPr>
        <w:t xml:space="preserve">. </w:t>
      </w:r>
      <w:r w:rsidR="00037BBC" w:rsidRPr="00572D61">
        <w:rPr>
          <w:rFonts w:ascii="Book Antiqua" w:eastAsia="Book Antiqua" w:hAnsi="Book Antiqua" w:cs="Book Antiqua"/>
          <w:color w:val="000000"/>
          <w:lang w:val="en-GB"/>
        </w:rPr>
        <w:t>Nomogram based on inflammation-related for HCC</w:t>
      </w:r>
    </w:p>
    <w:p w14:paraId="33BBAE78" w14:textId="77777777" w:rsidR="00A77B3E" w:rsidRPr="00572D61" w:rsidRDefault="00A77B3E" w:rsidP="00450E72">
      <w:pPr>
        <w:adjustRightInd w:val="0"/>
        <w:snapToGrid w:val="0"/>
        <w:spacing w:line="360" w:lineRule="auto"/>
        <w:jc w:val="both"/>
        <w:rPr>
          <w:rFonts w:ascii="Book Antiqua" w:hAnsi="Book Antiqua"/>
          <w:lang w:val="en-GB"/>
        </w:rPr>
      </w:pPr>
    </w:p>
    <w:p w14:paraId="4220F92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Tian Pu, Zi-Han Li, Dong Jiang, Jiang-Ming Chen, Qi </w:t>
      </w:r>
      <w:proofErr w:type="spellStart"/>
      <w:r w:rsidRPr="00572D61">
        <w:rPr>
          <w:rFonts w:ascii="Book Antiqua" w:eastAsia="Book Antiqua" w:hAnsi="Book Antiqua" w:cs="Book Antiqua"/>
          <w:color w:val="000000"/>
          <w:lang w:val="en-GB"/>
        </w:rPr>
        <w:t>Guo</w:t>
      </w:r>
      <w:proofErr w:type="spellEnd"/>
      <w:r w:rsidRPr="00572D61">
        <w:rPr>
          <w:rFonts w:ascii="Book Antiqua" w:eastAsia="Book Antiqua" w:hAnsi="Book Antiqua" w:cs="Book Antiqua"/>
          <w:color w:val="000000"/>
          <w:lang w:val="en-GB"/>
        </w:rPr>
        <w:t xml:space="preserve">, Ming </w:t>
      </w:r>
      <w:proofErr w:type="spellStart"/>
      <w:r w:rsidRPr="00572D61">
        <w:rPr>
          <w:rFonts w:ascii="Book Antiqua" w:eastAsia="Book Antiqua" w:hAnsi="Book Antiqua" w:cs="Book Antiqua"/>
          <w:color w:val="000000"/>
          <w:lang w:val="en-GB"/>
        </w:rPr>
        <w:t>Cai</w:t>
      </w:r>
      <w:proofErr w:type="spellEnd"/>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Zi</w:t>
      </w:r>
      <w:proofErr w:type="spellEnd"/>
      <w:r w:rsidRPr="00572D61">
        <w:rPr>
          <w:rFonts w:ascii="Book Antiqua" w:eastAsia="Book Antiqua" w:hAnsi="Book Antiqua" w:cs="Book Antiqua"/>
          <w:color w:val="000000"/>
          <w:lang w:val="en-GB"/>
        </w:rPr>
        <w:t xml:space="preserve">-Xiang Chen, Kun </w:t>
      </w:r>
      <w:proofErr w:type="spellStart"/>
      <w:r w:rsidRPr="00572D61">
        <w:rPr>
          <w:rFonts w:ascii="Book Antiqua" w:eastAsia="Book Antiqua" w:hAnsi="Book Antiqua" w:cs="Book Antiqua"/>
          <w:color w:val="000000"/>
          <w:lang w:val="en-GB"/>
        </w:rPr>
        <w:t>Xie</w:t>
      </w:r>
      <w:proofErr w:type="spellEnd"/>
      <w:r w:rsidRPr="00572D61">
        <w:rPr>
          <w:rFonts w:ascii="Book Antiqua" w:eastAsia="Book Antiqua" w:hAnsi="Book Antiqua" w:cs="Book Antiqua"/>
          <w:color w:val="000000"/>
          <w:lang w:val="en-GB"/>
        </w:rPr>
        <w:t>, Yi-Jun Zhao, Fu-</w:t>
      </w:r>
      <w:proofErr w:type="spellStart"/>
      <w:r w:rsidRPr="00572D61">
        <w:rPr>
          <w:rFonts w:ascii="Book Antiqua" w:eastAsia="Book Antiqua" w:hAnsi="Book Antiqua" w:cs="Book Antiqua"/>
          <w:color w:val="000000"/>
          <w:lang w:val="en-GB"/>
        </w:rPr>
        <w:t>Bao</w:t>
      </w:r>
      <w:proofErr w:type="spellEnd"/>
      <w:r w:rsidRPr="00572D61">
        <w:rPr>
          <w:rFonts w:ascii="Book Antiqua" w:eastAsia="Book Antiqua" w:hAnsi="Book Antiqua" w:cs="Book Antiqua"/>
          <w:color w:val="000000"/>
          <w:lang w:val="en-GB"/>
        </w:rPr>
        <w:t xml:space="preserve"> Liu</w:t>
      </w:r>
    </w:p>
    <w:p w14:paraId="0603128E" w14:textId="77777777" w:rsidR="00A77B3E" w:rsidRPr="00572D61" w:rsidRDefault="00A77B3E" w:rsidP="00450E72">
      <w:pPr>
        <w:adjustRightInd w:val="0"/>
        <w:snapToGrid w:val="0"/>
        <w:spacing w:line="360" w:lineRule="auto"/>
        <w:jc w:val="both"/>
        <w:rPr>
          <w:rFonts w:ascii="Book Antiqua" w:hAnsi="Book Antiqua"/>
          <w:lang w:val="en-GB"/>
        </w:rPr>
      </w:pPr>
    </w:p>
    <w:p w14:paraId="3EEB8CB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Tian Pu, Zi-Han Li, Dong Jiang, Jiang-Ming Chen, Qi </w:t>
      </w:r>
      <w:proofErr w:type="spellStart"/>
      <w:r w:rsidRPr="00572D61">
        <w:rPr>
          <w:rFonts w:ascii="Book Antiqua" w:eastAsia="Book Antiqua" w:hAnsi="Book Antiqua" w:cs="Book Antiqua"/>
          <w:b/>
          <w:bCs/>
          <w:color w:val="000000"/>
          <w:lang w:val="en-GB"/>
        </w:rPr>
        <w:t>Guo</w:t>
      </w:r>
      <w:proofErr w:type="spellEnd"/>
      <w:r w:rsidRPr="00572D61">
        <w:rPr>
          <w:rFonts w:ascii="Book Antiqua" w:eastAsia="Book Antiqua" w:hAnsi="Book Antiqua" w:cs="Book Antiqua"/>
          <w:b/>
          <w:bCs/>
          <w:color w:val="000000"/>
          <w:lang w:val="en-GB"/>
        </w:rPr>
        <w:t xml:space="preserve">, </w:t>
      </w:r>
      <w:proofErr w:type="spellStart"/>
      <w:r w:rsidRPr="00572D61">
        <w:rPr>
          <w:rFonts w:ascii="Book Antiqua" w:eastAsia="Book Antiqua" w:hAnsi="Book Antiqua" w:cs="Book Antiqua"/>
          <w:b/>
          <w:bCs/>
          <w:color w:val="000000"/>
          <w:lang w:val="en-GB"/>
        </w:rPr>
        <w:t>Zi</w:t>
      </w:r>
      <w:proofErr w:type="spellEnd"/>
      <w:r w:rsidRPr="00572D61">
        <w:rPr>
          <w:rFonts w:ascii="Book Antiqua" w:eastAsia="Book Antiqua" w:hAnsi="Book Antiqua" w:cs="Book Antiqua"/>
          <w:b/>
          <w:bCs/>
          <w:color w:val="000000"/>
          <w:lang w:val="en-GB"/>
        </w:rPr>
        <w:t xml:space="preserve">-Xiang Chen, Kun </w:t>
      </w:r>
      <w:proofErr w:type="spellStart"/>
      <w:r w:rsidRPr="00572D61">
        <w:rPr>
          <w:rFonts w:ascii="Book Antiqua" w:eastAsia="Book Antiqua" w:hAnsi="Book Antiqua" w:cs="Book Antiqua"/>
          <w:b/>
          <w:bCs/>
          <w:color w:val="000000"/>
          <w:lang w:val="en-GB"/>
        </w:rPr>
        <w:t>Xie</w:t>
      </w:r>
      <w:proofErr w:type="spellEnd"/>
      <w:r w:rsidRPr="00572D61">
        <w:rPr>
          <w:rFonts w:ascii="Book Antiqua" w:eastAsia="Book Antiqua" w:hAnsi="Book Antiqua" w:cs="Book Antiqua"/>
          <w:b/>
          <w:bCs/>
          <w:color w:val="000000"/>
          <w:lang w:val="en-GB"/>
        </w:rPr>
        <w:t>, Yi-Jun Zhao, Fu-</w:t>
      </w:r>
      <w:proofErr w:type="spellStart"/>
      <w:r w:rsidRPr="00572D61">
        <w:rPr>
          <w:rFonts w:ascii="Book Antiqua" w:eastAsia="Book Antiqua" w:hAnsi="Book Antiqua" w:cs="Book Antiqua"/>
          <w:b/>
          <w:bCs/>
          <w:color w:val="000000"/>
          <w:lang w:val="en-GB"/>
        </w:rPr>
        <w:t>Bao</w:t>
      </w:r>
      <w:proofErr w:type="spellEnd"/>
      <w:r w:rsidRPr="00572D61">
        <w:rPr>
          <w:rFonts w:ascii="Book Antiqua" w:eastAsia="Book Antiqua" w:hAnsi="Book Antiqua" w:cs="Book Antiqua"/>
          <w:b/>
          <w:bCs/>
          <w:color w:val="000000"/>
          <w:lang w:val="en-GB"/>
        </w:rPr>
        <w:t xml:space="preserve"> Liu, </w:t>
      </w:r>
      <w:r w:rsidRPr="00572D61">
        <w:rPr>
          <w:rFonts w:ascii="Book Antiqua" w:eastAsia="Book Antiqua" w:hAnsi="Book Antiqua" w:cs="Book Antiqua"/>
          <w:color w:val="000000"/>
          <w:lang w:val="en-GB"/>
        </w:rPr>
        <w:t>Department of General Surgery, The First Affiliated Hospital of Anhui Medical University, Hefei 230022, Anhui Province, China</w:t>
      </w:r>
    </w:p>
    <w:p w14:paraId="6D81BB4A" w14:textId="77777777" w:rsidR="00A77B3E" w:rsidRPr="00572D61" w:rsidRDefault="00A77B3E" w:rsidP="00450E72">
      <w:pPr>
        <w:adjustRightInd w:val="0"/>
        <w:snapToGrid w:val="0"/>
        <w:spacing w:line="360" w:lineRule="auto"/>
        <w:jc w:val="both"/>
        <w:rPr>
          <w:rFonts w:ascii="Book Antiqua" w:hAnsi="Book Antiqua"/>
          <w:lang w:val="en-GB"/>
        </w:rPr>
      </w:pPr>
    </w:p>
    <w:p w14:paraId="24FB074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Ming Cai, </w:t>
      </w:r>
      <w:r w:rsidRPr="00572D61">
        <w:rPr>
          <w:rFonts w:ascii="Book Antiqua" w:eastAsia="Book Antiqua" w:hAnsi="Book Antiqua" w:cs="Book Antiqua"/>
          <w:color w:val="000000"/>
          <w:lang w:val="en-GB"/>
        </w:rPr>
        <w:t>Department of General Surgery, The First Affiliated Hospital of University of Science and Technology of China, Hefei 230022, Anhui Province, China</w:t>
      </w:r>
    </w:p>
    <w:p w14:paraId="4D5349AB" w14:textId="77777777" w:rsidR="00A77B3E" w:rsidRPr="00572D61" w:rsidRDefault="00A77B3E" w:rsidP="00450E72">
      <w:pPr>
        <w:adjustRightInd w:val="0"/>
        <w:snapToGrid w:val="0"/>
        <w:spacing w:line="360" w:lineRule="auto"/>
        <w:jc w:val="both"/>
        <w:rPr>
          <w:rFonts w:ascii="Book Antiqua" w:hAnsi="Book Antiqua"/>
          <w:lang w:val="en-GB"/>
        </w:rPr>
      </w:pPr>
    </w:p>
    <w:p w14:paraId="0F3E104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Author contributions: </w:t>
      </w:r>
      <w:r w:rsidRPr="00572D61">
        <w:rPr>
          <w:rFonts w:ascii="Book Antiqua" w:eastAsia="Book Antiqua" w:hAnsi="Book Antiqua" w:cs="Book Antiqua"/>
          <w:color w:val="000000"/>
          <w:lang w:val="en-GB"/>
        </w:rPr>
        <w:t xml:space="preserve">Liu FB proposed the study; Chen ZX, </w:t>
      </w:r>
      <w:proofErr w:type="spellStart"/>
      <w:r w:rsidRPr="00572D61">
        <w:rPr>
          <w:rFonts w:ascii="Book Antiqua" w:eastAsia="Book Antiqua" w:hAnsi="Book Antiqua" w:cs="Book Antiqua"/>
          <w:color w:val="000000"/>
          <w:lang w:val="en-GB"/>
        </w:rPr>
        <w:t>Xie</w:t>
      </w:r>
      <w:proofErr w:type="spellEnd"/>
      <w:r w:rsidRPr="00572D61">
        <w:rPr>
          <w:rFonts w:ascii="Book Antiqua" w:eastAsia="Book Antiqua" w:hAnsi="Book Antiqua" w:cs="Book Antiqua"/>
          <w:color w:val="000000"/>
          <w:lang w:val="en-GB"/>
        </w:rPr>
        <w:t xml:space="preserve"> K and </w:t>
      </w:r>
      <w:proofErr w:type="spellStart"/>
      <w:r w:rsidRPr="00572D61">
        <w:rPr>
          <w:rFonts w:ascii="Book Antiqua" w:eastAsia="Book Antiqua" w:hAnsi="Book Antiqua" w:cs="Book Antiqua"/>
          <w:color w:val="000000"/>
          <w:lang w:val="en-GB"/>
        </w:rPr>
        <w:t>ZhaoYJ</w:t>
      </w:r>
      <w:proofErr w:type="spellEnd"/>
      <w:r w:rsidRPr="00572D61">
        <w:rPr>
          <w:rFonts w:ascii="Book Antiqua" w:eastAsia="Book Antiqua" w:hAnsi="Book Antiqua" w:cs="Book Antiqua"/>
          <w:color w:val="000000"/>
          <w:lang w:val="en-GB"/>
        </w:rPr>
        <w:t xml:space="preserve"> interpreted the results and prepared and revised the manuscript; Chen JM, Guo Q and Cai M extracted the clinical data and calculated the clinical correlations; Pu T, Li ZH and Jiang D</w:t>
      </w:r>
      <w:r w:rsidRPr="00572D61">
        <w:rPr>
          <w:rFonts w:ascii="Book Antiqua" w:eastAsia="Book Antiqua" w:hAnsi="Book Antiqua" w:cs="Book Antiqua"/>
          <w:color w:val="000000"/>
          <w:vertAlign w:val="superscript"/>
          <w:lang w:val="en-GB"/>
        </w:rPr>
        <w:t xml:space="preserve"> </w:t>
      </w:r>
      <w:r w:rsidRPr="00572D61">
        <w:rPr>
          <w:rFonts w:ascii="Book Antiqua" w:eastAsia="Book Antiqua" w:hAnsi="Book Antiqua" w:cs="Book Antiqua"/>
          <w:color w:val="000000"/>
          <w:lang w:val="en-GB"/>
        </w:rPr>
        <w:t>contributed to the data analysis and manuscript writing; All authors contributed to the design and interpretation of the study and to further drafts and approved the final version to be published; Liu FB is the guarantor.</w:t>
      </w:r>
    </w:p>
    <w:p w14:paraId="5B02F72A" w14:textId="77777777" w:rsidR="00A77B3E" w:rsidRPr="00572D61" w:rsidRDefault="00A77B3E" w:rsidP="00450E72">
      <w:pPr>
        <w:adjustRightInd w:val="0"/>
        <w:snapToGrid w:val="0"/>
        <w:spacing w:line="360" w:lineRule="auto"/>
        <w:jc w:val="both"/>
        <w:rPr>
          <w:rFonts w:ascii="Book Antiqua" w:hAnsi="Book Antiqua"/>
          <w:lang w:val="en-GB"/>
        </w:rPr>
      </w:pPr>
    </w:p>
    <w:p w14:paraId="1BD0E6C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Supported by </w:t>
      </w:r>
      <w:r w:rsidRPr="00572D61">
        <w:rPr>
          <w:rFonts w:ascii="Book Antiqua" w:eastAsia="Book Antiqua" w:hAnsi="Book Antiqua" w:cs="Book Antiqua"/>
          <w:color w:val="000000"/>
          <w:lang w:val="en-GB"/>
        </w:rPr>
        <w:t>Key Research and Development Plan of An</w:t>
      </w:r>
      <w:r w:rsidR="004555EF" w:rsidRPr="00572D61">
        <w:rPr>
          <w:rFonts w:ascii="Book Antiqua" w:eastAsia="Book Antiqua" w:hAnsi="Book Antiqua" w:cs="Book Antiqua"/>
          <w:color w:val="000000"/>
          <w:lang w:val="en-GB"/>
        </w:rPr>
        <w:t>hui Province, No. 1804h08020239</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Dr.</w:t>
      </w:r>
      <w:proofErr w:type="spellEnd"/>
      <w:r w:rsidRPr="00572D61">
        <w:rPr>
          <w:rFonts w:ascii="Book Antiqua" w:eastAsia="Book Antiqua" w:hAnsi="Book Antiqua" w:cs="Book Antiqua"/>
          <w:color w:val="000000"/>
          <w:lang w:val="en-GB"/>
        </w:rPr>
        <w:t xml:space="preserve"> Liu </w:t>
      </w:r>
      <w:r w:rsidRPr="00572D61">
        <w:rPr>
          <w:rFonts w:ascii="Book Antiqua" w:eastAsia="Book Antiqua" w:hAnsi="Book Antiqua" w:cs="Book Antiqua"/>
          <w:caps/>
          <w:color w:val="000000"/>
          <w:lang w:val="en-GB"/>
        </w:rPr>
        <w:t>fb</w:t>
      </w:r>
      <w:r w:rsidRPr="00572D61">
        <w:rPr>
          <w:rFonts w:ascii="Book Antiqua" w:eastAsia="Book Antiqua" w:hAnsi="Book Antiqua" w:cs="Book Antiqua"/>
          <w:color w:val="000000"/>
          <w:lang w:val="en-GB"/>
        </w:rPr>
        <w:t>).</w:t>
      </w:r>
    </w:p>
    <w:p w14:paraId="3831C53F" w14:textId="77777777" w:rsidR="00A77B3E" w:rsidRPr="00572D61" w:rsidRDefault="00A77B3E" w:rsidP="00450E72">
      <w:pPr>
        <w:adjustRightInd w:val="0"/>
        <w:snapToGrid w:val="0"/>
        <w:spacing w:line="360" w:lineRule="auto"/>
        <w:jc w:val="both"/>
        <w:rPr>
          <w:rFonts w:ascii="Book Antiqua" w:hAnsi="Book Antiqua"/>
          <w:lang w:val="en-GB"/>
        </w:rPr>
      </w:pPr>
    </w:p>
    <w:p w14:paraId="6868C5C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Corresponding author: Fu-Bao Liu, MD, PhD, Chief Doctor, Professor, </w:t>
      </w:r>
      <w:r w:rsidRPr="00572D61">
        <w:rPr>
          <w:rFonts w:ascii="Book Antiqua" w:eastAsia="Book Antiqua" w:hAnsi="Book Antiqua" w:cs="Book Antiqua"/>
          <w:color w:val="000000"/>
          <w:lang w:val="en-GB"/>
        </w:rPr>
        <w:t>Department of General Surgery, The First Affiliated Hospital of Anhui Medical University, No. 218, Jixi Road, Hefei 230022, Anhui Province, China. lancetlfb@126.com</w:t>
      </w:r>
    </w:p>
    <w:p w14:paraId="16780623" w14:textId="77777777" w:rsidR="00A77B3E" w:rsidRPr="00572D61" w:rsidRDefault="00A77B3E" w:rsidP="00450E72">
      <w:pPr>
        <w:adjustRightInd w:val="0"/>
        <w:snapToGrid w:val="0"/>
        <w:spacing w:line="360" w:lineRule="auto"/>
        <w:jc w:val="both"/>
        <w:rPr>
          <w:rFonts w:ascii="Book Antiqua" w:hAnsi="Book Antiqua"/>
          <w:lang w:val="en-GB"/>
        </w:rPr>
      </w:pPr>
    </w:p>
    <w:p w14:paraId="159031F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Received: </w:t>
      </w:r>
      <w:r w:rsidRPr="00572D61">
        <w:rPr>
          <w:rFonts w:ascii="Book Antiqua" w:eastAsia="Book Antiqua" w:hAnsi="Book Antiqua" w:cs="Book Antiqua"/>
          <w:color w:val="000000"/>
          <w:lang w:val="en-GB"/>
        </w:rPr>
        <w:t>May 3, 2021</w:t>
      </w:r>
    </w:p>
    <w:p w14:paraId="57D90AD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Revised: </w:t>
      </w:r>
      <w:r w:rsidRPr="00572D61">
        <w:rPr>
          <w:rFonts w:ascii="Book Antiqua" w:eastAsia="Book Antiqua" w:hAnsi="Book Antiqua" w:cs="Book Antiqua"/>
          <w:color w:val="000000"/>
          <w:lang w:val="en-GB"/>
        </w:rPr>
        <w:t>June 16, 2021</w:t>
      </w:r>
    </w:p>
    <w:p w14:paraId="3C81086F" w14:textId="5BDCD0B6"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Accepted: </w:t>
      </w:r>
      <w:r w:rsidR="00767137" w:rsidRPr="00572D61">
        <w:rPr>
          <w:rFonts w:ascii="Book Antiqua" w:eastAsia="Book Antiqua" w:hAnsi="Book Antiqua" w:cs="Book Antiqua"/>
          <w:color w:val="000000"/>
          <w:lang w:val="en-GB"/>
        </w:rPr>
        <w:t>August 24, 2021</w:t>
      </w:r>
    </w:p>
    <w:p w14:paraId="3D2D649D" w14:textId="04EDFB1B"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Published online: </w:t>
      </w:r>
      <w:r w:rsidR="000B068D" w:rsidRPr="00BB186F">
        <w:rPr>
          <w:rFonts w:ascii="Book Antiqua" w:eastAsia="Book Antiqua" w:hAnsi="Book Antiqua" w:cs="Book Antiqua"/>
          <w:bCs/>
          <w:color w:val="000000"/>
        </w:rPr>
        <w:t>December</w:t>
      </w:r>
      <w:r w:rsidR="000B068D">
        <w:rPr>
          <w:rFonts w:ascii="Book Antiqua" w:hAnsi="Book Antiqua" w:cs="Book Antiqua" w:hint="eastAsia"/>
          <w:bCs/>
          <w:color w:val="000000"/>
          <w:lang w:eastAsia="zh-CN"/>
        </w:rPr>
        <w:t xml:space="preserve"> 2</w:t>
      </w:r>
      <w:r w:rsidR="000B068D" w:rsidRPr="00004767">
        <w:rPr>
          <w:rFonts w:ascii="Book Antiqua" w:eastAsia="Book Antiqua" w:hAnsi="Book Antiqua" w:cs="Book Antiqua"/>
          <w:bCs/>
          <w:color w:val="000000"/>
        </w:rPr>
        <w:t>6</w:t>
      </w:r>
      <w:r w:rsidR="000B068D" w:rsidRPr="00004767">
        <w:rPr>
          <w:rFonts w:ascii="Book Antiqua" w:hAnsi="Book Antiqua" w:cs="Book Antiqua" w:hint="eastAsia"/>
          <w:bCs/>
          <w:color w:val="000000"/>
        </w:rPr>
        <w:t>, 2021</w:t>
      </w:r>
    </w:p>
    <w:p w14:paraId="1179B028" w14:textId="77777777" w:rsidR="00A77B3E" w:rsidRPr="00572D61" w:rsidRDefault="00A77B3E" w:rsidP="00450E72">
      <w:pPr>
        <w:adjustRightInd w:val="0"/>
        <w:snapToGrid w:val="0"/>
        <w:spacing w:line="360" w:lineRule="auto"/>
        <w:jc w:val="both"/>
        <w:rPr>
          <w:rFonts w:ascii="Book Antiqua" w:hAnsi="Book Antiqua"/>
          <w:lang w:val="en-GB"/>
        </w:rPr>
        <w:sectPr w:rsidR="00A77B3E" w:rsidRPr="00572D61">
          <w:footerReference w:type="default" r:id="rId7"/>
          <w:pgSz w:w="12240" w:h="15840"/>
          <w:pgMar w:top="1440" w:right="1440" w:bottom="1440" w:left="1440" w:header="720" w:footer="720" w:gutter="0"/>
          <w:cols w:space="720"/>
          <w:docGrid w:linePitch="360"/>
        </w:sectPr>
      </w:pPr>
    </w:p>
    <w:p w14:paraId="0467AF3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Abstract</w:t>
      </w:r>
    </w:p>
    <w:p w14:paraId="18B8E1A4"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BACKGROUND</w:t>
      </w:r>
    </w:p>
    <w:p w14:paraId="07B50734" w14:textId="164D0DC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Previous nomograms for hepatocellular carcinoma (HCC) did not include the neutrophil-to-lymphocyte ratio (NLR) or platelet-to-lymphocyte ratio (PLR). This study aimed to establish an effective nomogram capable of estimating the association between preoperative inflammatory factors and overall survival (OS) of HCC patients after hepatectomy.</w:t>
      </w:r>
    </w:p>
    <w:p w14:paraId="46E21953" w14:textId="77777777" w:rsidR="00A77B3E" w:rsidRPr="00572D61" w:rsidRDefault="00A77B3E" w:rsidP="00450E72">
      <w:pPr>
        <w:adjustRightInd w:val="0"/>
        <w:snapToGrid w:val="0"/>
        <w:spacing w:line="360" w:lineRule="auto"/>
        <w:jc w:val="both"/>
        <w:rPr>
          <w:rFonts w:ascii="Book Antiqua" w:hAnsi="Book Antiqua"/>
          <w:lang w:val="en-GB"/>
        </w:rPr>
      </w:pPr>
    </w:p>
    <w:p w14:paraId="6AF27146"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AIM</w:t>
      </w:r>
    </w:p>
    <w:p w14:paraId="71F06863" w14:textId="2515F9D6"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To </w:t>
      </w:r>
      <w:r w:rsidR="00C301A0" w:rsidRPr="00572D61">
        <w:rPr>
          <w:rFonts w:ascii="Book Antiqua" w:eastAsia="Book Antiqua" w:hAnsi="Book Antiqua" w:cs="Book Antiqua"/>
          <w:color w:val="000000"/>
          <w:lang w:val="en-GB"/>
        </w:rPr>
        <w:t>analyse</w:t>
      </w:r>
      <w:r w:rsidRPr="00572D61">
        <w:rPr>
          <w:rFonts w:ascii="Book Antiqua" w:eastAsia="Book Antiqua" w:hAnsi="Book Antiqua" w:cs="Book Antiqua"/>
          <w:color w:val="000000"/>
          <w:lang w:val="en-GB"/>
        </w:rPr>
        <w:t xml:space="preserve"> the factors affecting the prognosis of HCC and establish a nomogram.</w:t>
      </w:r>
    </w:p>
    <w:p w14:paraId="2EE195C7" w14:textId="77777777" w:rsidR="00A77B3E" w:rsidRPr="00572D61" w:rsidRDefault="00A77B3E" w:rsidP="00450E72">
      <w:pPr>
        <w:adjustRightInd w:val="0"/>
        <w:snapToGrid w:val="0"/>
        <w:spacing w:line="360" w:lineRule="auto"/>
        <w:jc w:val="both"/>
        <w:rPr>
          <w:rFonts w:ascii="Book Antiqua" w:hAnsi="Book Antiqua"/>
          <w:lang w:val="en-GB"/>
        </w:rPr>
      </w:pPr>
    </w:p>
    <w:p w14:paraId="1F3BB7DB"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METHODS</w:t>
      </w:r>
    </w:p>
    <w:p w14:paraId="510907C0" w14:textId="571E5438"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A total of 626 HCC patients (410 training set patients from the First Affiliated Hospital of Anhui Medical University and 216 validation set patients from the First Affiliated Hospital of University of Science and Technology of China) underwent hepatectomy from January 2014 to December 2017 and were followed up every 3</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6 mo. The nomogram was based on OS-related independent risk factors identified by Cox regression analysis. The C-index, calibration curve, and area under the curve (AUC) were used to evaluate the nomogram’s accuracy.</w:t>
      </w:r>
    </w:p>
    <w:p w14:paraId="627B3D9E" w14:textId="77777777" w:rsidR="00A77B3E" w:rsidRPr="00572D61" w:rsidRDefault="00A77B3E" w:rsidP="00450E72">
      <w:pPr>
        <w:adjustRightInd w:val="0"/>
        <w:snapToGrid w:val="0"/>
        <w:spacing w:line="360" w:lineRule="auto"/>
        <w:jc w:val="both"/>
        <w:rPr>
          <w:rFonts w:ascii="Book Antiqua" w:hAnsi="Book Antiqua"/>
          <w:lang w:val="en-GB"/>
        </w:rPr>
      </w:pPr>
    </w:p>
    <w:p w14:paraId="2CF7D3AE"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RESULTS</w:t>
      </w:r>
    </w:p>
    <w:p w14:paraId="3A8088A9" w14:textId="7616089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1-, 2- and 3-year OS rates were 79.0%, 68.0% and 45.4% in the training cohort (median OS = 34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and 92.1%, 73.9% and 51.2% in the validation cohort (median OS = 38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Higher </w:t>
      </w:r>
      <w:r w:rsidR="00572D61" w:rsidRPr="00572D61">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 xml:space="preserve">-fetoprotein </w:t>
      </w:r>
      <w:r w:rsidR="00572D61" w:rsidRPr="00572D61">
        <w:rPr>
          <w:rFonts w:ascii="Book Antiqua" w:eastAsia="Book Antiqua" w:hAnsi="Book Antiqua" w:cs="Book Antiqua"/>
          <w:color w:val="000000"/>
          <w:lang w:val="en-GB"/>
        </w:rPr>
        <w:t xml:space="preserve">[hazard ratio </w:t>
      </w:r>
      <w:r w:rsidRPr="00572D61">
        <w:rPr>
          <w:rFonts w:ascii="Book Antiqua" w:eastAsia="Book Antiqua" w:hAnsi="Book Antiqua" w:cs="Book Antiqua"/>
          <w:color w:val="000000"/>
          <w:lang w:val="en-GB"/>
        </w:rPr>
        <w:t>(HR</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 1.812, 95%</w:t>
      </w:r>
      <w:r w:rsidR="00572D61" w:rsidRPr="00572D61">
        <w:rPr>
          <w:rFonts w:ascii="Book Antiqua" w:eastAsia="Book Antiqua" w:hAnsi="Book Antiqua" w:cs="Book Antiqua"/>
          <w:color w:val="000000"/>
          <w:lang w:val="en-GB"/>
        </w:rPr>
        <w:t xml:space="preserve"> confidence interval (</w:t>
      </w:r>
      <w:r w:rsidRPr="00572D61">
        <w:rPr>
          <w:rFonts w:ascii="Book Antiqua" w:eastAsia="Book Antiqua" w:hAnsi="Book Antiqua" w:cs="Book Antiqua"/>
          <w:color w:val="000000"/>
          <w:lang w:val="en-GB"/>
        </w:rPr>
        <w:t>CI</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1.343</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2.444</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NLR (HR = 2.480,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1.856</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3.312) and PLR (HR = 1.974,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1.490</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2.616), tumour size ≥ 5 cm (HR = 1.323,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1.002</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1.747), and poor differentiation (HR = 3.207,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1.944</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5.290) were significantly associated with shortened OS. The developed nomogram integrating these variables showed good reliability in both the training (C-index = 0.71) and validation cohorts (C-index = 0.75). </w:t>
      </w:r>
      <w:r w:rsidRPr="00572D61">
        <w:rPr>
          <w:rFonts w:ascii="Book Antiqua" w:eastAsia="Book Antiqua" w:hAnsi="Book Antiqua" w:cs="Book Antiqua"/>
          <w:color w:val="000000"/>
          <w:lang w:val="en-GB"/>
        </w:rPr>
        <w:lastRenderedPageBreak/>
        <w:t>For predicting 1-, 2- and 3-year OS, the nomogram had AUCs of 0.781, 0.743 and 0.706 in the training cohort and 0.789, 0.815 and 0.813 in the validation cohort. The nomogram was more accurate in predicting prognosis than the AJCC TNM staging system.</w:t>
      </w:r>
    </w:p>
    <w:p w14:paraId="70079C0D" w14:textId="77777777" w:rsidR="00A77B3E" w:rsidRPr="00572D61" w:rsidRDefault="00A77B3E" w:rsidP="00450E72">
      <w:pPr>
        <w:adjustRightInd w:val="0"/>
        <w:snapToGrid w:val="0"/>
        <w:spacing w:line="360" w:lineRule="auto"/>
        <w:jc w:val="both"/>
        <w:rPr>
          <w:rFonts w:ascii="Book Antiqua" w:hAnsi="Book Antiqua"/>
          <w:lang w:val="en-GB"/>
        </w:rPr>
      </w:pPr>
    </w:p>
    <w:p w14:paraId="6EFA84B3"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CONCLUSION</w:t>
      </w:r>
    </w:p>
    <w:p w14:paraId="1BC1A91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prognostic nomogram combining pathological characteristics and inflammation indicators could provide a more accurate individualized risk estimate for the OS of HCC patients with hepatectomy.</w:t>
      </w:r>
    </w:p>
    <w:p w14:paraId="6F81682B" w14:textId="77777777" w:rsidR="00A77B3E" w:rsidRPr="00572D61" w:rsidRDefault="00A77B3E" w:rsidP="00450E72">
      <w:pPr>
        <w:adjustRightInd w:val="0"/>
        <w:snapToGrid w:val="0"/>
        <w:spacing w:line="360" w:lineRule="auto"/>
        <w:jc w:val="both"/>
        <w:rPr>
          <w:rFonts w:ascii="Book Antiqua" w:hAnsi="Book Antiqua"/>
          <w:lang w:val="en-GB"/>
        </w:rPr>
      </w:pPr>
    </w:p>
    <w:p w14:paraId="5286210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Key Words: </w:t>
      </w:r>
      <w:r w:rsidRPr="00572D61">
        <w:rPr>
          <w:rFonts w:ascii="Book Antiqua" w:eastAsia="Book Antiqua" w:hAnsi="Book Antiqua" w:cs="Book Antiqua"/>
          <w:color w:val="000000"/>
          <w:lang w:val="en-GB"/>
        </w:rPr>
        <w:t xml:space="preserve">Liver malignancy; Nomogram; Overall survival; </w:t>
      </w:r>
      <w:r w:rsidRPr="00572D61">
        <w:rPr>
          <w:rFonts w:ascii="Book Antiqua" w:eastAsia="Book Antiqua" w:hAnsi="Book Antiqua" w:cs="Book Antiqua"/>
          <w:caps/>
          <w:color w:val="000000"/>
          <w:lang w:val="en-GB"/>
        </w:rPr>
        <w:t>n</w:t>
      </w:r>
      <w:r w:rsidRPr="00572D61">
        <w:rPr>
          <w:rFonts w:ascii="Book Antiqua" w:eastAsia="Book Antiqua" w:hAnsi="Book Antiqua" w:cs="Book Antiqua"/>
          <w:color w:val="000000"/>
          <w:lang w:val="en-GB"/>
        </w:rPr>
        <w:t xml:space="preserve">eutrophil-to-lymphocyte ratio; </w:t>
      </w:r>
      <w:r w:rsidRPr="00572D61">
        <w:rPr>
          <w:rFonts w:ascii="Book Antiqua" w:eastAsia="Book Antiqua" w:hAnsi="Book Antiqua" w:cs="Book Antiqua"/>
          <w:caps/>
          <w:color w:val="000000"/>
          <w:lang w:val="en-GB"/>
        </w:rPr>
        <w:t>p</w:t>
      </w:r>
      <w:r w:rsidRPr="00572D61">
        <w:rPr>
          <w:rFonts w:ascii="Book Antiqua" w:eastAsia="Book Antiqua" w:hAnsi="Book Antiqua" w:cs="Book Antiqua"/>
          <w:color w:val="000000"/>
          <w:lang w:val="en-GB"/>
        </w:rPr>
        <w:t>latelet-to-lymphocyte ratio</w:t>
      </w:r>
    </w:p>
    <w:p w14:paraId="583D3068" w14:textId="77777777" w:rsidR="00651E0F" w:rsidRDefault="00651E0F" w:rsidP="00651E0F">
      <w:pPr>
        <w:spacing w:line="360" w:lineRule="auto"/>
        <w:jc w:val="both"/>
        <w:rPr>
          <w:lang w:eastAsia="zh-CN"/>
        </w:rPr>
      </w:pPr>
    </w:p>
    <w:p w14:paraId="3E76DC19" w14:textId="77777777" w:rsidR="00651E0F" w:rsidRPr="00026CB8" w:rsidRDefault="00651E0F" w:rsidP="00651E0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ADB021" w14:textId="77777777" w:rsidR="00A77B3E" w:rsidRPr="00572D61" w:rsidRDefault="00A77B3E" w:rsidP="00450E72">
      <w:pPr>
        <w:adjustRightInd w:val="0"/>
        <w:snapToGrid w:val="0"/>
        <w:spacing w:line="360" w:lineRule="auto"/>
        <w:jc w:val="both"/>
        <w:rPr>
          <w:rFonts w:ascii="Book Antiqua" w:hAnsi="Book Antiqua"/>
          <w:lang w:val="en-GB"/>
        </w:rPr>
      </w:pPr>
    </w:p>
    <w:p w14:paraId="1D206F3A" w14:textId="530915A9" w:rsidR="0000120A" w:rsidRDefault="0000120A" w:rsidP="00450E72">
      <w:pPr>
        <w:adjustRightInd w:val="0"/>
        <w:snapToGrid w:val="0"/>
        <w:spacing w:line="360" w:lineRule="auto"/>
        <w:jc w:val="both"/>
        <w:rPr>
          <w:rFonts w:ascii="Book Antiqua" w:hAnsi="Book Antiqua" w:hint="eastAsia"/>
          <w:lang w:eastAsia="zh-CN"/>
        </w:rPr>
      </w:pPr>
      <w:r w:rsidRPr="0000120A">
        <w:rPr>
          <w:rFonts w:ascii="Book Antiqua" w:hAnsi="Book Antiqua" w:cs="Book Antiqua" w:hint="eastAsia"/>
          <w:b/>
          <w:color w:val="000000"/>
          <w:lang w:val="en-GB" w:eastAsia="zh-CN"/>
        </w:rPr>
        <w:t>Citation:</w:t>
      </w:r>
      <w:r>
        <w:rPr>
          <w:rFonts w:ascii="Book Antiqua" w:hAnsi="Book Antiqua" w:cs="Book Antiqua" w:hint="eastAsia"/>
          <w:color w:val="000000"/>
          <w:lang w:val="en-GB" w:eastAsia="zh-CN"/>
        </w:rPr>
        <w:t xml:space="preserve"> </w:t>
      </w:r>
      <w:r w:rsidR="00037BBC" w:rsidRPr="00572D61">
        <w:rPr>
          <w:rFonts w:ascii="Book Antiqua" w:eastAsia="Book Antiqua" w:hAnsi="Book Antiqua" w:cs="Book Antiqua"/>
          <w:color w:val="000000"/>
          <w:lang w:val="en-GB"/>
        </w:rPr>
        <w:t xml:space="preserve">Pu T, Li ZH, Jiang D, Chen JM, Guo Q, Cai M, Chen ZX, </w:t>
      </w:r>
      <w:proofErr w:type="spellStart"/>
      <w:r w:rsidR="00037BBC" w:rsidRPr="00572D61">
        <w:rPr>
          <w:rFonts w:ascii="Book Antiqua" w:eastAsia="Book Antiqua" w:hAnsi="Book Antiqua" w:cs="Book Antiqua"/>
          <w:color w:val="000000"/>
          <w:lang w:val="en-GB"/>
        </w:rPr>
        <w:t>Xie</w:t>
      </w:r>
      <w:proofErr w:type="spellEnd"/>
      <w:r w:rsidR="00037BBC" w:rsidRPr="00572D61">
        <w:rPr>
          <w:rFonts w:ascii="Book Antiqua" w:eastAsia="Book Antiqua" w:hAnsi="Book Antiqua" w:cs="Book Antiqua"/>
          <w:color w:val="000000"/>
          <w:lang w:val="en-GB"/>
        </w:rPr>
        <w:t xml:space="preserve"> K, Zhao YJ, Liu FB. Nomogram based on inflammation-related markers for predicting the survival of patients undergoing hepatectomy for hepatocellular carcinoma. </w:t>
      </w:r>
      <w:r w:rsidR="00037BBC" w:rsidRPr="00572D61">
        <w:rPr>
          <w:rFonts w:ascii="Book Antiqua" w:eastAsia="Book Antiqua" w:hAnsi="Book Antiqua" w:cs="Book Antiqua"/>
          <w:i/>
          <w:iCs/>
          <w:color w:val="000000"/>
          <w:lang w:val="en-GB"/>
        </w:rPr>
        <w:t xml:space="preserve">World J </w:t>
      </w:r>
      <w:proofErr w:type="spellStart"/>
      <w:r w:rsidR="00037BBC" w:rsidRPr="00572D61">
        <w:rPr>
          <w:rFonts w:ascii="Book Antiqua" w:eastAsia="Book Antiqua" w:hAnsi="Book Antiqua" w:cs="Book Antiqua"/>
          <w:i/>
          <w:iCs/>
          <w:color w:val="000000"/>
          <w:lang w:val="en-GB"/>
        </w:rPr>
        <w:t>Clin</w:t>
      </w:r>
      <w:proofErr w:type="spellEnd"/>
      <w:r w:rsidR="00037BBC" w:rsidRPr="00572D61">
        <w:rPr>
          <w:rFonts w:ascii="Book Antiqua" w:eastAsia="Book Antiqua" w:hAnsi="Book Antiqua" w:cs="Book Antiqua"/>
          <w:i/>
          <w:iCs/>
          <w:color w:val="000000"/>
          <w:lang w:val="en-GB"/>
        </w:rPr>
        <w:t xml:space="preserve"> Cases</w:t>
      </w:r>
      <w:r w:rsidR="00037BBC" w:rsidRPr="00572D61">
        <w:rPr>
          <w:rFonts w:ascii="Book Antiqua" w:eastAsia="Book Antiqua" w:hAnsi="Book Antiqua" w:cs="Book Antiqua"/>
          <w:color w:val="000000"/>
          <w:lang w:val="en-GB"/>
        </w:rPr>
        <w:t xml:space="preserve"> </w:t>
      </w:r>
      <w:r w:rsidR="005563A6" w:rsidRPr="00EE6A3B">
        <w:rPr>
          <w:rFonts w:ascii="Book Antiqua" w:hAnsi="Book Antiqua"/>
        </w:rPr>
        <w:t>202</w:t>
      </w:r>
      <w:r w:rsidR="005563A6">
        <w:rPr>
          <w:rFonts w:ascii="Book Antiqua" w:hAnsi="Book Antiqua" w:hint="eastAsia"/>
          <w:lang w:eastAsia="zh-CN"/>
        </w:rPr>
        <w:t>1</w:t>
      </w:r>
      <w:r w:rsidR="005563A6" w:rsidRPr="00EE6A3B">
        <w:rPr>
          <w:rFonts w:ascii="Book Antiqua" w:hAnsi="Book Antiqua"/>
        </w:rPr>
        <w:t xml:space="preserve">; </w:t>
      </w:r>
      <w:r w:rsidR="005563A6">
        <w:rPr>
          <w:rFonts w:ascii="Book Antiqua" w:hAnsi="Book Antiqua" w:hint="eastAsia"/>
          <w:lang w:eastAsia="zh-CN"/>
        </w:rPr>
        <w:t>9</w:t>
      </w:r>
      <w:r w:rsidR="005563A6" w:rsidRPr="00EE6A3B">
        <w:rPr>
          <w:rFonts w:ascii="Book Antiqua" w:hAnsi="Book Antiqua"/>
        </w:rPr>
        <w:t>(</w:t>
      </w:r>
      <w:r w:rsidR="005563A6">
        <w:rPr>
          <w:rFonts w:ascii="Book Antiqua" w:hAnsi="Book Antiqua" w:hint="eastAsia"/>
          <w:lang w:eastAsia="zh-CN"/>
        </w:rPr>
        <w:t>36</w:t>
      </w:r>
      <w:r w:rsidR="005563A6" w:rsidRPr="00EE6A3B">
        <w:rPr>
          <w:rFonts w:ascii="Book Antiqua" w:hAnsi="Book Antiqua"/>
        </w:rPr>
        <w:t xml:space="preserve">): </w:t>
      </w:r>
      <w:r w:rsidRPr="0000120A">
        <w:rPr>
          <w:rFonts w:ascii="Book Antiqua" w:hAnsi="Book Antiqua"/>
        </w:rPr>
        <w:t>11193-11207</w:t>
      </w:r>
      <w:r w:rsidR="005563A6" w:rsidRPr="00EE6A3B">
        <w:rPr>
          <w:rFonts w:ascii="Book Antiqua" w:hAnsi="Book Antiqua"/>
        </w:rPr>
        <w:t xml:space="preserve"> </w:t>
      </w:r>
    </w:p>
    <w:p w14:paraId="45002FCB" w14:textId="77777777" w:rsidR="0000120A" w:rsidRDefault="005563A6" w:rsidP="00450E72">
      <w:pPr>
        <w:adjustRightInd w:val="0"/>
        <w:snapToGrid w:val="0"/>
        <w:spacing w:line="360" w:lineRule="auto"/>
        <w:jc w:val="both"/>
        <w:rPr>
          <w:rFonts w:ascii="Book Antiqua" w:hAnsi="Book Antiqua" w:hint="eastAsia"/>
          <w:lang w:eastAsia="zh-CN"/>
        </w:rPr>
      </w:pPr>
      <w:r w:rsidRPr="0000120A">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00120A" w:rsidRPr="0000120A">
        <w:rPr>
          <w:rFonts w:ascii="Book Antiqua" w:hAnsi="Book Antiqua"/>
        </w:rPr>
        <w:t>11193</w:t>
      </w:r>
      <w:r w:rsidRPr="00EE6A3B">
        <w:rPr>
          <w:rFonts w:ascii="Book Antiqua" w:hAnsi="Book Antiqua"/>
        </w:rPr>
        <w:t xml:space="preserve">.htm  </w:t>
      </w:r>
    </w:p>
    <w:p w14:paraId="684AD0BB" w14:textId="33364CAD" w:rsidR="00A77B3E" w:rsidRPr="00572D61" w:rsidRDefault="005563A6" w:rsidP="00450E72">
      <w:pPr>
        <w:adjustRightInd w:val="0"/>
        <w:snapToGrid w:val="0"/>
        <w:spacing w:line="360" w:lineRule="auto"/>
        <w:jc w:val="both"/>
        <w:rPr>
          <w:rFonts w:ascii="Book Antiqua" w:hAnsi="Book Antiqua"/>
          <w:lang w:val="en-GB"/>
        </w:rPr>
      </w:pPr>
      <w:r w:rsidRPr="0000120A">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00120A" w:rsidRPr="0000120A">
        <w:rPr>
          <w:rFonts w:ascii="Book Antiqua" w:hAnsi="Book Antiqua"/>
        </w:rPr>
        <w:t>11193</w:t>
      </w:r>
    </w:p>
    <w:p w14:paraId="193681C2" w14:textId="77777777" w:rsidR="00A77B3E" w:rsidRPr="00572D61" w:rsidRDefault="00A77B3E" w:rsidP="00450E72">
      <w:pPr>
        <w:adjustRightInd w:val="0"/>
        <w:snapToGrid w:val="0"/>
        <w:spacing w:line="360" w:lineRule="auto"/>
        <w:jc w:val="both"/>
        <w:rPr>
          <w:rFonts w:ascii="Book Antiqua" w:hAnsi="Book Antiqua"/>
          <w:lang w:val="en-GB"/>
        </w:rPr>
      </w:pPr>
    </w:p>
    <w:p w14:paraId="5B1CB190" w14:textId="64008C0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Core </w:t>
      </w:r>
      <w:r w:rsidR="00572D61" w:rsidRPr="00572D61">
        <w:rPr>
          <w:rFonts w:ascii="Book Antiqua" w:eastAsia="Book Antiqua" w:hAnsi="Book Antiqua" w:cs="Book Antiqua"/>
          <w:b/>
          <w:bCs/>
          <w:color w:val="000000"/>
          <w:lang w:val="en-GB"/>
        </w:rPr>
        <w:t>tip</w:t>
      </w:r>
      <w:r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color w:val="000000"/>
          <w:lang w:val="en-GB"/>
        </w:rPr>
        <w:t xml:space="preserve">Inflammation is a systemic process involving </w:t>
      </w:r>
      <w:proofErr w:type="spellStart"/>
      <w:r w:rsidRPr="00572D61">
        <w:rPr>
          <w:rFonts w:ascii="Book Antiqua" w:eastAsia="Book Antiqua" w:hAnsi="Book Antiqua" w:cs="Book Antiqua"/>
          <w:color w:val="000000"/>
          <w:lang w:val="en-GB"/>
        </w:rPr>
        <w:t>multicell</w:t>
      </w:r>
      <w:proofErr w:type="spellEnd"/>
      <w:r w:rsidRPr="00572D61">
        <w:rPr>
          <w:rFonts w:ascii="Book Antiqua" w:eastAsia="Book Antiqua" w:hAnsi="Book Antiqua" w:cs="Book Antiqua"/>
          <w:color w:val="000000"/>
          <w:lang w:val="en-GB"/>
        </w:rPr>
        <w:t xml:space="preserve"> participation, </w:t>
      </w:r>
      <w:proofErr w:type="spellStart"/>
      <w:r w:rsidRPr="00572D61">
        <w:rPr>
          <w:rFonts w:ascii="Book Antiqua" w:eastAsia="Book Antiqua" w:hAnsi="Book Antiqua" w:cs="Book Antiqua"/>
          <w:color w:val="000000"/>
          <w:lang w:val="en-GB"/>
        </w:rPr>
        <w:t>multipathway</w:t>
      </w:r>
      <w:proofErr w:type="spellEnd"/>
      <w:r w:rsidRPr="00572D61">
        <w:rPr>
          <w:rFonts w:ascii="Book Antiqua" w:eastAsia="Book Antiqua" w:hAnsi="Book Antiqua" w:cs="Book Antiqua"/>
          <w:color w:val="000000"/>
          <w:lang w:val="en-GB"/>
        </w:rPr>
        <w:t xml:space="preserve"> activation, and multifunctional execution. </w:t>
      </w:r>
      <w:r w:rsidR="00572D61" w:rsidRPr="00572D61">
        <w:rPr>
          <w:rFonts w:ascii="Book Antiqua" w:eastAsia="Book Antiqua" w:hAnsi="Book Antiqua" w:cs="Book Antiqua"/>
          <w:color w:val="000000"/>
          <w:lang w:val="en-GB"/>
        </w:rPr>
        <w:t>P</w:t>
      </w:r>
      <w:r w:rsidRPr="00572D61">
        <w:rPr>
          <w:rFonts w:ascii="Book Antiqua" w:eastAsia="Book Antiqua" w:hAnsi="Book Antiqua" w:cs="Book Antiqua"/>
          <w:color w:val="000000"/>
          <w:lang w:val="en-GB"/>
        </w:rPr>
        <w:t>rognosis of hepatocellular carcinoma (HCC) depends on progression of liver malignancy but is also affected by inflammation. Nomogram</w:t>
      </w:r>
      <w:r w:rsidR="00572D61" w:rsidRPr="00572D61">
        <w:rPr>
          <w:rFonts w:ascii="Book Antiqua" w:eastAsia="Book Antiqua" w:hAnsi="Book Antiqua" w:cs="Book Antiqua"/>
          <w:color w:val="000000"/>
          <w:lang w:val="en-GB"/>
        </w:rPr>
        <w:t>s</w:t>
      </w:r>
      <w:r w:rsidRPr="00572D61">
        <w:rPr>
          <w:rFonts w:ascii="Book Antiqua" w:eastAsia="Book Antiqua" w:hAnsi="Book Antiqua" w:cs="Book Antiqua"/>
          <w:color w:val="000000"/>
          <w:lang w:val="en-GB"/>
        </w:rPr>
        <w:t xml:space="preserve">, as a visualization method of statistical models, gradually improve individualization with the inclusion of risk factors, providing clinicians and patients with information to effectively stratify liver malignancy patients and formulate personalized treatments. The nomograms developed in the past focused on pathological </w:t>
      </w:r>
      <w:r w:rsidRPr="00572D61">
        <w:rPr>
          <w:rFonts w:ascii="Book Antiqua" w:eastAsia="Book Antiqua" w:hAnsi="Book Antiqua" w:cs="Book Antiqua"/>
          <w:color w:val="000000"/>
          <w:lang w:val="en-GB"/>
        </w:rPr>
        <w:lastRenderedPageBreak/>
        <w:t>characteristics. In this study, we developed a nomogram that could predict the prognosis of HCC patients after hepatectomy based on tumour pathological characteristics and inflammation indicators.</w:t>
      </w:r>
    </w:p>
    <w:p w14:paraId="76D4C317" w14:textId="77777777" w:rsidR="00A77B3E" w:rsidRPr="00572D61" w:rsidRDefault="00A77B3E" w:rsidP="00450E72">
      <w:pPr>
        <w:adjustRightInd w:val="0"/>
        <w:snapToGrid w:val="0"/>
        <w:spacing w:line="360" w:lineRule="auto"/>
        <w:jc w:val="both"/>
        <w:rPr>
          <w:rFonts w:ascii="Book Antiqua" w:hAnsi="Book Antiqua"/>
          <w:lang w:val="en-GB"/>
        </w:rPr>
      </w:pPr>
    </w:p>
    <w:p w14:paraId="5B4D4B21"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INTRODUCTION</w:t>
      </w:r>
    </w:p>
    <w:p w14:paraId="3F4821E8" w14:textId="23346BB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Hepatocellular carcinoma (HCC) is a common malignancy that accounts for more than 80% of primary liver malignancies worldwide</w:t>
      </w:r>
      <w:r w:rsidRPr="00572D61">
        <w:rPr>
          <w:rFonts w:ascii="Book Antiqua" w:eastAsia="Book Antiqua" w:hAnsi="Book Antiqua" w:cs="Book Antiqua"/>
          <w:color w:val="000000"/>
          <w:vertAlign w:val="superscript"/>
          <w:lang w:val="en-GB"/>
        </w:rPr>
        <w:t>[1]</w:t>
      </w:r>
      <w:r w:rsidRPr="00572D61">
        <w:rPr>
          <w:rFonts w:ascii="Book Antiqua" w:eastAsia="Book Antiqua" w:hAnsi="Book Antiqua" w:cs="Book Antiqua"/>
          <w:color w:val="000000"/>
          <w:lang w:val="en-GB"/>
        </w:rPr>
        <w:t>. It is the third leading cause of cancer-related death around the world and has become a major health concern in most countries</w:t>
      </w:r>
      <w:r w:rsidRPr="00572D61">
        <w:rPr>
          <w:rFonts w:ascii="Book Antiqua" w:eastAsia="Book Antiqua" w:hAnsi="Book Antiqua" w:cs="Book Antiqua"/>
          <w:color w:val="000000"/>
          <w:vertAlign w:val="superscript"/>
          <w:lang w:val="en-GB"/>
        </w:rPr>
        <w:t>[2]</w:t>
      </w:r>
      <w:r w:rsidRPr="00572D61">
        <w:rPr>
          <w:rFonts w:ascii="Book Antiqua" w:eastAsia="Book Antiqua" w:hAnsi="Book Antiqua" w:cs="Book Antiqua"/>
          <w:color w:val="000000"/>
          <w:lang w:val="en-GB"/>
        </w:rPr>
        <w:t xml:space="preserve">. The incidence of HCC is closely related to hepatitis virus infection. As a wide epidemic area for hepatitis B, China contributes to </w:t>
      </w:r>
      <w:r w:rsidR="00572D61" w:rsidRPr="00572D61">
        <w:rPr>
          <w:rFonts w:ascii="Book Antiqua" w:eastAsia="Book Antiqua" w:hAnsi="Book Antiqua" w:cs="Book Antiqua"/>
          <w:color w:val="000000"/>
          <w:lang w:val="en-GB"/>
        </w:rPr>
        <w:t>three quarters</w:t>
      </w:r>
      <w:r w:rsidRPr="00572D61">
        <w:rPr>
          <w:rFonts w:ascii="Book Antiqua" w:eastAsia="Book Antiqua" w:hAnsi="Book Antiqua" w:cs="Book Antiqua"/>
          <w:color w:val="000000"/>
          <w:lang w:val="en-GB"/>
        </w:rPr>
        <w:t xml:space="preserve"> of the </w:t>
      </w:r>
      <w:r w:rsidR="00572D61" w:rsidRPr="00572D61">
        <w:rPr>
          <w:rFonts w:ascii="Book Antiqua" w:eastAsia="Book Antiqua" w:hAnsi="Book Antiqua" w:cs="Book Antiqua"/>
          <w:color w:val="000000"/>
          <w:lang w:val="en-GB"/>
        </w:rPr>
        <w:t xml:space="preserve">world’s </w:t>
      </w:r>
      <w:r w:rsidRPr="00572D61">
        <w:rPr>
          <w:rFonts w:ascii="Book Antiqua" w:eastAsia="Book Antiqua" w:hAnsi="Book Antiqua" w:cs="Book Antiqua"/>
          <w:color w:val="000000"/>
          <w:lang w:val="en-GB"/>
        </w:rPr>
        <w:t>hepatitis B infections and nearly half of HCC patients</w:t>
      </w:r>
      <w:r w:rsidRPr="00572D61">
        <w:rPr>
          <w:rFonts w:ascii="Book Antiqua" w:eastAsia="Book Antiqua" w:hAnsi="Book Antiqua" w:cs="Book Antiqua"/>
          <w:color w:val="000000"/>
          <w:vertAlign w:val="superscript"/>
          <w:lang w:val="en-GB"/>
        </w:rPr>
        <w:t>[3]</w:t>
      </w:r>
      <w:r w:rsidRPr="00572D61">
        <w:rPr>
          <w:rFonts w:ascii="Book Antiqua" w:eastAsia="Book Antiqua" w:hAnsi="Book Antiqua" w:cs="Book Antiqua"/>
          <w:color w:val="000000"/>
          <w:lang w:val="en-GB"/>
        </w:rPr>
        <w:t>. In recent decades, effective treatments such as surgical resection, liver transplantation, radiofrequency ablation (RFA) and transcatheter arterial embolization</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or </w:t>
      </w:r>
      <w:r w:rsidR="00572D61" w:rsidRPr="00572D61">
        <w:rPr>
          <w:rFonts w:ascii="Book Antiqua" w:eastAsia="Book Antiqua" w:hAnsi="Book Antiqua" w:cs="Book Antiqua"/>
          <w:color w:val="000000"/>
          <w:lang w:val="en-GB"/>
        </w:rPr>
        <w:t xml:space="preserve">transcatheter arterial </w:t>
      </w:r>
      <w:r w:rsidRPr="00572D61">
        <w:rPr>
          <w:rFonts w:ascii="Book Antiqua" w:eastAsia="Book Antiqua" w:hAnsi="Book Antiqua" w:cs="Book Antiqua"/>
          <w:color w:val="000000"/>
          <w:lang w:val="en-GB"/>
        </w:rPr>
        <w:t>chemoembolization (TACE</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have been developed. However, in the context of a shortage of liver donor resources and the inefficiency of palliative care, liver resection is still the most common treatment for HCC</w:t>
      </w:r>
      <w:r w:rsidRPr="00572D61">
        <w:rPr>
          <w:rFonts w:ascii="Book Antiqua" w:eastAsia="Book Antiqua" w:hAnsi="Book Antiqua" w:cs="Book Antiqua"/>
          <w:color w:val="000000"/>
          <w:vertAlign w:val="superscript"/>
          <w:lang w:val="en-GB"/>
        </w:rPr>
        <w:t>[4]</w:t>
      </w:r>
      <w:r w:rsidRPr="00572D61">
        <w:rPr>
          <w:rFonts w:ascii="Book Antiqua" w:eastAsia="Book Antiqua" w:hAnsi="Book Antiqua" w:cs="Book Antiqua"/>
          <w:color w:val="000000"/>
          <w:lang w:val="en-GB"/>
        </w:rPr>
        <w:t>. Therefore, the accuracy of cancer staging is of importance since it is conducive to the formulation of surgical plans and prognostic evaluation, balancing effective treatment and overtreatment so that patients could fully benefit.</w:t>
      </w:r>
    </w:p>
    <w:p w14:paraId="4D4990DB" w14:textId="0E7F0DAD"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The current mainstream cancer staging systems include the American Joint Committee on Cancer (AJCC), Barcelona Clinic Liver Cancer (BCLC), Cancer of the Liver Italian Program (CLIP), and China liver cancer staging (CNLC) systems</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However, the above staging systems are mainly based on tumour pathological indicators and group characteristics, adopting similar treatments for people at the same stage and ignoring individual heterogeneity. Therefore, in the context of precision medicine, nomograms, as linear result output methods based on statistical models, combine traditional AJCC TNM staging and personal characteristics to comprehensively evaluate individual risk levels and provide evidence for personalized treatment intervention and prognosis evaluation</w:t>
      </w:r>
      <w:r w:rsidRPr="00572D61">
        <w:rPr>
          <w:rFonts w:ascii="Book Antiqua" w:eastAsia="Book Antiqua" w:hAnsi="Book Antiqua" w:cs="Book Antiqua"/>
          <w:color w:val="000000"/>
          <w:vertAlign w:val="superscript"/>
          <w:lang w:val="en-GB"/>
        </w:rPr>
        <w:t>[6]</w:t>
      </w:r>
      <w:r w:rsidRPr="00572D61">
        <w:rPr>
          <w:rFonts w:ascii="Book Antiqua" w:eastAsia="Book Antiqua" w:hAnsi="Book Antiqua" w:cs="Book Antiqua"/>
          <w:color w:val="000000"/>
          <w:lang w:val="en-GB"/>
        </w:rPr>
        <w:t xml:space="preserve">. Previous studies also indicated that </w:t>
      </w:r>
      <w:r w:rsidRPr="00572D61">
        <w:rPr>
          <w:rFonts w:ascii="Book Antiqua" w:eastAsia="Book Antiqua" w:hAnsi="Book Antiqua" w:cs="Book Antiqua"/>
          <w:color w:val="000000"/>
          <w:lang w:val="en-GB"/>
        </w:rPr>
        <w:lastRenderedPageBreak/>
        <w:t xml:space="preserve">the prognosis of HCC patients with hepatectomy was related to several indicators, such as age, sex, drinking status, tumour size, </w:t>
      </w:r>
      <w:r w:rsidR="00572D61" w:rsidRPr="00572D61">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-fetoprotein (AFP), and inflammation</w:t>
      </w:r>
      <w:r w:rsidRPr="00572D61">
        <w:rPr>
          <w:rFonts w:ascii="Book Antiqua" w:eastAsia="Book Antiqua" w:hAnsi="Book Antiqua" w:cs="Book Antiqua"/>
          <w:color w:val="000000"/>
          <w:vertAlign w:val="superscript"/>
          <w:lang w:val="en-GB"/>
        </w:rPr>
        <w:t>[7]</w:t>
      </w:r>
      <w:r w:rsidRPr="00572D61">
        <w:rPr>
          <w:rFonts w:ascii="Book Antiqua" w:eastAsia="Book Antiqua" w:hAnsi="Book Antiqua" w:cs="Book Antiqua"/>
          <w:color w:val="000000"/>
          <w:lang w:val="en-GB"/>
        </w:rPr>
        <w:t>. AFP is a common blood test method to monitor HCC, and the potential mechanism of inflammation in the development and metastasis of cancer was proposed in the last century and gradually incorporated into clinical consensus</w:t>
      </w:r>
      <w:r w:rsidRPr="00572D61">
        <w:rPr>
          <w:rFonts w:ascii="Book Antiqua" w:eastAsia="Book Antiqua" w:hAnsi="Book Antiqua" w:cs="Book Antiqua"/>
          <w:color w:val="000000"/>
          <w:vertAlign w:val="superscript"/>
          <w:lang w:val="en-GB"/>
        </w:rPr>
        <w:t>[8]</w:t>
      </w:r>
      <w:r w:rsidRPr="00572D61">
        <w:rPr>
          <w:rFonts w:ascii="Book Antiqua" w:eastAsia="Book Antiqua" w:hAnsi="Book Antiqua" w:cs="Book Antiqua"/>
          <w:color w:val="000000"/>
          <w:lang w:val="en-GB"/>
        </w:rPr>
        <w:t xml:space="preserve">. However, the nomograms developed in the past focused on pathological characteristics, and it was difficult to provide a universally applicable predictive model to clinicians. In addition, the neutrophil-to-lymphocyte ratio (NLR) and platelet-to-lymphocyte ratio (PLR) were not concurrently included, which may </w:t>
      </w:r>
      <w:r w:rsidR="00572D61" w:rsidRPr="00572D61">
        <w:rPr>
          <w:rFonts w:ascii="Book Antiqua" w:eastAsia="Book Antiqua" w:hAnsi="Book Antiqua" w:cs="Book Antiqua"/>
          <w:color w:val="000000"/>
          <w:lang w:val="en-GB"/>
        </w:rPr>
        <w:t xml:space="preserve">have </w:t>
      </w:r>
      <w:r w:rsidRPr="00572D61">
        <w:rPr>
          <w:rFonts w:ascii="Book Antiqua" w:eastAsia="Book Antiqua" w:hAnsi="Book Antiqua" w:cs="Book Antiqua"/>
          <w:color w:val="000000"/>
          <w:lang w:val="en-GB"/>
        </w:rPr>
        <w:t>reduce</w:t>
      </w:r>
      <w:r w:rsidR="00572D61" w:rsidRPr="00572D61">
        <w:rPr>
          <w:rFonts w:ascii="Book Antiqua" w:eastAsia="Book Antiqua" w:hAnsi="Book Antiqua" w:cs="Book Antiqua"/>
          <w:color w:val="000000"/>
          <w:lang w:val="en-GB"/>
        </w:rPr>
        <w:t>d</w:t>
      </w:r>
      <w:r w:rsidRPr="00572D61">
        <w:rPr>
          <w:rFonts w:ascii="Book Antiqua" w:eastAsia="Book Antiqua" w:hAnsi="Book Antiqua" w:cs="Book Antiqua"/>
          <w:color w:val="000000"/>
          <w:lang w:val="en-GB"/>
        </w:rPr>
        <w:t xml:space="preserve"> the accuracy of prognostic evaluation. The aim of this study was to develop a nomogram that is suitable for HCC patients and comprehensively reflects pathological factors and inflammatory factors. According to the calibration and receiver operating characteristic (ROC) curves in the training cohort and the validation cohort, we explored whether the </w:t>
      </w:r>
      <w:r w:rsidR="00572D61" w:rsidRPr="00572D61">
        <w:rPr>
          <w:rFonts w:ascii="Book Antiqua" w:eastAsia="Book Antiqua" w:hAnsi="Book Antiqua" w:cs="Book Antiqua"/>
          <w:color w:val="000000"/>
          <w:lang w:val="en-GB"/>
        </w:rPr>
        <w:t>model</w:t>
      </w:r>
      <w:r w:rsidR="00572D61">
        <w:rPr>
          <w:rFonts w:ascii="Book Antiqua" w:eastAsia="Book Antiqua" w:hAnsi="Book Antiqua" w:cs="Book Antiqua"/>
          <w:color w:val="000000"/>
          <w:lang w:val="en-GB"/>
        </w:rPr>
        <w:t>’</w:t>
      </w:r>
      <w:r w:rsidR="00572D61" w:rsidRPr="00572D61">
        <w:rPr>
          <w:rFonts w:ascii="Book Antiqua" w:eastAsia="Book Antiqua" w:hAnsi="Book Antiqua" w:cs="Book Antiqua"/>
          <w:color w:val="000000"/>
          <w:lang w:val="en-GB"/>
        </w:rPr>
        <w:t xml:space="preserve">s </w:t>
      </w:r>
      <w:r w:rsidRPr="00572D61">
        <w:rPr>
          <w:rFonts w:ascii="Book Antiqua" w:eastAsia="Book Antiqua" w:hAnsi="Book Antiqua" w:cs="Book Antiqua"/>
          <w:color w:val="000000"/>
          <w:lang w:val="en-GB"/>
        </w:rPr>
        <w:t>postoperative prediction was accurate.</w:t>
      </w:r>
    </w:p>
    <w:p w14:paraId="1A46F7A7"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2F97903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MATERIALS AND METHODS</w:t>
      </w:r>
    </w:p>
    <w:p w14:paraId="64838F6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Study population</w:t>
      </w:r>
    </w:p>
    <w:p w14:paraId="26222A75" w14:textId="65E25620"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This study included 410 HCC patients who underwent hepatectomy at the First Affiliated Hospital of Anhui Medical University (FAH-AHMU) from January 2014 to December 2017 as the training group; based on the same criteria, 216 patients enrolled from the First Affiliated Hospital of University of Science and Technology of China (FAH-USTC) served as the external verification group (Figure 1). Both hospitals are high-volume surgical centres. The therapeutic approach to patients with HCC was similar. Liver malignancy was diagnosed by two clinically experienced liver pathologists based on biochemical indicators, imaging indicators, and pathological tissue samples. If any disagreements between the two experts arose, a third liver pathologist made the final diagnosis. The diagnosis of HCC was based on the standards of the European Association for the Study of the Liver (EASL)</w:t>
      </w:r>
      <w:r w:rsidRPr="00572D61">
        <w:rPr>
          <w:rFonts w:ascii="Book Antiqua" w:eastAsia="Book Antiqua" w:hAnsi="Book Antiqua" w:cs="Book Antiqua"/>
          <w:color w:val="000000"/>
          <w:vertAlign w:val="superscript"/>
          <w:lang w:val="en-GB"/>
        </w:rPr>
        <w:t>[9]</w:t>
      </w:r>
      <w:r w:rsidRPr="00572D61">
        <w:rPr>
          <w:rFonts w:ascii="Book Antiqua" w:eastAsia="Book Antiqua" w:hAnsi="Book Antiqua" w:cs="Book Antiqua"/>
          <w:color w:val="000000"/>
          <w:lang w:val="en-GB"/>
        </w:rPr>
        <w:t xml:space="preserve">: a needle biopsy confirmed that the lesion was cancerous or an imaging examination </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computed </w:t>
      </w:r>
      <w:r w:rsidRPr="00572D61">
        <w:rPr>
          <w:rFonts w:ascii="Book Antiqua" w:eastAsia="Book Antiqua" w:hAnsi="Book Antiqua" w:cs="Book Antiqua"/>
          <w:color w:val="000000"/>
          <w:lang w:val="en-GB"/>
        </w:rPr>
        <w:lastRenderedPageBreak/>
        <w:t>tomography (CT) or magnetic resonance imaging (MRI)</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suggested an intrahepatic space, which was accompanied by increased levels of AFP, hepatitis virus infection history, </w:t>
      </w:r>
      <w:r w:rsidRPr="00572D61">
        <w:rPr>
          <w:rFonts w:ascii="Book Antiqua" w:eastAsia="Book Antiqua" w:hAnsi="Book Antiqua" w:cs="Book Antiqua"/>
          <w:i/>
          <w:iCs/>
          <w:color w:val="000000"/>
          <w:lang w:val="en-GB"/>
        </w:rPr>
        <w:t>etc.</w:t>
      </w:r>
      <w:r w:rsidRPr="00572D61">
        <w:rPr>
          <w:rFonts w:ascii="Book Antiqua" w:eastAsia="Book Antiqua" w:hAnsi="Book Antiqua" w:cs="Book Antiqua"/>
          <w:color w:val="000000"/>
          <w:lang w:val="en-GB"/>
        </w:rPr>
        <w:t xml:space="preserve"> Participants needed to meet the following inclusion criteria: (1) </w:t>
      </w:r>
      <w:r w:rsidR="00572D61" w:rsidRPr="00572D61">
        <w:rPr>
          <w:rFonts w:ascii="Book Antiqua" w:eastAsia="Book Antiqua" w:hAnsi="Book Antiqua" w:cs="Book Antiqua"/>
          <w:caps/>
          <w:color w:val="000000"/>
          <w:lang w:val="en-GB"/>
        </w:rPr>
        <w:t>p</w:t>
      </w:r>
      <w:r w:rsidR="00572D61" w:rsidRPr="00572D61">
        <w:rPr>
          <w:rFonts w:ascii="Book Antiqua" w:eastAsia="Book Antiqua" w:hAnsi="Book Antiqua" w:cs="Book Antiqua"/>
          <w:color w:val="000000"/>
          <w:lang w:val="en-GB"/>
        </w:rPr>
        <w:t xml:space="preserve">rimary </w:t>
      </w:r>
      <w:r w:rsidRPr="00572D61">
        <w:rPr>
          <w:rFonts w:ascii="Book Antiqua" w:eastAsia="Book Antiqua" w:hAnsi="Book Antiqua" w:cs="Book Antiqua"/>
          <w:color w:val="000000"/>
          <w:lang w:val="en-GB"/>
        </w:rPr>
        <w:t xml:space="preserve">liver cancer; (2) </w:t>
      </w:r>
      <w:r w:rsidR="00572D61" w:rsidRPr="00572D61">
        <w:rPr>
          <w:rFonts w:ascii="Book Antiqua" w:eastAsia="Book Antiqua" w:hAnsi="Book Antiqua" w:cs="Book Antiqua"/>
          <w:color w:val="000000"/>
          <w:lang w:val="en-GB"/>
        </w:rPr>
        <w:t>m</w:t>
      </w:r>
      <w:r w:rsidRPr="00572D61">
        <w:rPr>
          <w:rFonts w:ascii="Book Antiqua" w:eastAsia="Book Antiqua" w:hAnsi="Book Antiqua" w:cs="Book Antiqua"/>
          <w:color w:val="000000"/>
          <w:lang w:val="en-GB"/>
        </w:rPr>
        <w:t xml:space="preserve">eet the treatment criteria for liver resection; (3)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adjuvant chemotherapy or radiotherapy before surgery; (4)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other infections or autoimmune diseases; and (5)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extrahepatic metastasis. The exclusion criteria were as follows: (1) </w:t>
      </w:r>
      <w:r w:rsidR="00C301A0" w:rsidRPr="00572D61">
        <w:rPr>
          <w:rFonts w:ascii="Book Antiqua" w:eastAsia="Book Antiqua" w:hAnsi="Book Antiqua" w:cs="Book Antiqua"/>
          <w:caps/>
          <w:color w:val="000000"/>
          <w:lang w:val="en-GB"/>
        </w:rPr>
        <w:t>P</w:t>
      </w:r>
      <w:r w:rsidR="00C301A0" w:rsidRPr="00572D61">
        <w:rPr>
          <w:rFonts w:ascii="Book Antiqua" w:eastAsia="Book Antiqua" w:hAnsi="Book Antiqua" w:cs="Book Antiqua"/>
          <w:color w:val="000000"/>
          <w:lang w:val="en-GB"/>
        </w:rPr>
        <w:t>resence</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of extrahepatic metastases or failure to achieve R0 resection; (2) </w:t>
      </w:r>
      <w:r w:rsidR="00572D61" w:rsidRPr="00572D61">
        <w:rPr>
          <w:rFonts w:ascii="Book Antiqua" w:eastAsia="Book Antiqua" w:hAnsi="Book Antiqua" w:cs="Book Antiqua"/>
          <w:caps/>
          <w:color w:val="000000"/>
          <w:lang w:val="en-GB"/>
        </w:rPr>
        <w:t>s</w:t>
      </w:r>
      <w:r w:rsidR="00572D61" w:rsidRPr="00572D61">
        <w:rPr>
          <w:rFonts w:ascii="Book Antiqua" w:eastAsia="Book Antiqua" w:hAnsi="Book Antiqua" w:cs="Book Antiqua"/>
          <w:color w:val="000000"/>
          <w:lang w:val="en-GB"/>
        </w:rPr>
        <w:t xml:space="preserve">econdary </w:t>
      </w:r>
      <w:r w:rsidRPr="00572D61">
        <w:rPr>
          <w:rFonts w:ascii="Book Antiqua" w:eastAsia="Book Antiqua" w:hAnsi="Book Antiqua" w:cs="Book Antiqua"/>
          <w:color w:val="000000"/>
          <w:lang w:val="en-GB"/>
        </w:rPr>
        <w:t xml:space="preserve">or metastatic liver malignancies; (3) </w:t>
      </w:r>
      <w:r w:rsidR="00572D61" w:rsidRPr="00572D61">
        <w:rPr>
          <w:rFonts w:ascii="Book Antiqua" w:eastAsia="Book Antiqua" w:hAnsi="Book Antiqua" w:cs="Book Antiqua"/>
          <w:caps/>
          <w:color w:val="000000"/>
          <w:lang w:val="en-GB"/>
        </w:rPr>
        <w:t>h</w:t>
      </w:r>
      <w:r w:rsidR="00572D61" w:rsidRPr="00572D61">
        <w:rPr>
          <w:rFonts w:ascii="Book Antiqua" w:eastAsia="Book Antiqua" w:hAnsi="Book Antiqua" w:cs="Book Antiqua"/>
          <w:color w:val="000000"/>
          <w:lang w:val="en-GB"/>
        </w:rPr>
        <w:t xml:space="preserve">istory </w:t>
      </w:r>
      <w:r w:rsidRPr="00572D61">
        <w:rPr>
          <w:rFonts w:ascii="Book Antiqua" w:eastAsia="Book Antiqua" w:hAnsi="Book Antiqua" w:cs="Book Antiqua"/>
          <w:color w:val="000000"/>
          <w:lang w:val="en-GB"/>
        </w:rPr>
        <w:t xml:space="preserve">of malignant tumours of other organs; (4) </w:t>
      </w:r>
      <w:r w:rsidR="00572D61" w:rsidRPr="00572D61">
        <w:rPr>
          <w:rFonts w:ascii="Book Antiqua" w:eastAsia="Book Antiqua" w:hAnsi="Book Antiqua" w:cs="Book Antiqua"/>
          <w:caps/>
          <w:color w:val="000000"/>
          <w:lang w:val="en-GB"/>
        </w:rPr>
        <w:t>c</w:t>
      </w:r>
      <w:r w:rsidR="00572D61" w:rsidRPr="00572D61">
        <w:rPr>
          <w:rFonts w:ascii="Book Antiqua" w:eastAsia="Book Antiqua" w:hAnsi="Book Antiqua" w:cs="Book Antiqua"/>
          <w:color w:val="000000"/>
          <w:lang w:val="en-GB"/>
        </w:rPr>
        <w:t xml:space="preserve">ombined </w:t>
      </w:r>
      <w:r w:rsidRPr="00572D61">
        <w:rPr>
          <w:rFonts w:ascii="Book Antiqua" w:eastAsia="Book Antiqua" w:hAnsi="Book Antiqua" w:cs="Book Antiqua"/>
          <w:color w:val="000000"/>
          <w:lang w:val="en-GB"/>
        </w:rPr>
        <w:t>microbial infection; and (5) unavailability of any key research variables or follow-up data. Written or verbal informed consent was obtained from the subjects, and sensitive data were deleted before analysis. This study was conducted in accordance with the ethical standards of the World Medical Association Declaration of Helsinki and was approved by the ethical review committees at FAH-AHMU and FAH-USTC (ID: Quick-PJ 2021-01-22). All included patients or their relatives provided written informed consent before the data were analysed.</w:t>
      </w:r>
    </w:p>
    <w:p w14:paraId="07C38686" w14:textId="77777777" w:rsidR="00A77B3E" w:rsidRPr="00572D61" w:rsidRDefault="00A77B3E" w:rsidP="00450E72">
      <w:pPr>
        <w:adjustRightInd w:val="0"/>
        <w:snapToGrid w:val="0"/>
        <w:spacing w:line="360" w:lineRule="auto"/>
        <w:jc w:val="both"/>
        <w:rPr>
          <w:rFonts w:ascii="Book Antiqua" w:hAnsi="Book Antiqua"/>
          <w:lang w:val="en-GB"/>
        </w:rPr>
      </w:pPr>
    </w:p>
    <w:p w14:paraId="730C891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Exposure measurements</w:t>
      </w:r>
    </w:p>
    <w:p w14:paraId="42F4ED7C" w14:textId="6B584D8F"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Sociodemographic and clinical data were extracted from the electronic medical record system, including age (&lt; 50/≥ 50 years), sex (male/female), past medical history, smoking history (no/yes), and </w:t>
      </w:r>
      <w:r w:rsidR="00572D61">
        <w:rPr>
          <w:rFonts w:ascii="Book Antiqua" w:eastAsia="Book Antiqua" w:hAnsi="Book Antiqua" w:cs="Book Antiqua"/>
          <w:color w:val="000000"/>
          <w:lang w:val="en-GB"/>
        </w:rPr>
        <w:t>alcohol consumption</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history (no/yes). Regarding laboratory data, the patients received routine biochemical and immunological examinations before surgery, and the nurses collected blood samples and sent them to the laboratory within 3 h. Laboratory physicians used an automatic blood cell analyser to detect the neutrophil count, platelet count, and lymphocyte count. After blood coagulation, the samples were centrifuged at 3000 r/min for 10 min, and the upper layer of serum was collected to detect the levels of biomarkers, including AFP (&lt; 400/≥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hepatitis B surface antigen (HBsAg), alanine aminotransferase (ALT), aspartate aminotransferase (AST), prothrombin time (PT), carcinoembryonic antigen (CEA) and carbohydrate antigen 19-9 (CA19-9). The tumour-related indicators collected </w:t>
      </w:r>
      <w:r w:rsidRPr="00572D61">
        <w:rPr>
          <w:rFonts w:ascii="Book Antiqua" w:eastAsia="Book Antiqua" w:hAnsi="Book Antiqua" w:cs="Book Antiqua"/>
          <w:color w:val="000000"/>
          <w:lang w:val="en-GB"/>
        </w:rPr>
        <w:lastRenderedPageBreak/>
        <w:t>after surgery included tumour size, tumour location, microvascular invasion (MVI), and tumour differentiation grade. NLR and PLR were calculated as follows: NLR = neutrophil count/</w:t>
      </w:r>
      <w:r w:rsidR="00572D61">
        <w:rPr>
          <w:rFonts w:ascii="Book Antiqua" w:eastAsia="Book Antiqua" w:hAnsi="Book Antiqua" w:cs="Book Antiqua"/>
          <w:color w:val="000000"/>
          <w:lang w:val="en-GB"/>
        </w:rPr>
        <w:t>l</w:t>
      </w:r>
      <w:r w:rsidR="00572D61" w:rsidRPr="00572D61">
        <w:rPr>
          <w:rFonts w:ascii="Book Antiqua" w:eastAsia="Book Antiqua" w:hAnsi="Book Antiqua" w:cs="Book Antiqua"/>
          <w:color w:val="000000"/>
          <w:lang w:val="en-GB"/>
        </w:rPr>
        <w:t xml:space="preserve">ymphocyte </w:t>
      </w:r>
      <w:r w:rsidRPr="00572D61">
        <w:rPr>
          <w:rFonts w:ascii="Book Antiqua" w:eastAsia="Book Antiqua" w:hAnsi="Book Antiqua" w:cs="Book Antiqua"/>
          <w:color w:val="000000"/>
          <w:lang w:val="en-GB"/>
        </w:rPr>
        <w:t>count; PLR = platelet count/</w:t>
      </w:r>
      <w:r w:rsidR="00572D61">
        <w:rPr>
          <w:rFonts w:ascii="Book Antiqua" w:eastAsia="Book Antiqua" w:hAnsi="Book Antiqua" w:cs="Book Antiqua"/>
          <w:color w:val="000000"/>
          <w:lang w:val="en-GB"/>
        </w:rPr>
        <w:t>l</w:t>
      </w:r>
      <w:r w:rsidR="00572D61" w:rsidRPr="00572D61">
        <w:rPr>
          <w:rFonts w:ascii="Book Antiqua" w:eastAsia="Book Antiqua" w:hAnsi="Book Antiqua" w:cs="Book Antiqua"/>
          <w:color w:val="000000"/>
          <w:lang w:val="en-GB"/>
        </w:rPr>
        <w:t xml:space="preserve">ymphocyte </w:t>
      </w:r>
      <w:r w:rsidRPr="00572D61">
        <w:rPr>
          <w:rFonts w:ascii="Book Antiqua" w:eastAsia="Book Antiqua" w:hAnsi="Book Antiqua" w:cs="Book Antiqua"/>
          <w:color w:val="000000"/>
          <w:lang w:val="en-GB"/>
        </w:rPr>
        <w:t>count. According to the median values in the training cohort, the patients were divided into a low NLR group (&lt; 2.22) and a high NLR group (≥ 2.22), and PLR (&lt; 102.92, ≥ 102.92) followed the same rule. Tumour staging was performed according to the TNM staging system published by the AJCC in 2017 (AJCC 8th edition).</w:t>
      </w:r>
    </w:p>
    <w:p w14:paraId="494780B1" w14:textId="77777777" w:rsidR="00A77B3E" w:rsidRPr="00572D61" w:rsidRDefault="00A77B3E" w:rsidP="00450E72">
      <w:pPr>
        <w:adjustRightInd w:val="0"/>
        <w:snapToGrid w:val="0"/>
        <w:spacing w:line="360" w:lineRule="auto"/>
        <w:jc w:val="both"/>
        <w:rPr>
          <w:rFonts w:ascii="Book Antiqua" w:hAnsi="Book Antiqua"/>
          <w:lang w:val="en-GB"/>
        </w:rPr>
      </w:pPr>
    </w:p>
    <w:p w14:paraId="5720ED8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Follow-up</w:t>
      </w:r>
    </w:p>
    <w:p w14:paraId="25461F9A" w14:textId="17869591"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in-hospital treatment and follow-up plans were communicated to the patients to improve patient compliance and follow-up response rates. Follow-up visits were conducted every 3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for the first year and every 6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for the next </w:t>
      </w:r>
      <w:r w:rsidR="00572D61">
        <w:rPr>
          <w:rFonts w:ascii="Book Antiqua" w:eastAsia="Book Antiqua" w:hAnsi="Book Antiqua" w:cs="Book Antiqua"/>
          <w:color w:val="000000"/>
          <w:lang w:val="en-GB"/>
        </w:rPr>
        <w:t>2</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years. The follow-up content included a physical examination, abdominal CT or MRI, and AFP test. Patients with high risk of early recurrence were underwent preventative TACE to detect and treat intrahepatic metastases 1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postoperatively. Once intrahepatic recurrence was confirmed, various locoregional treatments including TACE, RFA, or repeated liver resection </w:t>
      </w:r>
      <w:r w:rsidR="00572D61">
        <w:rPr>
          <w:rFonts w:ascii="Book Antiqua" w:eastAsia="Book Antiqua" w:hAnsi="Book Antiqua" w:cs="Book Antiqua"/>
          <w:color w:val="000000"/>
          <w:lang w:val="en-GB"/>
        </w:rPr>
        <w:t>were</w:t>
      </w:r>
      <w:r w:rsidRPr="00572D61">
        <w:rPr>
          <w:rFonts w:ascii="Book Antiqua" w:eastAsia="Book Antiqua" w:hAnsi="Book Antiqua" w:cs="Book Antiqua"/>
          <w:color w:val="000000"/>
          <w:lang w:val="en-GB"/>
        </w:rPr>
        <w:t xml:space="preserve"> performed. Patients with unsatisfactory responses to the above therapies were finally treated with systemic chemotherapy including sorafenib or regorafenib. Trained nurses asked about the survival of patients who did not follow the plan according to the scheduled time. Further</w:t>
      </w:r>
      <w:r w:rsidR="00572D61">
        <w:rPr>
          <w:rFonts w:ascii="Book Antiqua" w:eastAsia="Book Antiqua" w:hAnsi="Book Antiqua" w:cs="Book Antiqua"/>
          <w:color w:val="000000"/>
          <w:lang w:val="en-GB"/>
        </w:rPr>
        <w:t>more</w:t>
      </w:r>
      <w:r w:rsidRPr="00572D61">
        <w:rPr>
          <w:rFonts w:ascii="Book Antiqua" w:eastAsia="Book Antiqua" w:hAnsi="Book Antiqua" w:cs="Book Antiqua"/>
          <w:color w:val="000000"/>
          <w:lang w:val="en-GB"/>
        </w:rPr>
        <w:t xml:space="preserve">, we inquired about the date of death when the family members had reported the death of the patient. Patients who changed </w:t>
      </w:r>
      <w:r w:rsidR="00572D61">
        <w:rPr>
          <w:rFonts w:ascii="Book Antiqua" w:eastAsia="Book Antiqua" w:hAnsi="Book Antiqua" w:cs="Book Antiqua"/>
          <w:color w:val="000000"/>
          <w:lang w:val="en-GB"/>
        </w:rPr>
        <w:t>their</w:t>
      </w:r>
      <w:r w:rsidRPr="00572D61">
        <w:rPr>
          <w:rFonts w:ascii="Book Antiqua" w:eastAsia="Book Antiqua" w:hAnsi="Book Antiqua" w:cs="Book Antiqua"/>
          <w:color w:val="000000"/>
          <w:lang w:val="en-GB"/>
        </w:rPr>
        <w:t xml:space="preserve"> mobile phone number, refused to be followed up, or died due to other diseases or accidents were recorded as left-censored data; patients still alive after 3 years were recorded as right-censored data. Overall survival (OS) in months was calculated as follows: OS = (date of patient death or last follow-up date-discharge date)/30.</w:t>
      </w:r>
    </w:p>
    <w:p w14:paraId="0E372792" w14:textId="77777777" w:rsidR="00A77B3E" w:rsidRPr="00572D61" w:rsidRDefault="00A77B3E" w:rsidP="00450E72">
      <w:pPr>
        <w:adjustRightInd w:val="0"/>
        <w:snapToGrid w:val="0"/>
        <w:spacing w:line="360" w:lineRule="auto"/>
        <w:jc w:val="both"/>
        <w:rPr>
          <w:rFonts w:ascii="Book Antiqua" w:hAnsi="Book Antiqua"/>
          <w:lang w:val="en-GB"/>
        </w:rPr>
      </w:pPr>
    </w:p>
    <w:p w14:paraId="74F5D09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Statistical analysis</w:t>
      </w:r>
    </w:p>
    <w:p w14:paraId="15505F24" w14:textId="68A09429"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This study used SPSS </w:t>
      </w:r>
      <w:r w:rsidR="00572D61" w:rsidRPr="00572D61">
        <w:rPr>
          <w:rFonts w:ascii="Book Antiqua" w:eastAsia="Book Antiqua" w:hAnsi="Book Antiqua" w:cs="Book Antiqua"/>
          <w:color w:val="000000"/>
          <w:lang w:val="en-GB"/>
        </w:rPr>
        <w:t xml:space="preserve">version 25.0 </w:t>
      </w:r>
      <w:r w:rsidRPr="00572D61">
        <w:rPr>
          <w:rFonts w:ascii="Book Antiqua" w:eastAsia="Book Antiqua" w:hAnsi="Book Antiqua" w:cs="Book Antiqua"/>
          <w:color w:val="000000"/>
          <w:lang w:val="en-GB"/>
        </w:rPr>
        <w:t xml:space="preserve">(IBM, Chicago, IL, </w:t>
      </w:r>
      <w:r w:rsidR="00572D61">
        <w:rPr>
          <w:rFonts w:ascii="Book Antiqua" w:eastAsia="Book Antiqua" w:hAnsi="Book Antiqua" w:cs="Book Antiqua"/>
          <w:color w:val="000000"/>
          <w:lang w:val="en-GB"/>
        </w:rPr>
        <w:t>USA</w:t>
      </w:r>
      <w:r w:rsidRPr="00572D61">
        <w:rPr>
          <w:rFonts w:ascii="Book Antiqua" w:eastAsia="Book Antiqua" w:hAnsi="Book Antiqua" w:cs="Book Antiqua"/>
          <w:color w:val="000000"/>
          <w:lang w:val="en-GB"/>
        </w:rPr>
        <w:t xml:space="preserve">) and R (http://www.r-project.org, version 4.0.3) software for statistical analysis. SPSS was used to describe the </w:t>
      </w:r>
      <w:r w:rsidRPr="00572D61">
        <w:rPr>
          <w:rFonts w:ascii="Book Antiqua" w:eastAsia="Book Antiqua" w:hAnsi="Book Antiqua" w:cs="Book Antiqua"/>
          <w:color w:val="000000"/>
          <w:lang w:val="en-GB"/>
        </w:rPr>
        <w:lastRenderedPageBreak/>
        <w:t xml:space="preserve">population characteristics and compare the differences between the training cohort and validation cohort. Continuous variables </w:t>
      </w:r>
      <w:r w:rsidR="00572D61">
        <w:rPr>
          <w:rFonts w:ascii="Book Antiqua" w:eastAsia="Book Antiqua" w:hAnsi="Book Antiqua" w:cs="Book Antiqua"/>
          <w:color w:val="000000"/>
          <w:lang w:val="en-GB"/>
        </w:rPr>
        <w:t>we</w:t>
      </w:r>
      <w:r w:rsidR="00572D61" w:rsidRPr="00572D61">
        <w:rPr>
          <w:rFonts w:ascii="Book Antiqua" w:eastAsia="Book Antiqua" w:hAnsi="Book Antiqua" w:cs="Book Antiqua"/>
          <w:color w:val="000000"/>
          <w:lang w:val="en-GB"/>
        </w:rPr>
        <w:t xml:space="preserve">re </w:t>
      </w:r>
      <w:r w:rsidRPr="00572D61">
        <w:rPr>
          <w:rFonts w:ascii="Book Antiqua" w:eastAsia="Book Antiqua" w:hAnsi="Book Antiqua" w:cs="Book Antiqua"/>
          <w:color w:val="000000"/>
          <w:lang w:val="en-GB"/>
        </w:rPr>
        <w:t xml:space="preserve">described as means and standard deviations and were compared by independent sample </w:t>
      </w:r>
      <w:r w:rsidRPr="009001E2">
        <w:rPr>
          <w:rFonts w:ascii="Book Antiqua" w:eastAsia="Book Antiqua" w:hAnsi="Book Antiqua" w:cs="Book Antiqua"/>
          <w:i/>
          <w:iCs/>
          <w:color w:val="000000"/>
          <w:lang w:val="en-GB"/>
        </w:rPr>
        <w:t>t</w:t>
      </w:r>
      <w:r w:rsidRPr="00572D61">
        <w:rPr>
          <w:rFonts w:ascii="Book Antiqua" w:eastAsia="Book Antiqua" w:hAnsi="Book Antiqua" w:cs="Book Antiqua"/>
          <w:color w:val="000000"/>
          <w:lang w:val="en-GB"/>
        </w:rPr>
        <w:t xml:space="preserve">-test. Categorical variables </w:t>
      </w:r>
      <w:r w:rsidR="00572D61">
        <w:rPr>
          <w:rFonts w:ascii="Book Antiqua" w:eastAsia="Book Antiqua" w:hAnsi="Book Antiqua" w:cs="Book Antiqua"/>
          <w:color w:val="000000"/>
          <w:lang w:val="en-GB"/>
        </w:rPr>
        <w:t>we</w:t>
      </w:r>
      <w:r w:rsidR="00572D61" w:rsidRPr="00572D61">
        <w:rPr>
          <w:rFonts w:ascii="Book Antiqua" w:eastAsia="Book Antiqua" w:hAnsi="Book Antiqua" w:cs="Book Antiqua"/>
          <w:color w:val="000000"/>
          <w:lang w:val="en-GB"/>
        </w:rPr>
        <w:t xml:space="preserve">re </w:t>
      </w:r>
      <w:r w:rsidRPr="00572D61">
        <w:rPr>
          <w:rFonts w:ascii="Book Antiqua" w:eastAsia="Book Antiqua" w:hAnsi="Book Antiqua" w:cs="Book Antiqua"/>
          <w:color w:val="000000"/>
          <w:lang w:val="en-GB"/>
        </w:rPr>
        <w:t>represented by numbers (</w:t>
      </w:r>
      <w:r w:rsidRPr="00572D61">
        <w:rPr>
          <w:rFonts w:ascii="Book Antiqua" w:eastAsia="Book Antiqua" w:hAnsi="Book Antiqua" w:cs="Book Antiqua"/>
          <w:i/>
          <w:iCs/>
          <w:color w:val="000000"/>
          <w:lang w:val="en-GB"/>
        </w:rPr>
        <w:t>n</w:t>
      </w:r>
      <w:r w:rsidRPr="00572D61">
        <w:rPr>
          <w:rFonts w:ascii="Book Antiqua" w:eastAsia="Book Antiqua" w:hAnsi="Book Antiqua" w:cs="Book Antiqua"/>
          <w:color w:val="000000"/>
          <w:lang w:val="en-GB"/>
        </w:rPr>
        <w:t xml:space="preserve">) or percentages (%) and were compared by the </w:t>
      </w:r>
      <w:r w:rsidR="00572D61" w:rsidRPr="00572D61">
        <w:rPr>
          <w:rFonts w:ascii="Book Antiqua" w:eastAsia="Book Antiqua" w:hAnsi="Book Antiqua" w:cs="Book Antiqua"/>
          <w:color w:val="000000"/>
          <w:lang w:val="en-GB"/>
        </w:rPr>
        <w:sym w:font="Symbol" w:char="F063"/>
      </w:r>
      <w:r w:rsidR="00572D61" w:rsidRPr="009001E2">
        <w:rPr>
          <w:rFonts w:ascii="Book Antiqua" w:eastAsia="Book Antiqua" w:hAnsi="Book Antiqua" w:cs="Book Antiqua"/>
          <w:color w:val="000000"/>
          <w:vertAlign w:val="superscript"/>
          <w:lang w:val="en-GB"/>
        </w:rPr>
        <w:t>2</w:t>
      </w:r>
      <w:r w:rsidRPr="00572D61">
        <w:rPr>
          <w:rFonts w:ascii="Book Antiqua" w:eastAsia="Book Antiqua" w:hAnsi="Book Antiqua" w:cs="Book Antiqua"/>
          <w:color w:val="000000"/>
          <w:lang w:val="en-GB"/>
        </w:rPr>
        <w:t xml:space="preserve"> test. The Kaplan</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Meier method was used to determine the average OS, median OS, and OS trends of the training group. Univariate and multivariate Cox regression analyses were performed based on the training data, and the independent risk factors associated with OS were incorporated into the nomogram</w:t>
      </w:r>
      <w:r w:rsidRPr="00572D61">
        <w:rPr>
          <w:rFonts w:ascii="Book Antiqua" w:eastAsia="Book Antiqua" w:hAnsi="Book Antiqua" w:cs="Book Antiqua"/>
          <w:color w:val="000000"/>
          <w:vertAlign w:val="superscript"/>
          <w:lang w:val="en-GB"/>
        </w:rPr>
        <w:t>[10]</w:t>
      </w:r>
      <w:r w:rsidRPr="00572D61">
        <w:rPr>
          <w:rFonts w:ascii="Book Antiqua" w:eastAsia="Book Antiqua" w:hAnsi="Book Antiqua" w:cs="Book Antiqua"/>
          <w:color w:val="000000"/>
          <w:lang w:val="en-GB"/>
        </w:rPr>
        <w:t>.</w:t>
      </w:r>
    </w:p>
    <w:p w14:paraId="475EAEBC" w14:textId="778A8998"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 xml:space="preserve">The </w:t>
      </w:r>
      <w:proofErr w:type="spellStart"/>
      <w:r w:rsidRPr="00572D61">
        <w:rPr>
          <w:rFonts w:ascii="Book Antiqua" w:eastAsia="Book Antiqua" w:hAnsi="Book Antiqua" w:cs="Book Antiqua"/>
          <w:color w:val="000000"/>
          <w:lang w:val="en-GB"/>
        </w:rPr>
        <w:t>Cph</w:t>
      </w:r>
      <w:proofErr w:type="spellEnd"/>
      <w:r w:rsidRPr="00572D61">
        <w:rPr>
          <w:rFonts w:ascii="Book Antiqua" w:eastAsia="Book Antiqua" w:hAnsi="Book Antiqua" w:cs="Book Antiqua"/>
          <w:color w:val="000000"/>
          <w:lang w:val="en-GB"/>
        </w:rPr>
        <w:t>_() and Nomogram_() functions of the rms package in R were used to develop a nomogram to predict 1-year, 2-year and 3-year OS. The patient characteristics vertically corresponded to the scale (points, 0</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100), and the sum of all characteristic scores was the total points, which corresponded to the survival probability at 1, 2 and 3 years at the bottom of the nomogram. The C-index (C-index = </w:t>
      </w:r>
      <w:proofErr w:type="spellStart"/>
      <w:r w:rsidRPr="00572D61">
        <w:rPr>
          <w:rFonts w:ascii="Book Antiqua" w:eastAsia="Book Antiqua" w:hAnsi="Book Antiqua" w:cs="Book Antiqua"/>
          <w:color w:val="000000"/>
          <w:lang w:val="en-GB"/>
        </w:rPr>
        <w:t>Dxy</w:t>
      </w:r>
      <w:proofErr w:type="spellEnd"/>
      <w:r w:rsidRPr="00572D61">
        <w:rPr>
          <w:rFonts w:ascii="Book Antiqua" w:eastAsia="Book Antiqua" w:hAnsi="Book Antiqua" w:cs="Book Antiqua"/>
          <w:color w:val="000000"/>
          <w:lang w:val="en-GB"/>
        </w:rPr>
        <w:t>*0.5+0.5) and Kaplan</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Meier-based calibration (calibrate_() and plot_() functions) were used to test the predictive power of the nomogram. The range of the C-index </w:t>
      </w:r>
      <w:r w:rsidR="00572D61">
        <w:rPr>
          <w:rFonts w:ascii="Book Antiqua" w:eastAsia="Book Antiqua" w:hAnsi="Book Antiqua" w:cs="Book Antiqua"/>
          <w:color w:val="000000"/>
          <w:lang w:val="en-GB"/>
        </w:rPr>
        <w:t>wa</w:t>
      </w:r>
      <w:r w:rsidR="00572D61" w:rsidRPr="00572D61">
        <w:rPr>
          <w:rFonts w:ascii="Book Antiqua" w:eastAsia="Book Antiqua" w:hAnsi="Book Antiqua" w:cs="Book Antiqua"/>
          <w:color w:val="000000"/>
          <w:lang w:val="en-GB"/>
        </w:rPr>
        <w:t xml:space="preserve">s </w:t>
      </w:r>
      <w:r w:rsidRPr="00572D61">
        <w:rPr>
          <w:rFonts w:ascii="Book Antiqua" w:eastAsia="Book Antiqua" w:hAnsi="Book Antiqua" w:cs="Book Antiqua"/>
          <w:color w:val="000000"/>
          <w:lang w:val="en-GB"/>
        </w:rPr>
        <w:t>0</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1; 0 </w:t>
      </w:r>
      <w:r w:rsidR="00572D61" w:rsidRPr="00572D61">
        <w:rPr>
          <w:rFonts w:ascii="Book Antiqua" w:eastAsia="Book Antiqua" w:hAnsi="Book Antiqua" w:cs="Book Antiqua"/>
          <w:color w:val="000000"/>
          <w:lang w:val="en-GB"/>
        </w:rPr>
        <w:t>mean</w:t>
      </w:r>
      <w:r w:rsidR="00572D61">
        <w:rPr>
          <w:rFonts w:ascii="Book Antiqua" w:eastAsia="Book Antiqua" w:hAnsi="Book Antiqua" w:cs="Book Antiqua"/>
          <w:color w:val="000000"/>
          <w:lang w:val="en-GB"/>
        </w:rPr>
        <w:t>t</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that the model incorrectly predicted the survival outcome of all patients, and 1 </w:t>
      </w:r>
      <w:r w:rsidR="00572D61" w:rsidRPr="00572D61">
        <w:rPr>
          <w:rFonts w:ascii="Book Antiqua" w:eastAsia="Book Antiqua" w:hAnsi="Book Antiqua" w:cs="Book Antiqua"/>
          <w:color w:val="000000"/>
          <w:lang w:val="en-GB"/>
        </w:rPr>
        <w:t>mean</w:t>
      </w:r>
      <w:r w:rsidR="00572D61">
        <w:rPr>
          <w:rFonts w:ascii="Book Antiqua" w:eastAsia="Book Antiqua" w:hAnsi="Book Antiqua" w:cs="Book Antiqua"/>
          <w:color w:val="000000"/>
          <w:lang w:val="en-GB"/>
        </w:rPr>
        <w:t>t</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that it predict</w:t>
      </w:r>
      <w:r w:rsidR="00572D61">
        <w:rPr>
          <w:rFonts w:ascii="Book Antiqua" w:eastAsia="Book Antiqua" w:hAnsi="Book Antiqua" w:cs="Book Antiqua"/>
          <w:color w:val="000000"/>
          <w:lang w:val="en-GB"/>
        </w:rPr>
        <w:t>ed</w:t>
      </w:r>
      <w:r w:rsidRPr="00572D61">
        <w:rPr>
          <w:rFonts w:ascii="Book Antiqua" w:eastAsia="Book Antiqua" w:hAnsi="Book Antiqua" w:cs="Book Antiqua"/>
          <w:color w:val="000000"/>
          <w:lang w:val="en-GB"/>
        </w:rPr>
        <w:t xml:space="preserve"> the survival outcome completely correctly. It is generally believed that a C-index &gt; 0.7 indicates better prediction discrimination. The external Cox regression model was based on the total points, which were calculated by the established nomogram (</w:t>
      </w:r>
      <w:proofErr w:type="spellStart"/>
      <w:r w:rsidRPr="00572D61">
        <w:rPr>
          <w:rFonts w:ascii="Book Antiqua" w:eastAsia="Book Antiqua" w:hAnsi="Book Antiqua" w:cs="Book Antiqua"/>
          <w:color w:val="000000"/>
          <w:lang w:val="en-GB"/>
        </w:rPr>
        <w:t>formula_lp</w:t>
      </w:r>
      <w:proofErr w:type="spellEnd"/>
      <w:r w:rsidRPr="00572D61">
        <w:rPr>
          <w:rFonts w:ascii="Book Antiqua" w:eastAsia="Book Antiqua" w:hAnsi="Book Antiqua" w:cs="Book Antiqua"/>
          <w:color w:val="000000"/>
          <w:lang w:val="en-GB"/>
        </w:rPr>
        <w:t xml:space="preserve">_() and </w:t>
      </w:r>
      <w:proofErr w:type="spellStart"/>
      <w:r w:rsidRPr="00572D61">
        <w:rPr>
          <w:rFonts w:ascii="Book Antiqua" w:eastAsia="Book Antiqua" w:hAnsi="Book Antiqua" w:cs="Book Antiqua"/>
          <w:color w:val="000000"/>
          <w:lang w:val="en-GB"/>
        </w:rPr>
        <w:t>points_cal</w:t>
      </w:r>
      <w:proofErr w:type="spellEnd"/>
      <w:r w:rsidRPr="00572D61">
        <w:rPr>
          <w:rFonts w:ascii="Book Antiqua" w:eastAsia="Book Antiqua" w:hAnsi="Book Antiqua" w:cs="Book Antiqua"/>
          <w:color w:val="000000"/>
          <w:lang w:val="en-GB"/>
        </w:rPr>
        <w:t xml:space="preserve">_() functions of the </w:t>
      </w:r>
      <w:proofErr w:type="spellStart"/>
      <w:r w:rsidRPr="00572D61">
        <w:rPr>
          <w:rFonts w:ascii="Book Antiqua" w:eastAsia="Book Antiqua" w:hAnsi="Book Antiqua" w:cs="Book Antiqua"/>
          <w:color w:val="000000"/>
          <w:lang w:val="en-GB"/>
        </w:rPr>
        <w:t>NomogramFormula</w:t>
      </w:r>
      <w:proofErr w:type="spellEnd"/>
      <w:r w:rsidRPr="00572D61">
        <w:rPr>
          <w:rFonts w:ascii="Book Antiqua" w:eastAsia="Book Antiqua" w:hAnsi="Book Antiqua" w:cs="Book Antiqua"/>
          <w:color w:val="000000"/>
          <w:lang w:val="en-GB"/>
        </w:rPr>
        <w:t xml:space="preserve"> package), and the C-index and calibration curve were calculated. Finally, the ROC curve was used to compare the prediction accuracy between the nomogram and the TNM staging system, with the prediction effect increasing with the area under the curve (AUC). A two-sided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value &lt; 0.05 was considered statistically significant.</w:t>
      </w:r>
    </w:p>
    <w:p w14:paraId="16624727"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5350696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RESULTS</w:t>
      </w:r>
    </w:p>
    <w:p w14:paraId="4EE7694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Basic characteristics of the patients</w:t>
      </w:r>
    </w:p>
    <w:p w14:paraId="1EBECE18" w14:textId="5DF6989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clinicopathologic</w:t>
      </w:r>
      <w:r w:rsidR="003267DF">
        <w:rPr>
          <w:rFonts w:ascii="Book Antiqua" w:eastAsia="Book Antiqua" w:hAnsi="Book Antiqua" w:cs="Book Antiqua"/>
          <w:color w:val="000000"/>
          <w:lang w:val="en-GB"/>
        </w:rPr>
        <w:t>al</w:t>
      </w:r>
      <w:r w:rsidRPr="00572D61">
        <w:rPr>
          <w:rFonts w:ascii="Book Antiqua" w:eastAsia="Book Antiqua" w:hAnsi="Book Antiqua" w:cs="Book Antiqua"/>
          <w:color w:val="000000"/>
          <w:lang w:val="en-GB"/>
        </w:rPr>
        <w:t xml:space="preserve"> data of 489 consecutive patients who underwent hepatectomy for HCC at FAH-AHMU between January 2014 and December 2017 were collected </w:t>
      </w:r>
      <w:r w:rsidRPr="00572D61">
        <w:rPr>
          <w:rFonts w:ascii="Book Antiqua" w:eastAsia="Book Antiqua" w:hAnsi="Book Antiqua" w:cs="Book Antiqua"/>
          <w:color w:val="000000"/>
          <w:lang w:val="en-GB"/>
        </w:rPr>
        <w:lastRenderedPageBreak/>
        <w:t xml:space="preserve">consecutively. Of the 489 patients, 79 (16.2%) who did not fulfil the inclusion criteria were excluded: </w:t>
      </w:r>
      <w:r w:rsidR="003267DF">
        <w:rPr>
          <w:rFonts w:ascii="Book Antiqua" w:eastAsia="Book Antiqua" w:hAnsi="Book Antiqua" w:cs="Book Antiqua"/>
          <w:color w:val="000000"/>
          <w:lang w:val="en-GB"/>
        </w:rPr>
        <w:t>six</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died in the perioperative period, 21 had extrahepatic metastasis, 32 had a secondary liver malignancy, </w:t>
      </w:r>
      <w:r w:rsidR="003267DF">
        <w:rPr>
          <w:rFonts w:ascii="Book Antiqua" w:eastAsia="Book Antiqua" w:hAnsi="Book Antiqua" w:cs="Book Antiqua"/>
          <w:color w:val="000000"/>
          <w:lang w:val="en-GB"/>
        </w:rPr>
        <w:t>seven</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had combined microbial infection and 13 had incomplete clinical or follow-up data. Ultimately, 410 (83.8%) patients were identified and </w:t>
      </w:r>
      <w:r w:rsidR="003267DF">
        <w:rPr>
          <w:rFonts w:ascii="Book Antiqua" w:eastAsia="Book Antiqua" w:hAnsi="Book Antiqua" w:cs="Book Antiqua"/>
          <w:color w:val="000000"/>
          <w:lang w:val="en-GB"/>
        </w:rPr>
        <w:t>established</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as the training cohort. Based on the same screening criteria, an independent group consisting of 216 patients from FAH-USTC in the same period was included in the present study and served as an external validation cohort (Figure 1). The characteristics of the training group and the validation group are shown in Table 1. The average age of the training group was 57.29 years (SD = 11.51), the proportion of patients ≥ 50 years was 75.4%, and the proportion of men was close to 80%. Overall, 71.7% and 52.2% of patients had a history of smoking and </w:t>
      </w:r>
      <w:r w:rsidR="003267DF">
        <w:rPr>
          <w:rFonts w:ascii="Book Antiqua" w:eastAsia="Book Antiqua" w:hAnsi="Book Antiqua" w:cs="Book Antiqua"/>
          <w:color w:val="000000"/>
          <w:lang w:val="en-GB"/>
        </w:rPr>
        <w:t>alcohol consumption</w:t>
      </w:r>
      <w:r w:rsidRPr="00572D61">
        <w:rPr>
          <w:rFonts w:ascii="Book Antiqua" w:eastAsia="Book Antiqua" w:hAnsi="Book Antiqua" w:cs="Book Antiqua"/>
          <w:color w:val="000000"/>
          <w:lang w:val="en-GB"/>
        </w:rPr>
        <w:t xml:space="preserve">, respectively. There were 221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(53.9%) </w:t>
      </w:r>
      <w:r w:rsidR="003267DF">
        <w:rPr>
          <w:rFonts w:ascii="Book Antiqua" w:eastAsia="Book Antiqua" w:hAnsi="Book Antiqua" w:cs="Book Antiqua"/>
          <w:color w:val="000000"/>
          <w:lang w:val="en-GB"/>
        </w:rPr>
        <w:t xml:space="preserve">with </w:t>
      </w:r>
      <w:r w:rsidR="00583DAC">
        <w:rPr>
          <w:rFonts w:ascii="Book Antiqua" w:eastAsia="Book Antiqua" w:hAnsi="Book Antiqua" w:cs="Book Antiqua"/>
          <w:color w:val="000000"/>
          <w:lang w:val="en-GB"/>
        </w:rPr>
        <w:t>albumin–bilirubin (</w:t>
      </w:r>
      <w:r w:rsidRPr="00572D61">
        <w:rPr>
          <w:rFonts w:ascii="Book Antiqua" w:eastAsia="Book Antiqua" w:hAnsi="Book Antiqua" w:cs="Book Antiqua"/>
          <w:color w:val="000000"/>
          <w:lang w:val="en-GB"/>
        </w:rPr>
        <w:t>ALBI</w:t>
      </w:r>
      <w:r w:rsidR="00583DAC">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grade of 1, and 189 (46.1%) </w:t>
      </w:r>
      <w:r w:rsidR="003267DF">
        <w:rPr>
          <w:rFonts w:ascii="Book Antiqua" w:eastAsia="Book Antiqua" w:hAnsi="Book Antiqua" w:cs="Book Antiqua"/>
          <w:color w:val="000000"/>
          <w:lang w:val="en-GB"/>
        </w:rPr>
        <w:t xml:space="preserve">with grade </w:t>
      </w:r>
      <w:r w:rsidRPr="00572D61">
        <w:rPr>
          <w:rFonts w:ascii="Book Antiqua" w:eastAsia="Book Antiqua" w:hAnsi="Book Antiqua" w:cs="Book Antiqua"/>
          <w:color w:val="000000"/>
          <w:lang w:val="en-GB"/>
        </w:rPr>
        <w:t xml:space="preserve">2 or 3. </w:t>
      </w:r>
      <w:r w:rsidR="003267DF">
        <w:rPr>
          <w:rFonts w:ascii="Book Antiqua" w:eastAsia="Book Antiqua" w:hAnsi="Book Antiqua" w:cs="Book Antiqua"/>
          <w:color w:val="000000"/>
          <w:lang w:val="en-GB"/>
        </w:rPr>
        <w:t xml:space="preserve">A total of </w:t>
      </w:r>
      <w:r w:rsidRPr="00572D61">
        <w:rPr>
          <w:rFonts w:ascii="Book Antiqua" w:eastAsia="Book Antiqua" w:hAnsi="Book Antiqua" w:cs="Book Antiqua"/>
          <w:color w:val="000000"/>
          <w:lang w:val="en-GB"/>
        </w:rPr>
        <w:t xml:space="preserve">295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(72.0%) were positive for hepatitis B surface antibody, and 121 (30.9%) had preoperative AFP ≥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Of all tumours, </w:t>
      </w:r>
      <w:r w:rsidR="003267DF">
        <w:rPr>
          <w:rFonts w:ascii="Book Antiqua" w:eastAsia="Book Antiqua" w:hAnsi="Book Antiqua" w:cs="Book Antiqua"/>
          <w:color w:val="000000"/>
          <w:lang w:val="en-GB"/>
        </w:rPr>
        <w:t xml:space="preserve">60.1% were </w:t>
      </w:r>
      <w:r w:rsidRPr="00572D61">
        <w:rPr>
          <w:rFonts w:ascii="Book Antiqua" w:eastAsia="Book Antiqua" w:hAnsi="Book Antiqua" w:cs="Book Antiqua"/>
          <w:color w:val="000000"/>
          <w:lang w:val="en-GB"/>
        </w:rPr>
        <w:t xml:space="preserve">located on the right and </w:t>
      </w:r>
      <w:r w:rsidR="003267DF" w:rsidRPr="00572D61">
        <w:rPr>
          <w:rFonts w:ascii="Book Antiqua" w:eastAsia="Book Antiqua" w:hAnsi="Book Antiqua" w:cs="Book Antiqua"/>
          <w:color w:val="000000"/>
          <w:lang w:val="en-GB"/>
        </w:rPr>
        <w:t xml:space="preserve">57.9% </w:t>
      </w:r>
      <w:r w:rsidRPr="00572D61">
        <w:rPr>
          <w:rFonts w:ascii="Book Antiqua" w:eastAsia="Book Antiqua" w:hAnsi="Book Antiqua" w:cs="Book Antiqua"/>
          <w:color w:val="000000"/>
          <w:lang w:val="en-GB"/>
        </w:rPr>
        <w:t>had a diameter ≥ 5 cm</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because there was no significant difference between &lt; 2 cm and 2</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5 cm group</w:t>
      </w:r>
      <w:r w:rsidR="003267DF">
        <w:rPr>
          <w:rFonts w:ascii="Book Antiqua" w:eastAsia="Book Antiqua" w:hAnsi="Book Antiqua" w:cs="Book Antiqua"/>
          <w:color w:val="000000"/>
          <w:lang w:val="en-GB"/>
        </w:rPr>
        <w:t>s</w:t>
      </w:r>
      <w:r w:rsidRPr="00572D61">
        <w:rPr>
          <w:rFonts w:ascii="Book Antiqua" w:eastAsia="Book Antiqua" w:hAnsi="Book Antiqua" w:cs="Book Antiqua"/>
          <w:color w:val="000000"/>
          <w:lang w:val="en-GB"/>
        </w:rPr>
        <w:t>, we chose 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cm as the cut-off value. The tumour differentiation grade was mainly moderate (61.7%), followed by well </w:t>
      </w:r>
      <w:r w:rsidR="003267DF" w:rsidRPr="00572D61">
        <w:rPr>
          <w:rFonts w:ascii="Book Antiqua" w:eastAsia="Book Antiqua" w:hAnsi="Book Antiqua" w:cs="Book Antiqua"/>
          <w:color w:val="000000"/>
          <w:lang w:val="en-GB"/>
        </w:rPr>
        <w:t>differentiat</w:t>
      </w:r>
      <w:r w:rsidR="003267DF">
        <w:rPr>
          <w:rFonts w:ascii="Book Antiqua" w:eastAsia="Book Antiqua" w:hAnsi="Book Antiqua" w:cs="Book Antiqua"/>
          <w:color w:val="000000"/>
          <w:lang w:val="en-GB"/>
        </w:rPr>
        <w:t>ed</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(24.9%). </w:t>
      </w:r>
      <w:r w:rsidR="003267DF">
        <w:rPr>
          <w:rFonts w:ascii="Book Antiqua" w:eastAsia="Book Antiqua" w:hAnsi="Book Antiqua" w:cs="Book Antiqua"/>
          <w:color w:val="000000"/>
          <w:lang w:val="en-GB"/>
        </w:rPr>
        <w:t xml:space="preserve">There were </w:t>
      </w:r>
      <w:r w:rsidRPr="00572D61">
        <w:rPr>
          <w:rFonts w:ascii="Book Antiqua" w:eastAsia="Book Antiqua" w:hAnsi="Book Antiqua" w:cs="Book Antiqua"/>
          <w:color w:val="000000"/>
          <w:lang w:val="en-GB"/>
        </w:rPr>
        <w:t xml:space="preserve">103 (26.8%) </w:t>
      </w:r>
      <w:r w:rsidR="003267DF">
        <w:rPr>
          <w:rFonts w:ascii="Book Antiqua" w:eastAsia="Book Antiqua" w:hAnsi="Book Antiqua" w:cs="Book Antiqua"/>
          <w:color w:val="000000"/>
          <w:lang w:val="en-GB"/>
        </w:rPr>
        <w:t>patients with</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microvascular invasion (MVI) and only 14 (3.7%) had lymph node metastasis (LNM). Regarding the TNM staging system, I, II, III and IV accounted for 20.1%, 14.3%, 61.3% and 4.4%, respectively. In the validation cohort, the average age was 58.75 years (SD = 10.59), 78% of patients were </w:t>
      </w:r>
      <w:r w:rsidR="003267DF">
        <w:rPr>
          <w:rFonts w:ascii="Book Antiqua" w:eastAsia="Book Antiqua" w:hAnsi="Book Antiqua" w:cs="Book Antiqua"/>
          <w:color w:val="000000"/>
          <w:lang w:val="en-GB"/>
        </w:rPr>
        <w:t>&gt;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50 years, 77.8% were men, and 69.0% and 57.9% had a history of smoking and </w:t>
      </w:r>
      <w:r w:rsidR="003267DF">
        <w:rPr>
          <w:rFonts w:ascii="Book Antiqua" w:eastAsia="Book Antiqua" w:hAnsi="Book Antiqua" w:cs="Book Antiqua"/>
          <w:color w:val="000000"/>
          <w:lang w:val="en-GB"/>
        </w:rPr>
        <w:t>alcohol consumption</w:t>
      </w:r>
      <w:r w:rsidRPr="00572D61">
        <w:rPr>
          <w:rFonts w:ascii="Book Antiqua" w:eastAsia="Book Antiqua" w:hAnsi="Book Antiqua" w:cs="Book Antiqua"/>
          <w:color w:val="000000"/>
          <w:lang w:val="en-GB"/>
        </w:rPr>
        <w:t xml:space="preserve">, respectively. </w:t>
      </w:r>
      <w:r w:rsidR="003267DF">
        <w:rPr>
          <w:rFonts w:ascii="Book Antiqua" w:eastAsia="Book Antiqua" w:hAnsi="Book Antiqua" w:cs="Book Antiqua"/>
          <w:color w:val="000000"/>
          <w:lang w:val="en-GB"/>
        </w:rPr>
        <w:t xml:space="preserve">There were </w:t>
      </w:r>
      <w:r w:rsidRPr="00572D61">
        <w:rPr>
          <w:rFonts w:ascii="Book Antiqua" w:eastAsia="Book Antiqua" w:hAnsi="Book Antiqua" w:cs="Book Antiqua"/>
          <w:color w:val="000000"/>
          <w:lang w:val="en-GB"/>
        </w:rPr>
        <w:t xml:space="preserve">121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(56.0%) </w:t>
      </w:r>
      <w:r w:rsidR="003267DF">
        <w:rPr>
          <w:rFonts w:ascii="Book Antiqua" w:eastAsia="Book Antiqua" w:hAnsi="Book Antiqua" w:cs="Book Antiqua"/>
          <w:color w:val="000000"/>
          <w:lang w:val="en-GB"/>
        </w:rPr>
        <w:t>with</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ALBI grade 1 and 160 (74.1%) had hepatitis B virus infection. Based on the median cut-off value of NLR and PLR in the training cohort, high AFP, NLR and PLR levels accounted for 27.1%, 45.6% and 45.6%, respectively. </w:t>
      </w:r>
      <w:r w:rsidR="003267DF">
        <w:rPr>
          <w:rFonts w:ascii="Book Antiqua" w:eastAsia="Book Antiqua" w:hAnsi="Book Antiqua" w:cs="Book Antiqua"/>
          <w:color w:val="000000"/>
          <w:lang w:val="en-GB"/>
        </w:rPr>
        <w:t xml:space="preserve">A total of </w:t>
      </w:r>
      <w:r w:rsidRPr="00572D61">
        <w:rPr>
          <w:rFonts w:ascii="Book Antiqua" w:eastAsia="Book Antiqua" w:hAnsi="Book Antiqua" w:cs="Book Antiqua"/>
          <w:color w:val="000000"/>
          <w:lang w:val="en-GB"/>
        </w:rPr>
        <w:t xml:space="preserve">57.0% of tumours were located in the right liver. Long-diameter tumours and poorly differentiated tumours accounted for 54.8% and 6.9%, respectively, 58 (29.0%) had MVI and </w:t>
      </w:r>
      <w:r w:rsidR="003267DF">
        <w:rPr>
          <w:rFonts w:ascii="Book Antiqua" w:eastAsia="Book Antiqua" w:hAnsi="Book Antiqua" w:cs="Book Antiqua"/>
          <w:color w:val="000000"/>
          <w:lang w:val="en-GB"/>
        </w:rPr>
        <w:t>nine</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patients (4.2%) had LNM. TNM stages I, II, III and IV accounted for 48.8%, 42.7%, 4.2% </w:t>
      </w:r>
      <w:r w:rsidRPr="00572D61">
        <w:rPr>
          <w:rFonts w:ascii="Book Antiqua" w:eastAsia="Book Antiqua" w:hAnsi="Book Antiqua" w:cs="Book Antiqua"/>
          <w:color w:val="000000"/>
          <w:lang w:val="en-GB"/>
        </w:rPr>
        <w:lastRenderedPageBreak/>
        <w:t>and 4.2%, respectively. There were no significant differences in the distribution of baseline characteristics between the two groups.</w:t>
      </w:r>
    </w:p>
    <w:p w14:paraId="18F52784" w14:textId="2FFC64E8"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 xml:space="preserve">The average OS times of the training and validation cohorts were 33.71 and 39.19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respectively, and the median OS times were 34 and 38 mo. The 1-, 2- and 3-year OS rates were 79.0%, 68.0% and 45.4% in the training cohort and 92.1%, 73.9% and 51.2% in the validation cohort, respectively. </w:t>
      </w:r>
      <w:r w:rsidRPr="00572D61">
        <w:rPr>
          <w:rFonts w:ascii="Book Antiqua" w:eastAsia="Book Antiqua" w:hAnsi="Book Antiqua" w:cs="Book Antiqua"/>
          <w:color w:val="000000"/>
          <w:shd w:val="clear" w:color="auto" w:fill="FFFFFF"/>
          <w:lang w:val="en-GB"/>
        </w:rPr>
        <w:t>Kaplan</w:t>
      </w:r>
      <w:r w:rsidR="003267DF">
        <w:rPr>
          <w:rFonts w:ascii="Book Antiqua" w:eastAsia="Book Antiqua" w:hAnsi="Book Antiqua" w:cs="Book Antiqua"/>
          <w:color w:val="000000"/>
          <w:shd w:val="clear" w:color="auto" w:fill="FFFFFF"/>
          <w:lang w:val="en-GB"/>
        </w:rPr>
        <w:t>–</w:t>
      </w:r>
      <w:r w:rsidRPr="00572D61">
        <w:rPr>
          <w:rFonts w:ascii="Book Antiqua" w:eastAsia="Book Antiqua" w:hAnsi="Book Antiqua" w:cs="Book Antiqua"/>
          <w:color w:val="000000"/>
          <w:shd w:val="clear" w:color="auto" w:fill="FFFFFF"/>
          <w:lang w:val="en-GB"/>
        </w:rPr>
        <w:t xml:space="preserve">Meier survival analysis showed that NLR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 xml:space="preserve">2.22, PLR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 xml:space="preserve">102.92, AFP </w:t>
      </w:r>
      <w:r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400,</w:t>
      </w:r>
      <w:r w:rsidRPr="00572D61">
        <w:rPr>
          <w:rFonts w:ascii="Book Antiqua" w:eastAsia="Book Antiqua" w:hAnsi="Book Antiqua" w:cs="Book Antiqua"/>
          <w:color w:val="000000"/>
          <w:lang w:val="en-GB"/>
        </w:rPr>
        <w:t xml:space="preserve"> and</w:t>
      </w:r>
      <w:r w:rsidRPr="00572D61">
        <w:rPr>
          <w:rFonts w:ascii="Book Antiqua" w:eastAsia="Book Antiqua" w:hAnsi="Book Antiqua" w:cs="Book Antiqua"/>
          <w:color w:val="000000"/>
          <w:shd w:val="clear" w:color="auto" w:fill="FFFFFF"/>
          <w:lang w:val="en-GB"/>
        </w:rPr>
        <w:t xml:space="preserve"> tumour diameter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5 cm were related to shorter OS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&lt; 0</w:t>
      </w:r>
      <w:r w:rsidRPr="00572D61">
        <w:rPr>
          <w:rFonts w:ascii="Book Antiqua" w:eastAsia="Book Antiqua" w:hAnsi="Book Antiqua" w:cs="Book Antiqua"/>
          <w:color w:val="000000"/>
          <w:shd w:val="clear" w:color="auto" w:fill="FFFFFF"/>
          <w:lang w:val="en-GB"/>
        </w:rPr>
        <w:t>.001). OS was shortened with decreased tumour differentiation (</w:t>
      </w:r>
      <w:r w:rsidRPr="00572D61">
        <w:rPr>
          <w:rFonts w:ascii="Book Antiqua" w:eastAsia="Book Antiqua" w:hAnsi="Book Antiqua" w:cs="Book Antiqua"/>
          <w:i/>
          <w:iCs/>
          <w:color w:val="000000"/>
          <w:shd w:val="clear" w:color="auto" w:fill="FFFFFF"/>
          <w:lang w:val="en-GB"/>
        </w:rPr>
        <w:t>P</w:t>
      </w:r>
      <w:r w:rsidRPr="00572D61">
        <w:rPr>
          <w:rFonts w:ascii="Book Antiqua" w:eastAsia="Book Antiqua" w:hAnsi="Book Antiqua" w:cs="Book Antiqua"/>
          <w:color w:val="000000"/>
          <w:shd w:val="clear" w:color="auto" w:fill="FFFFFF"/>
          <w:lang w:val="en-GB"/>
        </w:rPr>
        <w:t xml:space="preserve"> = 0.042), but it was not significantly associated with LNM (</w:t>
      </w:r>
      <w:r w:rsidRPr="00572D61">
        <w:rPr>
          <w:rFonts w:ascii="Book Antiqua" w:eastAsia="Book Antiqua" w:hAnsi="Book Antiqua" w:cs="Book Antiqua"/>
          <w:i/>
          <w:iCs/>
          <w:color w:val="000000"/>
          <w:shd w:val="clear" w:color="auto" w:fill="FFFFFF"/>
          <w:lang w:val="en-GB"/>
        </w:rPr>
        <w:t>P</w:t>
      </w:r>
      <w:r w:rsidRPr="00572D61">
        <w:rPr>
          <w:rFonts w:ascii="Book Antiqua" w:eastAsia="Book Antiqua" w:hAnsi="Book Antiqua" w:cs="Book Antiqua"/>
          <w:color w:val="000000"/>
          <w:shd w:val="clear" w:color="auto" w:fill="FFFFFF"/>
          <w:lang w:val="en-GB"/>
        </w:rPr>
        <w:t xml:space="preserve"> = 0.164) (Figure </w:t>
      </w:r>
      <w:r w:rsidR="00586E99" w:rsidRPr="00572D61">
        <w:rPr>
          <w:rFonts w:ascii="Book Antiqua" w:hAnsi="Book Antiqua" w:cs="Book Antiqua"/>
          <w:color w:val="000000"/>
          <w:shd w:val="clear" w:color="auto" w:fill="FFFFFF"/>
          <w:lang w:val="en-GB" w:eastAsia="zh-CN"/>
        </w:rPr>
        <w:t>2</w:t>
      </w:r>
      <w:r w:rsidRPr="00572D61">
        <w:rPr>
          <w:rFonts w:ascii="Book Antiqua" w:eastAsia="Book Antiqua" w:hAnsi="Book Antiqua" w:cs="Book Antiqua"/>
          <w:color w:val="000000"/>
          <w:shd w:val="clear" w:color="auto" w:fill="FFFFFF"/>
          <w:lang w:val="en-GB"/>
        </w:rPr>
        <w:t>).</w:t>
      </w:r>
    </w:p>
    <w:p w14:paraId="0FF9C0A8"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7B60AE5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Independent risk factors in the training cohort</w:t>
      </w:r>
    </w:p>
    <w:p w14:paraId="470E34F9" w14:textId="25A492EC"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results of the univariate and multivariate Cox regression analyses are presented in Table 2. The univariate results suggested that OS was related to tumour size, differentiation grade, and preoperative AFP, NLR and PLR levels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&lt; 0.05), but there were no significant differences for age, HBsAg, MVI, smoking history, or </w:t>
      </w:r>
      <w:r w:rsidR="003267DF">
        <w:rPr>
          <w:rFonts w:ascii="Book Antiqua" w:eastAsia="Book Antiqua" w:hAnsi="Book Antiqua" w:cs="Book Antiqua"/>
          <w:color w:val="000000"/>
          <w:lang w:val="en-GB"/>
        </w:rPr>
        <w:t>alcohol consumption</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history. The significant variables were included in the multivariate Cox model (</w:t>
      </w:r>
      <w:r w:rsidRPr="00572D61">
        <w:rPr>
          <w:rFonts w:ascii="Book Antiqua" w:eastAsia="Book Antiqua" w:hAnsi="Book Antiqua" w:cs="Book Antiqua"/>
          <w:i/>
          <w:iCs/>
          <w:color w:val="000000"/>
          <w:lang w:val="en-GB"/>
        </w:rPr>
        <w:t>n</w:t>
      </w:r>
      <w:r w:rsidRPr="00572D61">
        <w:rPr>
          <w:rFonts w:ascii="Book Antiqua" w:eastAsia="Book Antiqua" w:hAnsi="Book Antiqua" w:cs="Book Antiqua"/>
          <w:color w:val="000000"/>
          <w:lang w:val="en-GB"/>
        </w:rPr>
        <w:t xml:space="preserve"> = 296), and their associations with OS were still significant after adjustment. Compared to that of patients with low levels, the OS of patients with high levels of AFP </w:t>
      </w:r>
      <w:r w:rsidR="003267DF">
        <w:rPr>
          <w:rFonts w:ascii="Book Antiqua" w:eastAsia="Book Antiqua" w:hAnsi="Book Antiqua" w:cs="Book Antiqua"/>
          <w:color w:val="000000"/>
          <w:lang w:val="en-GB"/>
        </w:rPr>
        <w:t xml:space="preserve">[hazard ratio </w:t>
      </w:r>
      <w:r w:rsidRPr="00572D61">
        <w:rPr>
          <w:rFonts w:ascii="Book Antiqua" w:eastAsia="Book Antiqua" w:hAnsi="Book Antiqua" w:cs="Book Antiqua"/>
          <w:color w:val="000000"/>
          <w:lang w:val="en-GB"/>
        </w:rPr>
        <w:t>(HR</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 1.812, 95%</w:t>
      </w:r>
      <w:r w:rsidR="003267DF">
        <w:rPr>
          <w:rFonts w:ascii="Book Antiqua" w:eastAsia="Book Antiqua" w:hAnsi="Book Antiqua" w:cs="Book Antiqua"/>
          <w:color w:val="000000"/>
          <w:lang w:val="en-GB"/>
        </w:rPr>
        <w:t xml:space="preserve"> confidence interval (</w:t>
      </w:r>
      <w:r w:rsidRPr="00572D61">
        <w:rPr>
          <w:rFonts w:ascii="Book Antiqua" w:eastAsia="Book Antiqua" w:hAnsi="Book Antiqua" w:cs="Book Antiqua"/>
          <w:color w:val="000000"/>
          <w:lang w:val="en-GB"/>
        </w:rPr>
        <w:t>CI</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1.343</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2.444</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NLR (HR = 2.480,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1.856</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3.312), and PLR (HR = 1.974,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1.490</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2.616) was significantly shortened. The postoperative OS of patients with tumour size ≥ 5 cm was significantly lower than that of patients with tumour size &lt; 5 cm (HR = 1.323,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1.002</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1.747). Compared with patients with well-differentiated cancer, those with moderately differentiated (HR = 1.752,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1.246</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2.463) and poorly differentiated (HR = 3.207,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1.944</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5.290) cancer had a significantly increased risk of death.</w:t>
      </w:r>
    </w:p>
    <w:p w14:paraId="071312CC" w14:textId="77777777" w:rsidR="00A77B3E" w:rsidRPr="00572D61" w:rsidRDefault="00A77B3E" w:rsidP="00450E72">
      <w:pPr>
        <w:adjustRightInd w:val="0"/>
        <w:snapToGrid w:val="0"/>
        <w:spacing w:line="360" w:lineRule="auto"/>
        <w:jc w:val="both"/>
        <w:rPr>
          <w:rFonts w:ascii="Book Antiqua" w:hAnsi="Book Antiqua"/>
          <w:lang w:val="en-GB"/>
        </w:rPr>
      </w:pPr>
    </w:p>
    <w:p w14:paraId="01C4C38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Construction and external validation of the nomogram</w:t>
      </w:r>
    </w:p>
    <w:p w14:paraId="748DB3FC" w14:textId="4D26AAC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A Cox model-based nomogram was constructed to predict 1-, 2- and 3-year patient survival probabilities (Figure </w:t>
      </w:r>
      <w:r w:rsidR="00586E99" w:rsidRPr="00572D61">
        <w:rPr>
          <w:rFonts w:ascii="Book Antiqua" w:hAnsi="Book Antiqua" w:cs="Book Antiqua"/>
          <w:color w:val="000000"/>
          <w:lang w:val="en-GB" w:eastAsia="zh-CN"/>
        </w:rPr>
        <w:t>3</w:t>
      </w:r>
      <w:r w:rsidRPr="00572D61">
        <w:rPr>
          <w:rFonts w:ascii="Book Antiqua" w:eastAsia="Book Antiqua" w:hAnsi="Book Antiqua" w:cs="Book Antiqua"/>
          <w:color w:val="000000"/>
          <w:lang w:val="en-GB"/>
        </w:rPr>
        <w:t xml:space="preserve">), which reflected the survival probabilities in this </w:t>
      </w:r>
      <w:r w:rsidRPr="00572D61">
        <w:rPr>
          <w:rFonts w:ascii="Book Antiqua" w:eastAsia="Book Antiqua" w:hAnsi="Book Antiqua" w:cs="Book Antiqua"/>
          <w:color w:val="000000"/>
          <w:lang w:val="en-GB"/>
        </w:rPr>
        <w:lastRenderedPageBreak/>
        <w:t>population through indicators including inflammation-related markers. The nomogram-predicted values were consistent with the actual observations, and the C-indexes were 0.71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0.70</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0.73) and 0.75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0.73</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0.77) in the training and validation groups, respectively, which revealed that the original nomogram remained valid for use in the external set. Further, an online calculator was developed (screenshots in Figure </w:t>
      </w:r>
      <w:r w:rsidR="00586E99" w:rsidRPr="00572D61">
        <w:rPr>
          <w:rFonts w:ascii="Book Antiqua" w:hAnsi="Book Antiqua" w:cs="Book Antiqua"/>
          <w:color w:val="000000"/>
          <w:lang w:val="en-GB" w:eastAsia="zh-CN"/>
        </w:rPr>
        <w:t>4</w:t>
      </w:r>
      <w:r w:rsidRPr="00572D61">
        <w:rPr>
          <w:rFonts w:ascii="Book Antiqua" w:eastAsia="Book Antiqua" w:hAnsi="Book Antiqua" w:cs="Book Antiqua"/>
          <w:color w:val="000000"/>
          <w:lang w:val="en-GB"/>
        </w:rPr>
        <w:t xml:space="preserve">), and the nomogram for OS is freely available at </w:t>
      </w:r>
      <w:hyperlink r:id="rId8" w:history="1">
        <w:r w:rsidRPr="00F00A5A">
          <w:rPr>
            <w:rFonts w:ascii="Book Antiqua" w:eastAsia="Book Antiqua" w:hAnsi="Book Antiqua" w:cs="Book Antiqua"/>
            <w:color w:val="000000"/>
            <w:lang w:val="en-GB"/>
          </w:rPr>
          <w:t>https://ahmuptt.shinyapps.io/NLPL/</w:t>
        </w:r>
      </w:hyperlink>
      <w:r w:rsidRPr="00572D61">
        <w:rPr>
          <w:rFonts w:ascii="Book Antiqua" w:eastAsia="Book Antiqua" w:hAnsi="Book Antiqua" w:cs="Book Antiqua"/>
          <w:color w:val="000000"/>
          <w:lang w:val="en-GB"/>
        </w:rPr>
        <w:t xml:space="preserve">. The nomogram model parameters were applied to the external validation cohort, and an external Cox model was established based on OS and the total points. The calibration curves were drawn for OS at 1, 2 and 3 years. The </w:t>
      </w:r>
      <w:r w:rsidR="003267DF">
        <w:rPr>
          <w:rFonts w:ascii="Book Antiqua" w:eastAsia="Book Antiqua" w:hAnsi="Book Antiqua" w:cs="Book Antiqua"/>
          <w:color w:val="000000"/>
          <w:lang w:val="en-GB"/>
        </w:rPr>
        <w:t>x</w:t>
      </w:r>
      <w:r w:rsidRPr="00572D61">
        <w:rPr>
          <w:rFonts w:ascii="Book Antiqua" w:eastAsia="Book Antiqua" w:hAnsi="Book Antiqua" w:cs="Book Antiqua"/>
          <w:color w:val="000000"/>
          <w:lang w:val="en-GB"/>
        </w:rPr>
        <w:t xml:space="preserve">-axis shows the nomogram-predicted probabilities, and the </w:t>
      </w:r>
      <w:r w:rsidR="003267DF">
        <w:rPr>
          <w:rFonts w:ascii="Book Antiqua" w:eastAsia="Book Antiqua" w:hAnsi="Book Antiqua" w:cs="Book Antiqua"/>
          <w:color w:val="000000"/>
          <w:lang w:val="en-GB"/>
        </w:rPr>
        <w:t>y</w:t>
      </w:r>
      <w:r w:rsidRPr="00572D61">
        <w:rPr>
          <w:rFonts w:ascii="Book Antiqua" w:eastAsia="Book Antiqua" w:hAnsi="Book Antiqua" w:cs="Book Antiqua"/>
          <w:color w:val="000000"/>
          <w:lang w:val="en-GB"/>
        </w:rPr>
        <w:t xml:space="preserve">-axis shows the actual survival observations. All the predicted curves approximatively overlapped with the reference curves, indicating that the nomogram performed well in both cohorts (Figure </w:t>
      </w:r>
      <w:r w:rsidR="00586E99" w:rsidRPr="00572D61">
        <w:rPr>
          <w:rFonts w:ascii="Book Antiqua" w:hAnsi="Book Antiqua" w:cs="Book Antiqua"/>
          <w:color w:val="000000"/>
          <w:lang w:val="en-GB" w:eastAsia="zh-CN"/>
        </w:rPr>
        <w:t>5</w:t>
      </w:r>
      <w:r w:rsidRPr="00572D61">
        <w:rPr>
          <w:rFonts w:ascii="Book Antiqua" w:eastAsia="Book Antiqua" w:hAnsi="Book Antiqua" w:cs="Book Antiqua"/>
          <w:color w:val="000000"/>
          <w:lang w:val="en-GB"/>
        </w:rPr>
        <w:t>).</w:t>
      </w:r>
    </w:p>
    <w:p w14:paraId="7B3EAF40" w14:textId="77777777" w:rsidR="00A77B3E" w:rsidRPr="00572D61" w:rsidRDefault="00A77B3E" w:rsidP="00450E72">
      <w:pPr>
        <w:adjustRightInd w:val="0"/>
        <w:snapToGrid w:val="0"/>
        <w:spacing w:line="360" w:lineRule="auto"/>
        <w:jc w:val="both"/>
        <w:rPr>
          <w:rFonts w:ascii="Book Antiqua" w:hAnsi="Book Antiqua"/>
          <w:lang w:val="en-GB"/>
        </w:rPr>
      </w:pPr>
    </w:p>
    <w:p w14:paraId="2ED61FF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Comparison of predictive accuracy for OS between the nomogram and AJCC TNM staging system</w:t>
      </w:r>
    </w:p>
    <w:p w14:paraId="679507FE" w14:textId="2C437F62"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nomogram developed in this study was more accurate than the AJCC TNM staging system in predicting the survival rate. In the training cohort, the AUCs of the nomogram-predicted OS at 1, 2 and 3 years were 0.781, 0.743 and 0.706, respectively, while the AUCs of the TNM staging system were 0.597, 0.585 and 0.595 (Figure </w:t>
      </w:r>
      <w:r w:rsidR="00586E99" w:rsidRPr="00572D61">
        <w:rPr>
          <w:rFonts w:ascii="Book Antiqua" w:hAnsi="Book Antiqua" w:cs="Book Antiqua"/>
          <w:color w:val="000000"/>
          <w:lang w:val="en-GB" w:eastAsia="zh-CN"/>
        </w:rPr>
        <w:t>6</w:t>
      </w:r>
      <w:r w:rsidRPr="00572D61">
        <w:rPr>
          <w:rFonts w:ascii="Book Antiqua" w:eastAsia="Book Antiqua" w:hAnsi="Book Antiqua" w:cs="Book Antiqua"/>
          <w:color w:val="000000"/>
          <w:lang w:val="en-GB"/>
        </w:rPr>
        <w:t>A</w:t>
      </w:r>
      <w:r w:rsidR="003267DF">
        <w:rPr>
          <w:rFonts w:ascii="Book Antiqua" w:eastAsia="Book Antiqua" w:hAnsi="Book Antiqua" w:cs="Book Antiqua"/>
          <w:color w:val="000000"/>
          <w:lang w:val="en-GB"/>
        </w:rPr>
        <w:t>–6</w:t>
      </w:r>
      <w:r w:rsidRPr="00572D61">
        <w:rPr>
          <w:rFonts w:ascii="Book Antiqua" w:eastAsia="Book Antiqua" w:hAnsi="Book Antiqua" w:cs="Book Antiqua"/>
          <w:color w:val="000000"/>
          <w:lang w:val="en-GB"/>
        </w:rPr>
        <w:t xml:space="preserve">C). In the external validation cohort, for OS predictions at 1, 2 and 3 years, the nomogram-based AUCs were 0.789, 0.815 and 0.813, respectively (Figure </w:t>
      </w:r>
      <w:r w:rsidR="00586E99" w:rsidRPr="00572D61">
        <w:rPr>
          <w:rFonts w:ascii="Book Antiqua" w:hAnsi="Book Antiqua" w:cs="Book Antiqua"/>
          <w:color w:val="000000"/>
          <w:lang w:val="en-GB" w:eastAsia="zh-CN"/>
        </w:rPr>
        <w:t>6</w:t>
      </w:r>
      <w:r w:rsidRPr="00572D61">
        <w:rPr>
          <w:rFonts w:ascii="Book Antiqua" w:eastAsia="Book Antiqua" w:hAnsi="Book Antiqua" w:cs="Book Antiqua"/>
          <w:color w:val="000000"/>
          <w:lang w:val="en-GB"/>
        </w:rPr>
        <w:t>D</w:t>
      </w:r>
      <w:r w:rsidR="003267DF">
        <w:rPr>
          <w:rFonts w:ascii="Book Antiqua" w:eastAsia="Book Antiqua" w:hAnsi="Book Antiqua" w:cs="Book Antiqua"/>
          <w:color w:val="000000"/>
          <w:lang w:val="en-GB"/>
        </w:rPr>
        <w:t>–6</w:t>
      </w:r>
      <w:r w:rsidRPr="00572D61">
        <w:rPr>
          <w:rFonts w:ascii="Book Antiqua" w:eastAsia="Book Antiqua" w:hAnsi="Book Antiqua" w:cs="Book Antiqua"/>
          <w:color w:val="000000"/>
          <w:lang w:val="en-GB"/>
        </w:rPr>
        <w:t>F), which were also higher than the TNM-based AUCs of 0.557, 0.579 and 0.541.</w:t>
      </w:r>
    </w:p>
    <w:p w14:paraId="5B607D21" w14:textId="77777777" w:rsidR="00A77B3E" w:rsidRPr="00572D61" w:rsidRDefault="00A77B3E" w:rsidP="00450E72">
      <w:pPr>
        <w:adjustRightInd w:val="0"/>
        <w:snapToGrid w:val="0"/>
        <w:spacing w:line="360" w:lineRule="auto"/>
        <w:jc w:val="both"/>
        <w:rPr>
          <w:rFonts w:ascii="Book Antiqua" w:hAnsi="Book Antiqua"/>
          <w:lang w:val="en-GB"/>
        </w:rPr>
      </w:pPr>
    </w:p>
    <w:p w14:paraId="1FAD3D5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DISCUSSION</w:t>
      </w:r>
    </w:p>
    <w:p w14:paraId="54182BF2" w14:textId="3784133A"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main findings of this study were as follows. (1) High levels of AFP, NLR and PLR were associated with shorter OS. A lower differentiation grade and tumour size &gt;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5 cm significantly increased the risk of death</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(2) The nomogram could accurately and precisely divide patients into different risk subgroups, and the predicted OS was close </w:t>
      </w:r>
      <w:r w:rsidRPr="00572D61">
        <w:rPr>
          <w:rFonts w:ascii="Book Antiqua" w:eastAsia="Book Antiqua" w:hAnsi="Book Antiqua" w:cs="Book Antiqua"/>
          <w:color w:val="000000"/>
          <w:lang w:val="en-GB"/>
        </w:rPr>
        <w:lastRenderedPageBreak/>
        <w:t>to the actual observation</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(3) Compared with the AJCC TNM staging system, the nomogram combined tumour pathological characteristics and biochemical indicators and provided more prognostic information, which is conducive to individualized treatment plan formulation and postoperative consultation.</w:t>
      </w:r>
    </w:p>
    <w:p w14:paraId="3E5AB2DD" w14:textId="4424AF72"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This study found that AFP</w:t>
      </w:r>
      <w:r w:rsidRPr="00572D61">
        <w:rPr>
          <w:rFonts w:ascii="Book Antiqua" w:eastAsia="Book Antiqua" w:hAnsi="Book Antiqua" w:cs="Book Antiqua"/>
          <w:color w:val="000000"/>
          <w:vertAlign w:val="superscript"/>
          <w:lang w:val="en-GB"/>
        </w:rPr>
        <w:t>[11]</w:t>
      </w:r>
      <w:r w:rsidRPr="00572D61">
        <w:rPr>
          <w:rFonts w:ascii="Book Antiqua" w:eastAsia="Book Antiqua" w:hAnsi="Book Antiqua" w:cs="Book Antiqua"/>
          <w:color w:val="000000"/>
          <w:lang w:val="en-GB"/>
        </w:rPr>
        <w:t>, NLR</w:t>
      </w:r>
      <w:r w:rsidRPr="00572D61">
        <w:rPr>
          <w:rFonts w:ascii="Book Antiqua" w:eastAsia="Book Antiqua" w:hAnsi="Book Antiqua" w:cs="Book Antiqua"/>
          <w:color w:val="000000"/>
          <w:vertAlign w:val="superscript"/>
          <w:lang w:val="en-GB"/>
        </w:rPr>
        <w:t>[12]</w:t>
      </w:r>
      <w:r w:rsidRPr="00572D61">
        <w:rPr>
          <w:rFonts w:ascii="Book Antiqua" w:eastAsia="Book Antiqua" w:hAnsi="Book Antiqua" w:cs="Book Antiqua"/>
          <w:color w:val="000000"/>
          <w:lang w:val="en-GB"/>
        </w:rPr>
        <w:t>, PLR</w:t>
      </w:r>
      <w:r w:rsidRPr="00572D61">
        <w:rPr>
          <w:rFonts w:ascii="Book Antiqua" w:eastAsia="Book Antiqua" w:hAnsi="Book Antiqua" w:cs="Book Antiqua"/>
          <w:color w:val="000000"/>
          <w:vertAlign w:val="superscript"/>
          <w:lang w:val="en-GB"/>
        </w:rPr>
        <w:t>[13]</w:t>
      </w:r>
      <w:r w:rsidRPr="00572D61">
        <w:rPr>
          <w:rFonts w:ascii="Book Antiqua" w:eastAsia="Book Antiqua" w:hAnsi="Book Antiqua" w:cs="Book Antiqua"/>
          <w:color w:val="000000"/>
          <w:lang w:val="en-GB"/>
        </w:rPr>
        <w:t>, tumour size</w:t>
      </w:r>
      <w:r w:rsidRPr="00572D61">
        <w:rPr>
          <w:rFonts w:ascii="Book Antiqua" w:eastAsia="Book Antiqua" w:hAnsi="Book Antiqua" w:cs="Book Antiqua"/>
          <w:color w:val="000000"/>
          <w:vertAlign w:val="superscript"/>
          <w:lang w:val="en-GB"/>
        </w:rPr>
        <w:t>[14]</w:t>
      </w:r>
      <w:r w:rsidRPr="00572D61">
        <w:rPr>
          <w:rFonts w:ascii="Book Antiqua" w:eastAsia="Book Antiqua" w:hAnsi="Book Antiqua" w:cs="Book Antiqua"/>
          <w:color w:val="000000"/>
          <w:lang w:val="en-GB"/>
        </w:rPr>
        <w:t xml:space="preserve"> and tumour differentiation</w:t>
      </w:r>
      <w:r w:rsidRPr="00572D61">
        <w:rPr>
          <w:rFonts w:ascii="Book Antiqua" w:eastAsia="Book Antiqua" w:hAnsi="Book Antiqua" w:cs="Book Antiqua"/>
          <w:color w:val="000000"/>
          <w:vertAlign w:val="superscript"/>
          <w:lang w:val="en-GB"/>
        </w:rPr>
        <w:t>[15]</w:t>
      </w:r>
      <w:r w:rsidRPr="00572D61">
        <w:rPr>
          <w:rFonts w:ascii="Book Antiqua" w:eastAsia="Book Antiqua" w:hAnsi="Book Antiqua" w:cs="Book Antiqua"/>
          <w:color w:val="000000"/>
          <w:lang w:val="en-GB"/>
        </w:rPr>
        <w:t xml:space="preserve"> were independent risk factors for OS, which is consistent with the findings of previous studies. Tumour size and tumour differentiation were used as key variables in the AJCC TNM staging system. The lower the degree of tumour differentiation is, the greater the degree of malignancy and cell heterogeneity</w:t>
      </w:r>
      <w:r w:rsidRPr="00572D61">
        <w:rPr>
          <w:rFonts w:ascii="Book Antiqua" w:eastAsia="Book Antiqua" w:hAnsi="Book Antiqua" w:cs="Book Antiqua"/>
          <w:color w:val="000000"/>
          <w:vertAlign w:val="superscript"/>
          <w:lang w:val="en-GB"/>
        </w:rPr>
        <w:t>[16]</w:t>
      </w:r>
      <w:r w:rsidRPr="00572D61">
        <w:rPr>
          <w:rFonts w:ascii="Book Antiqua" w:eastAsia="Book Antiqua" w:hAnsi="Book Antiqua" w:cs="Book Antiqua"/>
          <w:color w:val="000000"/>
          <w:lang w:val="en-GB"/>
        </w:rPr>
        <w:t xml:space="preserve">, and a larger tumour might increase intraoperative blood loss, which affects patient recovery. AFP is a glycoprotein produced by the yolk sac and liver, and it gradually decreases after reaching a peak in the foetal period. Increased AFP levels in adulthood mainly stem from the </w:t>
      </w:r>
      <w:proofErr w:type="spellStart"/>
      <w:r w:rsidRPr="00572D61">
        <w:rPr>
          <w:rFonts w:ascii="Book Antiqua" w:eastAsia="Book Antiqua" w:hAnsi="Book Antiqua" w:cs="Book Antiqua"/>
          <w:color w:val="000000"/>
          <w:lang w:val="en-GB"/>
        </w:rPr>
        <w:t>canceration</w:t>
      </w:r>
      <w:proofErr w:type="spellEnd"/>
      <w:r w:rsidRPr="00572D61">
        <w:rPr>
          <w:rFonts w:ascii="Book Antiqua" w:eastAsia="Book Antiqua" w:hAnsi="Book Antiqua" w:cs="Book Antiqua"/>
          <w:color w:val="000000"/>
          <w:lang w:val="en-GB"/>
        </w:rPr>
        <w:t xml:space="preserve"> of liver cells; therefore, AFP is often used for HCC monitoring and diagnosis. However, false-negative results might emerge with low AFP levels due to the regulation of genes. Wang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[17]</w:t>
      </w:r>
      <w:r w:rsidRPr="00572D61">
        <w:rPr>
          <w:rFonts w:ascii="Book Antiqua" w:eastAsia="Book Antiqua" w:hAnsi="Book Antiqua" w:cs="Book Antiqua"/>
          <w:color w:val="000000"/>
          <w:lang w:val="en-GB"/>
        </w:rPr>
        <w:t xml:space="preserve"> also proposed combining other blood test indicators to improve the sensitivity and prognostic prediction accuracy of AFP-negative HCC. Wang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[17]</w:t>
      </w:r>
      <w:r w:rsidRPr="00572D61">
        <w:rPr>
          <w:rFonts w:ascii="Book Antiqua" w:eastAsia="Book Antiqua" w:hAnsi="Book Antiqua" w:cs="Book Antiqua"/>
          <w:color w:val="000000"/>
          <w:lang w:val="en-GB"/>
        </w:rPr>
        <w:t xml:space="preserve"> focused on direct indicators such as liver function and hepatitis virus infection, while this study focused on two systemic inflammation biomarkers, NLR and PLR. Inflammation is a systemic process involving </w:t>
      </w:r>
      <w:proofErr w:type="spellStart"/>
      <w:r w:rsidRPr="00572D61">
        <w:rPr>
          <w:rFonts w:ascii="Book Antiqua" w:eastAsia="Book Antiqua" w:hAnsi="Book Antiqua" w:cs="Book Antiqua"/>
          <w:color w:val="000000"/>
          <w:lang w:val="en-GB"/>
        </w:rPr>
        <w:t>multicell</w:t>
      </w:r>
      <w:proofErr w:type="spellEnd"/>
      <w:r w:rsidRPr="00572D61">
        <w:rPr>
          <w:rFonts w:ascii="Book Antiqua" w:eastAsia="Book Antiqua" w:hAnsi="Book Antiqua" w:cs="Book Antiqua"/>
          <w:color w:val="000000"/>
          <w:lang w:val="en-GB"/>
        </w:rPr>
        <w:t xml:space="preserve"> participation, </w:t>
      </w:r>
      <w:proofErr w:type="spellStart"/>
      <w:r w:rsidRPr="00572D61">
        <w:rPr>
          <w:rFonts w:ascii="Book Antiqua" w:eastAsia="Book Antiqua" w:hAnsi="Book Antiqua" w:cs="Book Antiqua"/>
          <w:color w:val="000000"/>
          <w:lang w:val="en-GB"/>
        </w:rPr>
        <w:t>multipathway</w:t>
      </w:r>
      <w:proofErr w:type="spellEnd"/>
      <w:r w:rsidRPr="00572D61">
        <w:rPr>
          <w:rFonts w:ascii="Book Antiqua" w:eastAsia="Book Antiqua" w:hAnsi="Book Antiqua" w:cs="Book Antiqua"/>
          <w:color w:val="000000"/>
          <w:lang w:val="en-GB"/>
        </w:rPr>
        <w:t xml:space="preserve"> activation, and multifunctional execution. An increased neutrophil count indicates bacterial infection, an increased platelet count indicates acute and chronic inflammation and chronic blood loss, and a decreased lymphocyte count indicates that the immune mechanism is abnormal and that the antiviral and antitumour abilities are disturbed. Increased NLR also indicates that the body might have a cytokine storm and might release more reactive oxygen species to damage DNA; oncocytes also produce plenty of inflammatory cytokines, which induce leukocytes to accumulate around the tumour</w:t>
      </w:r>
      <w:r w:rsidRPr="00572D61">
        <w:rPr>
          <w:rFonts w:ascii="Book Antiqua" w:eastAsia="Book Antiqua" w:hAnsi="Book Antiqua" w:cs="Book Antiqua"/>
          <w:color w:val="000000"/>
          <w:vertAlign w:val="superscript"/>
          <w:lang w:val="en-GB"/>
        </w:rPr>
        <w:t>[18]</w:t>
      </w:r>
      <w:r w:rsidRPr="00572D61">
        <w:rPr>
          <w:rFonts w:ascii="Book Antiqua" w:eastAsia="Book Antiqua" w:hAnsi="Book Antiqua" w:cs="Book Antiqua"/>
          <w:color w:val="000000"/>
          <w:lang w:val="en-GB"/>
        </w:rPr>
        <w:t>. Elevated PLR levels indicate that platelets are involved in tumour development through the process of epithelial</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mesenchymal transition and facilitate haematogenous metastasis, which enhances the proliferation </w:t>
      </w:r>
      <w:r w:rsidRPr="00572D61">
        <w:rPr>
          <w:rFonts w:ascii="Book Antiqua" w:eastAsia="Book Antiqua" w:hAnsi="Book Antiqua" w:cs="Book Antiqua"/>
          <w:color w:val="000000"/>
          <w:lang w:val="en-GB"/>
        </w:rPr>
        <w:lastRenderedPageBreak/>
        <w:t>and invasion of tumours</w:t>
      </w:r>
      <w:r w:rsidRPr="00572D61">
        <w:rPr>
          <w:rFonts w:ascii="Book Antiqua" w:eastAsia="Book Antiqua" w:hAnsi="Book Antiqua" w:cs="Book Antiqua"/>
          <w:color w:val="000000"/>
          <w:vertAlign w:val="superscript"/>
          <w:lang w:val="en-GB"/>
        </w:rPr>
        <w:t>[19]</w:t>
      </w:r>
      <w:r w:rsidRPr="00572D61">
        <w:rPr>
          <w:rFonts w:ascii="Book Antiqua" w:eastAsia="Book Antiqua" w:hAnsi="Book Antiqua" w:cs="Book Antiqua"/>
          <w:color w:val="000000"/>
          <w:lang w:val="en-GB"/>
        </w:rPr>
        <w:t>. In addition, increased NLR promotes tumour growth</w:t>
      </w:r>
      <w:r w:rsidRPr="00572D61">
        <w:rPr>
          <w:rFonts w:ascii="Book Antiqua" w:eastAsia="Book Antiqua" w:hAnsi="Book Antiqua" w:cs="Book Antiqua"/>
          <w:color w:val="000000"/>
          <w:vertAlign w:val="superscript"/>
          <w:lang w:val="en-GB"/>
        </w:rPr>
        <w:t>[20]</w:t>
      </w:r>
      <w:r w:rsidRPr="00572D61">
        <w:rPr>
          <w:rFonts w:ascii="Book Antiqua" w:eastAsia="Book Antiqua" w:hAnsi="Book Antiqua" w:cs="Book Antiqua"/>
          <w:color w:val="000000"/>
          <w:lang w:val="en-GB"/>
        </w:rPr>
        <w:t xml:space="preserve"> and hypersplenism</w:t>
      </w:r>
      <w:r w:rsidRPr="00572D61">
        <w:rPr>
          <w:rFonts w:ascii="Book Antiqua" w:eastAsia="Book Antiqua" w:hAnsi="Book Antiqua" w:cs="Book Antiqua"/>
          <w:color w:val="000000"/>
          <w:vertAlign w:val="superscript"/>
          <w:lang w:val="en-GB"/>
        </w:rPr>
        <w:t>[21]</w:t>
      </w:r>
      <w:r w:rsidRPr="00572D61">
        <w:rPr>
          <w:rFonts w:ascii="Book Antiqua" w:eastAsia="Book Antiqua" w:hAnsi="Book Antiqua" w:cs="Book Antiqua"/>
          <w:color w:val="000000"/>
          <w:lang w:val="en-GB"/>
        </w:rPr>
        <w:t>, which increases the burden on patients and worsens the prognosis. Previous studies</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xml:space="preserve"> showed that there was a correlation between LNM and shortened OS, and we found a significant association. The exposure rate might be the main reason for the difference. In </w:t>
      </w:r>
      <w:r w:rsidR="003267DF">
        <w:rPr>
          <w:rFonts w:ascii="Book Antiqua" w:eastAsia="Book Antiqua" w:hAnsi="Book Antiqua" w:cs="Book Antiqua"/>
          <w:color w:val="000000"/>
          <w:lang w:val="en-GB"/>
        </w:rPr>
        <w:t xml:space="preserve">the study of </w:t>
      </w:r>
      <w:r w:rsidRPr="00572D61">
        <w:rPr>
          <w:rFonts w:ascii="Book Antiqua" w:eastAsia="Book Antiqua" w:hAnsi="Book Antiqua" w:cs="Book Antiqua"/>
          <w:color w:val="000000"/>
          <w:lang w:val="en-GB"/>
        </w:rPr>
        <w:t xml:space="preserve">Wan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the LNM rate was approximately 9%, while it was 4% in our study, so the effect was easily accounted for.</w:t>
      </w:r>
    </w:p>
    <w:p w14:paraId="388C9ADB" w14:textId="46EBB8D4"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The prognosis of HCC not only depends on the progression of liver malignancy but is also affected by inflammation. When biomarkers and potential risk factors are gradually detected and the monitoring and intervention window gradually advance, a prediction model with wide applicability and sensitivity is crucial. With the traditional TNM staging system, only pathological characteristics are considered, the classification and treatment measures of patients are relatively simple, and the predictive effect of OS has gradually deviated from clinical needs. Clinical medicine and preventive medicine advocate detection, treatment and intervention in the early stage. The literature has reported that the effect of early treatment on HCC is better than that of late treatment</w:t>
      </w:r>
      <w:r w:rsidRPr="00572D61">
        <w:rPr>
          <w:rFonts w:ascii="Book Antiqua" w:eastAsia="Book Antiqua" w:hAnsi="Book Antiqua" w:cs="Book Antiqua"/>
          <w:color w:val="000000"/>
          <w:vertAlign w:val="superscript"/>
          <w:lang w:val="en-GB"/>
        </w:rPr>
        <w:t>[5,22,23]</w:t>
      </w:r>
      <w:r w:rsidRPr="00572D61">
        <w:rPr>
          <w:rFonts w:ascii="Book Antiqua" w:eastAsia="Book Antiqua" w:hAnsi="Book Antiqua" w:cs="Book Antiqua"/>
          <w:color w:val="000000"/>
          <w:lang w:val="en-GB"/>
        </w:rPr>
        <w:t>. Nomograms, as a visualization method of statistical models, gradually improve individualization with the inclusion of risk factors, providing clinicians and patients with much information to understand short-term and long-term outcomes. Taking into account collinearity, the nomogram contains three tumour-related indicators (AFP, tumour size and tumour differentiation) and two inflammatory indicators (NLR and PLR). The C-index, calibration and ROC results support that the predictive accuracy of the nomogram is better than that of the AJCC TNM staging system, and the nomogram could effectively stratify liver malignancy patients and formulate personalized treatments. Compared with other nomograms</w:t>
      </w:r>
      <w:r w:rsidRPr="00572D61">
        <w:rPr>
          <w:rFonts w:ascii="Book Antiqua" w:eastAsia="Book Antiqua" w:hAnsi="Book Antiqua" w:cs="Book Antiqua"/>
          <w:color w:val="000000"/>
          <w:vertAlign w:val="superscript"/>
          <w:lang w:val="en-GB"/>
        </w:rPr>
        <w:t>[17,23-25]</w:t>
      </w:r>
      <w:r w:rsidRPr="00572D61">
        <w:rPr>
          <w:rFonts w:ascii="Book Antiqua" w:eastAsia="Book Antiqua" w:hAnsi="Book Antiqua" w:cs="Book Antiqua"/>
          <w:color w:val="000000"/>
          <w:lang w:val="en-GB"/>
        </w:rPr>
        <w:t>, the nomogram developed in this study could fully reflect the immune status of the body, is economical and convenient, and has excellent accuracy.</w:t>
      </w:r>
    </w:p>
    <w:p w14:paraId="051DA3D8" w14:textId="15A6198C" w:rsidR="00A77B3E" w:rsidRPr="00572D61" w:rsidRDefault="00037BBC" w:rsidP="00450E72">
      <w:pPr>
        <w:adjustRightInd w:val="0"/>
        <w:snapToGrid w:val="0"/>
        <w:spacing w:line="360" w:lineRule="auto"/>
        <w:ind w:firstLine="240"/>
        <w:jc w:val="both"/>
        <w:rPr>
          <w:rFonts w:ascii="Book Antiqua" w:hAnsi="Book Antiqua"/>
          <w:lang w:val="en-GB"/>
        </w:rPr>
      </w:pPr>
      <w:r w:rsidRPr="00572D61">
        <w:rPr>
          <w:rFonts w:ascii="Book Antiqua" w:eastAsia="Book Antiqua" w:hAnsi="Book Antiqua" w:cs="Book Antiqua"/>
          <w:color w:val="000000"/>
          <w:lang w:val="en-GB"/>
        </w:rPr>
        <w:t xml:space="preserve">As a two-centre retrospective study, the reliability and the level of evidence for causal inference were high, but this study still had several limitations. First, although the nomogram performed well in terms of its accuracy and consistency for prognostic </w:t>
      </w:r>
      <w:r w:rsidRPr="00572D61">
        <w:rPr>
          <w:rFonts w:ascii="Book Antiqua" w:eastAsia="Book Antiqua" w:hAnsi="Book Antiqua" w:cs="Book Antiqua"/>
          <w:color w:val="000000"/>
          <w:lang w:val="en-GB"/>
        </w:rPr>
        <w:lastRenderedPageBreak/>
        <w:t xml:space="preserve">prediction, the effective sample size was small, which might </w:t>
      </w:r>
      <w:r w:rsidR="00583DAC">
        <w:rPr>
          <w:rFonts w:ascii="Book Antiqua" w:eastAsia="Book Antiqua" w:hAnsi="Book Antiqua" w:cs="Book Antiqua"/>
          <w:color w:val="000000"/>
          <w:lang w:val="en-GB"/>
        </w:rPr>
        <w:t xml:space="preserve">have </w:t>
      </w:r>
      <w:r w:rsidRPr="00572D61">
        <w:rPr>
          <w:rFonts w:ascii="Book Antiqua" w:eastAsia="Book Antiqua" w:hAnsi="Book Antiqua" w:cs="Book Antiqua"/>
          <w:color w:val="000000"/>
          <w:lang w:val="en-GB"/>
        </w:rPr>
        <w:t>affect</w:t>
      </w:r>
      <w:r w:rsidR="00583DAC">
        <w:rPr>
          <w:rFonts w:ascii="Book Antiqua" w:eastAsia="Book Antiqua" w:hAnsi="Book Antiqua" w:cs="Book Antiqua"/>
          <w:color w:val="000000"/>
          <w:lang w:val="en-GB"/>
        </w:rPr>
        <w:t>ed</w:t>
      </w:r>
      <w:r w:rsidRPr="00572D61">
        <w:rPr>
          <w:rFonts w:ascii="Book Antiqua" w:eastAsia="Book Antiqua" w:hAnsi="Book Antiqua" w:cs="Book Antiqua"/>
          <w:color w:val="000000"/>
          <w:lang w:val="en-GB"/>
        </w:rPr>
        <w:t xml:space="preserve"> the extrapolation to people with different characteristic distributions. Second, to balance convenience and model stability, objective indicators such as hepatitis virus infection, liver function, and cirrhosis were not included, which might have </w:t>
      </w:r>
      <w:r w:rsidR="00583DAC">
        <w:rPr>
          <w:rFonts w:ascii="Book Antiqua" w:eastAsia="Book Antiqua" w:hAnsi="Book Antiqua" w:cs="Book Antiqua"/>
          <w:color w:val="000000"/>
          <w:lang w:val="en-GB"/>
        </w:rPr>
        <w:t>had an</w:t>
      </w:r>
      <w:r w:rsidR="00583DAC"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impact on the model. In addition, due to the lack of postoperative biochemical index information in the validation group, the effect of biomarker alterations during the perioperative period could not be discussed. Finally, it was difficult to avoid the influence of behavioural deviations and potential confounding factors.</w:t>
      </w:r>
    </w:p>
    <w:p w14:paraId="5D23589A" w14:textId="77777777" w:rsidR="00A77B3E" w:rsidRPr="00572D61" w:rsidRDefault="00A77B3E" w:rsidP="00450E72">
      <w:pPr>
        <w:adjustRightInd w:val="0"/>
        <w:snapToGrid w:val="0"/>
        <w:spacing w:line="360" w:lineRule="auto"/>
        <w:ind w:firstLine="240"/>
        <w:jc w:val="both"/>
        <w:rPr>
          <w:rFonts w:ascii="Book Antiqua" w:hAnsi="Book Antiqua"/>
          <w:lang w:val="en-GB"/>
        </w:rPr>
      </w:pPr>
    </w:p>
    <w:p w14:paraId="300B028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CONCLUSION</w:t>
      </w:r>
    </w:p>
    <w:p w14:paraId="316DF008" w14:textId="202ECA61" w:rsidR="00A77B3E" w:rsidRPr="00572D61" w:rsidRDefault="00583DAC" w:rsidP="00450E72">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We</w:t>
      </w:r>
      <w:r w:rsidR="00037BBC" w:rsidRPr="00572D61">
        <w:rPr>
          <w:rFonts w:ascii="Book Antiqua" w:eastAsia="Book Antiqua" w:hAnsi="Book Antiqua" w:cs="Book Antiqua"/>
          <w:color w:val="000000"/>
          <w:lang w:val="en-GB"/>
        </w:rPr>
        <w:t xml:space="preserve"> developed a nomogram that could predict the prognosis of HCC patients after hepatectomy based on tumour pathological characteristics and inflammation indicators. External validation and comparison with the AJCC TNM staging system showed that the nomogram had accurate discrimination and prognostic evaluation capabilities. Through this nomogram, clinicians could fully consider an individual's risk level and postoperative survival rate and provide guidance for monitoring frequency, treatment, and nursing.</w:t>
      </w:r>
    </w:p>
    <w:p w14:paraId="619E32B4" w14:textId="77777777" w:rsidR="00A77B3E" w:rsidRPr="00572D61" w:rsidRDefault="00A77B3E" w:rsidP="00450E72">
      <w:pPr>
        <w:adjustRightInd w:val="0"/>
        <w:snapToGrid w:val="0"/>
        <w:spacing w:line="360" w:lineRule="auto"/>
        <w:jc w:val="both"/>
        <w:rPr>
          <w:rFonts w:ascii="Book Antiqua" w:hAnsi="Book Antiqua"/>
          <w:lang w:val="en-GB"/>
        </w:rPr>
      </w:pPr>
    </w:p>
    <w:p w14:paraId="0D0C0E6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ARTICLE HIGHLIGHTS</w:t>
      </w:r>
    </w:p>
    <w:p w14:paraId="2290D47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background</w:t>
      </w:r>
    </w:p>
    <w:p w14:paraId="2934A82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aps/>
          <w:color w:val="000000"/>
          <w:lang w:val="en-GB"/>
        </w:rPr>
        <w:t>h</w:t>
      </w:r>
      <w:r w:rsidRPr="00572D61">
        <w:rPr>
          <w:rFonts w:ascii="Book Antiqua" w:eastAsia="Book Antiqua" w:hAnsi="Book Antiqua" w:cs="Book Antiqua"/>
          <w:color w:val="000000"/>
          <w:lang w:val="en-GB"/>
        </w:rPr>
        <w:t>epatocellular carcinoma (HCC) is a common malignancy. The prognosis of HCC is poor and affected by many factors.</w:t>
      </w:r>
    </w:p>
    <w:p w14:paraId="6424042F" w14:textId="77777777" w:rsidR="00A77B3E" w:rsidRPr="00572D61" w:rsidRDefault="00A77B3E" w:rsidP="00450E72">
      <w:pPr>
        <w:adjustRightInd w:val="0"/>
        <w:snapToGrid w:val="0"/>
        <w:spacing w:line="360" w:lineRule="auto"/>
        <w:jc w:val="both"/>
        <w:rPr>
          <w:rFonts w:ascii="Book Antiqua" w:hAnsi="Book Antiqua"/>
          <w:lang w:val="en-GB"/>
        </w:rPr>
      </w:pPr>
    </w:p>
    <w:p w14:paraId="54C1705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motivation</w:t>
      </w:r>
    </w:p>
    <w:p w14:paraId="1C00923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In this study, a nomogram model was established to predict the prognosis of patients by inflammatory and pathological indicators. Through the online version of dynamic nomogram, it is more convenient for clinical use to help evaluate the prognosis of patients.</w:t>
      </w:r>
    </w:p>
    <w:p w14:paraId="5CF59660" w14:textId="77777777" w:rsidR="00A77B3E" w:rsidRPr="00572D61" w:rsidRDefault="00A77B3E" w:rsidP="00450E72">
      <w:pPr>
        <w:adjustRightInd w:val="0"/>
        <w:snapToGrid w:val="0"/>
        <w:spacing w:line="360" w:lineRule="auto"/>
        <w:jc w:val="both"/>
        <w:rPr>
          <w:rFonts w:ascii="Book Antiqua" w:hAnsi="Book Antiqua"/>
          <w:lang w:val="en-GB"/>
        </w:rPr>
      </w:pPr>
    </w:p>
    <w:p w14:paraId="5496D7A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lastRenderedPageBreak/>
        <w:t>Research objectives</w:t>
      </w:r>
    </w:p>
    <w:p w14:paraId="39DB5E3C" w14:textId="5E2CFF3B"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nomogram included inflammatory markers, tumo</w:t>
      </w:r>
      <w:r w:rsidR="00583DAC">
        <w:rPr>
          <w:rFonts w:ascii="Book Antiqua" w:eastAsia="Book Antiqua" w:hAnsi="Book Antiqua" w:cs="Book Antiqua"/>
          <w:color w:val="000000"/>
          <w:lang w:val="en-GB"/>
        </w:rPr>
        <w:t>u</w:t>
      </w:r>
      <w:r w:rsidRPr="00572D61">
        <w:rPr>
          <w:rFonts w:ascii="Book Antiqua" w:eastAsia="Book Antiqua" w:hAnsi="Book Antiqua" w:cs="Book Antiqua"/>
          <w:color w:val="000000"/>
          <w:lang w:val="en-GB"/>
        </w:rPr>
        <w:t>r markers and pathological indicators, ensuring that the model can comprehensively assess the prognosis of patients.</w:t>
      </w:r>
    </w:p>
    <w:p w14:paraId="2FBAEB5B" w14:textId="77777777" w:rsidR="00A77B3E" w:rsidRPr="00572D61" w:rsidRDefault="00A77B3E" w:rsidP="00450E72">
      <w:pPr>
        <w:adjustRightInd w:val="0"/>
        <w:snapToGrid w:val="0"/>
        <w:spacing w:line="360" w:lineRule="auto"/>
        <w:jc w:val="both"/>
        <w:rPr>
          <w:rFonts w:ascii="Book Antiqua" w:hAnsi="Book Antiqua"/>
          <w:lang w:val="en-GB"/>
        </w:rPr>
      </w:pPr>
    </w:p>
    <w:p w14:paraId="30E3C77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methods</w:t>
      </w:r>
    </w:p>
    <w:p w14:paraId="2D671B89" w14:textId="4BE87698"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data of HCC patients in the two largest hepatobiliary </w:t>
      </w:r>
      <w:r w:rsidR="00583DAC" w:rsidRPr="00572D61">
        <w:rPr>
          <w:rFonts w:ascii="Book Antiqua" w:eastAsia="Book Antiqua" w:hAnsi="Book Antiqua" w:cs="Book Antiqua"/>
          <w:color w:val="000000"/>
          <w:lang w:val="en-GB"/>
        </w:rPr>
        <w:t>centres</w:t>
      </w:r>
      <w:r w:rsidRPr="00572D61">
        <w:rPr>
          <w:rFonts w:ascii="Book Antiqua" w:eastAsia="Book Antiqua" w:hAnsi="Book Antiqua" w:cs="Book Antiqua"/>
          <w:color w:val="000000"/>
          <w:lang w:val="en-GB"/>
        </w:rPr>
        <w:t xml:space="preserve"> in Anhui province were collected retrospectively, and the independent risk factors included in the nomogram were obtained by COX analysis. Patients from the two </w:t>
      </w:r>
      <w:r w:rsidR="00583DAC" w:rsidRPr="00572D61">
        <w:rPr>
          <w:rFonts w:ascii="Book Antiqua" w:eastAsia="Book Antiqua" w:hAnsi="Book Antiqua" w:cs="Book Antiqua"/>
          <w:color w:val="000000"/>
          <w:lang w:val="en-GB"/>
        </w:rPr>
        <w:t>centres</w:t>
      </w:r>
      <w:r w:rsidRPr="00572D61">
        <w:rPr>
          <w:rFonts w:ascii="Book Antiqua" w:eastAsia="Book Antiqua" w:hAnsi="Book Antiqua" w:cs="Book Antiqua"/>
          <w:color w:val="000000"/>
          <w:lang w:val="en-GB"/>
        </w:rPr>
        <w:t xml:space="preserve"> were </w:t>
      </w:r>
      <w:r w:rsidR="00583DAC">
        <w:rPr>
          <w:rFonts w:ascii="Book Antiqua" w:eastAsia="Book Antiqua" w:hAnsi="Book Antiqua" w:cs="Book Antiqua"/>
          <w:color w:val="000000"/>
          <w:lang w:val="en-GB"/>
        </w:rPr>
        <w:t xml:space="preserve">divided into </w:t>
      </w:r>
      <w:r w:rsidRPr="00572D61">
        <w:rPr>
          <w:rFonts w:ascii="Book Antiqua" w:eastAsia="Book Antiqua" w:hAnsi="Book Antiqua" w:cs="Book Antiqua"/>
          <w:color w:val="000000"/>
          <w:lang w:val="en-GB"/>
        </w:rPr>
        <w:t xml:space="preserve">training and validation cohorts. The reliability of the models </w:t>
      </w:r>
      <w:r w:rsidR="00583DAC">
        <w:rPr>
          <w:rFonts w:ascii="Book Antiqua" w:eastAsia="Book Antiqua" w:hAnsi="Book Antiqua" w:cs="Book Antiqua"/>
          <w:color w:val="000000"/>
          <w:lang w:val="en-GB"/>
        </w:rPr>
        <w:t>was</w:t>
      </w:r>
      <w:r w:rsidR="00583DAC"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verified through internal validation and external validation.</w:t>
      </w:r>
    </w:p>
    <w:p w14:paraId="6798164E" w14:textId="77777777" w:rsidR="00A77B3E" w:rsidRPr="00572D61" w:rsidRDefault="00A77B3E" w:rsidP="00450E72">
      <w:pPr>
        <w:adjustRightInd w:val="0"/>
        <w:snapToGrid w:val="0"/>
        <w:spacing w:line="360" w:lineRule="auto"/>
        <w:jc w:val="both"/>
        <w:rPr>
          <w:rFonts w:ascii="Book Antiqua" w:hAnsi="Book Antiqua"/>
          <w:lang w:val="en-GB"/>
        </w:rPr>
      </w:pPr>
    </w:p>
    <w:p w14:paraId="509CAFB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results</w:t>
      </w:r>
    </w:p>
    <w:p w14:paraId="260EB3BD" w14:textId="301A84D4"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Higher </w:t>
      </w:r>
      <w:r w:rsidR="00583DAC">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-fetoprotein, neutrophil-to-lymphocyte ratio (NLR) and platelet-to-lymphocyte ratio (PLR), tumour size ≥ 5 cm and poor differentiation were significantly associated with shortened overall survival. The nomogram was more accurate in predicting prognosis than the American Joint Committee on Cancer TNM staging system.</w:t>
      </w:r>
    </w:p>
    <w:p w14:paraId="1D12177A" w14:textId="77777777" w:rsidR="00A77B3E" w:rsidRPr="00572D61" w:rsidRDefault="00A77B3E" w:rsidP="00450E72">
      <w:pPr>
        <w:adjustRightInd w:val="0"/>
        <w:snapToGrid w:val="0"/>
        <w:spacing w:line="360" w:lineRule="auto"/>
        <w:jc w:val="both"/>
        <w:rPr>
          <w:rFonts w:ascii="Book Antiqua" w:hAnsi="Book Antiqua"/>
          <w:lang w:val="en-GB"/>
        </w:rPr>
      </w:pPr>
    </w:p>
    <w:p w14:paraId="5A1B778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conclusions</w:t>
      </w:r>
    </w:p>
    <w:p w14:paraId="6AC5C94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Inflammation-related markers (such as NLR and PLR) play a predictive role in the prognosis of patients with HCC, and should not be ignored in clinical practice. The application of online dynamic nomogram can improve clinical practicability.</w:t>
      </w:r>
    </w:p>
    <w:p w14:paraId="40C71144" w14:textId="77777777" w:rsidR="00A77B3E" w:rsidRPr="00572D61" w:rsidRDefault="00A77B3E" w:rsidP="00450E72">
      <w:pPr>
        <w:adjustRightInd w:val="0"/>
        <w:snapToGrid w:val="0"/>
        <w:spacing w:line="360" w:lineRule="auto"/>
        <w:jc w:val="both"/>
        <w:rPr>
          <w:rFonts w:ascii="Book Antiqua" w:hAnsi="Book Antiqua"/>
          <w:lang w:val="en-GB"/>
        </w:rPr>
      </w:pPr>
    </w:p>
    <w:p w14:paraId="2FEE365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perspectives</w:t>
      </w:r>
    </w:p>
    <w:p w14:paraId="60A7A33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inherent limitations of retrospective studies require prospective cohort validation.</w:t>
      </w:r>
    </w:p>
    <w:p w14:paraId="1A2E29C3" w14:textId="77777777" w:rsidR="00A77B3E" w:rsidRPr="00572D61" w:rsidRDefault="00A77B3E" w:rsidP="00450E72">
      <w:pPr>
        <w:adjustRightInd w:val="0"/>
        <w:snapToGrid w:val="0"/>
        <w:spacing w:line="360" w:lineRule="auto"/>
        <w:jc w:val="both"/>
        <w:rPr>
          <w:rFonts w:ascii="Book Antiqua" w:hAnsi="Book Antiqua"/>
          <w:lang w:val="en-GB"/>
        </w:rPr>
      </w:pPr>
    </w:p>
    <w:p w14:paraId="7804E611" w14:textId="04668A2B"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ACKNOWLEDGMENTS</w:t>
      </w:r>
    </w:p>
    <w:p w14:paraId="6EFB1E4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authors would like to thank Professor Faming Pan (Department of Epidemiology and Biostatistics, School of Public Health, Anhui Medical University), who had full </w:t>
      </w:r>
      <w:r w:rsidRPr="00572D61">
        <w:rPr>
          <w:rFonts w:ascii="Book Antiqua" w:eastAsia="Book Antiqua" w:hAnsi="Book Antiqua" w:cs="Book Antiqua"/>
          <w:color w:val="000000"/>
          <w:lang w:val="en-GB"/>
        </w:rPr>
        <w:lastRenderedPageBreak/>
        <w:t>access to all the data in the present study, for his responsibility for the integrity and accuracy of the data analysis.</w:t>
      </w:r>
    </w:p>
    <w:p w14:paraId="32C54643" w14:textId="77777777" w:rsidR="00A77B3E" w:rsidRPr="00572D61" w:rsidRDefault="00A77B3E" w:rsidP="00450E72">
      <w:pPr>
        <w:adjustRightInd w:val="0"/>
        <w:snapToGrid w:val="0"/>
        <w:spacing w:line="360" w:lineRule="auto"/>
        <w:jc w:val="both"/>
        <w:rPr>
          <w:rFonts w:ascii="Book Antiqua" w:hAnsi="Book Antiqua"/>
          <w:lang w:val="en-GB"/>
        </w:rPr>
      </w:pPr>
    </w:p>
    <w:p w14:paraId="5525424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REFERENCES</w:t>
      </w:r>
    </w:p>
    <w:p w14:paraId="116D1BC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 </w:t>
      </w:r>
      <w:r w:rsidRPr="00572D61">
        <w:rPr>
          <w:rFonts w:ascii="Book Antiqua" w:eastAsia="Book Antiqua" w:hAnsi="Book Antiqua" w:cs="Book Antiqua"/>
          <w:b/>
          <w:bCs/>
          <w:color w:val="000000"/>
          <w:lang w:val="en-GB"/>
        </w:rPr>
        <w:t>Yang JD</w:t>
      </w:r>
      <w:r w:rsidRPr="00572D61">
        <w:rPr>
          <w:rFonts w:ascii="Book Antiqua" w:eastAsia="Book Antiqua" w:hAnsi="Book Antiqua" w:cs="Book Antiqua"/>
          <w:color w:val="000000"/>
          <w:lang w:val="en-GB"/>
        </w:rPr>
        <w:t xml:space="preserve">, Hainaut P, Gores GJ, </w:t>
      </w:r>
      <w:proofErr w:type="spellStart"/>
      <w:r w:rsidRPr="00572D61">
        <w:rPr>
          <w:rFonts w:ascii="Book Antiqua" w:eastAsia="Book Antiqua" w:hAnsi="Book Antiqua" w:cs="Book Antiqua"/>
          <w:color w:val="000000"/>
          <w:lang w:val="en-GB"/>
        </w:rPr>
        <w:t>Amadou</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Plymoth</w:t>
      </w:r>
      <w:proofErr w:type="spellEnd"/>
      <w:r w:rsidRPr="00572D61">
        <w:rPr>
          <w:rFonts w:ascii="Book Antiqua" w:eastAsia="Book Antiqua" w:hAnsi="Book Antiqua" w:cs="Book Antiqua"/>
          <w:color w:val="000000"/>
          <w:lang w:val="en-GB"/>
        </w:rPr>
        <w:t xml:space="preserve"> A, Roberts LR. A global view of hepatocellular carcinoma: trends, risk, prevention and management. </w:t>
      </w:r>
      <w:r w:rsidRPr="00572D61">
        <w:rPr>
          <w:rFonts w:ascii="Book Antiqua" w:eastAsia="Book Antiqua" w:hAnsi="Book Antiqua" w:cs="Book Antiqua"/>
          <w:i/>
          <w:iCs/>
          <w:color w:val="000000"/>
          <w:lang w:val="en-GB"/>
        </w:rPr>
        <w:t>Nat Rev Gastroenterol Hepatol</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16</w:t>
      </w:r>
      <w:r w:rsidRPr="00572D61">
        <w:rPr>
          <w:rFonts w:ascii="Book Antiqua" w:eastAsia="Book Antiqua" w:hAnsi="Book Antiqua" w:cs="Book Antiqua"/>
          <w:color w:val="000000"/>
          <w:lang w:val="en-GB"/>
        </w:rPr>
        <w:t>: 589-604 [PMID: 31439937 DOI: 10.1038/s41575-019-0186-y]</w:t>
      </w:r>
    </w:p>
    <w:p w14:paraId="21D0582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 </w:t>
      </w:r>
      <w:proofErr w:type="spellStart"/>
      <w:r w:rsidRPr="00572D61">
        <w:rPr>
          <w:rFonts w:ascii="Book Antiqua" w:eastAsia="Book Antiqua" w:hAnsi="Book Antiqua" w:cs="Book Antiqua"/>
          <w:b/>
          <w:bCs/>
          <w:color w:val="000000"/>
          <w:lang w:val="en-GB"/>
        </w:rPr>
        <w:t>Ferlay</w:t>
      </w:r>
      <w:proofErr w:type="spellEnd"/>
      <w:r w:rsidRPr="00572D61">
        <w:rPr>
          <w:rFonts w:ascii="Book Antiqua" w:eastAsia="Book Antiqua" w:hAnsi="Book Antiqua" w:cs="Book Antiqua"/>
          <w:b/>
          <w:bCs/>
          <w:color w:val="000000"/>
          <w:lang w:val="en-GB"/>
        </w:rPr>
        <w:t xml:space="preserve"> J</w:t>
      </w:r>
      <w:r w:rsidRPr="00572D61">
        <w:rPr>
          <w:rFonts w:ascii="Book Antiqua" w:eastAsia="Book Antiqua" w:hAnsi="Book Antiqua" w:cs="Book Antiqua"/>
          <w:color w:val="000000"/>
          <w:lang w:val="en-GB"/>
        </w:rPr>
        <w:t xml:space="preserve">, Shin HR, Bray F, Forman D, Mathers C, Parkin DM. Estimates of worldwide burden of cancer in 2008: GLOBOCAN 2008. </w:t>
      </w:r>
      <w:r w:rsidRPr="00572D61">
        <w:rPr>
          <w:rFonts w:ascii="Book Antiqua" w:eastAsia="Book Antiqua" w:hAnsi="Book Antiqua" w:cs="Book Antiqua"/>
          <w:i/>
          <w:iCs/>
          <w:color w:val="000000"/>
          <w:lang w:val="en-GB"/>
        </w:rPr>
        <w:t>Int J Cancer</w:t>
      </w:r>
      <w:r w:rsidRPr="00572D61">
        <w:rPr>
          <w:rFonts w:ascii="Book Antiqua" w:eastAsia="Book Antiqua" w:hAnsi="Book Antiqua" w:cs="Book Antiqua"/>
          <w:color w:val="000000"/>
          <w:lang w:val="en-GB"/>
        </w:rPr>
        <w:t xml:space="preserve"> 2010; </w:t>
      </w:r>
      <w:r w:rsidRPr="00572D61">
        <w:rPr>
          <w:rFonts w:ascii="Book Antiqua" w:eastAsia="Book Antiqua" w:hAnsi="Book Antiqua" w:cs="Book Antiqua"/>
          <w:b/>
          <w:bCs/>
          <w:color w:val="000000"/>
          <w:lang w:val="en-GB"/>
        </w:rPr>
        <w:t>127</w:t>
      </w:r>
      <w:r w:rsidRPr="00572D61">
        <w:rPr>
          <w:rFonts w:ascii="Book Antiqua" w:eastAsia="Book Antiqua" w:hAnsi="Book Antiqua" w:cs="Book Antiqua"/>
          <w:color w:val="000000"/>
          <w:lang w:val="en-GB"/>
        </w:rPr>
        <w:t>: 2893-2917 [PMID: 21351269 DOI: 10.1002/ijc.25516]</w:t>
      </w:r>
    </w:p>
    <w:p w14:paraId="50D35B8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3 </w:t>
      </w:r>
      <w:r w:rsidRPr="00572D61">
        <w:rPr>
          <w:rFonts w:ascii="Book Antiqua" w:eastAsia="Book Antiqua" w:hAnsi="Book Antiqua" w:cs="Book Antiqua"/>
          <w:b/>
          <w:bCs/>
          <w:color w:val="000000"/>
          <w:lang w:val="en-GB"/>
        </w:rPr>
        <w:t>Liao Y,</w:t>
      </w:r>
      <w:r w:rsidRPr="00572D61">
        <w:rPr>
          <w:rFonts w:ascii="Book Antiqua" w:eastAsia="Book Antiqua" w:hAnsi="Book Antiqua" w:cs="Book Antiqua"/>
          <w:color w:val="000000"/>
          <w:lang w:val="en-GB"/>
        </w:rPr>
        <w:t xml:space="preserve"> Pan S, Cao B, Luo M. Effects of blood neutrophil-to-lymphocyte ratio on predicting survival in patients with hepatocellular carcinoma undergoing transarterial chemoembolization. J Practical Med 2018</w:t>
      </w:r>
    </w:p>
    <w:p w14:paraId="576A8E0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4 </w:t>
      </w:r>
      <w:proofErr w:type="spellStart"/>
      <w:r w:rsidRPr="00572D61">
        <w:rPr>
          <w:rFonts w:ascii="Book Antiqua" w:eastAsia="Book Antiqua" w:hAnsi="Book Antiqua" w:cs="Book Antiqua"/>
          <w:b/>
          <w:bCs/>
          <w:color w:val="000000"/>
          <w:lang w:val="en-GB"/>
        </w:rPr>
        <w:t>Zaydfudim</w:t>
      </w:r>
      <w:proofErr w:type="spellEnd"/>
      <w:r w:rsidRPr="00572D61">
        <w:rPr>
          <w:rFonts w:ascii="Book Antiqua" w:eastAsia="Book Antiqua" w:hAnsi="Book Antiqua" w:cs="Book Antiqua"/>
          <w:b/>
          <w:bCs/>
          <w:color w:val="000000"/>
          <w:lang w:val="en-GB"/>
        </w:rPr>
        <w:t xml:space="preserve"> VM</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Vachharajani</w:t>
      </w:r>
      <w:proofErr w:type="spellEnd"/>
      <w:r w:rsidRPr="00572D61">
        <w:rPr>
          <w:rFonts w:ascii="Book Antiqua" w:eastAsia="Book Antiqua" w:hAnsi="Book Antiqua" w:cs="Book Antiqua"/>
          <w:color w:val="000000"/>
          <w:lang w:val="en-GB"/>
        </w:rPr>
        <w:t xml:space="preserve"> N, </w:t>
      </w:r>
      <w:proofErr w:type="spellStart"/>
      <w:r w:rsidRPr="00572D61">
        <w:rPr>
          <w:rFonts w:ascii="Book Antiqua" w:eastAsia="Book Antiqua" w:hAnsi="Book Antiqua" w:cs="Book Antiqua"/>
          <w:color w:val="000000"/>
          <w:lang w:val="en-GB"/>
        </w:rPr>
        <w:t>Klintmalm</w:t>
      </w:r>
      <w:proofErr w:type="spellEnd"/>
      <w:r w:rsidRPr="00572D61">
        <w:rPr>
          <w:rFonts w:ascii="Book Antiqua" w:eastAsia="Book Antiqua" w:hAnsi="Book Antiqua" w:cs="Book Antiqua"/>
          <w:color w:val="000000"/>
          <w:lang w:val="en-GB"/>
        </w:rPr>
        <w:t xml:space="preserve"> GB, </w:t>
      </w:r>
      <w:proofErr w:type="spellStart"/>
      <w:r w:rsidRPr="00572D61">
        <w:rPr>
          <w:rFonts w:ascii="Book Antiqua" w:eastAsia="Book Antiqua" w:hAnsi="Book Antiqua" w:cs="Book Antiqua"/>
          <w:color w:val="000000"/>
          <w:lang w:val="en-GB"/>
        </w:rPr>
        <w:t>Jarnagin</w:t>
      </w:r>
      <w:proofErr w:type="spellEnd"/>
      <w:r w:rsidRPr="00572D61">
        <w:rPr>
          <w:rFonts w:ascii="Book Antiqua" w:eastAsia="Book Antiqua" w:hAnsi="Book Antiqua" w:cs="Book Antiqua"/>
          <w:color w:val="000000"/>
          <w:lang w:val="en-GB"/>
        </w:rPr>
        <w:t xml:space="preserve"> WR, Hemming AW, Doyle MB, </w:t>
      </w:r>
      <w:proofErr w:type="spellStart"/>
      <w:r w:rsidRPr="00572D61">
        <w:rPr>
          <w:rFonts w:ascii="Book Antiqua" w:eastAsia="Book Antiqua" w:hAnsi="Book Antiqua" w:cs="Book Antiqua"/>
          <w:color w:val="000000"/>
          <w:lang w:val="en-GB"/>
        </w:rPr>
        <w:t>Cavaness</w:t>
      </w:r>
      <w:proofErr w:type="spellEnd"/>
      <w:r w:rsidRPr="00572D61">
        <w:rPr>
          <w:rFonts w:ascii="Book Antiqua" w:eastAsia="Book Antiqua" w:hAnsi="Book Antiqua" w:cs="Book Antiqua"/>
          <w:color w:val="000000"/>
          <w:lang w:val="en-GB"/>
        </w:rPr>
        <w:t xml:space="preserve"> KM, Chapman WC, </w:t>
      </w:r>
      <w:proofErr w:type="spellStart"/>
      <w:r w:rsidRPr="00572D61">
        <w:rPr>
          <w:rFonts w:ascii="Book Antiqua" w:eastAsia="Book Antiqua" w:hAnsi="Book Antiqua" w:cs="Book Antiqua"/>
          <w:color w:val="000000"/>
          <w:lang w:val="en-GB"/>
        </w:rPr>
        <w:t>Nagorney</w:t>
      </w:r>
      <w:proofErr w:type="spellEnd"/>
      <w:r w:rsidRPr="00572D61">
        <w:rPr>
          <w:rFonts w:ascii="Book Antiqua" w:eastAsia="Book Antiqua" w:hAnsi="Book Antiqua" w:cs="Book Antiqua"/>
          <w:color w:val="000000"/>
          <w:lang w:val="en-GB"/>
        </w:rPr>
        <w:t xml:space="preserve"> DM. Liver Resection and Transplantation for Patients With Hepatocellular Carcinoma Beyond Milan Criteria. </w:t>
      </w:r>
      <w:r w:rsidRPr="00572D61">
        <w:rPr>
          <w:rFonts w:ascii="Book Antiqua" w:eastAsia="Book Antiqua" w:hAnsi="Book Antiqua" w:cs="Book Antiqua"/>
          <w:i/>
          <w:iCs/>
          <w:color w:val="000000"/>
          <w:lang w:val="en-GB"/>
        </w:rPr>
        <w:t xml:space="preserve">Ann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2016; </w:t>
      </w:r>
      <w:r w:rsidRPr="00572D61">
        <w:rPr>
          <w:rFonts w:ascii="Book Antiqua" w:eastAsia="Book Antiqua" w:hAnsi="Book Antiqua" w:cs="Book Antiqua"/>
          <w:b/>
          <w:bCs/>
          <w:color w:val="000000"/>
          <w:lang w:val="en-GB"/>
        </w:rPr>
        <w:t>264</w:t>
      </w:r>
      <w:r w:rsidRPr="00572D61">
        <w:rPr>
          <w:rFonts w:ascii="Book Antiqua" w:eastAsia="Book Antiqua" w:hAnsi="Book Antiqua" w:cs="Book Antiqua"/>
          <w:color w:val="000000"/>
          <w:lang w:val="en-GB"/>
        </w:rPr>
        <w:t>: 650-658 [PMID: 27433910 DOI: 10.1097/SLA.0000000000001866]</w:t>
      </w:r>
    </w:p>
    <w:p w14:paraId="2DD7696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5 </w:t>
      </w:r>
      <w:r w:rsidRPr="00572D61">
        <w:rPr>
          <w:rFonts w:ascii="Book Antiqua" w:eastAsia="Book Antiqua" w:hAnsi="Book Antiqua" w:cs="Book Antiqua"/>
          <w:b/>
          <w:bCs/>
          <w:color w:val="000000"/>
          <w:lang w:val="en-GB"/>
        </w:rPr>
        <w:t>Wan G</w:t>
      </w:r>
      <w:r w:rsidRPr="00572D61">
        <w:rPr>
          <w:rFonts w:ascii="Book Antiqua" w:eastAsia="Book Antiqua" w:hAnsi="Book Antiqua" w:cs="Book Antiqua"/>
          <w:color w:val="000000"/>
          <w:lang w:val="en-GB"/>
        </w:rPr>
        <w:t xml:space="preserve">, Gao F, Chen J, Li Y, </w:t>
      </w:r>
      <w:proofErr w:type="spellStart"/>
      <w:r w:rsidRPr="00572D61">
        <w:rPr>
          <w:rFonts w:ascii="Book Antiqua" w:eastAsia="Book Antiqua" w:hAnsi="Book Antiqua" w:cs="Book Antiqua"/>
          <w:color w:val="000000"/>
          <w:lang w:val="en-GB"/>
        </w:rPr>
        <w:t>Geng</w:t>
      </w:r>
      <w:proofErr w:type="spellEnd"/>
      <w:r w:rsidRPr="00572D61">
        <w:rPr>
          <w:rFonts w:ascii="Book Antiqua" w:eastAsia="Book Antiqua" w:hAnsi="Book Antiqua" w:cs="Book Antiqua"/>
          <w:color w:val="000000"/>
          <w:lang w:val="en-GB"/>
        </w:rPr>
        <w:t xml:space="preserve"> M, Sun L, Liu Y, Liu H, Yang X, Wang R, Feng Y, Wang X. Nomogram prediction of individual prognosis of patients with hepatocellular carcinoma. </w:t>
      </w:r>
      <w:r w:rsidRPr="00572D61">
        <w:rPr>
          <w:rFonts w:ascii="Book Antiqua" w:eastAsia="Book Antiqua" w:hAnsi="Book Antiqua" w:cs="Book Antiqua"/>
          <w:i/>
          <w:iCs/>
          <w:color w:val="000000"/>
          <w:lang w:val="en-GB"/>
        </w:rPr>
        <w:t>BMC Cancer</w:t>
      </w:r>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17</w:t>
      </w:r>
      <w:r w:rsidRPr="00572D61">
        <w:rPr>
          <w:rFonts w:ascii="Book Antiqua" w:eastAsia="Book Antiqua" w:hAnsi="Book Antiqua" w:cs="Book Antiqua"/>
          <w:color w:val="000000"/>
          <w:lang w:val="en-GB"/>
        </w:rPr>
        <w:t>: 91 [PMID: 28143427 DOI: 10.1186/s12885-017-3062-6]</w:t>
      </w:r>
    </w:p>
    <w:p w14:paraId="3BF44DF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6 </w:t>
      </w:r>
      <w:proofErr w:type="spellStart"/>
      <w:r w:rsidRPr="00572D61">
        <w:rPr>
          <w:rFonts w:ascii="Book Antiqua" w:eastAsia="Book Antiqua" w:hAnsi="Book Antiqua" w:cs="Book Antiqua"/>
          <w:b/>
          <w:bCs/>
          <w:color w:val="000000"/>
          <w:lang w:val="en-GB"/>
        </w:rPr>
        <w:t>Kattan</w:t>
      </w:r>
      <w:proofErr w:type="spellEnd"/>
      <w:r w:rsidRPr="00572D61">
        <w:rPr>
          <w:rFonts w:ascii="Book Antiqua" w:eastAsia="Book Antiqua" w:hAnsi="Book Antiqua" w:cs="Book Antiqua"/>
          <w:b/>
          <w:bCs/>
          <w:color w:val="000000"/>
          <w:lang w:val="en-GB"/>
        </w:rPr>
        <w:t xml:space="preserve"> MW</w:t>
      </w:r>
      <w:r w:rsidRPr="00572D61">
        <w:rPr>
          <w:rFonts w:ascii="Book Antiqua" w:eastAsia="Book Antiqua" w:hAnsi="Book Antiqua" w:cs="Book Antiqua"/>
          <w:color w:val="000000"/>
          <w:lang w:val="en-GB"/>
        </w:rPr>
        <w:t xml:space="preserve">, Scardino PT. Evidence for the usefulness of nomograms. </w:t>
      </w:r>
      <w:r w:rsidRPr="00572D61">
        <w:rPr>
          <w:rFonts w:ascii="Book Antiqua" w:eastAsia="Book Antiqua" w:hAnsi="Book Antiqua" w:cs="Book Antiqua"/>
          <w:i/>
          <w:iCs/>
          <w:color w:val="000000"/>
          <w:lang w:val="en-GB"/>
        </w:rPr>
        <w:t xml:space="preserve">Nat </w:t>
      </w:r>
      <w:proofErr w:type="spellStart"/>
      <w:r w:rsidRPr="00572D61">
        <w:rPr>
          <w:rFonts w:ascii="Book Antiqua" w:eastAsia="Book Antiqua" w:hAnsi="Book Antiqua" w:cs="Book Antiqua"/>
          <w:i/>
          <w:iCs/>
          <w:color w:val="000000"/>
          <w:lang w:val="en-GB"/>
        </w:rPr>
        <w:t>Clin</w:t>
      </w:r>
      <w:proofErr w:type="spellEnd"/>
      <w:r w:rsidRPr="00572D61">
        <w:rPr>
          <w:rFonts w:ascii="Book Antiqua" w:eastAsia="Book Antiqua" w:hAnsi="Book Antiqua" w:cs="Book Antiqua"/>
          <w:i/>
          <w:iCs/>
          <w:color w:val="000000"/>
          <w:lang w:val="en-GB"/>
        </w:rPr>
        <w:t xml:space="preserve"> </w:t>
      </w:r>
      <w:proofErr w:type="spellStart"/>
      <w:r w:rsidRPr="00572D61">
        <w:rPr>
          <w:rFonts w:ascii="Book Antiqua" w:eastAsia="Book Antiqua" w:hAnsi="Book Antiqua" w:cs="Book Antiqua"/>
          <w:i/>
          <w:iCs/>
          <w:color w:val="000000"/>
          <w:lang w:val="en-GB"/>
        </w:rPr>
        <w:t>Pract</w:t>
      </w:r>
      <w:proofErr w:type="spellEnd"/>
      <w:r w:rsidRPr="00572D61">
        <w:rPr>
          <w:rFonts w:ascii="Book Antiqua" w:eastAsia="Book Antiqua" w:hAnsi="Book Antiqua" w:cs="Book Antiqua"/>
          <w:i/>
          <w:iCs/>
          <w:color w:val="000000"/>
          <w:lang w:val="en-GB"/>
        </w:rPr>
        <w:t xml:space="preserve"> </w:t>
      </w:r>
      <w:proofErr w:type="spellStart"/>
      <w:r w:rsidRPr="00572D61">
        <w:rPr>
          <w:rFonts w:ascii="Book Antiqua" w:eastAsia="Book Antiqua" w:hAnsi="Book Antiqua" w:cs="Book Antiqua"/>
          <w:i/>
          <w:iCs/>
          <w:color w:val="000000"/>
          <w:lang w:val="en-GB"/>
        </w:rPr>
        <w:t>Urol</w:t>
      </w:r>
      <w:proofErr w:type="spellEnd"/>
      <w:r w:rsidRPr="00572D61">
        <w:rPr>
          <w:rFonts w:ascii="Book Antiqua" w:eastAsia="Book Antiqua" w:hAnsi="Book Antiqua" w:cs="Book Antiqua"/>
          <w:color w:val="000000"/>
          <w:lang w:val="en-GB"/>
        </w:rPr>
        <w:t xml:space="preserve"> 2007; </w:t>
      </w:r>
      <w:r w:rsidRPr="00572D61">
        <w:rPr>
          <w:rFonts w:ascii="Book Antiqua" w:eastAsia="Book Antiqua" w:hAnsi="Book Antiqua" w:cs="Book Antiqua"/>
          <w:b/>
          <w:bCs/>
          <w:color w:val="000000"/>
          <w:lang w:val="en-GB"/>
        </w:rPr>
        <w:t>4</w:t>
      </w:r>
      <w:r w:rsidRPr="00572D61">
        <w:rPr>
          <w:rFonts w:ascii="Book Antiqua" w:eastAsia="Book Antiqua" w:hAnsi="Book Antiqua" w:cs="Book Antiqua"/>
          <w:color w:val="000000"/>
          <w:lang w:val="en-GB"/>
        </w:rPr>
        <w:t>: 638-639 [PMID: 17984994 DOI: 10.1038/ncpuro0968]</w:t>
      </w:r>
    </w:p>
    <w:p w14:paraId="2660E97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7 </w:t>
      </w:r>
      <w:r w:rsidRPr="00572D61">
        <w:rPr>
          <w:rFonts w:ascii="Book Antiqua" w:eastAsia="Book Antiqua" w:hAnsi="Book Antiqua" w:cs="Book Antiqua"/>
          <w:b/>
          <w:bCs/>
          <w:color w:val="000000"/>
          <w:lang w:val="en-GB"/>
        </w:rPr>
        <w:t>Brunetti O</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Gnoni</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Licchetta</w:t>
      </w:r>
      <w:proofErr w:type="spellEnd"/>
      <w:r w:rsidRPr="00572D61">
        <w:rPr>
          <w:rFonts w:ascii="Book Antiqua" w:eastAsia="Book Antiqua" w:hAnsi="Book Antiqua" w:cs="Book Antiqua"/>
          <w:color w:val="000000"/>
          <w:lang w:val="en-GB"/>
        </w:rPr>
        <w:t xml:space="preserve"> A, Longo V, Calabrese A, </w:t>
      </w:r>
      <w:proofErr w:type="spellStart"/>
      <w:r w:rsidRPr="00572D61">
        <w:rPr>
          <w:rFonts w:ascii="Book Antiqua" w:eastAsia="Book Antiqua" w:hAnsi="Book Antiqua" w:cs="Book Antiqua"/>
          <w:color w:val="000000"/>
          <w:lang w:val="en-GB"/>
        </w:rPr>
        <w:t>Argentiero</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Delcuratolo</w:t>
      </w:r>
      <w:proofErr w:type="spellEnd"/>
      <w:r w:rsidRPr="00572D61">
        <w:rPr>
          <w:rFonts w:ascii="Book Antiqua" w:eastAsia="Book Antiqua" w:hAnsi="Book Antiqua" w:cs="Book Antiqua"/>
          <w:color w:val="000000"/>
          <w:lang w:val="en-GB"/>
        </w:rPr>
        <w:t xml:space="preserve"> S, </w:t>
      </w:r>
      <w:proofErr w:type="spellStart"/>
      <w:r w:rsidRPr="00572D61">
        <w:rPr>
          <w:rFonts w:ascii="Book Antiqua" w:eastAsia="Book Antiqua" w:hAnsi="Book Antiqua" w:cs="Book Antiqua"/>
          <w:color w:val="000000"/>
          <w:lang w:val="en-GB"/>
        </w:rPr>
        <w:t>Solimando</w:t>
      </w:r>
      <w:proofErr w:type="spellEnd"/>
      <w:r w:rsidRPr="00572D61">
        <w:rPr>
          <w:rFonts w:ascii="Book Antiqua" w:eastAsia="Book Antiqua" w:hAnsi="Book Antiqua" w:cs="Book Antiqua"/>
          <w:color w:val="000000"/>
          <w:lang w:val="en-GB"/>
        </w:rPr>
        <w:t xml:space="preserve"> AG, </w:t>
      </w:r>
      <w:proofErr w:type="spellStart"/>
      <w:r w:rsidRPr="00572D61">
        <w:rPr>
          <w:rFonts w:ascii="Book Antiqua" w:eastAsia="Book Antiqua" w:hAnsi="Book Antiqua" w:cs="Book Antiqua"/>
          <w:color w:val="000000"/>
          <w:lang w:val="en-GB"/>
        </w:rPr>
        <w:t>Casadei-Gardini</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Silvestris</w:t>
      </w:r>
      <w:proofErr w:type="spellEnd"/>
      <w:r w:rsidRPr="00572D61">
        <w:rPr>
          <w:rFonts w:ascii="Book Antiqua" w:eastAsia="Book Antiqua" w:hAnsi="Book Antiqua" w:cs="Book Antiqua"/>
          <w:color w:val="000000"/>
          <w:lang w:val="en-GB"/>
        </w:rPr>
        <w:t xml:space="preserve"> N. Predictive and Prognostic Factors in HCC Patients Treated with Sorafenib. </w:t>
      </w:r>
      <w:proofErr w:type="spellStart"/>
      <w:r w:rsidRPr="00572D61">
        <w:rPr>
          <w:rFonts w:ascii="Book Antiqua" w:eastAsia="Book Antiqua" w:hAnsi="Book Antiqua" w:cs="Book Antiqua"/>
          <w:i/>
          <w:iCs/>
          <w:color w:val="000000"/>
          <w:lang w:val="en-GB"/>
        </w:rPr>
        <w:t>Medicina</w:t>
      </w:r>
      <w:proofErr w:type="spellEnd"/>
      <w:r w:rsidRPr="00572D61">
        <w:rPr>
          <w:rFonts w:ascii="Book Antiqua" w:eastAsia="Book Antiqua" w:hAnsi="Book Antiqua" w:cs="Book Antiqua"/>
          <w:i/>
          <w:iCs/>
          <w:color w:val="000000"/>
          <w:lang w:val="en-GB"/>
        </w:rPr>
        <w:t xml:space="preserve"> (Kaunas)</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55</w:t>
      </w:r>
      <w:r w:rsidRPr="00572D61">
        <w:rPr>
          <w:rFonts w:ascii="Book Antiqua" w:eastAsia="Book Antiqua" w:hAnsi="Book Antiqua" w:cs="Book Antiqua"/>
          <w:color w:val="000000"/>
          <w:lang w:val="en-GB"/>
        </w:rPr>
        <w:t xml:space="preserve"> [PMID: 31640191 DOI: 10.3390/medicina55100707]</w:t>
      </w:r>
    </w:p>
    <w:p w14:paraId="6EE9F63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8 </w:t>
      </w:r>
      <w:proofErr w:type="spellStart"/>
      <w:r w:rsidRPr="00572D61">
        <w:rPr>
          <w:rFonts w:ascii="Book Antiqua" w:eastAsia="Book Antiqua" w:hAnsi="Book Antiqua" w:cs="Book Antiqua"/>
          <w:b/>
          <w:bCs/>
          <w:color w:val="000000"/>
          <w:lang w:val="en-GB"/>
        </w:rPr>
        <w:t>Balkwill</w:t>
      </w:r>
      <w:proofErr w:type="spellEnd"/>
      <w:r w:rsidRPr="00572D61">
        <w:rPr>
          <w:rFonts w:ascii="Book Antiqua" w:eastAsia="Book Antiqua" w:hAnsi="Book Antiqua" w:cs="Book Antiqua"/>
          <w:b/>
          <w:bCs/>
          <w:color w:val="000000"/>
          <w:lang w:val="en-GB"/>
        </w:rPr>
        <w:t xml:space="preserve"> F</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Mantovani</w:t>
      </w:r>
      <w:proofErr w:type="spellEnd"/>
      <w:r w:rsidRPr="00572D61">
        <w:rPr>
          <w:rFonts w:ascii="Book Antiqua" w:eastAsia="Book Antiqua" w:hAnsi="Book Antiqua" w:cs="Book Antiqua"/>
          <w:color w:val="000000"/>
          <w:lang w:val="en-GB"/>
        </w:rPr>
        <w:t xml:space="preserve"> A. Inflammation and cancer: back to Virchow? </w:t>
      </w:r>
      <w:r w:rsidRPr="00572D61">
        <w:rPr>
          <w:rFonts w:ascii="Book Antiqua" w:eastAsia="Book Antiqua" w:hAnsi="Book Antiqua" w:cs="Book Antiqua"/>
          <w:i/>
          <w:iCs/>
          <w:color w:val="000000"/>
          <w:lang w:val="en-GB"/>
        </w:rPr>
        <w:t>Lancet</w:t>
      </w:r>
      <w:r w:rsidRPr="00572D61">
        <w:rPr>
          <w:rFonts w:ascii="Book Antiqua" w:eastAsia="Book Antiqua" w:hAnsi="Book Antiqua" w:cs="Book Antiqua"/>
          <w:color w:val="000000"/>
          <w:lang w:val="en-GB"/>
        </w:rPr>
        <w:t xml:space="preserve"> 2001; </w:t>
      </w:r>
      <w:r w:rsidRPr="00572D61">
        <w:rPr>
          <w:rFonts w:ascii="Book Antiqua" w:eastAsia="Book Antiqua" w:hAnsi="Book Antiqua" w:cs="Book Antiqua"/>
          <w:b/>
          <w:bCs/>
          <w:color w:val="000000"/>
          <w:lang w:val="en-GB"/>
        </w:rPr>
        <w:t>357</w:t>
      </w:r>
      <w:r w:rsidRPr="00572D61">
        <w:rPr>
          <w:rFonts w:ascii="Book Antiqua" w:eastAsia="Book Antiqua" w:hAnsi="Book Antiqua" w:cs="Book Antiqua"/>
          <w:color w:val="000000"/>
          <w:lang w:val="en-GB"/>
        </w:rPr>
        <w:t>: 539-545 [PMID: 11229684 DOI: 10.1016/S0140-6736(00)04046-0]</w:t>
      </w:r>
    </w:p>
    <w:p w14:paraId="2097705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9 </w:t>
      </w:r>
      <w:r w:rsidRPr="00572D61">
        <w:rPr>
          <w:rFonts w:ascii="Book Antiqua" w:eastAsia="Book Antiqua" w:hAnsi="Book Antiqua" w:cs="Book Antiqua"/>
          <w:b/>
          <w:bCs/>
          <w:color w:val="000000"/>
          <w:lang w:val="en-GB"/>
        </w:rPr>
        <w:t>European Association for the Study of the Liver.</w:t>
      </w:r>
      <w:r w:rsidRPr="00572D61">
        <w:rPr>
          <w:rFonts w:ascii="Book Antiqua" w:eastAsia="Book Antiqua" w:hAnsi="Book Antiqua" w:cs="Book Antiqua"/>
          <w:color w:val="000000"/>
          <w:lang w:val="en-GB"/>
        </w:rPr>
        <w:t xml:space="preserve">. EASL clinical practice guidelines on the management of ascites, spontaneous bacterial peritonitis, and hepatorenal syndrome in cirrhosis. </w:t>
      </w:r>
      <w:r w:rsidRPr="00572D61">
        <w:rPr>
          <w:rFonts w:ascii="Book Antiqua" w:eastAsia="Book Antiqua" w:hAnsi="Book Antiqua" w:cs="Book Antiqua"/>
          <w:i/>
          <w:iCs/>
          <w:color w:val="000000"/>
          <w:lang w:val="en-GB"/>
        </w:rPr>
        <w:t>J Hepatol</w:t>
      </w:r>
      <w:r w:rsidRPr="00572D61">
        <w:rPr>
          <w:rFonts w:ascii="Book Antiqua" w:eastAsia="Book Antiqua" w:hAnsi="Book Antiqua" w:cs="Book Antiqua"/>
          <w:color w:val="000000"/>
          <w:lang w:val="en-GB"/>
        </w:rPr>
        <w:t xml:space="preserve"> 2010; </w:t>
      </w:r>
      <w:r w:rsidRPr="00572D61">
        <w:rPr>
          <w:rFonts w:ascii="Book Antiqua" w:eastAsia="Book Antiqua" w:hAnsi="Book Antiqua" w:cs="Book Antiqua"/>
          <w:b/>
          <w:bCs/>
          <w:color w:val="000000"/>
          <w:lang w:val="en-GB"/>
        </w:rPr>
        <w:t>53</w:t>
      </w:r>
      <w:r w:rsidRPr="00572D61">
        <w:rPr>
          <w:rFonts w:ascii="Book Antiqua" w:eastAsia="Book Antiqua" w:hAnsi="Book Antiqua" w:cs="Book Antiqua"/>
          <w:color w:val="000000"/>
          <w:lang w:val="en-GB"/>
        </w:rPr>
        <w:t>: 397-417 [PMID: 20633946 DOI: 10.1016/j.jhep.2010.05.004]</w:t>
      </w:r>
    </w:p>
    <w:p w14:paraId="6CBDF48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10 </w:t>
      </w:r>
      <w:r w:rsidRPr="00572D61">
        <w:rPr>
          <w:rFonts w:ascii="Book Antiqua" w:eastAsia="Book Antiqua" w:hAnsi="Book Antiqua" w:cs="Book Antiqua"/>
          <w:b/>
          <w:bCs/>
          <w:color w:val="000000"/>
          <w:lang w:val="en-GB"/>
        </w:rPr>
        <w:t>Harrell FE Jr</w:t>
      </w:r>
      <w:r w:rsidRPr="00572D61">
        <w:rPr>
          <w:rFonts w:ascii="Book Antiqua" w:eastAsia="Book Antiqua" w:hAnsi="Book Antiqua" w:cs="Book Antiqua"/>
          <w:color w:val="000000"/>
          <w:lang w:val="en-GB"/>
        </w:rPr>
        <w:t xml:space="preserve">, Lee KL, Mark DB. Multivariable prognostic models: issues in developing models, evaluating assumptions and adequacy, and measuring and reducing errors. </w:t>
      </w:r>
      <w:r w:rsidRPr="00572D61">
        <w:rPr>
          <w:rFonts w:ascii="Book Antiqua" w:eastAsia="Book Antiqua" w:hAnsi="Book Antiqua" w:cs="Book Antiqua"/>
          <w:i/>
          <w:iCs/>
          <w:color w:val="000000"/>
          <w:lang w:val="en-GB"/>
        </w:rPr>
        <w:t>Stat Med</w:t>
      </w:r>
      <w:r w:rsidRPr="00572D61">
        <w:rPr>
          <w:rFonts w:ascii="Book Antiqua" w:eastAsia="Book Antiqua" w:hAnsi="Book Antiqua" w:cs="Book Antiqua"/>
          <w:color w:val="000000"/>
          <w:lang w:val="en-GB"/>
        </w:rPr>
        <w:t xml:space="preserve"> 1996; </w:t>
      </w:r>
      <w:r w:rsidRPr="00572D61">
        <w:rPr>
          <w:rFonts w:ascii="Book Antiqua" w:eastAsia="Book Antiqua" w:hAnsi="Book Antiqua" w:cs="Book Antiqua"/>
          <w:b/>
          <w:bCs/>
          <w:color w:val="000000"/>
          <w:lang w:val="en-GB"/>
        </w:rPr>
        <w:t>15</w:t>
      </w:r>
      <w:r w:rsidRPr="00572D61">
        <w:rPr>
          <w:rFonts w:ascii="Book Antiqua" w:eastAsia="Book Antiqua" w:hAnsi="Book Antiqua" w:cs="Book Antiqua"/>
          <w:color w:val="000000"/>
          <w:lang w:val="en-GB"/>
        </w:rPr>
        <w:t>: 361-387 [PMID: 8668867 DOI: 10.1002/(SICI)1097-0258(19960229)15:4&lt;361::AID-SIM168&gt;3.0.CO;2-4]</w:t>
      </w:r>
    </w:p>
    <w:p w14:paraId="4E5BA67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11 </w:t>
      </w:r>
      <w:proofErr w:type="spellStart"/>
      <w:r w:rsidRPr="00572D61">
        <w:rPr>
          <w:rFonts w:ascii="Book Antiqua" w:eastAsia="Book Antiqua" w:hAnsi="Book Antiqua" w:cs="Book Antiqua"/>
          <w:b/>
          <w:bCs/>
          <w:color w:val="000000"/>
          <w:lang w:val="en-GB"/>
        </w:rPr>
        <w:t>Menahem</w:t>
      </w:r>
      <w:proofErr w:type="spellEnd"/>
      <w:r w:rsidRPr="00572D61">
        <w:rPr>
          <w:rFonts w:ascii="Book Antiqua" w:eastAsia="Book Antiqua" w:hAnsi="Book Antiqua" w:cs="Book Antiqua"/>
          <w:b/>
          <w:bCs/>
          <w:color w:val="000000"/>
          <w:lang w:val="en-GB"/>
        </w:rPr>
        <w:t xml:space="preserve"> B</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Duvoux</w:t>
      </w:r>
      <w:proofErr w:type="spellEnd"/>
      <w:r w:rsidRPr="00572D61">
        <w:rPr>
          <w:rFonts w:ascii="Book Antiqua" w:eastAsia="Book Antiqua" w:hAnsi="Book Antiqua" w:cs="Book Antiqua"/>
          <w:color w:val="000000"/>
          <w:lang w:val="en-GB"/>
        </w:rPr>
        <w:t xml:space="preserve"> C, </w:t>
      </w:r>
      <w:proofErr w:type="spellStart"/>
      <w:r w:rsidRPr="00572D61">
        <w:rPr>
          <w:rFonts w:ascii="Book Antiqua" w:eastAsia="Book Antiqua" w:hAnsi="Book Antiqua" w:cs="Book Antiqua"/>
          <w:color w:val="000000"/>
          <w:lang w:val="en-GB"/>
        </w:rPr>
        <w:t>Ganne</w:t>
      </w:r>
      <w:proofErr w:type="spellEnd"/>
      <w:r w:rsidRPr="00572D61">
        <w:rPr>
          <w:rFonts w:ascii="Book Antiqua" w:eastAsia="Book Antiqua" w:hAnsi="Book Antiqua" w:cs="Book Antiqua"/>
          <w:color w:val="000000"/>
          <w:lang w:val="en-GB"/>
        </w:rPr>
        <w:t xml:space="preserve"> N, </w:t>
      </w:r>
      <w:proofErr w:type="spellStart"/>
      <w:r w:rsidRPr="00572D61">
        <w:rPr>
          <w:rFonts w:ascii="Book Antiqua" w:eastAsia="Book Antiqua" w:hAnsi="Book Antiqua" w:cs="Book Antiqua"/>
          <w:color w:val="000000"/>
          <w:lang w:val="en-GB"/>
        </w:rPr>
        <w:t>Mallat</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Seror</w:t>
      </w:r>
      <w:proofErr w:type="spellEnd"/>
      <w:r w:rsidRPr="00572D61">
        <w:rPr>
          <w:rFonts w:ascii="Book Antiqua" w:eastAsia="Book Antiqua" w:hAnsi="Book Antiqua" w:cs="Book Antiqua"/>
          <w:color w:val="000000"/>
          <w:lang w:val="en-GB"/>
        </w:rPr>
        <w:t xml:space="preserve"> O, </w:t>
      </w:r>
      <w:proofErr w:type="spellStart"/>
      <w:r w:rsidRPr="00572D61">
        <w:rPr>
          <w:rFonts w:ascii="Book Antiqua" w:eastAsia="Book Antiqua" w:hAnsi="Book Antiqua" w:cs="Book Antiqua"/>
          <w:color w:val="000000"/>
          <w:lang w:val="en-GB"/>
        </w:rPr>
        <w:t>Calderaro</w:t>
      </w:r>
      <w:proofErr w:type="spellEnd"/>
      <w:r w:rsidRPr="00572D61">
        <w:rPr>
          <w:rFonts w:ascii="Book Antiqua" w:eastAsia="Book Antiqua" w:hAnsi="Book Antiqua" w:cs="Book Antiqua"/>
          <w:color w:val="000000"/>
          <w:lang w:val="en-GB"/>
        </w:rPr>
        <w:t xml:space="preserve"> J, </w:t>
      </w:r>
      <w:proofErr w:type="spellStart"/>
      <w:r w:rsidRPr="00572D61">
        <w:rPr>
          <w:rFonts w:ascii="Book Antiqua" w:eastAsia="Book Antiqua" w:hAnsi="Book Antiqua" w:cs="Book Antiqua"/>
          <w:color w:val="000000"/>
          <w:lang w:val="en-GB"/>
        </w:rPr>
        <w:t>Launoy</w:t>
      </w:r>
      <w:proofErr w:type="spellEnd"/>
      <w:r w:rsidRPr="00572D61">
        <w:rPr>
          <w:rFonts w:ascii="Book Antiqua" w:eastAsia="Book Antiqua" w:hAnsi="Book Antiqua" w:cs="Book Antiqua"/>
          <w:color w:val="000000"/>
          <w:lang w:val="en-GB"/>
        </w:rPr>
        <w:t xml:space="preserve"> G, Alves A, </w:t>
      </w:r>
      <w:proofErr w:type="spellStart"/>
      <w:r w:rsidRPr="00572D61">
        <w:rPr>
          <w:rFonts w:ascii="Book Antiqua" w:eastAsia="Book Antiqua" w:hAnsi="Book Antiqua" w:cs="Book Antiqua"/>
          <w:color w:val="000000"/>
          <w:lang w:val="en-GB"/>
        </w:rPr>
        <w:t>Cherqui</w:t>
      </w:r>
      <w:proofErr w:type="spellEnd"/>
      <w:r w:rsidRPr="00572D61">
        <w:rPr>
          <w:rFonts w:ascii="Book Antiqua" w:eastAsia="Book Antiqua" w:hAnsi="Book Antiqua" w:cs="Book Antiqua"/>
          <w:color w:val="000000"/>
          <w:lang w:val="en-GB"/>
        </w:rPr>
        <w:t xml:space="preserve"> D, </w:t>
      </w:r>
      <w:proofErr w:type="spellStart"/>
      <w:r w:rsidRPr="00572D61">
        <w:rPr>
          <w:rFonts w:ascii="Book Antiqua" w:eastAsia="Book Antiqua" w:hAnsi="Book Antiqua" w:cs="Book Antiqua"/>
          <w:color w:val="000000"/>
          <w:lang w:val="en-GB"/>
        </w:rPr>
        <w:t>Luciani</w:t>
      </w:r>
      <w:proofErr w:type="spellEnd"/>
      <w:r w:rsidRPr="00572D61">
        <w:rPr>
          <w:rFonts w:ascii="Book Antiqua" w:eastAsia="Book Antiqua" w:hAnsi="Book Antiqua" w:cs="Book Antiqua"/>
          <w:color w:val="000000"/>
          <w:lang w:val="en-GB"/>
        </w:rPr>
        <w:t xml:space="preserve"> A, Laurent A. Liver Resection for Solitary Transplantable Hepatocellular Carcinoma: The Role of AFP-Score. </w:t>
      </w:r>
      <w:r w:rsidRPr="00572D61">
        <w:rPr>
          <w:rFonts w:ascii="Book Antiqua" w:eastAsia="Book Antiqua" w:hAnsi="Book Antiqua" w:cs="Book Antiqua"/>
          <w:i/>
          <w:iCs/>
          <w:color w:val="000000"/>
          <w:lang w:val="en-GB"/>
        </w:rPr>
        <w:t xml:space="preserve">World J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43</w:t>
      </w:r>
      <w:r w:rsidRPr="00572D61">
        <w:rPr>
          <w:rFonts w:ascii="Book Antiqua" w:eastAsia="Book Antiqua" w:hAnsi="Book Antiqua" w:cs="Book Antiqua"/>
          <w:color w:val="000000"/>
          <w:lang w:val="en-GB"/>
        </w:rPr>
        <w:t>: 221-229 [PMID: 30128773 DOI: 10.1007/s00268-018-4769-5]</w:t>
      </w:r>
    </w:p>
    <w:p w14:paraId="2D0E8DD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12 </w:t>
      </w:r>
      <w:proofErr w:type="spellStart"/>
      <w:r w:rsidRPr="00572D61">
        <w:rPr>
          <w:rFonts w:ascii="Book Antiqua" w:eastAsia="Book Antiqua" w:hAnsi="Book Antiqua" w:cs="Book Antiqua"/>
          <w:b/>
          <w:bCs/>
          <w:color w:val="000000"/>
          <w:lang w:val="en-GB"/>
        </w:rPr>
        <w:t>Sprinzl</w:t>
      </w:r>
      <w:proofErr w:type="spellEnd"/>
      <w:r w:rsidRPr="00572D61">
        <w:rPr>
          <w:rFonts w:ascii="Book Antiqua" w:eastAsia="Book Antiqua" w:hAnsi="Book Antiqua" w:cs="Book Antiqua"/>
          <w:b/>
          <w:bCs/>
          <w:color w:val="000000"/>
          <w:lang w:val="en-GB"/>
        </w:rPr>
        <w:t xml:space="preserve"> MF</w:t>
      </w:r>
      <w:r w:rsidRPr="00572D61">
        <w:rPr>
          <w:rFonts w:ascii="Book Antiqua" w:eastAsia="Book Antiqua" w:hAnsi="Book Antiqua" w:cs="Book Antiqua"/>
          <w:color w:val="000000"/>
          <w:lang w:val="en-GB"/>
        </w:rPr>
        <w:t xml:space="preserve">, Kirstein MM, Koch S, </w:t>
      </w:r>
      <w:proofErr w:type="spellStart"/>
      <w:r w:rsidRPr="00572D61">
        <w:rPr>
          <w:rFonts w:ascii="Book Antiqua" w:eastAsia="Book Antiqua" w:hAnsi="Book Antiqua" w:cs="Book Antiqua"/>
          <w:color w:val="000000"/>
          <w:lang w:val="en-GB"/>
        </w:rPr>
        <w:t>Seib</w:t>
      </w:r>
      <w:proofErr w:type="spellEnd"/>
      <w:r w:rsidRPr="00572D61">
        <w:rPr>
          <w:rFonts w:ascii="Book Antiqua" w:eastAsia="Book Antiqua" w:hAnsi="Book Antiqua" w:cs="Book Antiqua"/>
          <w:color w:val="000000"/>
          <w:lang w:val="en-GB"/>
        </w:rPr>
        <w:t xml:space="preserve"> ML, </w:t>
      </w:r>
      <w:proofErr w:type="spellStart"/>
      <w:r w:rsidRPr="00572D61">
        <w:rPr>
          <w:rFonts w:ascii="Book Antiqua" w:eastAsia="Book Antiqua" w:hAnsi="Book Antiqua" w:cs="Book Antiqua"/>
          <w:color w:val="000000"/>
          <w:lang w:val="en-GB"/>
        </w:rPr>
        <w:t>Weinmann-Menke</w:t>
      </w:r>
      <w:proofErr w:type="spellEnd"/>
      <w:r w:rsidRPr="00572D61">
        <w:rPr>
          <w:rFonts w:ascii="Book Antiqua" w:eastAsia="Book Antiqua" w:hAnsi="Book Antiqua" w:cs="Book Antiqua"/>
          <w:color w:val="000000"/>
          <w:lang w:val="en-GB"/>
        </w:rPr>
        <w:t xml:space="preserve"> J, Lang H, </w:t>
      </w:r>
      <w:proofErr w:type="spellStart"/>
      <w:r w:rsidRPr="00572D61">
        <w:rPr>
          <w:rFonts w:ascii="Book Antiqua" w:eastAsia="Book Antiqua" w:hAnsi="Book Antiqua" w:cs="Book Antiqua"/>
          <w:color w:val="000000"/>
          <w:lang w:val="en-GB"/>
        </w:rPr>
        <w:t>Düber</w:t>
      </w:r>
      <w:proofErr w:type="spellEnd"/>
      <w:r w:rsidRPr="00572D61">
        <w:rPr>
          <w:rFonts w:ascii="Book Antiqua" w:eastAsia="Book Antiqua" w:hAnsi="Book Antiqua" w:cs="Book Antiqua"/>
          <w:color w:val="000000"/>
          <w:lang w:val="en-GB"/>
        </w:rPr>
        <w:t xml:space="preserve"> C, </w:t>
      </w:r>
      <w:proofErr w:type="spellStart"/>
      <w:r w:rsidRPr="00572D61">
        <w:rPr>
          <w:rFonts w:ascii="Book Antiqua" w:eastAsia="Book Antiqua" w:hAnsi="Book Antiqua" w:cs="Book Antiqua"/>
          <w:color w:val="000000"/>
          <w:lang w:val="en-GB"/>
        </w:rPr>
        <w:t>Toenges</w:t>
      </w:r>
      <w:proofErr w:type="spellEnd"/>
      <w:r w:rsidRPr="00572D61">
        <w:rPr>
          <w:rFonts w:ascii="Book Antiqua" w:eastAsia="Book Antiqua" w:hAnsi="Book Antiqua" w:cs="Book Antiqua"/>
          <w:color w:val="000000"/>
          <w:lang w:val="en-GB"/>
        </w:rPr>
        <w:t xml:space="preserve"> G, </w:t>
      </w:r>
      <w:proofErr w:type="spellStart"/>
      <w:r w:rsidRPr="00572D61">
        <w:rPr>
          <w:rFonts w:ascii="Book Antiqua" w:eastAsia="Book Antiqua" w:hAnsi="Book Antiqua" w:cs="Book Antiqua"/>
          <w:color w:val="000000"/>
          <w:lang w:val="en-GB"/>
        </w:rPr>
        <w:t>Zöller</w:t>
      </w:r>
      <w:proofErr w:type="spellEnd"/>
      <w:r w:rsidRPr="00572D61">
        <w:rPr>
          <w:rFonts w:ascii="Book Antiqua" w:eastAsia="Book Antiqua" w:hAnsi="Book Antiqua" w:cs="Book Antiqua"/>
          <w:color w:val="000000"/>
          <w:lang w:val="en-GB"/>
        </w:rPr>
        <w:t xml:space="preserve"> D, Marquardt JU, </w:t>
      </w:r>
      <w:proofErr w:type="spellStart"/>
      <w:r w:rsidRPr="00572D61">
        <w:rPr>
          <w:rFonts w:ascii="Book Antiqua" w:eastAsia="Book Antiqua" w:hAnsi="Book Antiqua" w:cs="Book Antiqua"/>
          <w:color w:val="000000"/>
          <w:lang w:val="en-GB"/>
        </w:rPr>
        <w:t>Wörns</w:t>
      </w:r>
      <w:proofErr w:type="spellEnd"/>
      <w:r w:rsidRPr="00572D61">
        <w:rPr>
          <w:rFonts w:ascii="Book Antiqua" w:eastAsia="Book Antiqua" w:hAnsi="Book Antiqua" w:cs="Book Antiqua"/>
          <w:color w:val="000000"/>
          <w:lang w:val="en-GB"/>
        </w:rPr>
        <w:t xml:space="preserve"> MA, Galle PR, Vogel A, Pinter M, </w:t>
      </w:r>
      <w:proofErr w:type="spellStart"/>
      <w:r w:rsidRPr="00572D61">
        <w:rPr>
          <w:rFonts w:ascii="Book Antiqua" w:eastAsia="Book Antiqua" w:hAnsi="Book Antiqua" w:cs="Book Antiqua"/>
          <w:color w:val="000000"/>
          <w:lang w:val="en-GB"/>
        </w:rPr>
        <w:t>Weinmann</w:t>
      </w:r>
      <w:proofErr w:type="spellEnd"/>
      <w:r w:rsidRPr="00572D61">
        <w:rPr>
          <w:rFonts w:ascii="Book Antiqua" w:eastAsia="Book Antiqua" w:hAnsi="Book Antiqua" w:cs="Book Antiqua"/>
          <w:color w:val="000000"/>
          <w:lang w:val="en-GB"/>
        </w:rPr>
        <w:t xml:space="preserve"> A. Improved Prediction of Survival by a Risk Factor-Integrating Inflammatory Score in Sorafenib-Treated Hepatocellular Carcinoma. </w:t>
      </w:r>
      <w:r w:rsidRPr="00572D61">
        <w:rPr>
          <w:rFonts w:ascii="Book Antiqua" w:eastAsia="Book Antiqua" w:hAnsi="Book Antiqua" w:cs="Book Antiqua"/>
          <w:i/>
          <w:iCs/>
          <w:color w:val="000000"/>
          <w:lang w:val="en-GB"/>
        </w:rPr>
        <w:t>Liver Cancer</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8</w:t>
      </w:r>
      <w:r w:rsidRPr="00572D61">
        <w:rPr>
          <w:rFonts w:ascii="Book Antiqua" w:eastAsia="Book Antiqua" w:hAnsi="Book Antiqua" w:cs="Book Antiqua"/>
          <w:color w:val="000000"/>
          <w:lang w:val="en-GB"/>
        </w:rPr>
        <w:t>: 387-402 [PMID: 31768347 DOI: 10.1159/000492628]</w:t>
      </w:r>
    </w:p>
    <w:p w14:paraId="2263F35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13 </w:t>
      </w:r>
      <w:r w:rsidRPr="00572D61">
        <w:rPr>
          <w:rFonts w:ascii="Book Antiqua" w:eastAsia="Book Antiqua" w:hAnsi="Book Antiqua" w:cs="Book Antiqua"/>
          <w:b/>
          <w:bCs/>
          <w:color w:val="000000"/>
          <w:lang w:val="en-GB"/>
        </w:rPr>
        <w:t>Zheng J</w:t>
      </w:r>
      <w:r w:rsidRPr="00572D61">
        <w:rPr>
          <w:rFonts w:ascii="Book Antiqua" w:eastAsia="Book Antiqua" w:hAnsi="Book Antiqua" w:cs="Book Antiqua"/>
          <w:color w:val="000000"/>
          <w:lang w:val="en-GB"/>
        </w:rPr>
        <w:t xml:space="preserve">, Cai J, Li H, Zeng K, He L, Fu H, Zhang J, Chen L, Yao J, Zhang Y, Yang Y. Neutrophil to Lymphocyte Ratio and Platelet to Lymphocyte Ratio as Prognostic Predictors for Hepatocellular Carcinoma Patients with Various Treatments: a Meta-Analysis and Systematic Review. </w:t>
      </w:r>
      <w:r w:rsidRPr="00572D61">
        <w:rPr>
          <w:rFonts w:ascii="Book Antiqua" w:eastAsia="Book Antiqua" w:hAnsi="Book Antiqua" w:cs="Book Antiqua"/>
          <w:i/>
          <w:iCs/>
          <w:color w:val="000000"/>
          <w:lang w:val="en-GB"/>
        </w:rPr>
        <w:t xml:space="preserve">Cell </w:t>
      </w:r>
      <w:proofErr w:type="spellStart"/>
      <w:r w:rsidRPr="00572D61">
        <w:rPr>
          <w:rFonts w:ascii="Book Antiqua" w:eastAsia="Book Antiqua" w:hAnsi="Book Antiqua" w:cs="Book Antiqua"/>
          <w:i/>
          <w:iCs/>
          <w:color w:val="000000"/>
          <w:lang w:val="en-GB"/>
        </w:rPr>
        <w:t>Physiol</w:t>
      </w:r>
      <w:proofErr w:type="spellEnd"/>
      <w:r w:rsidRPr="00572D61">
        <w:rPr>
          <w:rFonts w:ascii="Book Antiqua" w:eastAsia="Book Antiqua" w:hAnsi="Book Antiqua" w:cs="Book Antiqua"/>
          <w:i/>
          <w:iCs/>
          <w:color w:val="000000"/>
          <w:lang w:val="en-GB"/>
        </w:rPr>
        <w:t xml:space="preserve"> </w:t>
      </w:r>
      <w:proofErr w:type="spellStart"/>
      <w:r w:rsidRPr="00572D61">
        <w:rPr>
          <w:rFonts w:ascii="Book Antiqua" w:eastAsia="Book Antiqua" w:hAnsi="Book Antiqua" w:cs="Book Antiqua"/>
          <w:i/>
          <w:iCs/>
          <w:color w:val="000000"/>
          <w:lang w:val="en-GB"/>
        </w:rPr>
        <w:t>Biochem</w:t>
      </w:r>
      <w:proofErr w:type="spellEnd"/>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44</w:t>
      </w:r>
      <w:r w:rsidRPr="00572D61">
        <w:rPr>
          <w:rFonts w:ascii="Book Antiqua" w:eastAsia="Book Antiqua" w:hAnsi="Book Antiqua" w:cs="Book Antiqua"/>
          <w:color w:val="000000"/>
          <w:lang w:val="en-GB"/>
        </w:rPr>
        <w:t>: 967-981 [PMID: 29179180 DOI: 10.1159/000485396]</w:t>
      </w:r>
    </w:p>
    <w:p w14:paraId="6F7BAEC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14 </w:t>
      </w:r>
      <w:r w:rsidRPr="00572D61">
        <w:rPr>
          <w:rFonts w:ascii="Book Antiqua" w:eastAsia="Book Antiqua" w:hAnsi="Book Antiqua" w:cs="Book Antiqua"/>
          <w:b/>
          <w:bCs/>
          <w:color w:val="000000"/>
          <w:lang w:val="en-GB"/>
        </w:rPr>
        <w:t>Yang A</w:t>
      </w:r>
      <w:r w:rsidRPr="00572D61">
        <w:rPr>
          <w:rFonts w:ascii="Book Antiqua" w:eastAsia="Book Antiqua" w:hAnsi="Book Antiqua" w:cs="Book Antiqua"/>
          <w:color w:val="000000"/>
          <w:lang w:val="en-GB"/>
        </w:rPr>
        <w:t xml:space="preserve">, Xiao W, Chen D, Wei X, Huang S, Lin Y, Zhang C, Lin J, Deng F, Wu C, He X. The power of tumor sizes in predicting the survival of solitary hepatocellular carcinoma patients. </w:t>
      </w:r>
      <w:r w:rsidRPr="00572D61">
        <w:rPr>
          <w:rFonts w:ascii="Book Antiqua" w:eastAsia="Book Antiqua" w:hAnsi="Book Antiqua" w:cs="Book Antiqua"/>
          <w:i/>
          <w:iCs/>
          <w:color w:val="000000"/>
          <w:lang w:val="en-GB"/>
        </w:rPr>
        <w:t>Cancer Med</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7</w:t>
      </w:r>
      <w:r w:rsidRPr="00572D61">
        <w:rPr>
          <w:rFonts w:ascii="Book Antiqua" w:eastAsia="Book Antiqua" w:hAnsi="Book Antiqua" w:cs="Book Antiqua"/>
          <w:color w:val="000000"/>
          <w:lang w:val="en-GB"/>
        </w:rPr>
        <w:t>: 6040-6050 [PMID: 30430769 DOI: 10.1002/cam4.1873]</w:t>
      </w:r>
    </w:p>
    <w:p w14:paraId="76EC84B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15 </w:t>
      </w:r>
      <w:r w:rsidRPr="00572D61">
        <w:rPr>
          <w:rFonts w:ascii="Book Antiqua" w:eastAsia="Book Antiqua" w:hAnsi="Book Antiqua" w:cs="Book Antiqua"/>
          <w:b/>
          <w:bCs/>
          <w:color w:val="000000"/>
          <w:lang w:val="en-GB"/>
        </w:rPr>
        <w:t>Zhao J</w:t>
      </w:r>
      <w:r w:rsidRPr="00572D61">
        <w:rPr>
          <w:rFonts w:ascii="Book Antiqua" w:eastAsia="Book Antiqua" w:hAnsi="Book Antiqua" w:cs="Book Antiqua"/>
          <w:color w:val="000000"/>
          <w:lang w:val="en-GB"/>
        </w:rPr>
        <w:t xml:space="preserve">, Mao J, Li W. Association of Tumor Grade With Long-Term Survival in Patients With Hepatocellular Carcinoma After Liver Transplantation. </w:t>
      </w:r>
      <w:r w:rsidRPr="00572D61">
        <w:rPr>
          <w:rFonts w:ascii="Book Antiqua" w:eastAsia="Book Antiqua" w:hAnsi="Book Antiqua" w:cs="Book Antiqua"/>
          <w:i/>
          <w:iCs/>
          <w:color w:val="000000"/>
          <w:lang w:val="en-GB"/>
        </w:rPr>
        <w:t>Transplant Proc</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51</w:t>
      </w:r>
      <w:r w:rsidRPr="00572D61">
        <w:rPr>
          <w:rFonts w:ascii="Book Antiqua" w:eastAsia="Book Antiqua" w:hAnsi="Book Antiqua" w:cs="Book Antiqua"/>
          <w:color w:val="000000"/>
          <w:lang w:val="en-GB"/>
        </w:rPr>
        <w:t>: 813-819 [PMID: 30979469 DOI: 10.1016/j.transproceed.2018.12.033]</w:t>
      </w:r>
    </w:p>
    <w:p w14:paraId="6AAB854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16 </w:t>
      </w:r>
      <w:proofErr w:type="spellStart"/>
      <w:r w:rsidRPr="00572D61">
        <w:rPr>
          <w:rFonts w:ascii="Book Antiqua" w:eastAsia="Book Antiqua" w:hAnsi="Book Antiqua" w:cs="Book Antiqua"/>
          <w:b/>
          <w:bCs/>
          <w:color w:val="000000"/>
          <w:lang w:val="en-GB"/>
        </w:rPr>
        <w:t>Kurebayashi</w:t>
      </w:r>
      <w:proofErr w:type="spellEnd"/>
      <w:r w:rsidRPr="00572D61">
        <w:rPr>
          <w:rFonts w:ascii="Book Antiqua" w:eastAsia="Book Antiqua" w:hAnsi="Book Antiqua" w:cs="Book Antiqua"/>
          <w:b/>
          <w:bCs/>
          <w:color w:val="000000"/>
          <w:lang w:val="en-GB"/>
        </w:rPr>
        <w:t xml:space="preserve"> Y</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Ojima</w:t>
      </w:r>
      <w:proofErr w:type="spellEnd"/>
      <w:r w:rsidRPr="00572D61">
        <w:rPr>
          <w:rFonts w:ascii="Book Antiqua" w:eastAsia="Book Antiqua" w:hAnsi="Book Antiqua" w:cs="Book Antiqua"/>
          <w:color w:val="000000"/>
          <w:lang w:val="en-GB"/>
        </w:rPr>
        <w:t xml:space="preserve"> H, </w:t>
      </w:r>
      <w:proofErr w:type="spellStart"/>
      <w:r w:rsidRPr="00572D61">
        <w:rPr>
          <w:rFonts w:ascii="Book Antiqua" w:eastAsia="Book Antiqua" w:hAnsi="Book Antiqua" w:cs="Book Antiqua"/>
          <w:color w:val="000000"/>
          <w:lang w:val="en-GB"/>
        </w:rPr>
        <w:t>Tsujikawa</w:t>
      </w:r>
      <w:proofErr w:type="spellEnd"/>
      <w:r w:rsidRPr="00572D61">
        <w:rPr>
          <w:rFonts w:ascii="Book Antiqua" w:eastAsia="Book Antiqua" w:hAnsi="Book Antiqua" w:cs="Book Antiqua"/>
          <w:color w:val="000000"/>
          <w:lang w:val="en-GB"/>
        </w:rPr>
        <w:t xml:space="preserve"> H, Kubota N, Maehara J, Abe Y, </w:t>
      </w:r>
      <w:proofErr w:type="spellStart"/>
      <w:r w:rsidRPr="00572D61">
        <w:rPr>
          <w:rFonts w:ascii="Book Antiqua" w:eastAsia="Book Antiqua" w:hAnsi="Book Antiqua" w:cs="Book Antiqua"/>
          <w:color w:val="000000"/>
          <w:lang w:val="en-GB"/>
        </w:rPr>
        <w:t>Kitago</w:t>
      </w:r>
      <w:proofErr w:type="spellEnd"/>
      <w:r w:rsidRPr="00572D61">
        <w:rPr>
          <w:rFonts w:ascii="Book Antiqua" w:eastAsia="Book Antiqua" w:hAnsi="Book Antiqua" w:cs="Book Antiqua"/>
          <w:color w:val="000000"/>
          <w:lang w:val="en-GB"/>
        </w:rPr>
        <w:t xml:space="preserve"> M, </w:t>
      </w:r>
      <w:proofErr w:type="spellStart"/>
      <w:r w:rsidRPr="00572D61">
        <w:rPr>
          <w:rFonts w:ascii="Book Antiqua" w:eastAsia="Book Antiqua" w:hAnsi="Book Antiqua" w:cs="Book Antiqua"/>
          <w:color w:val="000000"/>
          <w:lang w:val="en-GB"/>
        </w:rPr>
        <w:t>Shinoda</w:t>
      </w:r>
      <w:proofErr w:type="spellEnd"/>
      <w:r w:rsidRPr="00572D61">
        <w:rPr>
          <w:rFonts w:ascii="Book Antiqua" w:eastAsia="Book Antiqua" w:hAnsi="Book Antiqua" w:cs="Book Antiqua"/>
          <w:color w:val="000000"/>
          <w:lang w:val="en-GB"/>
        </w:rPr>
        <w:t xml:space="preserve"> M, Kitagawa Y, Sakamoto M. Landscape of immune microenvironment in hepatocellular carcinoma and its additional impact on histological and molecular classification. </w:t>
      </w:r>
      <w:r w:rsidRPr="00572D61">
        <w:rPr>
          <w:rFonts w:ascii="Book Antiqua" w:eastAsia="Book Antiqua" w:hAnsi="Book Antiqua" w:cs="Book Antiqua"/>
          <w:i/>
          <w:iCs/>
          <w:color w:val="000000"/>
          <w:lang w:val="en-GB"/>
        </w:rPr>
        <w:t>Hepatology</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68</w:t>
      </w:r>
      <w:r w:rsidRPr="00572D61">
        <w:rPr>
          <w:rFonts w:ascii="Book Antiqua" w:eastAsia="Book Antiqua" w:hAnsi="Book Antiqua" w:cs="Book Antiqua"/>
          <w:color w:val="000000"/>
          <w:lang w:val="en-GB"/>
        </w:rPr>
        <w:t>: 1025-1041 [PMID: 29603348 DOI: 10.1002/hep.29904]</w:t>
      </w:r>
    </w:p>
    <w:p w14:paraId="512565F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17 </w:t>
      </w:r>
      <w:r w:rsidRPr="00572D61">
        <w:rPr>
          <w:rFonts w:ascii="Book Antiqua" w:eastAsia="Book Antiqua" w:hAnsi="Book Antiqua" w:cs="Book Antiqua"/>
          <w:b/>
          <w:bCs/>
          <w:color w:val="000000"/>
          <w:lang w:val="en-GB"/>
        </w:rPr>
        <w:t>Wang X</w:t>
      </w:r>
      <w:r w:rsidRPr="00572D61">
        <w:rPr>
          <w:rFonts w:ascii="Book Antiqua" w:eastAsia="Book Antiqua" w:hAnsi="Book Antiqua" w:cs="Book Antiqua"/>
          <w:color w:val="000000"/>
          <w:lang w:val="en-GB"/>
        </w:rPr>
        <w:t xml:space="preserve">, Mao M, He Z, Zhang L, Li H, Lin J, He Y, Dai S, Hu W, Liu W. Development and Validation of a Prognostic Nomogram in AFP-negative hepatocellular carcinoma. </w:t>
      </w:r>
      <w:proofErr w:type="spellStart"/>
      <w:r w:rsidRPr="00572D61">
        <w:rPr>
          <w:rFonts w:ascii="Book Antiqua" w:eastAsia="Book Antiqua" w:hAnsi="Book Antiqua" w:cs="Book Antiqua"/>
          <w:i/>
          <w:iCs/>
          <w:color w:val="000000"/>
          <w:lang w:val="en-GB"/>
        </w:rPr>
        <w:t>Int</w:t>
      </w:r>
      <w:proofErr w:type="spellEnd"/>
      <w:r w:rsidRPr="00572D61">
        <w:rPr>
          <w:rFonts w:ascii="Book Antiqua" w:eastAsia="Book Antiqua" w:hAnsi="Book Antiqua" w:cs="Book Antiqua"/>
          <w:i/>
          <w:iCs/>
          <w:color w:val="000000"/>
          <w:lang w:val="en-GB"/>
        </w:rPr>
        <w:t xml:space="preserve"> J </w:t>
      </w:r>
      <w:proofErr w:type="spellStart"/>
      <w:r w:rsidRPr="00572D61">
        <w:rPr>
          <w:rFonts w:ascii="Book Antiqua" w:eastAsia="Book Antiqua" w:hAnsi="Book Antiqua" w:cs="Book Antiqua"/>
          <w:i/>
          <w:iCs/>
          <w:color w:val="000000"/>
          <w:lang w:val="en-GB"/>
        </w:rPr>
        <w:t>Biol</w:t>
      </w:r>
      <w:proofErr w:type="spellEnd"/>
      <w:r w:rsidRPr="00572D61">
        <w:rPr>
          <w:rFonts w:ascii="Book Antiqua" w:eastAsia="Book Antiqua" w:hAnsi="Book Antiqua" w:cs="Book Antiqua"/>
          <w:i/>
          <w:iCs/>
          <w:color w:val="000000"/>
          <w:lang w:val="en-GB"/>
        </w:rPr>
        <w:t xml:space="preserve"> </w:t>
      </w:r>
      <w:proofErr w:type="spellStart"/>
      <w:r w:rsidRPr="00572D61">
        <w:rPr>
          <w:rFonts w:ascii="Book Antiqua" w:eastAsia="Book Antiqua" w:hAnsi="Book Antiqua" w:cs="Book Antiqua"/>
          <w:i/>
          <w:iCs/>
          <w:color w:val="000000"/>
          <w:lang w:val="en-GB"/>
        </w:rPr>
        <w:t>Sci</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15</w:t>
      </w:r>
      <w:r w:rsidRPr="00572D61">
        <w:rPr>
          <w:rFonts w:ascii="Book Antiqua" w:eastAsia="Book Antiqua" w:hAnsi="Book Antiqua" w:cs="Book Antiqua"/>
          <w:color w:val="000000"/>
          <w:lang w:val="en-GB"/>
        </w:rPr>
        <w:t>: 221-228 [PMID: 30662361 DOI: 10.7150/ijbs.28720]</w:t>
      </w:r>
    </w:p>
    <w:p w14:paraId="22C6694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18 </w:t>
      </w:r>
      <w:r w:rsidRPr="00572D61">
        <w:rPr>
          <w:rFonts w:ascii="Book Antiqua" w:eastAsia="Book Antiqua" w:hAnsi="Book Antiqua" w:cs="Book Antiqua"/>
          <w:b/>
          <w:bCs/>
          <w:color w:val="000000"/>
          <w:lang w:val="en-GB"/>
        </w:rPr>
        <w:t>Lu Y</w:t>
      </w:r>
      <w:r w:rsidRPr="00572D61">
        <w:rPr>
          <w:rFonts w:ascii="Book Antiqua" w:eastAsia="Book Antiqua" w:hAnsi="Book Antiqua" w:cs="Book Antiqua"/>
          <w:color w:val="000000"/>
          <w:lang w:val="en-GB"/>
        </w:rPr>
        <w:t xml:space="preserve">, Xin D, Wang F. Predictive Significance Of Preoperative Systemic Immune-Inflammation Index Determination In Postoperative Liver Metastasis Of Colorectal Cancer. </w:t>
      </w:r>
      <w:proofErr w:type="spellStart"/>
      <w:r w:rsidRPr="00572D61">
        <w:rPr>
          <w:rFonts w:ascii="Book Antiqua" w:eastAsia="Book Antiqua" w:hAnsi="Book Antiqua" w:cs="Book Antiqua"/>
          <w:i/>
          <w:iCs/>
          <w:color w:val="000000"/>
          <w:lang w:val="en-GB"/>
        </w:rPr>
        <w:t>Onco</w:t>
      </w:r>
      <w:proofErr w:type="spellEnd"/>
      <w:r w:rsidRPr="00572D61">
        <w:rPr>
          <w:rFonts w:ascii="Book Antiqua" w:eastAsia="Book Antiqua" w:hAnsi="Book Antiqua" w:cs="Book Antiqua"/>
          <w:i/>
          <w:iCs/>
          <w:color w:val="000000"/>
          <w:lang w:val="en-GB"/>
        </w:rPr>
        <w:t xml:space="preserve"> Targets </w:t>
      </w:r>
      <w:proofErr w:type="spellStart"/>
      <w:r w:rsidRPr="00572D61">
        <w:rPr>
          <w:rFonts w:ascii="Book Antiqua" w:eastAsia="Book Antiqua" w:hAnsi="Book Antiqua" w:cs="Book Antiqua"/>
          <w:i/>
          <w:iCs/>
          <w:color w:val="000000"/>
          <w:lang w:val="en-GB"/>
        </w:rPr>
        <w:t>Ther</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12</w:t>
      </w:r>
      <w:r w:rsidRPr="00572D61">
        <w:rPr>
          <w:rFonts w:ascii="Book Antiqua" w:eastAsia="Book Antiqua" w:hAnsi="Book Antiqua" w:cs="Book Antiqua"/>
          <w:color w:val="000000"/>
          <w:lang w:val="en-GB"/>
        </w:rPr>
        <w:t>: 7791-7799 [PMID: 31571929 DOI: 10.2147/OTT.S223419]</w:t>
      </w:r>
    </w:p>
    <w:p w14:paraId="30C1EF3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19 </w:t>
      </w:r>
      <w:r w:rsidRPr="00572D61">
        <w:rPr>
          <w:rFonts w:ascii="Book Antiqua" w:eastAsia="Book Antiqua" w:hAnsi="Book Antiqua" w:cs="Book Antiqua"/>
          <w:b/>
          <w:bCs/>
          <w:color w:val="000000"/>
          <w:lang w:val="en-GB"/>
        </w:rPr>
        <w:t>Bihari C</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Rastogi</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Shasthry</w:t>
      </w:r>
      <w:proofErr w:type="spellEnd"/>
      <w:r w:rsidRPr="00572D61">
        <w:rPr>
          <w:rFonts w:ascii="Book Antiqua" w:eastAsia="Book Antiqua" w:hAnsi="Book Antiqua" w:cs="Book Antiqua"/>
          <w:color w:val="000000"/>
          <w:lang w:val="en-GB"/>
        </w:rPr>
        <w:t xml:space="preserve"> SM, </w:t>
      </w:r>
      <w:proofErr w:type="spellStart"/>
      <w:r w:rsidRPr="00572D61">
        <w:rPr>
          <w:rFonts w:ascii="Book Antiqua" w:eastAsia="Book Antiqua" w:hAnsi="Book Antiqua" w:cs="Book Antiqua"/>
          <w:color w:val="000000"/>
          <w:lang w:val="en-GB"/>
        </w:rPr>
        <w:t>Bajpai</w:t>
      </w:r>
      <w:proofErr w:type="spellEnd"/>
      <w:r w:rsidRPr="00572D61">
        <w:rPr>
          <w:rFonts w:ascii="Book Antiqua" w:eastAsia="Book Antiqua" w:hAnsi="Book Antiqua" w:cs="Book Antiqua"/>
          <w:color w:val="000000"/>
          <w:lang w:val="en-GB"/>
        </w:rPr>
        <w:t xml:space="preserve"> M, </w:t>
      </w:r>
      <w:proofErr w:type="spellStart"/>
      <w:r w:rsidRPr="00572D61">
        <w:rPr>
          <w:rFonts w:ascii="Book Antiqua" w:eastAsia="Book Antiqua" w:hAnsi="Book Antiqua" w:cs="Book Antiqua"/>
          <w:color w:val="000000"/>
          <w:lang w:val="en-GB"/>
        </w:rPr>
        <w:t>Bhadoria</w:t>
      </w:r>
      <w:proofErr w:type="spellEnd"/>
      <w:r w:rsidRPr="00572D61">
        <w:rPr>
          <w:rFonts w:ascii="Book Antiqua" w:eastAsia="Book Antiqua" w:hAnsi="Book Antiqua" w:cs="Book Antiqua"/>
          <w:color w:val="000000"/>
          <w:lang w:val="en-GB"/>
        </w:rPr>
        <w:t xml:space="preserve"> AS, Rajesh S, Mukund A, Kumar A, Sarin SK. Platelets contribute to growth and metastasis in hepatocellular carcinoma. </w:t>
      </w:r>
      <w:r w:rsidRPr="00572D61">
        <w:rPr>
          <w:rFonts w:ascii="Book Antiqua" w:eastAsia="Book Antiqua" w:hAnsi="Book Antiqua" w:cs="Book Antiqua"/>
          <w:i/>
          <w:iCs/>
          <w:color w:val="000000"/>
          <w:lang w:val="en-GB"/>
        </w:rPr>
        <w:t>APMIS</w:t>
      </w:r>
      <w:r w:rsidRPr="00572D61">
        <w:rPr>
          <w:rFonts w:ascii="Book Antiqua" w:eastAsia="Book Antiqua" w:hAnsi="Book Antiqua" w:cs="Book Antiqua"/>
          <w:color w:val="000000"/>
          <w:lang w:val="en-GB"/>
        </w:rPr>
        <w:t xml:space="preserve"> 2016; </w:t>
      </w:r>
      <w:r w:rsidRPr="00572D61">
        <w:rPr>
          <w:rFonts w:ascii="Book Antiqua" w:eastAsia="Book Antiqua" w:hAnsi="Book Antiqua" w:cs="Book Antiqua"/>
          <w:b/>
          <w:bCs/>
          <w:color w:val="000000"/>
          <w:lang w:val="en-GB"/>
        </w:rPr>
        <w:t>124</w:t>
      </w:r>
      <w:r w:rsidRPr="00572D61">
        <w:rPr>
          <w:rFonts w:ascii="Book Antiqua" w:eastAsia="Book Antiqua" w:hAnsi="Book Antiqua" w:cs="Book Antiqua"/>
          <w:color w:val="000000"/>
          <w:lang w:val="en-GB"/>
        </w:rPr>
        <w:t>: 776-786 [PMID: 27457354 DOI: 10.1111/apm.12574]</w:t>
      </w:r>
    </w:p>
    <w:p w14:paraId="1B02AE5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20 </w:t>
      </w:r>
      <w:r w:rsidRPr="00572D61">
        <w:rPr>
          <w:rFonts w:ascii="Book Antiqua" w:eastAsia="Book Antiqua" w:hAnsi="Book Antiqua" w:cs="Book Antiqua"/>
          <w:b/>
          <w:bCs/>
          <w:color w:val="000000"/>
          <w:lang w:val="en-GB"/>
        </w:rPr>
        <w:t>Wang D</w:t>
      </w:r>
      <w:r w:rsidRPr="00572D61">
        <w:rPr>
          <w:rFonts w:ascii="Book Antiqua" w:eastAsia="Book Antiqua" w:hAnsi="Book Antiqua" w:cs="Book Antiqua"/>
          <w:color w:val="000000"/>
          <w:lang w:val="en-GB"/>
        </w:rPr>
        <w:t xml:space="preserve">, Bai N, Hu X, </w:t>
      </w:r>
      <w:proofErr w:type="spellStart"/>
      <w:r w:rsidRPr="00572D61">
        <w:rPr>
          <w:rFonts w:ascii="Book Antiqua" w:eastAsia="Book Antiqua" w:hAnsi="Book Antiqua" w:cs="Book Antiqua"/>
          <w:color w:val="000000"/>
          <w:lang w:val="en-GB"/>
        </w:rPr>
        <w:t>OuYang</w:t>
      </w:r>
      <w:proofErr w:type="spellEnd"/>
      <w:r w:rsidRPr="00572D61">
        <w:rPr>
          <w:rFonts w:ascii="Book Antiqua" w:eastAsia="Book Antiqua" w:hAnsi="Book Antiqua" w:cs="Book Antiqua"/>
          <w:color w:val="000000"/>
          <w:lang w:val="en-GB"/>
        </w:rPr>
        <w:t xml:space="preserve"> XW, Yao L, Tao Y, Wang Z. Preoperative inflammatory markers of NLR and PLR as indicators of poor prognosis in resectable HCC. </w:t>
      </w:r>
      <w:proofErr w:type="spellStart"/>
      <w:r w:rsidRPr="00572D61">
        <w:rPr>
          <w:rFonts w:ascii="Book Antiqua" w:eastAsia="Book Antiqua" w:hAnsi="Book Antiqua" w:cs="Book Antiqua"/>
          <w:i/>
          <w:iCs/>
          <w:color w:val="000000"/>
          <w:lang w:val="en-GB"/>
        </w:rPr>
        <w:t>PeerJ</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7</w:t>
      </w:r>
      <w:r w:rsidRPr="00572D61">
        <w:rPr>
          <w:rFonts w:ascii="Book Antiqua" w:eastAsia="Book Antiqua" w:hAnsi="Book Antiqua" w:cs="Book Antiqua"/>
          <w:color w:val="000000"/>
          <w:lang w:val="en-GB"/>
        </w:rPr>
        <w:t>: e7132 [PMID: 31632844 DOI: 10.7717/peerj.7132]</w:t>
      </w:r>
    </w:p>
    <w:p w14:paraId="50E7945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21 </w:t>
      </w:r>
      <w:r w:rsidRPr="00572D61">
        <w:rPr>
          <w:rFonts w:ascii="Book Antiqua" w:eastAsia="Book Antiqua" w:hAnsi="Book Antiqua" w:cs="Book Antiqua"/>
          <w:b/>
          <w:bCs/>
          <w:color w:val="000000"/>
          <w:lang w:val="en-GB"/>
        </w:rPr>
        <w:t>Du Z</w:t>
      </w:r>
      <w:r w:rsidRPr="00572D61">
        <w:rPr>
          <w:rFonts w:ascii="Book Antiqua" w:eastAsia="Book Antiqua" w:hAnsi="Book Antiqua" w:cs="Book Antiqua"/>
          <w:color w:val="000000"/>
          <w:lang w:val="en-GB"/>
        </w:rPr>
        <w:t xml:space="preserve">, Dong J, Bi J, Bai R, Zhang J, Wu Z, </w:t>
      </w:r>
      <w:proofErr w:type="spellStart"/>
      <w:r w:rsidRPr="00572D61">
        <w:rPr>
          <w:rFonts w:ascii="Book Antiqua" w:eastAsia="Book Antiqua" w:hAnsi="Book Antiqua" w:cs="Book Antiqua"/>
          <w:color w:val="000000"/>
          <w:lang w:val="en-GB"/>
        </w:rPr>
        <w:t>Lv</w:t>
      </w:r>
      <w:proofErr w:type="spellEnd"/>
      <w:r w:rsidRPr="00572D61">
        <w:rPr>
          <w:rFonts w:ascii="Book Antiqua" w:eastAsia="Book Antiqua" w:hAnsi="Book Antiqua" w:cs="Book Antiqua"/>
          <w:color w:val="000000"/>
          <w:lang w:val="en-GB"/>
        </w:rPr>
        <w:t xml:space="preserve"> Y, Zhang X, Wu R. Predictive value of the preoperative neutrophil-to-lymphocyte ratio for the development of hepatocellular carcinoma in HBV-associated cirrhotic patients after splenectomy. </w:t>
      </w:r>
      <w:proofErr w:type="spellStart"/>
      <w:r w:rsidRPr="00572D61">
        <w:rPr>
          <w:rFonts w:ascii="Book Antiqua" w:eastAsia="Book Antiqua" w:hAnsi="Book Antiqua" w:cs="Book Antiqua"/>
          <w:i/>
          <w:iCs/>
          <w:color w:val="000000"/>
          <w:lang w:val="en-GB"/>
        </w:rPr>
        <w:t>PLoS</w:t>
      </w:r>
      <w:proofErr w:type="spellEnd"/>
      <w:r w:rsidRPr="00572D61">
        <w:rPr>
          <w:rFonts w:ascii="Book Antiqua" w:eastAsia="Book Antiqua" w:hAnsi="Book Antiqua" w:cs="Book Antiqua"/>
          <w:i/>
          <w:iCs/>
          <w:color w:val="000000"/>
          <w:lang w:val="en-GB"/>
        </w:rPr>
        <w:t xml:space="preserve"> One</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13</w:t>
      </w:r>
      <w:r w:rsidRPr="00572D61">
        <w:rPr>
          <w:rFonts w:ascii="Book Antiqua" w:eastAsia="Book Antiqua" w:hAnsi="Book Antiqua" w:cs="Book Antiqua"/>
          <w:color w:val="000000"/>
          <w:lang w:val="en-GB"/>
        </w:rPr>
        <w:t>: e0195336 [PMID: 29621282 DOI: 10.1371/journal.pone.0195336]</w:t>
      </w:r>
    </w:p>
    <w:p w14:paraId="5F3227F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22 </w:t>
      </w:r>
      <w:proofErr w:type="spellStart"/>
      <w:r w:rsidRPr="00572D61">
        <w:rPr>
          <w:rFonts w:ascii="Book Antiqua" w:eastAsia="Book Antiqua" w:hAnsi="Book Antiqua" w:cs="Book Antiqua"/>
          <w:b/>
          <w:bCs/>
          <w:color w:val="000000"/>
          <w:lang w:val="en-GB"/>
        </w:rPr>
        <w:t>Bruix</w:t>
      </w:r>
      <w:proofErr w:type="spellEnd"/>
      <w:r w:rsidRPr="00572D61">
        <w:rPr>
          <w:rFonts w:ascii="Book Antiqua" w:eastAsia="Book Antiqua" w:hAnsi="Book Antiqua" w:cs="Book Antiqua"/>
          <w:b/>
          <w:bCs/>
          <w:color w:val="000000"/>
          <w:lang w:val="en-GB"/>
        </w:rPr>
        <w:t xml:space="preserve"> J</w:t>
      </w:r>
      <w:r w:rsidRPr="00572D61">
        <w:rPr>
          <w:rFonts w:ascii="Book Antiqua" w:eastAsia="Book Antiqua" w:hAnsi="Book Antiqua" w:cs="Book Antiqua"/>
          <w:color w:val="000000"/>
          <w:lang w:val="en-GB"/>
        </w:rPr>
        <w:t xml:space="preserve">, Sherman M; Practice Guidelines Committee, American Association for the Study of Liver Diseases. Management of hepatocellular carcinoma. </w:t>
      </w:r>
      <w:r w:rsidRPr="00572D61">
        <w:rPr>
          <w:rFonts w:ascii="Book Antiqua" w:eastAsia="Book Antiqua" w:hAnsi="Book Antiqua" w:cs="Book Antiqua"/>
          <w:i/>
          <w:iCs/>
          <w:color w:val="000000"/>
          <w:lang w:val="en-GB"/>
        </w:rPr>
        <w:t>Hepatology</w:t>
      </w:r>
      <w:r w:rsidRPr="00572D61">
        <w:rPr>
          <w:rFonts w:ascii="Book Antiqua" w:eastAsia="Book Antiqua" w:hAnsi="Book Antiqua" w:cs="Book Antiqua"/>
          <w:color w:val="000000"/>
          <w:lang w:val="en-GB"/>
        </w:rPr>
        <w:t xml:space="preserve"> 2005; </w:t>
      </w:r>
      <w:r w:rsidRPr="00572D61">
        <w:rPr>
          <w:rFonts w:ascii="Book Antiqua" w:eastAsia="Book Antiqua" w:hAnsi="Book Antiqua" w:cs="Book Antiqua"/>
          <w:b/>
          <w:bCs/>
          <w:color w:val="000000"/>
          <w:lang w:val="en-GB"/>
        </w:rPr>
        <w:t>42</w:t>
      </w:r>
      <w:r w:rsidRPr="00572D61">
        <w:rPr>
          <w:rFonts w:ascii="Book Antiqua" w:eastAsia="Book Antiqua" w:hAnsi="Book Antiqua" w:cs="Book Antiqua"/>
          <w:color w:val="000000"/>
          <w:lang w:val="en-GB"/>
        </w:rPr>
        <w:t>: 1208-1236 [PMID: 16250051 DOI: 10.1002/hep.20933]</w:t>
      </w:r>
    </w:p>
    <w:p w14:paraId="22350E12" w14:textId="2806B122"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23 </w:t>
      </w:r>
      <w:r w:rsidRPr="00572D61">
        <w:rPr>
          <w:rFonts w:ascii="Book Antiqua" w:eastAsia="Book Antiqua" w:hAnsi="Book Antiqua" w:cs="Book Antiqua"/>
          <w:b/>
          <w:bCs/>
          <w:color w:val="000000"/>
          <w:lang w:val="en-GB"/>
        </w:rPr>
        <w:t>Wang YY</w:t>
      </w:r>
      <w:r w:rsidRPr="00572D61">
        <w:rPr>
          <w:rFonts w:ascii="Book Antiqua" w:eastAsia="Book Antiqua" w:hAnsi="Book Antiqua" w:cs="Book Antiqua"/>
          <w:color w:val="000000"/>
          <w:lang w:val="en-GB"/>
        </w:rPr>
        <w:t xml:space="preserve">, Xiang BD, Ma L, Zhong JH, Ye JZ, Wang K, Xing BC, Li LQ. Development and Validation of a Nomogram to Preoperatively Estimate Post-hepatectomy Liver Dysfunction Risk and Long-term Survival in Patients With Hepatocellular Carcinoma. </w:t>
      </w:r>
      <w:r w:rsidRPr="00572D61">
        <w:rPr>
          <w:rFonts w:ascii="Book Antiqua" w:eastAsia="Book Antiqua" w:hAnsi="Book Antiqua" w:cs="Book Antiqua"/>
          <w:i/>
          <w:iCs/>
          <w:color w:val="000000"/>
          <w:lang w:val="en-GB"/>
        </w:rPr>
        <w:t xml:space="preserve">Ann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w:t>
      </w:r>
      <w:r w:rsidR="00910E17" w:rsidRPr="00910E17">
        <w:rPr>
          <w:rFonts w:ascii="Book Antiqua" w:eastAsia="Book Antiqua" w:hAnsi="Book Antiqua" w:cs="Book Antiqua"/>
          <w:color w:val="000000"/>
          <w:lang w:val="en-GB"/>
        </w:rPr>
        <w:t xml:space="preserve">2021; </w:t>
      </w:r>
      <w:r w:rsidR="00910E17" w:rsidRPr="00910E17">
        <w:rPr>
          <w:rFonts w:ascii="Book Antiqua" w:eastAsia="Book Antiqua" w:hAnsi="Book Antiqua" w:cs="Book Antiqua"/>
          <w:b/>
          <w:color w:val="000000"/>
          <w:lang w:val="en-GB"/>
        </w:rPr>
        <w:t>274:</w:t>
      </w:r>
      <w:r w:rsidR="00910E17" w:rsidRPr="00910E17">
        <w:rPr>
          <w:rFonts w:ascii="Book Antiqua" w:eastAsia="Book Antiqua" w:hAnsi="Book Antiqua" w:cs="Book Antiqua"/>
          <w:color w:val="000000"/>
          <w:lang w:val="en-GB"/>
        </w:rPr>
        <w:t xml:space="preserve"> e1209-e1217 </w:t>
      </w:r>
      <w:r w:rsidRPr="00572D61">
        <w:rPr>
          <w:rFonts w:ascii="Book Antiqua" w:eastAsia="Book Antiqua" w:hAnsi="Book Antiqua" w:cs="Book Antiqua"/>
          <w:color w:val="000000"/>
          <w:lang w:val="en-GB"/>
        </w:rPr>
        <w:t>[PMID: 32097166 DOI: 10.1097/SLA.0000000000003803]</w:t>
      </w:r>
    </w:p>
    <w:p w14:paraId="6869975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24 </w:t>
      </w:r>
      <w:r w:rsidRPr="00572D61">
        <w:rPr>
          <w:rFonts w:ascii="Book Antiqua" w:eastAsia="Book Antiqua" w:hAnsi="Book Antiqua" w:cs="Book Antiqua"/>
          <w:b/>
          <w:bCs/>
          <w:color w:val="000000"/>
          <w:lang w:val="en-GB"/>
        </w:rPr>
        <w:t>He W</w:t>
      </w:r>
      <w:r w:rsidRPr="00572D61">
        <w:rPr>
          <w:rFonts w:ascii="Book Antiqua" w:eastAsia="Book Antiqua" w:hAnsi="Book Antiqua" w:cs="Book Antiqua"/>
          <w:color w:val="000000"/>
          <w:lang w:val="en-GB"/>
        </w:rPr>
        <w:t xml:space="preserve">, Peng B, Tang Y, Yang J, Zheng Y, </w:t>
      </w:r>
      <w:proofErr w:type="spellStart"/>
      <w:r w:rsidRPr="00572D61">
        <w:rPr>
          <w:rFonts w:ascii="Book Antiqua" w:eastAsia="Book Antiqua" w:hAnsi="Book Antiqua" w:cs="Book Antiqua"/>
          <w:color w:val="000000"/>
          <w:lang w:val="en-GB"/>
        </w:rPr>
        <w:t>Qiu</w:t>
      </w:r>
      <w:proofErr w:type="spellEnd"/>
      <w:r w:rsidRPr="00572D61">
        <w:rPr>
          <w:rFonts w:ascii="Book Antiqua" w:eastAsia="Book Antiqua" w:hAnsi="Book Antiqua" w:cs="Book Antiqua"/>
          <w:color w:val="000000"/>
          <w:lang w:val="en-GB"/>
        </w:rPr>
        <w:t xml:space="preserve"> J, Zou R, Shen J, Li B, Yuan Y. Nomogram to Predict Survival of Patients With Recurrence of Hepatocellular Carcinoma After Surgery. </w:t>
      </w:r>
      <w:r w:rsidRPr="00572D61">
        <w:rPr>
          <w:rFonts w:ascii="Book Antiqua" w:eastAsia="Book Antiqua" w:hAnsi="Book Antiqua" w:cs="Book Antiqua"/>
          <w:i/>
          <w:iCs/>
          <w:color w:val="000000"/>
          <w:lang w:val="en-GB"/>
        </w:rPr>
        <w:t>Clin Gastroenterol Hepatol</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16</w:t>
      </w:r>
      <w:r w:rsidRPr="00572D61">
        <w:rPr>
          <w:rFonts w:ascii="Book Antiqua" w:eastAsia="Book Antiqua" w:hAnsi="Book Antiqua" w:cs="Book Antiqua"/>
          <w:color w:val="000000"/>
          <w:lang w:val="en-GB"/>
        </w:rPr>
        <w:t>: 756-764.e10 [PMID: 29246702 DOI: 10.1016/j.cgh.2017.12.002]</w:t>
      </w:r>
    </w:p>
    <w:p w14:paraId="35E0A7E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25 </w:t>
      </w:r>
      <w:r w:rsidRPr="00572D61">
        <w:rPr>
          <w:rFonts w:ascii="Book Antiqua" w:eastAsia="Book Antiqua" w:hAnsi="Book Antiqua" w:cs="Book Antiqua"/>
          <w:b/>
          <w:bCs/>
          <w:color w:val="000000"/>
          <w:lang w:val="en-GB"/>
        </w:rPr>
        <w:t>Shen J</w:t>
      </w:r>
      <w:r w:rsidRPr="00572D61">
        <w:rPr>
          <w:rFonts w:ascii="Book Antiqua" w:eastAsia="Book Antiqua" w:hAnsi="Book Antiqua" w:cs="Book Antiqua"/>
          <w:color w:val="000000"/>
          <w:lang w:val="en-GB"/>
        </w:rPr>
        <w:t xml:space="preserve">, He L, Li C, Wen T, Chen W, Lu C, Yan L, Li B, Yang J. Nomograms to Predict the Individual Survival of Patients with Solitary Hepatocellular Carcinoma after Hepatectomy. </w:t>
      </w:r>
      <w:r w:rsidRPr="00572D61">
        <w:rPr>
          <w:rFonts w:ascii="Book Antiqua" w:eastAsia="Book Antiqua" w:hAnsi="Book Antiqua" w:cs="Book Antiqua"/>
          <w:i/>
          <w:iCs/>
          <w:color w:val="000000"/>
          <w:lang w:val="en-GB"/>
        </w:rPr>
        <w:t>Gut Liver</w:t>
      </w:r>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11</w:t>
      </w:r>
      <w:r w:rsidRPr="00572D61">
        <w:rPr>
          <w:rFonts w:ascii="Book Antiqua" w:eastAsia="Book Antiqua" w:hAnsi="Book Antiqua" w:cs="Book Antiqua"/>
          <w:color w:val="000000"/>
          <w:lang w:val="en-GB"/>
        </w:rPr>
        <w:t>: 684-692 [PMID: 28651303 DOI: 10.5009/gnl16465]</w:t>
      </w:r>
    </w:p>
    <w:p w14:paraId="0696DA1C" w14:textId="77777777" w:rsidR="00A77B3E" w:rsidRPr="00572D61" w:rsidRDefault="00A77B3E" w:rsidP="00450E72">
      <w:pPr>
        <w:adjustRightInd w:val="0"/>
        <w:snapToGrid w:val="0"/>
        <w:spacing w:line="360" w:lineRule="auto"/>
        <w:jc w:val="both"/>
        <w:rPr>
          <w:rFonts w:ascii="Book Antiqua" w:hAnsi="Book Antiqua"/>
          <w:lang w:val="en-GB"/>
        </w:rPr>
        <w:sectPr w:rsidR="00A77B3E" w:rsidRPr="00572D61">
          <w:pgSz w:w="12240" w:h="15840"/>
          <w:pgMar w:top="1440" w:right="1440" w:bottom="1440" w:left="1440" w:header="720" w:footer="720" w:gutter="0"/>
          <w:cols w:space="720"/>
          <w:docGrid w:linePitch="360"/>
        </w:sectPr>
      </w:pPr>
    </w:p>
    <w:p w14:paraId="643A21B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Footnotes</w:t>
      </w:r>
    </w:p>
    <w:p w14:paraId="252B3BA6" w14:textId="789B1A3C" w:rsidR="00A77B3E"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eastAsia="Book Antiqua" w:hAnsi="Book Antiqua" w:cs="Book Antiqua"/>
          <w:b/>
          <w:bCs/>
          <w:color w:val="000000"/>
          <w:lang w:val="en-GB"/>
        </w:rPr>
        <w:t xml:space="preserve">Institutional review board statement: </w:t>
      </w:r>
      <w:r w:rsidRPr="00572D61">
        <w:rPr>
          <w:rFonts w:ascii="Book Antiqua" w:eastAsia="Book Antiqua" w:hAnsi="Book Antiqua" w:cs="Book Antiqua"/>
          <w:color w:val="000000"/>
          <w:lang w:val="en-GB"/>
        </w:rPr>
        <w:t xml:space="preserve">The study was reviewed and approved by the First Affiliated Hospital of Anhui Medical University Institutional Review Board [(Approval No. </w:t>
      </w:r>
      <w:r w:rsidR="00084E02" w:rsidRPr="00572D61">
        <w:rPr>
          <w:rFonts w:ascii="Book Antiqua" w:eastAsia="Book Antiqua" w:hAnsi="Book Antiqua" w:cs="Book Antiqua"/>
          <w:color w:val="000000"/>
          <w:shd w:val="clear" w:color="auto" w:fill="FFFFFF"/>
          <w:lang w:val="en-GB"/>
        </w:rPr>
        <w:t>Quick-PJ 2021-01-22</w:t>
      </w:r>
      <w:r w:rsidRPr="00572D61">
        <w:rPr>
          <w:rFonts w:ascii="Book Antiqua" w:eastAsia="Book Antiqua" w:hAnsi="Book Antiqua" w:cs="Book Antiqua"/>
          <w:color w:val="000000"/>
          <w:shd w:val="clear" w:color="auto" w:fill="FFFFFF"/>
          <w:lang w:val="en-GB"/>
        </w:rPr>
        <w:t>)].</w:t>
      </w:r>
    </w:p>
    <w:p w14:paraId="069C1990" w14:textId="77777777" w:rsidR="00A77B3E" w:rsidRPr="00572D61" w:rsidRDefault="00A77B3E" w:rsidP="00450E72">
      <w:pPr>
        <w:adjustRightInd w:val="0"/>
        <w:snapToGrid w:val="0"/>
        <w:spacing w:line="360" w:lineRule="auto"/>
        <w:jc w:val="both"/>
        <w:rPr>
          <w:rFonts w:ascii="Book Antiqua" w:hAnsi="Book Antiqua"/>
          <w:lang w:val="en-GB"/>
        </w:rPr>
      </w:pPr>
    </w:p>
    <w:p w14:paraId="2D8D5D04" w14:textId="77777777" w:rsidR="00A77B3E"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eastAsia="Book Antiqua" w:hAnsi="Book Antiqua" w:cs="Book Antiqua"/>
          <w:b/>
          <w:bCs/>
          <w:color w:val="000000"/>
          <w:lang w:val="en-GB"/>
        </w:rPr>
        <w:t xml:space="preserve">Informed consent statement: </w:t>
      </w:r>
      <w:r w:rsidRPr="00572D61">
        <w:rPr>
          <w:rFonts w:ascii="Book Antiqua" w:eastAsia="Book Antiqua" w:hAnsi="Book Antiqua" w:cs="Book Antiqua"/>
          <w:color w:val="000000"/>
          <w:shd w:val="clear" w:color="auto" w:fill="FFFFFF"/>
          <w:lang w:val="en-GB"/>
        </w:rPr>
        <w:t>Patients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were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not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required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give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informed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consent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study</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because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analysis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used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anonymous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clinical</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data</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that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were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obtained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after</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each</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patient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agreed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treatment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by</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written</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consent.</w:t>
      </w:r>
    </w:p>
    <w:p w14:paraId="233622AB" w14:textId="77777777" w:rsidR="00A77B3E" w:rsidRPr="00572D61" w:rsidRDefault="00A77B3E" w:rsidP="00450E72">
      <w:pPr>
        <w:adjustRightInd w:val="0"/>
        <w:snapToGrid w:val="0"/>
        <w:spacing w:line="360" w:lineRule="auto"/>
        <w:jc w:val="both"/>
        <w:rPr>
          <w:rFonts w:ascii="Book Antiqua" w:hAnsi="Book Antiqua"/>
          <w:lang w:val="en-GB"/>
        </w:rPr>
      </w:pPr>
    </w:p>
    <w:p w14:paraId="6EDCC72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Conflict-of-interest statement: </w:t>
      </w:r>
      <w:r w:rsidRPr="00572D61">
        <w:rPr>
          <w:rFonts w:ascii="Book Antiqua" w:eastAsia="Book Antiqua" w:hAnsi="Book Antiqua" w:cs="Book Antiqua"/>
          <w:color w:val="000000"/>
          <w:lang w:val="en-GB"/>
        </w:rPr>
        <w:t>The authors declare that there are no any conflicts of interest.</w:t>
      </w:r>
    </w:p>
    <w:p w14:paraId="26D0CC28" w14:textId="77777777" w:rsidR="00A77B3E" w:rsidRPr="00572D61" w:rsidRDefault="00A77B3E" w:rsidP="00450E72">
      <w:pPr>
        <w:adjustRightInd w:val="0"/>
        <w:snapToGrid w:val="0"/>
        <w:spacing w:line="360" w:lineRule="auto"/>
        <w:jc w:val="both"/>
        <w:rPr>
          <w:rFonts w:ascii="Book Antiqua" w:hAnsi="Book Antiqua"/>
          <w:lang w:val="en-GB"/>
        </w:rPr>
      </w:pPr>
    </w:p>
    <w:p w14:paraId="3334DBC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Data sharing statement: </w:t>
      </w:r>
      <w:r w:rsidRPr="00572D61">
        <w:rPr>
          <w:rFonts w:ascii="Book Antiqua" w:eastAsia="Book Antiqua" w:hAnsi="Book Antiqua" w:cs="Book Antiqua"/>
          <w:color w:val="000000"/>
          <w:lang w:val="en-GB"/>
        </w:rPr>
        <w:t>No additional data are available.</w:t>
      </w:r>
    </w:p>
    <w:p w14:paraId="0DE0DC9B" w14:textId="77777777" w:rsidR="00A77B3E" w:rsidRPr="00572D61" w:rsidRDefault="00A77B3E" w:rsidP="00450E72">
      <w:pPr>
        <w:adjustRightInd w:val="0"/>
        <w:snapToGrid w:val="0"/>
        <w:spacing w:line="360" w:lineRule="auto"/>
        <w:jc w:val="both"/>
        <w:rPr>
          <w:rFonts w:ascii="Book Antiqua" w:hAnsi="Book Antiqua"/>
          <w:lang w:val="en-GB"/>
        </w:rPr>
      </w:pPr>
    </w:p>
    <w:p w14:paraId="067BE25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Open-Access: </w:t>
      </w:r>
      <w:r w:rsidRPr="00572D61">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572D61">
        <w:rPr>
          <w:rFonts w:ascii="Book Antiqua" w:eastAsia="Book Antiqua" w:hAnsi="Book Antiqua" w:cs="Book Antiqua"/>
          <w:color w:val="000000"/>
          <w:lang w:val="en-GB"/>
        </w:rPr>
        <w:t>NonCommercial</w:t>
      </w:r>
      <w:proofErr w:type="spellEnd"/>
      <w:r w:rsidRPr="00572D61">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A676F2" w14:textId="77777777" w:rsidR="00A77B3E" w:rsidRPr="00572D61" w:rsidRDefault="00A77B3E" w:rsidP="00450E72">
      <w:pPr>
        <w:adjustRightInd w:val="0"/>
        <w:snapToGrid w:val="0"/>
        <w:spacing w:line="360" w:lineRule="auto"/>
        <w:jc w:val="both"/>
        <w:rPr>
          <w:rFonts w:ascii="Book Antiqua" w:hAnsi="Book Antiqua"/>
          <w:lang w:val="en-GB"/>
        </w:rPr>
      </w:pPr>
    </w:p>
    <w:p w14:paraId="2AE852C3" w14:textId="77777777" w:rsidR="00EE2D2B" w:rsidRDefault="00EE2D2B" w:rsidP="00EE2D2B">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2DBBD4AA" w14:textId="77777777" w:rsidR="00EE2D2B" w:rsidRPr="008D4F88" w:rsidRDefault="00EE2D2B" w:rsidP="00EE2D2B">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1D643BA5" w14:textId="77777777" w:rsidR="00A77B3E" w:rsidRPr="00572D61" w:rsidRDefault="00A77B3E" w:rsidP="00450E72">
      <w:pPr>
        <w:adjustRightInd w:val="0"/>
        <w:snapToGrid w:val="0"/>
        <w:spacing w:line="360" w:lineRule="auto"/>
        <w:jc w:val="both"/>
        <w:rPr>
          <w:rFonts w:ascii="Book Antiqua" w:hAnsi="Book Antiqua"/>
          <w:lang w:val="en-GB"/>
        </w:rPr>
      </w:pPr>
    </w:p>
    <w:p w14:paraId="2950E2D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Peer-review started: </w:t>
      </w:r>
      <w:r w:rsidRPr="00572D61">
        <w:rPr>
          <w:rFonts w:ascii="Book Antiqua" w:eastAsia="Book Antiqua" w:hAnsi="Book Antiqua" w:cs="Book Antiqua"/>
          <w:color w:val="000000"/>
          <w:lang w:val="en-GB"/>
        </w:rPr>
        <w:t>May 3, 2021</w:t>
      </w:r>
    </w:p>
    <w:p w14:paraId="1F1BFB6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First decision: </w:t>
      </w:r>
      <w:r w:rsidRPr="00572D61">
        <w:rPr>
          <w:rFonts w:ascii="Book Antiqua" w:eastAsia="Book Antiqua" w:hAnsi="Book Antiqua" w:cs="Book Antiqua"/>
          <w:color w:val="000000"/>
          <w:lang w:val="en-GB"/>
        </w:rPr>
        <w:t>June 2, 2021</w:t>
      </w:r>
    </w:p>
    <w:p w14:paraId="0F892E7C" w14:textId="5DE24234"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Article in press: </w:t>
      </w:r>
      <w:r w:rsidR="000B068D" w:rsidRPr="00572D61">
        <w:rPr>
          <w:rFonts w:ascii="Book Antiqua" w:eastAsia="Book Antiqua" w:hAnsi="Book Antiqua" w:cs="Book Antiqua"/>
          <w:color w:val="000000"/>
          <w:lang w:val="en-GB"/>
        </w:rPr>
        <w:t>August 24, 2021</w:t>
      </w:r>
    </w:p>
    <w:p w14:paraId="1CC91321" w14:textId="77777777" w:rsidR="00A77B3E" w:rsidRPr="00572D61" w:rsidRDefault="00A77B3E" w:rsidP="00450E72">
      <w:pPr>
        <w:adjustRightInd w:val="0"/>
        <w:snapToGrid w:val="0"/>
        <w:spacing w:line="360" w:lineRule="auto"/>
        <w:jc w:val="both"/>
        <w:rPr>
          <w:rFonts w:ascii="Book Antiqua" w:hAnsi="Book Antiqua"/>
          <w:lang w:val="en-GB"/>
        </w:rPr>
      </w:pPr>
    </w:p>
    <w:p w14:paraId="68EFA8C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 xml:space="preserve">Specialty type: </w:t>
      </w:r>
      <w:r w:rsidRPr="00572D61">
        <w:rPr>
          <w:rFonts w:ascii="Book Antiqua" w:eastAsia="Book Antiqua" w:hAnsi="Book Antiqua" w:cs="Book Antiqua"/>
          <w:color w:val="000000"/>
          <w:lang w:val="en-GB"/>
        </w:rPr>
        <w:t xml:space="preserve">Gastroenterology and </w:t>
      </w:r>
      <w:r w:rsidR="00450E72" w:rsidRPr="00572D61">
        <w:rPr>
          <w:rFonts w:ascii="Book Antiqua" w:eastAsia="Book Antiqua" w:hAnsi="Book Antiqua" w:cs="Book Antiqua"/>
          <w:color w:val="000000"/>
          <w:lang w:val="en-GB"/>
        </w:rPr>
        <w:t>he</w:t>
      </w:r>
      <w:r w:rsidRPr="00572D61">
        <w:rPr>
          <w:rFonts w:ascii="Book Antiqua" w:eastAsia="Book Antiqua" w:hAnsi="Book Antiqua" w:cs="Book Antiqua"/>
          <w:color w:val="000000"/>
          <w:lang w:val="en-GB"/>
        </w:rPr>
        <w:t>patology</w:t>
      </w:r>
    </w:p>
    <w:p w14:paraId="4D2B120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Country/Territory of origin: </w:t>
      </w:r>
      <w:r w:rsidRPr="00572D61">
        <w:rPr>
          <w:rFonts w:ascii="Book Antiqua" w:eastAsia="Book Antiqua" w:hAnsi="Book Antiqua" w:cs="Book Antiqua"/>
          <w:color w:val="000000"/>
          <w:lang w:val="en-GB"/>
        </w:rPr>
        <w:t>China</w:t>
      </w:r>
    </w:p>
    <w:p w14:paraId="085F0BF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Peer-review report’s scientific quality classification</w:t>
      </w:r>
    </w:p>
    <w:p w14:paraId="415B5E9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A (Excellent): 0</w:t>
      </w:r>
    </w:p>
    <w:p w14:paraId="6947DE5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B (Very good): 0</w:t>
      </w:r>
    </w:p>
    <w:p w14:paraId="05292DD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C (Good): C</w:t>
      </w:r>
    </w:p>
    <w:p w14:paraId="17CF2A41"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D (Fair): 0</w:t>
      </w:r>
    </w:p>
    <w:p w14:paraId="0194C11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E (Poor): 0</w:t>
      </w:r>
    </w:p>
    <w:p w14:paraId="42C0D2D8" w14:textId="77777777" w:rsidR="00A77B3E" w:rsidRPr="00572D61" w:rsidRDefault="00A77B3E" w:rsidP="00450E72">
      <w:pPr>
        <w:adjustRightInd w:val="0"/>
        <w:snapToGrid w:val="0"/>
        <w:spacing w:line="360" w:lineRule="auto"/>
        <w:jc w:val="both"/>
        <w:rPr>
          <w:rFonts w:ascii="Book Antiqua" w:hAnsi="Book Antiqua"/>
          <w:lang w:val="en-GB"/>
        </w:rPr>
      </w:pPr>
    </w:p>
    <w:p w14:paraId="5098417A" w14:textId="2A392B0E" w:rsidR="00A77B3E" w:rsidRPr="00AA6476" w:rsidRDefault="00037BBC" w:rsidP="00450E72">
      <w:pPr>
        <w:adjustRightInd w:val="0"/>
        <w:snapToGrid w:val="0"/>
        <w:spacing w:line="360" w:lineRule="auto"/>
        <w:jc w:val="both"/>
        <w:rPr>
          <w:rFonts w:ascii="Book Antiqua" w:hAnsi="Book Antiqua" w:cs="Book Antiqua"/>
          <w:b/>
          <w:color w:val="000000"/>
          <w:lang w:val="en-GB" w:eastAsia="zh-CN"/>
        </w:rPr>
      </w:pPr>
      <w:r w:rsidRPr="00572D61">
        <w:rPr>
          <w:rFonts w:ascii="Book Antiqua" w:eastAsia="Book Antiqua" w:hAnsi="Book Antiqua" w:cs="Book Antiqua"/>
          <w:b/>
          <w:color w:val="000000"/>
          <w:lang w:val="en-GB"/>
        </w:rPr>
        <w:t xml:space="preserve">P-Reviewer: </w:t>
      </w:r>
      <w:r w:rsidRPr="00572D61">
        <w:rPr>
          <w:rFonts w:ascii="Book Antiqua" w:eastAsia="Book Antiqua" w:hAnsi="Book Antiqua" w:cs="Book Antiqua"/>
          <w:color w:val="000000"/>
          <w:lang w:val="en-GB"/>
        </w:rPr>
        <w:t>Nakano H</w:t>
      </w:r>
      <w:r w:rsidRPr="00572D61">
        <w:rPr>
          <w:rFonts w:ascii="Book Antiqua" w:eastAsia="Book Antiqua" w:hAnsi="Book Antiqua" w:cs="Book Antiqua"/>
          <w:b/>
          <w:color w:val="000000"/>
          <w:lang w:val="en-GB"/>
        </w:rPr>
        <w:t xml:space="preserve"> S-Editor: </w:t>
      </w:r>
      <w:r w:rsidRPr="00572D61">
        <w:rPr>
          <w:rFonts w:ascii="Book Antiqua" w:eastAsia="Book Antiqua" w:hAnsi="Book Antiqua" w:cs="Book Antiqua"/>
          <w:color w:val="000000"/>
          <w:lang w:val="en-GB"/>
        </w:rPr>
        <w:t>Ma YJ</w:t>
      </w:r>
      <w:r w:rsidRPr="00572D61">
        <w:rPr>
          <w:rFonts w:ascii="Book Antiqua" w:eastAsia="Book Antiqua" w:hAnsi="Book Antiqua" w:cs="Book Antiqua"/>
          <w:b/>
          <w:color w:val="000000"/>
          <w:lang w:val="en-GB"/>
        </w:rPr>
        <w:t xml:space="preserve"> L-Editor: </w:t>
      </w:r>
      <w:r w:rsidR="00583DAC">
        <w:rPr>
          <w:rFonts w:ascii="Book Antiqua" w:eastAsia="Book Antiqua" w:hAnsi="Book Antiqua" w:cs="Book Antiqua"/>
          <w:bCs/>
          <w:color w:val="000000"/>
          <w:lang w:val="en-GB"/>
        </w:rPr>
        <w:t xml:space="preserve">Kerr C </w:t>
      </w:r>
      <w:r w:rsidRPr="00572D61">
        <w:rPr>
          <w:rFonts w:ascii="Book Antiqua" w:eastAsia="Book Antiqua" w:hAnsi="Book Antiqua" w:cs="Book Antiqua"/>
          <w:b/>
          <w:color w:val="000000"/>
          <w:lang w:val="en-GB"/>
        </w:rPr>
        <w:t xml:space="preserve">P-Editor: </w:t>
      </w:r>
      <w:r w:rsidR="00AA6476" w:rsidRPr="00AA6476">
        <w:rPr>
          <w:rFonts w:ascii="Book Antiqua" w:hAnsi="Book Antiqua" w:cs="Book Antiqua" w:hint="eastAsia"/>
          <w:color w:val="000000"/>
          <w:lang w:val="en-GB" w:eastAsia="zh-CN"/>
        </w:rPr>
        <w:t>Liu JH</w:t>
      </w:r>
    </w:p>
    <w:p w14:paraId="7A657E7C" w14:textId="3A364F98" w:rsidR="006C18A3" w:rsidRPr="00572D61" w:rsidRDefault="006C18A3" w:rsidP="00450E72">
      <w:pPr>
        <w:adjustRightInd w:val="0"/>
        <w:snapToGrid w:val="0"/>
        <w:spacing w:line="360" w:lineRule="auto"/>
        <w:jc w:val="both"/>
        <w:rPr>
          <w:rFonts w:ascii="Book Antiqua" w:hAnsi="Book Antiqua"/>
          <w:lang w:val="en-GB"/>
        </w:rPr>
        <w:sectPr w:rsidR="006C18A3" w:rsidRPr="00572D61">
          <w:pgSz w:w="12240" w:h="15840"/>
          <w:pgMar w:top="1440" w:right="1440" w:bottom="1440" w:left="1440" w:header="720" w:footer="720" w:gutter="0"/>
          <w:cols w:space="720"/>
          <w:docGrid w:linePitch="360"/>
        </w:sectPr>
      </w:pPr>
    </w:p>
    <w:p w14:paraId="22B2546F" w14:textId="77777777" w:rsidR="00A77B3E" w:rsidRPr="00572D61" w:rsidRDefault="00037BBC" w:rsidP="00450E72">
      <w:pPr>
        <w:adjustRightInd w:val="0"/>
        <w:snapToGrid w:val="0"/>
        <w:spacing w:line="360" w:lineRule="auto"/>
        <w:jc w:val="both"/>
        <w:rPr>
          <w:rFonts w:ascii="Book Antiqua" w:hAnsi="Book Antiqua" w:cs="Book Antiqua"/>
          <w:b/>
          <w:color w:val="000000"/>
          <w:lang w:val="en-GB" w:eastAsia="zh-CN"/>
        </w:rPr>
      </w:pPr>
      <w:r w:rsidRPr="00572D61">
        <w:rPr>
          <w:rFonts w:ascii="Book Antiqua" w:eastAsia="Book Antiqua" w:hAnsi="Book Antiqua" w:cs="Book Antiqua"/>
          <w:b/>
          <w:color w:val="000000"/>
          <w:lang w:val="en-GB"/>
        </w:rPr>
        <w:lastRenderedPageBreak/>
        <w:t>Figure Legends</w:t>
      </w:r>
    </w:p>
    <w:p w14:paraId="2E5DE3B1" w14:textId="77777777" w:rsidR="00037BBC" w:rsidRPr="00572D61" w:rsidRDefault="0013669F" w:rsidP="00450E72">
      <w:pPr>
        <w:adjustRightInd w:val="0"/>
        <w:snapToGrid w:val="0"/>
        <w:spacing w:line="360" w:lineRule="auto"/>
        <w:jc w:val="both"/>
        <w:rPr>
          <w:rFonts w:ascii="Book Antiqua" w:hAnsi="Book Antiqua" w:cs="Book Antiqua"/>
          <w:b/>
          <w:color w:val="000000"/>
          <w:lang w:val="en-GB" w:eastAsia="zh-CN"/>
        </w:rPr>
      </w:pPr>
      <w:r w:rsidRPr="00572D61">
        <w:rPr>
          <w:noProof/>
          <w:lang w:eastAsia="zh-CN"/>
        </w:rPr>
        <w:drawing>
          <wp:inline distT="0" distB="0" distL="0" distR="0" wp14:anchorId="0741B2CC" wp14:editId="7E74F966">
            <wp:extent cx="5274310" cy="22653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265389"/>
                    </a:xfrm>
                    <a:prstGeom prst="rect">
                      <a:avLst/>
                    </a:prstGeom>
                  </pic:spPr>
                </pic:pic>
              </a:graphicData>
            </a:graphic>
          </wp:inline>
        </w:drawing>
      </w:r>
    </w:p>
    <w:p w14:paraId="62F4CE12" w14:textId="77777777" w:rsidR="00586E99" w:rsidRPr="00572D61" w:rsidRDefault="00586E99" w:rsidP="00450E72">
      <w:pPr>
        <w:adjustRightInd w:val="0"/>
        <w:snapToGrid w:val="0"/>
        <w:spacing w:line="360" w:lineRule="auto"/>
        <w:jc w:val="both"/>
        <w:rPr>
          <w:rFonts w:ascii="Book Antiqua" w:hAnsi="Book Antiqua"/>
          <w:b/>
          <w:bCs/>
          <w:lang w:val="en-GB" w:eastAsia="zh-CN"/>
        </w:rPr>
      </w:pPr>
      <w:bookmarkStart w:id="2" w:name="OLE_LINK668"/>
      <w:bookmarkStart w:id="3" w:name="OLE_LINK669"/>
      <w:r w:rsidRPr="00572D61">
        <w:rPr>
          <w:rFonts w:ascii="Book Antiqua" w:hAnsi="Book Antiqua"/>
          <w:b/>
          <w:bCs/>
          <w:lang w:val="en-GB" w:eastAsia="zh-CN"/>
        </w:rPr>
        <w:t>Figure 1 The flowchart of the study cohort.</w:t>
      </w:r>
    </w:p>
    <w:p w14:paraId="64928166"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b/>
          <w:bCs/>
          <w:lang w:val="en-GB" w:eastAsia="zh-CN"/>
        </w:rPr>
        <w:br w:type="page"/>
      </w:r>
      <w:r w:rsidRPr="00572D61">
        <w:rPr>
          <w:noProof/>
          <w:lang w:eastAsia="zh-CN"/>
        </w:rPr>
        <w:lastRenderedPageBreak/>
        <w:drawing>
          <wp:inline distT="0" distB="0" distL="0" distR="0" wp14:anchorId="6890AE38" wp14:editId="11789767">
            <wp:extent cx="5486400" cy="2541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41905"/>
                    </a:xfrm>
                    <a:prstGeom prst="rect">
                      <a:avLst/>
                    </a:prstGeom>
                  </pic:spPr>
                </pic:pic>
              </a:graphicData>
            </a:graphic>
          </wp:inline>
        </w:drawing>
      </w:r>
    </w:p>
    <w:p w14:paraId="637AFF5E" w14:textId="65468E81" w:rsidR="00037BBC"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2</w:t>
      </w:r>
      <w:r w:rsidR="00586E99"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b/>
          <w:bCs/>
          <w:color w:val="000000"/>
          <w:lang w:val="en-GB"/>
        </w:rPr>
        <w:t xml:space="preserve">Kaplan–Meier survival curves of predictor stratification for overall survival in the training cohort. </w:t>
      </w:r>
      <w:r w:rsidRPr="00572D61">
        <w:rPr>
          <w:rFonts w:ascii="Book Antiqua" w:eastAsia="Book Antiqua" w:hAnsi="Book Antiqua" w:cs="Book Antiqua"/>
          <w:color w:val="000000"/>
          <w:lang w:val="en-GB"/>
        </w:rPr>
        <w:t xml:space="preserve">Median </w:t>
      </w:r>
      <w:r w:rsidR="00586E99" w:rsidRPr="00572D61">
        <w:rPr>
          <w:rFonts w:ascii="Book Antiqua" w:eastAsia="Book Antiqua" w:hAnsi="Book Antiqua" w:cs="Book Antiqua"/>
          <w:color w:val="000000"/>
          <w:lang w:val="en-GB"/>
        </w:rPr>
        <w:t>overall survival</w:t>
      </w:r>
      <w:r w:rsidRPr="00572D61">
        <w:rPr>
          <w:rFonts w:ascii="Book Antiqua" w:eastAsia="Book Antiqua" w:hAnsi="Book Antiqua" w:cs="Book Antiqua"/>
          <w:color w:val="000000"/>
          <w:lang w:val="en-GB"/>
        </w:rPr>
        <w:t xml:space="preserve"> (stratification, months): </w:t>
      </w:r>
      <w:r w:rsidR="00586E99" w:rsidRPr="00572D61">
        <w:rPr>
          <w:rFonts w:ascii="Book Antiqua" w:eastAsia="Book Antiqua" w:hAnsi="Book Antiqua" w:cs="Book Antiqua"/>
          <w:color w:val="000000"/>
          <w:lang w:val="en-GB"/>
        </w:rPr>
        <w:t xml:space="preserve">neutrophil-to-lymphocyte ratio </w:t>
      </w:r>
      <w:r w:rsidRPr="00572D61">
        <w:rPr>
          <w:rFonts w:ascii="Book Antiqua" w:eastAsia="Book Antiqua" w:hAnsi="Book Antiqua" w:cs="Book Antiqua"/>
          <w:color w:val="000000"/>
          <w:lang w:val="en-GB"/>
        </w:rPr>
        <w:t xml:space="preserve">(low, 42; high, 28), </w:t>
      </w:r>
      <w:r w:rsidR="00586E99" w:rsidRPr="00572D61">
        <w:rPr>
          <w:rFonts w:ascii="Book Antiqua" w:eastAsia="Book Antiqua" w:hAnsi="Book Antiqua" w:cs="Book Antiqua"/>
          <w:color w:val="000000"/>
          <w:lang w:val="en-GB"/>
        </w:rPr>
        <w:t xml:space="preserve">platelet-to-lymphocyte ratio </w:t>
      </w:r>
      <w:r w:rsidRPr="00572D61">
        <w:rPr>
          <w:rFonts w:ascii="Book Antiqua" w:eastAsia="Book Antiqua" w:hAnsi="Book Antiqua" w:cs="Book Antiqua"/>
          <w:color w:val="000000"/>
          <w:lang w:val="en-GB"/>
        </w:rPr>
        <w:t xml:space="preserve">(low, 40; high, 28), </w:t>
      </w:r>
      <w:r w:rsidR="00583DAC">
        <w:rPr>
          <w:rFonts w:ascii="Book Antiqua" w:eastAsia="Book Antiqua" w:hAnsi="Book Antiqua" w:cs="Book Antiqua"/>
          <w:color w:val="000000"/>
          <w:lang w:val="en-GB"/>
        </w:rPr>
        <w:sym w:font="Symbol" w:char="F061"/>
      </w:r>
      <w:r w:rsidR="00586E99" w:rsidRPr="00572D61">
        <w:rPr>
          <w:rFonts w:ascii="Book Antiqua" w:eastAsia="Book Antiqua" w:hAnsi="Book Antiqua" w:cs="Book Antiqua"/>
          <w:color w:val="000000"/>
          <w:lang w:val="en-GB"/>
        </w:rPr>
        <w:t xml:space="preserve">-fetoprotein </w:t>
      </w:r>
      <w:r w:rsidRPr="00572D61">
        <w:rPr>
          <w:rFonts w:ascii="Book Antiqua" w:eastAsia="Book Antiqua" w:hAnsi="Book Antiqua" w:cs="Book Antiqua"/>
          <w:color w:val="000000"/>
          <w:lang w:val="en-GB"/>
        </w:rPr>
        <w:t xml:space="preserve">(&lt;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37; ≥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29), tumour size (&lt; 5 cm, 38; ≥ 5 cm, 30), grade (well, 36; moderate, 32; poor, 30), and </w:t>
      </w:r>
      <w:r w:rsidR="00586E99" w:rsidRPr="00572D61">
        <w:rPr>
          <w:rFonts w:ascii="Book Antiqua" w:eastAsia="Book Antiqua" w:hAnsi="Book Antiqua" w:cs="Book Antiqua"/>
          <w:color w:val="000000"/>
          <w:lang w:val="en-GB"/>
        </w:rPr>
        <w:t xml:space="preserve">lymph node metastasis </w:t>
      </w:r>
      <w:r w:rsidRPr="00572D61">
        <w:rPr>
          <w:rFonts w:ascii="Book Antiqua" w:eastAsia="Book Antiqua" w:hAnsi="Book Antiqua" w:cs="Book Antiqua"/>
          <w:color w:val="000000"/>
          <w:lang w:val="en-GB"/>
        </w:rPr>
        <w:t xml:space="preserve">(no, 34; yes, 29). NLR: Neutrophil-to-lymphocyte ratio; PLR: Platelet-to-lymphocyte ratio; AFP: Alpha-fetoprotein; </w:t>
      </w:r>
      <w:r w:rsidRPr="00572D61">
        <w:rPr>
          <w:rFonts w:ascii="Book Antiqua" w:hAnsi="Book Antiqua" w:cs="Book Antiqua"/>
          <w:color w:val="000000"/>
          <w:lang w:val="en-GB" w:eastAsia="zh-CN"/>
        </w:rPr>
        <w:t>LNM</w:t>
      </w:r>
      <w:r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aps/>
          <w:color w:val="000000"/>
          <w:lang w:val="en-GB"/>
        </w:rPr>
        <w:t>l</w:t>
      </w:r>
      <w:r w:rsidRPr="00572D61">
        <w:rPr>
          <w:rFonts w:ascii="Book Antiqua" w:eastAsia="Book Antiqua" w:hAnsi="Book Antiqua" w:cs="Book Antiqua"/>
          <w:color w:val="000000"/>
          <w:lang w:val="en-GB"/>
        </w:rPr>
        <w:t>ymph node metastasis.</w:t>
      </w:r>
    </w:p>
    <w:p w14:paraId="00A3A6C6" w14:textId="77777777" w:rsidR="00A77B3E" w:rsidRPr="00572D61" w:rsidRDefault="00A77B3E" w:rsidP="00450E72">
      <w:pPr>
        <w:adjustRightInd w:val="0"/>
        <w:snapToGrid w:val="0"/>
        <w:spacing w:line="360" w:lineRule="auto"/>
        <w:jc w:val="both"/>
        <w:rPr>
          <w:rFonts w:ascii="Book Antiqua" w:hAnsi="Book Antiqua" w:cs="Book Antiqua"/>
          <w:color w:val="000000"/>
          <w:lang w:val="en-GB" w:eastAsia="zh-CN"/>
        </w:rPr>
      </w:pPr>
    </w:p>
    <w:p w14:paraId="2141A371"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lang w:val="en-GB" w:eastAsia="zh-CN"/>
        </w:rPr>
        <w:br w:type="page"/>
      </w:r>
      <w:r w:rsidRPr="00572D61">
        <w:rPr>
          <w:rFonts w:ascii="Book Antiqua" w:hAnsi="Book Antiqua"/>
          <w:noProof/>
          <w:lang w:eastAsia="zh-CN"/>
        </w:rPr>
        <w:lastRenderedPageBreak/>
        <w:drawing>
          <wp:inline distT="0" distB="0" distL="0" distR="0" wp14:anchorId="5A5503F6" wp14:editId="0A85E164">
            <wp:extent cx="5486400" cy="4114165"/>
            <wp:effectExtent l="0" t="0" r="0" b="635"/>
            <wp:docPr id="4097" name="图片 3" descr="图2-nom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图片 3" descr="图2-nom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165"/>
                    </a:xfrm>
                    <a:prstGeom prst="rect">
                      <a:avLst/>
                    </a:prstGeom>
                    <a:noFill/>
                    <a:ln>
                      <a:noFill/>
                    </a:ln>
                  </pic:spPr>
                </pic:pic>
              </a:graphicData>
            </a:graphic>
          </wp:inline>
        </w:drawing>
      </w:r>
    </w:p>
    <w:p w14:paraId="6E27F1A7" w14:textId="5ED5DA6E" w:rsidR="00A77B3E"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3</w:t>
      </w:r>
      <w:r w:rsidR="00586E99"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b/>
          <w:bCs/>
          <w:color w:val="000000"/>
          <w:lang w:val="en-GB"/>
        </w:rPr>
        <w:t xml:space="preserve">Nomogram for predicting </w:t>
      </w:r>
      <w:r w:rsidR="00583DAC">
        <w:rPr>
          <w:rFonts w:ascii="Book Antiqua" w:eastAsia="Book Antiqua" w:hAnsi="Book Antiqua" w:cs="Book Antiqua"/>
          <w:b/>
          <w:bCs/>
          <w:color w:val="000000"/>
          <w:lang w:val="en-GB"/>
        </w:rPr>
        <w:t>OS</w:t>
      </w:r>
      <w:r w:rsidRPr="00572D61">
        <w:rPr>
          <w:rFonts w:ascii="Book Antiqua" w:eastAsia="Book Antiqua" w:hAnsi="Book Antiqua" w:cs="Book Antiqua"/>
          <w:b/>
          <w:bCs/>
          <w:color w:val="000000"/>
          <w:lang w:val="en-GB"/>
        </w:rPr>
        <w:t xml:space="preserve"> in the training cohort.</w:t>
      </w:r>
      <w:r w:rsidRPr="00572D61">
        <w:rPr>
          <w:rFonts w:ascii="Book Antiqua" w:eastAsia="Book Antiqua" w:hAnsi="Book Antiqua" w:cs="Book Antiqua"/>
          <w:color w:val="000000"/>
          <w:lang w:val="en-GB"/>
        </w:rPr>
        <w:t xml:space="preserve"> NLR: Neutrophil-to-lymphocyte ratio; PLR: Platelet-to-lymphocyte ratio; AFP: Alpha-fetoprotein; OS: Overall survival.</w:t>
      </w:r>
    </w:p>
    <w:p w14:paraId="0D6E8394" w14:textId="77777777" w:rsidR="00037BBC"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hAnsi="Book Antiqua" w:cs="Book Antiqua"/>
          <w:color w:val="000000"/>
          <w:lang w:val="en-GB" w:eastAsia="zh-CN"/>
        </w:rPr>
        <w:br w:type="page"/>
      </w:r>
      <w:r w:rsidRPr="00572D61">
        <w:rPr>
          <w:noProof/>
          <w:lang w:eastAsia="zh-CN"/>
        </w:rPr>
        <w:lastRenderedPageBreak/>
        <w:drawing>
          <wp:inline distT="0" distB="0" distL="0" distR="0" wp14:anchorId="4D2477D1" wp14:editId="0B157980">
            <wp:extent cx="5486400" cy="3374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74390"/>
                    </a:xfrm>
                    <a:prstGeom prst="rect">
                      <a:avLst/>
                    </a:prstGeom>
                  </pic:spPr>
                </pic:pic>
              </a:graphicData>
            </a:graphic>
          </wp:inline>
        </w:drawing>
      </w:r>
    </w:p>
    <w:p w14:paraId="63BA6FD9" w14:textId="4D29998F" w:rsidR="00586E99" w:rsidRPr="00572D61" w:rsidRDefault="00586E99" w:rsidP="00450E72">
      <w:pPr>
        <w:adjustRightInd w:val="0"/>
        <w:snapToGrid w:val="0"/>
        <w:spacing w:line="360" w:lineRule="auto"/>
        <w:jc w:val="both"/>
        <w:rPr>
          <w:rFonts w:ascii="Book Antiqua" w:hAnsi="Book Antiqua"/>
          <w:lang w:val="en-GB" w:eastAsia="zh-CN"/>
        </w:rPr>
      </w:pPr>
      <w:r w:rsidRPr="00572D61">
        <w:rPr>
          <w:rFonts w:ascii="Book Antiqua" w:hAnsi="Book Antiqua"/>
          <w:b/>
          <w:bCs/>
          <w:lang w:val="en-GB" w:eastAsia="zh-CN"/>
        </w:rPr>
        <w:t xml:space="preserve">Figure 4 Screenshot of the online dynamic calculator to predict </w:t>
      </w:r>
      <w:r w:rsidR="00583DAC">
        <w:rPr>
          <w:rFonts w:ascii="Book Antiqua" w:hAnsi="Book Antiqua"/>
          <w:b/>
          <w:bCs/>
          <w:lang w:val="en-GB" w:eastAsia="zh-CN"/>
        </w:rPr>
        <w:t>OS</w:t>
      </w:r>
      <w:r w:rsidRPr="00572D61">
        <w:rPr>
          <w:rFonts w:ascii="Book Antiqua" w:hAnsi="Book Antiqua"/>
          <w:b/>
          <w:bCs/>
          <w:lang w:val="en-GB" w:eastAsia="zh-CN"/>
        </w:rPr>
        <w:t xml:space="preserve"> of hepatocellular carcinoma patients after hepatectomy. </w:t>
      </w:r>
      <w:r w:rsidRPr="00572D61">
        <w:rPr>
          <w:rFonts w:ascii="Book Antiqua" w:hAnsi="Book Antiqua"/>
          <w:lang w:val="en-GB" w:eastAsia="zh-CN"/>
        </w:rPr>
        <w:t>NLR: Neutrophil-to-lymphocyte ratio; PLR: Platelet-to-lymphocyte ratio; AFP: Alpha-fetoprotein; OS: Overall survival.</w:t>
      </w:r>
    </w:p>
    <w:p w14:paraId="0261C2AF"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lang w:val="en-GB" w:eastAsia="zh-CN"/>
        </w:rPr>
        <w:br w:type="page"/>
      </w:r>
      <w:r w:rsidRPr="00572D61">
        <w:rPr>
          <w:noProof/>
          <w:lang w:eastAsia="zh-CN"/>
        </w:rPr>
        <w:lastRenderedPageBreak/>
        <w:drawing>
          <wp:inline distT="0" distB="0" distL="0" distR="0" wp14:anchorId="51E2DE8B" wp14:editId="0780596F">
            <wp:extent cx="5486400" cy="2691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691130"/>
                    </a:xfrm>
                    <a:prstGeom prst="rect">
                      <a:avLst/>
                    </a:prstGeom>
                  </pic:spPr>
                </pic:pic>
              </a:graphicData>
            </a:graphic>
          </wp:inline>
        </w:drawing>
      </w:r>
    </w:p>
    <w:p w14:paraId="7B7667CC" w14:textId="5378EB5A" w:rsidR="00037BBC"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5</w:t>
      </w:r>
      <w:r w:rsidR="00586E99" w:rsidRPr="00572D61">
        <w:rPr>
          <w:rFonts w:ascii="Book Antiqua" w:eastAsia="Book Antiqua" w:hAnsi="Book Antiqua" w:cs="Book Antiqua"/>
          <w:b/>
          <w:bCs/>
          <w:color w:val="000000"/>
          <w:lang w:val="en-GB"/>
        </w:rPr>
        <w:t xml:space="preserve"> </w:t>
      </w:r>
      <w:r w:rsidR="00583DAC">
        <w:rPr>
          <w:rFonts w:ascii="Book Antiqua" w:eastAsia="Book Antiqua" w:hAnsi="Book Antiqua" w:cs="Book Antiqua"/>
          <w:b/>
          <w:bCs/>
          <w:color w:val="000000"/>
          <w:lang w:val="en-GB"/>
        </w:rPr>
        <w:t>C</w:t>
      </w:r>
      <w:r w:rsidRPr="00572D61">
        <w:rPr>
          <w:rFonts w:ascii="Book Antiqua" w:eastAsia="Book Antiqua" w:hAnsi="Book Antiqua" w:cs="Book Antiqua"/>
          <w:b/>
          <w:bCs/>
          <w:color w:val="000000"/>
          <w:lang w:val="en-GB"/>
        </w:rPr>
        <w:t xml:space="preserve">alibration curves for predicting 1-, 2- and 3-year overall survival in the training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(A</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 xml:space="preserve">C) and validation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(D</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F).</w:t>
      </w:r>
    </w:p>
    <w:p w14:paraId="0878EE1B" w14:textId="77777777" w:rsidR="00037BBC"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hAnsi="Book Antiqua" w:cs="Book Antiqua"/>
          <w:b/>
          <w:bCs/>
          <w:color w:val="000000"/>
          <w:lang w:val="en-GB" w:eastAsia="zh-CN"/>
        </w:rPr>
        <w:br w:type="page"/>
      </w:r>
      <w:r w:rsidRPr="00572D61">
        <w:rPr>
          <w:noProof/>
          <w:lang w:eastAsia="zh-CN"/>
        </w:rPr>
        <w:lastRenderedPageBreak/>
        <w:drawing>
          <wp:inline distT="0" distB="0" distL="0" distR="0" wp14:anchorId="61F3B01E" wp14:editId="5CB862F6">
            <wp:extent cx="5486400" cy="2877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877820"/>
                    </a:xfrm>
                    <a:prstGeom prst="rect">
                      <a:avLst/>
                    </a:prstGeom>
                  </pic:spPr>
                </pic:pic>
              </a:graphicData>
            </a:graphic>
          </wp:inline>
        </w:drawing>
      </w:r>
    </w:p>
    <w:p w14:paraId="22534911" w14:textId="03ABE4B3" w:rsidR="00A77B3E"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6</w:t>
      </w:r>
      <w:r w:rsidR="00586E99" w:rsidRPr="00572D61">
        <w:rPr>
          <w:rFonts w:ascii="Book Antiqua" w:eastAsia="Book Antiqua" w:hAnsi="Book Antiqua" w:cs="Book Antiqua"/>
          <w:b/>
          <w:bCs/>
          <w:color w:val="000000"/>
          <w:lang w:val="en-GB"/>
        </w:rPr>
        <w:t xml:space="preserve"> </w:t>
      </w:r>
      <w:r w:rsidR="00583DAC">
        <w:rPr>
          <w:rFonts w:ascii="Book Antiqua" w:eastAsia="Book Antiqua" w:hAnsi="Book Antiqua" w:cs="Book Antiqua"/>
          <w:b/>
          <w:bCs/>
          <w:color w:val="000000"/>
          <w:lang w:val="en-GB"/>
        </w:rPr>
        <w:t>R</w:t>
      </w:r>
      <w:r w:rsidRPr="00572D61">
        <w:rPr>
          <w:rFonts w:ascii="Book Antiqua" w:eastAsia="Book Antiqua" w:hAnsi="Book Antiqua" w:cs="Book Antiqua"/>
          <w:b/>
          <w:bCs/>
          <w:color w:val="000000"/>
          <w:lang w:val="en-GB"/>
        </w:rPr>
        <w:t xml:space="preserve">eceiver operating characteristic curves for predicting 1-, 2- and 3-year overall survival in the training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(A</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C) and validation</w:t>
      </w:r>
      <w:r w:rsidR="00583DAC">
        <w:rPr>
          <w:rFonts w:ascii="Book Antiqua" w:eastAsia="Book Antiqua" w:hAnsi="Book Antiqua" w:cs="Book Antiqua"/>
          <w:b/>
          <w:bCs/>
          <w:color w:val="000000"/>
          <w:lang w:val="en-GB"/>
        </w:rPr>
        <w:t xml:space="preserve"> cohort</w:t>
      </w:r>
      <w:r w:rsidRPr="00572D61">
        <w:rPr>
          <w:rFonts w:ascii="Book Antiqua" w:eastAsia="Book Antiqua" w:hAnsi="Book Antiqua" w:cs="Book Antiqua"/>
          <w:b/>
          <w:bCs/>
          <w:color w:val="000000"/>
          <w:lang w:val="en-GB"/>
        </w:rPr>
        <w:t xml:space="preserve"> (D</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F).</w:t>
      </w:r>
      <w:bookmarkEnd w:id="2"/>
      <w:bookmarkEnd w:id="3"/>
    </w:p>
    <w:p w14:paraId="7026E10C" w14:textId="635C6EE1" w:rsidR="00037BBC" w:rsidRPr="00572D61" w:rsidRDefault="00037BBC" w:rsidP="00450E72">
      <w:pPr>
        <w:adjustRightInd w:val="0"/>
        <w:snapToGrid w:val="0"/>
        <w:spacing w:line="360" w:lineRule="auto"/>
        <w:rPr>
          <w:rFonts w:ascii="Book Antiqua" w:hAnsi="Book Antiqua"/>
          <w:lang w:val="en-GB"/>
        </w:rPr>
      </w:pPr>
      <w:r w:rsidRPr="00572D61">
        <w:rPr>
          <w:rFonts w:ascii="Book Antiqua" w:hAnsi="Book Antiqua" w:cs="Book Antiqua"/>
          <w:b/>
          <w:bCs/>
          <w:color w:val="000000"/>
          <w:lang w:val="en-GB" w:eastAsia="zh-CN"/>
        </w:rPr>
        <w:br w:type="page"/>
      </w:r>
      <w:r w:rsidRPr="00572D61">
        <w:rPr>
          <w:rFonts w:ascii="Book Antiqua" w:hAnsi="Book Antiqua"/>
          <w:b/>
          <w:bCs/>
          <w:lang w:val="en-GB"/>
        </w:rPr>
        <w:lastRenderedPageBreak/>
        <w:t xml:space="preserve">Table 1 </w:t>
      </w:r>
      <w:r w:rsidRPr="00572D61">
        <w:rPr>
          <w:rFonts w:ascii="Book Antiqua" w:hAnsi="Book Antiqua"/>
          <w:b/>
          <w:lang w:val="en-GB"/>
        </w:rPr>
        <w:t>Demographic and clinicopathologic</w:t>
      </w:r>
      <w:r w:rsidR="00583DAC">
        <w:rPr>
          <w:rFonts w:ascii="Book Antiqua" w:hAnsi="Book Antiqua"/>
          <w:b/>
          <w:lang w:val="en-GB"/>
        </w:rPr>
        <w:t>al</w:t>
      </w:r>
      <w:r w:rsidRPr="00572D61">
        <w:rPr>
          <w:rFonts w:ascii="Book Antiqua" w:hAnsi="Book Antiqua"/>
          <w:b/>
          <w:lang w:val="en-GB"/>
        </w:rPr>
        <w:t xml:space="preserve"> characteristics of the patients</w:t>
      </w:r>
    </w:p>
    <w:tbl>
      <w:tblPr>
        <w:tblW w:w="8580" w:type="dxa"/>
        <w:tblLook w:val="04A0" w:firstRow="1" w:lastRow="0" w:firstColumn="1" w:lastColumn="0" w:noHBand="0" w:noVBand="1"/>
      </w:tblPr>
      <w:tblGrid>
        <w:gridCol w:w="2552"/>
        <w:gridCol w:w="1144"/>
        <w:gridCol w:w="1144"/>
        <w:gridCol w:w="1351"/>
        <w:gridCol w:w="1229"/>
        <w:gridCol w:w="1160"/>
      </w:tblGrid>
      <w:tr w:rsidR="000B3235" w:rsidRPr="00572D61" w14:paraId="1C803E77" w14:textId="77777777" w:rsidTr="00F60851">
        <w:trPr>
          <w:trHeight w:val="285"/>
        </w:trPr>
        <w:tc>
          <w:tcPr>
            <w:tcW w:w="2552" w:type="dxa"/>
            <w:tcBorders>
              <w:top w:val="single" w:sz="4" w:space="0" w:color="auto"/>
              <w:left w:val="nil"/>
              <w:bottom w:val="nil"/>
              <w:right w:val="nil"/>
            </w:tcBorders>
            <w:shd w:val="clear" w:color="auto" w:fill="auto"/>
            <w:noWrap/>
            <w:vAlign w:val="bottom"/>
          </w:tcPr>
          <w:p w14:paraId="1E947B54" w14:textId="0BE8910B" w:rsidR="000B3235" w:rsidRPr="00572D61" w:rsidRDefault="000B3235" w:rsidP="00450E72">
            <w:pPr>
              <w:adjustRightInd w:val="0"/>
              <w:snapToGrid w:val="0"/>
              <w:spacing w:line="360" w:lineRule="auto"/>
              <w:rPr>
                <w:rFonts w:ascii="Book Antiqua" w:eastAsia="等线" w:hAnsi="Book Antiqua"/>
                <w:color w:val="000000"/>
                <w:lang w:val="en-GB" w:eastAsia="zh-CN"/>
              </w:rPr>
            </w:pPr>
          </w:p>
        </w:tc>
        <w:tc>
          <w:tcPr>
            <w:tcW w:w="2288" w:type="dxa"/>
            <w:gridSpan w:val="2"/>
            <w:tcBorders>
              <w:top w:val="single" w:sz="4" w:space="0" w:color="auto"/>
              <w:left w:val="nil"/>
              <w:bottom w:val="single" w:sz="4" w:space="0" w:color="auto"/>
              <w:right w:val="nil"/>
            </w:tcBorders>
            <w:shd w:val="clear" w:color="auto" w:fill="auto"/>
            <w:noWrap/>
            <w:vAlign w:val="bottom"/>
          </w:tcPr>
          <w:p w14:paraId="414C03A2" w14:textId="77777777" w:rsidR="000B3235" w:rsidRPr="00572D61" w:rsidRDefault="000B3235" w:rsidP="00450E72">
            <w:pPr>
              <w:adjustRightInd w:val="0"/>
              <w:snapToGrid w:val="0"/>
              <w:spacing w:line="360" w:lineRule="auto"/>
              <w:jc w:val="center"/>
              <w:rPr>
                <w:rFonts w:ascii="Book Antiqua" w:eastAsia="等线" w:hAnsi="Book Antiqua"/>
                <w:b/>
                <w:color w:val="000000"/>
                <w:lang w:val="en-GB"/>
              </w:rPr>
            </w:pPr>
            <w:r w:rsidRPr="00572D61">
              <w:rPr>
                <w:rFonts w:ascii="Book Antiqua" w:eastAsia="等线" w:hAnsi="Book Antiqua"/>
                <w:b/>
                <w:color w:val="000000"/>
                <w:lang w:val="en-GB"/>
              </w:rPr>
              <w:t>Training cohort (</w:t>
            </w:r>
            <w:r w:rsidRPr="00572D61">
              <w:rPr>
                <w:rFonts w:ascii="Book Antiqua" w:eastAsia="等线" w:hAnsi="Book Antiqua"/>
                <w:b/>
                <w:i/>
                <w:color w:val="000000"/>
                <w:lang w:val="en-GB"/>
              </w:rPr>
              <w:t>n</w:t>
            </w:r>
            <w:r w:rsidRPr="00572D61">
              <w:rPr>
                <w:rFonts w:ascii="Book Antiqua" w:eastAsia="等线" w:hAnsi="Book Antiqua"/>
                <w:b/>
                <w:color w:val="000000"/>
                <w:lang w:val="en-GB"/>
              </w:rPr>
              <w:t xml:space="preserve"> = 410)</w:t>
            </w:r>
          </w:p>
        </w:tc>
        <w:tc>
          <w:tcPr>
            <w:tcW w:w="2580" w:type="dxa"/>
            <w:gridSpan w:val="2"/>
            <w:tcBorders>
              <w:top w:val="single" w:sz="4" w:space="0" w:color="auto"/>
              <w:left w:val="nil"/>
              <w:bottom w:val="single" w:sz="4" w:space="0" w:color="auto"/>
              <w:right w:val="nil"/>
            </w:tcBorders>
            <w:shd w:val="clear" w:color="auto" w:fill="auto"/>
            <w:noWrap/>
            <w:vAlign w:val="bottom"/>
          </w:tcPr>
          <w:p w14:paraId="17DF4EC8" w14:textId="4B9E1DC3" w:rsidR="000B3235" w:rsidRPr="00572D61" w:rsidRDefault="000B3235" w:rsidP="005C3BA6">
            <w:pPr>
              <w:adjustRightInd w:val="0"/>
              <w:snapToGrid w:val="0"/>
              <w:spacing w:line="360" w:lineRule="auto"/>
              <w:rPr>
                <w:rFonts w:ascii="Book Antiqua" w:eastAsia="等线" w:hAnsi="Book Antiqua"/>
                <w:b/>
                <w:color w:val="000000"/>
                <w:lang w:val="en-GB"/>
              </w:rPr>
            </w:pPr>
            <w:r w:rsidRPr="00572D61">
              <w:rPr>
                <w:rFonts w:ascii="Book Antiqua" w:eastAsia="等线" w:hAnsi="Book Antiqua"/>
                <w:b/>
                <w:color w:val="000000"/>
                <w:lang w:val="en-GB"/>
              </w:rPr>
              <w:t>Validation cohort (</w:t>
            </w:r>
            <w:r w:rsidRPr="00572D61">
              <w:rPr>
                <w:rFonts w:ascii="Book Antiqua" w:eastAsia="等线" w:hAnsi="Book Antiqua"/>
                <w:b/>
                <w:i/>
                <w:color w:val="000000"/>
                <w:lang w:val="en-GB"/>
              </w:rPr>
              <w:t>n</w:t>
            </w:r>
            <w:r w:rsidRPr="00572D61">
              <w:rPr>
                <w:rFonts w:ascii="Book Antiqua" w:eastAsia="等线" w:hAnsi="Book Antiqua"/>
                <w:b/>
                <w:color w:val="000000"/>
                <w:lang w:val="en-GB"/>
              </w:rPr>
              <w:t xml:space="preserve"> = 216)</w:t>
            </w:r>
          </w:p>
        </w:tc>
        <w:tc>
          <w:tcPr>
            <w:tcW w:w="1160" w:type="dxa"/>
            <w:vMerge w:val="restart"/>
            <w:tcBorders>
              <w:top w:val="single" w:sz="4" w:space="0" w:color="auto"/>
              <w:left w:val="nil"/>
              <w:right w:val="nil"/>
            </w:tcBorders>
            <w:shd w:val="clear" w:color="auto" w:fill="auto"/>
            <w:noWrap/>
            <w:vAlign w:val="center"/>
          </w:tcPr>
          <w:p w14:paraId="6CDE055A" w14:textId="77777777" w:rsidR="000B3235" w:rsidRPr="00572D61" w:rsidRDefault="000B3235" w:rsidP="00450E72">
            <w:pPr>
              <w:adjustRightInd w:val="0"/>
              <w:snapToGrid w:val="0"/>
              <w:spacing w:line="360" w:lineRule="auto"/>
              <w:jc w:val="center"/>
              <w:rPr>
                <w:rFonts w:ascii="Book Antiqua" w:eastAsia="等线" w:hAnsi="Book Antiqua"/>
                <w:b/>
                <w:color w:val="000000"/>
                <w:lang w:val="en-GB"/>
              </w:rPr>
            </w:pPr>
            <w:r w:rsidRPr="00572D61">
              <w:rPr>
                <w:rFonts w:ascii="Book Antiqua" w:eastAsia="等线" w:hAnsi="Book Antiqua"/>
                <w:b/>
                <w:i/>
                <w:color w:val="000000"/>
                <w:lang w:val="en-GB"/>
              </w:rPr>
              <w:t>P</w:t>
            </w:r>
            <w:r w:rsidRPr="00572D61">
              <w:rPr>
                <w:rFonts w:ascii="Book Antiqua" w:eastAsia="等线" w:hAnsi="Book Antiqua"/>
                <w:b/>
                <w:color w:val="000000"/>
                <w:lang w:val="en-GB"/>
              </w:rPr>
              <w:t xml:space="preserve"> value</w:t>
            </w:r>
          </w:p>
        </w:tc>
      </w:tr>
      <w:tr w:rsidR="000B3235" w:rsidRPr="00572D61" w14:paraId="2A00FE89" w14:textId="77777777" w:rsidTr="00946E84">
        <w:trPr>
          <w:trHeight w:val="285"/>
        </w:trPr>
        <w:tc>
          <w:tcPr>
            <w:tcW w:w="2552" w:type="dxa"/>
            <w:tcBorders>
              <w:top w:val="nil"/>
              <w:left w:val="nil"/>
              <w:bottom w:val="single" w:sz="4" w:space="0" w:color="auto"/>
              <w:right w:val="nil"/>
            </w:tcBorders>
            <w:shd w:val="clear" w:color="auto" w:fill="auto"/>
            <w:noWrap/>
            <w:vAlign w:val="bottom"/>
          </w:tcPr>
          <w:p w14:paraId="7EE91CF0" w14:textId="7411063F" w:rsidR="000B3235" w:rsidRPr="00572D61" w:rsidRDefault="000B3235" w:rsidP="00450E72">
            <w:pPr>
              <w:adjustRightInd w:val="0"/>
              <w:snapToGrid w:val="0"/>
              <w:spacing w:line="360" w:lineRule="auto"/>
              <w:rPr>
                <w:rFonts w:ascii="Book Antiqua" w:eastAsia="等线" w:hAnsi="Book Antiqua"/>
                <w:color w:val="000000"/>
                <w:lang w:val="en-GB" w:eastAsia="zh-CN"/>
              </w:rPr>
            </w:pPr>
          </w:p>
        </w:tc>
        <w:tc>
          <w:tcPr>
            <w:tcW w:w="1144" w:type="dxa"/>
            <w:tcBorders>
              <w:top w:val="single" w:sz="4" w:space="0" w:color="auto"/>
              <w:left w:val="nil"/>
              <w:bottom w:val="single" w:sz="4" w:space="0" w:color="auto"/>
              <w:right w:val="nil"/>
            </w:tcBorders>
            <w:shd w:val="clear" w:color="auto" w:fill="auto"/>
            <w:noWrap/>
            <w:vAlign w:val="center"/>
          </w:tcPr>
          <w:p w14:paraId="50082EDA" w14:textId="77777777" w:rsidR="000B3235" w:rsidRPr="00572D61" w:rsidRDefault="000B3235" w:rsidP="00450E72">
            <w:pPr>
              <w:adjustRightInd w:val="0"/>
              <w:snapToGrid w:val="0"/>
              <w:spacing w:line="360" w:lineRule="auto"/>
              <w:jc w:val="center"/>
              <w:rPr>
                <w:rFonts w:ascii="Book Antiqua" w:eastAsia="等线" w:hAnsi="Book Antiqua"/>
                <w:b/>
                <w:i/>
                <w:color w:val="000000"/>
                <w:lang w:val="en-GB"/>
              </w:rPr>
            </w:pPr>
            <w:r w:rsidRPr="00572D61">
              <w:rPr>
                <w:rFonts w:ascii="Book Antiqua" w:eastAsia="等线" w:hAnsi="Book Antiqua"/>
                <w:b/>
                <w:i/>
                <w:color w:val="000000"/>
                <w:lang w:val="en-GB"/>
              </w:rPr>
              <w:t>n</w:t>
            </w:r>
          </w:p>
        </w:tc>
        <w:tc>
          <w:tcPr>
            <w:tcW w:w="1144" w:type="dxa"/>
            <w:tcBorders>
              <w:top w:val="single" w:sz="4" w:space="0" w:color="auto"/>
              <w:left w:val="nil"/>
              <w:bottom w:val="single" w:sz="4" w:space="0" w:color="auto"/>
              <w:right w:val="nil"/>
            </w:tcBorders>
            <w:shd w:val="clear" w:color="auto" w:fill="auto"/>
            <w:noWrap/>
            <w:vAlign w:val="center"/>
          </w:tcPr>
          <w:p w14:paraId="64FA5136" w14:textId="77777777" w:rsidR="000B3235" w:rsidRPr="00572D61" w:rsidRDefault="000B3235" w:rsidP="00450E72">
            <w:pPr>
              <w:adjustRightInd w:val="0"/>
              <w:snapToGrid w:val="0"/>
              <w:spacing w:line="360" w:lineRule="auto"/>
              <w:jc w:val="center"/>
              <w:rPr>
                <w:rFonts w:ascii="Book Antiqua" w:eastAsia="等线" w:hAnsi="Book Antiqua"/>
                <w:b/>
                <w:color w:val="000000"/>
                <w:lang w:val="en-GB"/>
              </w:rPr>
            </w:pPr>
            <w:r w:rsidRPr="00572D61">
              <w:rPr>
                <w:rFonts w:ascii="Book Antiqua" w:eastAsia="等线" w:hAnsi="Book Antiqua"/>
                <w:b/>
                <w:color w:val="000000"/>
                <w:lang w:val="en-GB"/>
              </w:rPr>
              <w:t>%</w:t>
            </w:r>
          </w:p>
        </w:tc>
        <w:tc>
          <w:tcPr>
            <w:tcW w:w="1351" w:type="dxa"/>
            <w:tcBorders>
              <w:top w:val="single" w:sz="4" w:space="0" w:color="auto"/>
              <w:left w:val="nil"/>
              <w:bottom w:val="single" w:sz="4" w:space="0" w:color="auto"/>
              <w:right w:val="nil"/>
            </w:tcBorders>
            <w:shd w:val="clear" w:color="auto" w:fill="auto"/>
            <w:noWrap/>
            <w:vAlign w:val="center"/>
          </w:tcPr>
          <w:p w14:paraId="1603FB94" w14:textId="77777777" w:rsidR="000B3235" w:rsidRPr="00572D61" w:rsidRDefault="000B3235" w:rsidP="00450E72">
            <w:pPr>
              <w:adjustRightInd w:val="0"/>
              <w:snapToGrid w:val="0"/>
              <w:spacing w:line="360" w:lineRule="auto"/>
              <w:jc w:val="center"/>
              <w:rPr>
                <w:rFonts w:ascii="Book Antiqua" w:eastAsia="等线" w:hAnsi="Book Antiqua"/>
                <w:b/>
                <w:i/>
                <w:color w:val="000000"/>
                <w:lang w:val="en-GB"/>
              </w:rPr>
            </w:pPr>
            <w:r w:rsidRPr="00572D61">
              <w:rPr>
                <w:rFonts w:ascii="Book Antiqua" w:eastAsia="等线" w:hAnsi="Book Antiqua"/>
                <w:b/>
                <w:i/>
                <w:color w:val="000000"/>
                <w:lang w:val="en-GB"/>
              </w:rPr>
              <w:t>n</w:t>
            </w:r>
          </w:p>
        </w:tc>
        <w:tc>
          <w:tcPr>
            <w:tcW w:w="1229" w:type="dxa"/>
            <w:tcBorders>
              <w:top w:val="single" w:sz="4" w:space="0" w:color="auto"/>
              <w:left w:val="nil"/>
              <w:bottom w:val="single" w:sz="4" w:space="0" w:color="auto"/>
              <w:right w:val="nil"/>
            </w:tcBorders>
            <w:shd w:val="clear" w:color="auto" w:fill="auto"/>
            <w:noWrap/>
            <w:vAlign w:val="center"/>
          </w:tcPr>
          <w:p w14:paraId="31D726DF" w14:textId="77777777" w:rsidR="000B3235" w:rsidRPr="00572D61" w:rsidRDefault="000B3235" w:rsidP="00450E72">
            <w:pPr>
              <w:adjustRightInd w:val="0"/>
              <w:snapToGrid w:val="0"/>
              <w:spacing w:line="360" w:lineRule="auto"/>
              <w:jc w:val="center"/>
              <w:rPr>
                <w:rFonts w:ascii="Book Antiqua" w:eastAsia="等线" w:hAnsi="Book Antiqua"/>
                <w:b/>
                <w:color w:val="000000"/>
                <w:lang w:val="en-GB"/>
              </w:rPr>
            </w:pPr>
            <w:r w:rsidRPr="00572D61">
              <w:rPr>
                <w:rFonts w:ascii="Book Antiqua" w:eastAsia="等线" w:hAnsi="Book Antiqua"/>
                <w:b/>
                <w:color w:val="000000"/>
                <w:lang w:val="en-GB"/>
              </w:rPr>
              <w:t>%</w:t>
            </w:r>
          </w:p>
        </w:tc>
        <w:tc>
          <w:tcPr>
            <w:tcW w:w="1160" w:type="dxa"/>
            <w:vMerge/>
            <w:tcBorders>
              <w:left w:val="nil"/>
              <w:bottom w:val="single" w:sz="4" w:space="0" w:color="auto"/>
              <w:right w:val="nil"/>
            </w:tcBorders>
            <w:shd w:val="clear" w:color="auto" w:fill="auto"/>
            <w:noWrap/>
            <w:vAlign w:val="bottom"/>
          </w:tcPr>
          <w:p w14:paraId="25FB052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1A891468" w14:textId="77777777" w:rsidTr="005C5921">
        <w:trPr>
          <w:trHeight w:val="285"/>
        </w:trPr>
        <w:tc>
          <w:tcPr>
            <w:tcW w:w="2552" w:type="dxa"/>
            <w:tcBorders>
              <w:top w:val="nil"/>
              <w:left w:val="nil"/>
              <w:bottom w:val="nil"/>
              <w:right w:val="nil"/>
            </w:tcBorders>
            <w:shd w:val="clear" w:color="auto" w:fill="auto"/>
            <w:noWrap/>
            <w:vAlign w:val="bottom"/>
          </w:tcPr>
          <w:p w14:paraId="03319A0D"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 xml:space="preserve">Age, </w:t>
            </w:r>
            <w:proofErr w:type="spellStart"/>
            <w:r w:rsidRPr="00572D61">
              <w:rPr>
                <w:rFonts w:ascii="Book Antiqua" w:eastAsia="等线" w:hAnsi="Book Antiqua"/>
                <w:b/>
                <w:bCs/>
                <w:color w:val="000000"/>
                <w:lang w:val="en-GB"/>
              </w:rPr>
              <w:t>yr</w:t>
            </w:r>
            <w:proofErr w:type="spellEnd"/>
          </w:p>
        </w:tc>
        <w:tc>
          <w:tcPr>
            <w:tcW w:w="1144" w:type="dxa"/>
            <w:tcBorders>
              <w:top w:val="nil"/>
              <w:left w:val="nil"/>
              <w:bottom w:val="nil"/>
              <w:right w:val="nil"/>
            </w:tcBorders>
            <w:shd w:val="clear" w:color="auto" w:fill="auto"/>
            <w:noWrap/>
            <w:vAlign w:val="bottom"/>
          </w:tcPr>
          <w:p w14:paraId="20EF94C1"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222A7427"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6B881B90"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F965ECB"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26BF78C6"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1E858098" w14:textId="77777777" w:rsidTr="00A60B4E">
        <w:trPr>
          <w:trHeight w:val="285"/>
        </w:trPr>
        <w:tc>
          <w:tcPr>
            <w:tcW w:w="2552" w:type="dxa"/>
            <w:tcBorders>
              <w:top w:val="nil"/>
              <w:left w:val="nil"/>
              <w:bottom w:val="nil"/>
              <w:right w:val="nil"/>
            </w:tcBorders>
            <w:shd w:val="clear" w:color="auto" w:fill="auto"/>
            <w:noWrap/>
            <w:vAlign w:val="bottom"/>
          </w:tcPr>
          <w:p w14:paraId="17E09068"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&lt; 50</w:t>
            </w:r>
          </w:p>
        </w:tc>
        <w:tc>
          <w:tcPr>
            <w:tcW w:w="1144" w:type="dxa"/>
            <w:tcBorders>
              <w:top w:val="nil"/>
              <w:left w:val="nil"/>
              <w:bottom w:val="nil"/>
              <w:right w:val="nil"/>
            </w:tcBorders>
            <w:shd w:val="clear" w:color="auto" w:fill="auto"/>
            <w:noWrap/>
            <w:vAlign w:val="bottom"/>
          </w:tcPr>
          <w:p w14:paraId="1D10A93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101</w:t>
            </w:r>
          </w:p>
        </w:tc>
        <w:tc>
          <w:tcPr>
            <w:tcW w:w="1144" w:type="dxa"/>
            <w:tcBorders>
              <w:top w:val="nil"/>
              <w:left w:val="nil"/>
              <w:bottom w:val="nil"/>
              <w:right w:val="nil"/>
            </w:tcBorders>
            <w:shd w:val="clear" w:color="auto" w:fill="auto"/>
            <w:noWrap/>
            <w:vAlign w:val="bottom"/>
          </w:tcPr>
          <w:p w14:paraId="23388F1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24.6</w:t>
            </w:r>
          </w:p>
        </w:tc>
        <w:tc>
          <w:tcPr>
            <w:tcW w:w="1351" w:type="dxa"/>
            <w:tcBorders>
              <w:top w:val="nil"/>
              <w:left w:val="nil"/>
              <w:bottom w:val="nil"/>
              <w:right w:val="nil"/>
            </w:tcBorders>
            <w:shd w:val="clear" w:color="auto" w:fill="auto"/>
            <w:noWrap/>
            <w:vAlign w:val="bottom"/>
          </w:tcPr>
          <w:p w14:paraId="0720851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47</w:t>
            </w:r>
          </w:p>
        </w:tc>
        <w:tc>
          <w:tcPr>
            <w:tcW w:w="1229" w:type="dxa"/>
            <w:tcBorders>
              <w:top w:val="nil"/>
              <w:left w:val="nil"/>
              <w:bottom w:val="nil"/>
              <w:right w:val="nil"/>
            </w:tcBorders>
            <w:shd w:val="clear" w:color="auto" w:fill="auto"/>
            <w:noWrap/>
            <w:vAlign w:val="bottom"/>
          </w:tcPr>
          <w:p w14:paraId="059E2D2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21.8</w:t>
            </w:r>
          </w:p>
        </w:tc>
        <w:tc>
          <w:tcPr>
            <w:tcW w:w="1160" w:type="dxa"/>
            <w:tcBorders>
              <w:top w:val="nil"/>
              <w:left w:val="nil"/>
              <w:bottom w:val="nil"/>
              <w:right w:val="nil"/>
            </w:tcBorders>
            <w:shd w:val="clear" w:color="auto" w:fill="auto"/>
            <w:noWrap/>
            <w:vAlign w:val="bottom"/>
          </w:tcPr>
          <w:p w14:paraId="2037FA2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0.421</w:t>
            </w:r>
          </w:p>
        </w:tc>
      </w:tr>
      <w:tr w:rsidR="000B3235" w:rsidRPr="00572D61" w14:paraId="539DB898" w14:textId="77777777" w:rsidTr="00770F61">
        <w:trPr>
          <w:trHeight w:val="285"/>
        </w:trPr>
        <w:tc>
          <w:tcPr>
            <w:tcW w:w="2552" w:type="dxa"/>
            <w:tcBorders>
              <w:top w:val="nil"/>
              <w:left w:val="nil"/>
              <w:bottom w:val="nil"/>
              <w:right w:val="nil"/>
            </w:tcBorders>
            <w:shd w:val="clear" w:color="auto" w:fill="auto"/>
            <w:noWrap/>
            <w:vAlign w:val="bottom"/>
          </w:tcPr>
          <w:p w14:paraId="02A2FE72"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 50</w:t>
            </w:r>
          </w:p>
        </w:tc>
        <w:tc>
          <w:tcPr>
            <w:tcW w:w="1144" w:type="dxa"/>
            <w:tcBorders>
              <w:top w:val="nil"/>
              <w:left w:val="nil"/>
              <w:bottom w:val="nil"/>
              <w:right w:val="nil"/>
            </w:tcBorders>
            <w:shd w:val="clear" w:color="auto" w:fill="auto"/>
            <w:noWrap/>
            <w:vAlign w:val="bottom"/>
          </w:tcPr>
          <w:p w14:paraId="420809D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309</w:t>
            </w:r>
          </w:p>
        </w:tc>
        <w:tc>
          <w:tcPr>
            <w:tcW w:w="1144" w:type="dxa"/>
            <w:tcBorders>
              <w:top w:val="nil"/>
              <w:left w:val="nil"/>
              <w:bottom w:val="nil"/>
              <w:right w:val="nil"/>
            </w:tcBorders>
            <w:shd w:val="clear" w:color="auto" w:fill="auto"/>
            <w:noWrap/>
            <w:vAlign w:val="bottom"/>
          </w:tcPr>
          <w:p w14:paraId="496F7B2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75.4</w:t>
            </w:r>
          </w:p>
        </w:tc>
        <w:tc>
          <w:tcPr>
            <w:tcW w:w="1351" w:type="dxa"/>
            <w:tcBorders>
              <w:top w:val="nil"/>
              <w:left w:val="nil"/>
              <w:bottom w:val="nil"/>
              <w:right w:val="nil"/>
            </w:tcBorders>
            <w:shd w:val="clear" w:color="auto" w:fill="auto"/>
            <w:noWrap/>
            <w:vAlign w:val="bottom"/>
          </w:tcPr>
          <w:p w14:paraId="085D20C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169</w:t>
            </w:r>
          </w:p>
        </w:tc>
        <w:tc>
          <w:tcPr>
            <w:tcW w:w="1229" w:type="dxa"/>
            <w:tcBorders>
              <w:top w:val="nil"/>
              <w:left w:val="nil"/>
              <w:bottom w:val="nil"/>
              <w:right w:val="nil"/>
            </w:tcBorders>
            <w:shd w:val="clear" w:color="auto" w:fill="auto"/>
            <w:noWrap/>
            <w:vAlign w:val="bottom"/>
          </w:tcPr>
          <w:p w14:paraId="77BED18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78.2</w:t>
            </w:r>
          </w:p>
        </w:tc>
        <w:tc>
          <w:tcPr>
            <w:tcW w:w="1160" w:type="dxa"/>
            <w:tcBorders>
              <w:top w:val="nil"/>
              <w:left w:val="nil"/>
              <w:bottom w:val="nil"/>
              <w:right w:val="nil"/>
            </w:tcBorders>
            <w:shd w:val="clear" w:color="auto" w:fill="auto"/>
            <w:noWrap/>
            <w:vAlign w:val="bottom"/>
          </w:tcPr>
          <w:p w14:paraId="6E79D99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7778DF24" w14:textId="77777777" w:rsidTr="00A03EFA">
        <w:trPr>
          <w:trHeight w:val="285"/>
        </w:trPr>
        <w:tc>
          <w:tcPr>
            <w:tcW w:w="2552" w:type="dxa"/>
            <w:tcBorders>
              <w:top w:val="nil"/>
              <w:left w:val="nil"/>
              <w:bottom w:val="nil"/>
              <w:right w:val="nil"/>
            </w:tcBorders>
            <w:shd w:val="clear" w:color="auto" w:fill="auto"/>
            <w:noWrap/>
            <w:vAlign w:val="bottom"/>
          </w:tcPr>
          <w:p w14:paraId="64BF7C5A"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Sex</w:t>
            </w:r>
          </w:p>
        </w:tc>
        <w:tc>
          <w:tcPr>
            <w:tcW w:w="1144" w:type="dxa"/>
            <w:tcBorders>
              <w:top w:val="nil"/>
              <w:left w:val="nil"/>
              <w:bottom w:val="nil"/>
              <w:right w:val="nil"/>
            </w:tcBorders>
            <w:shd w:val="clear" w:color="auto" w:fill="auto"/>
            <w:noWrap/>
            <w:vAlign w:val="bottom"/>
          </w:tcPr>
          <w:p w14:paraId="2112806F"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5DD5DFD7"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1F60312F"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484B8BD9"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1540F161"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45020599" w14:textId="77777777" w:rsidTr="006C7B9E">
        <w:trPr>
          <w:trHeight w:val="285"/>
        </w:trPr>
        <w:tc>
          <w:tcPr>
            <w:tcW w:w="2552" w:type="dxa"/>
            <w:tcBorders>
              <w:top w:val="nil"/>
              <w:left w:val="nil"/>
              <w:bottom w:val="nil"/>
              <w:right w:val="nil"/>
            </w:tcBorders>
            <w:shd w:val="clear" w:color="auto" w:fill="auto"/>
            <w:noWrap/>
            <w:vAlign w:val="bottom"/>
          </w:tcPr>
          <w:p w14:paraId="73155E2A"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Male</w:t>
            </w:r>
          </w:p>
        </w:tc>
        <w:tc>
          <w:tcPr>
            <w:tcW w:w="1144" w:type="dxa"/>
            <w:tcBorders>
              <w:top w:val="nil"/>
              <w:left w:val="nil"/>
              <w:bottom w:val="nil"/>
              <w:right w:val="nil"/>
            </w:tcBorders>
            <w:shd w:val="clear" w:color="auto" w:fill="auto"/>
            <w:noWrap/>
            <w:vAlign w:val="bottom"/>
          </w:tcPr>
          <w:p w14:paraId="15CA554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327</w:t>
            </w:r>
          </w:p>
        </w:tc>
        <w:tc>
          <w:tcPr>
            <w:tcW w:w="1144" w:type="dxa"/>
            <w:tcBorders>
              <w:top w:val="nil"/>
              <w:left w:val="nil"/>
              <w:bottom w:val="nil"/>
              <w:right w:val="nil"/>
            </w:tcBorders>
            <w:shd w:val="clear" w:color="auto" w:fill="auto"/>
            <w:noWrap/>
            <w:vAlign w:val="bottom"/>
          </w:tcPr>
          <w:p w14:paraId="0E36BE3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79.8</w:t>
            </w:r>
          </w:p>
        </w:tc>
        <w:tc>
          <w:tcPr>
            <w:tcW w:w="1351" w:type="dxa"/>
            <w:tcBorders>
              <w:top w:val="nil"/>
              <w:left w:val="nil"/>
              <w:bottom w:val="nil"/>
              <w:right w:val="nil"/>
            </w:tcBorders>
            <w:shd w:val="clear" w:color="auto" w:fill="auto"/>
            <w:noWrap/>
            <w:vAlign w:val="bottom"/>
          </w:tcPr>
          <w:p w14:paraId="0E38408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168</w:t>
            </w:r>
          </w:p>
        </w:tc>
        <w:tc>
          <w:tcPr>
            <w:tcW w:w="1229" w:type="dxa"/>
            <w:tcBorders>
              <w:top w:val="nil"/>
              <w:left w:val="nil"/>
              <w:bottom w:val="nil"/>
              <w:right w:val="nil"/>
            </w:tcBorders>
            <w:shd w:val="clear" w:color="auto" w:fill="auto"/>
            <w:noWrap/>
            <w:vAlign w:val="bottom"/>
          </w:tcPr>
          <w:p w14:paraId="1F11677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77.8</w:t>
            </w:r>
          </w:p>
        </w:tc>
        <w:tc>
          <w:tcPr>
            <w:tcW w:w="1160" w:type="dxa"/>
            <w:tcBorders>
              <w:top w:val="nil"/>
              <w:left w:val="nil"/>
              <w:bottom w:val="nil"/>
              <w:right w:val="nil"/>
            </w:tcBorders>
            <w:shd w:val="clear" w:color="auto" w:fill="auto"/>
            <w:noWrap/>
            <w:vAlign w:val="bottom"/>
          </w:tcPr>
          <w:p w14:paraId="79BC39C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0.563</w:t>
            </w:r>
          </w:p>
        </w:tc>
      </w:tr>
      <w:tr w:rsidR="000B3235" w:rsidRPr="00572D61" w14:paraId="6C21C0B3" w14:textId="77777777" w:rsidTr="00AC54DD">
        <w:trPr>
          <w:trHeight w:val="285"/>
        </w:trPr>
        <w:tc>
          <w:tcPr>
            <w:tcW w:w="2552" w:type="dxa"/>
            <w:tcBorders>
              <w:top w:val="nil"/>
              <w:left w:val="nil"/>
              <w:bottom w:val="nil"/>
              <w:right w:val="nil"/>
            </w:tcBorders>
            <w:shd w:val="clear" w:color="auto" w:fill="auto"/>
            <w:noWrap/>
            <w:vAlign w:val="bottom"/>
          </w:tcPr>
          <w:p w14:paraId="799DAB4D"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Female</w:t>
            </w:r>
          </w:p>
        </w:tc>
        <w:tc>
          <w:tcPr>
            <w:tcW w:w="1144" w:type="dxa"/>
            <w:tcBorders>
              <w:top w:val="nil"/>
              <w:left w:val="nil"/>
              <w:bottom w:val="nil"/>
              <w:right w:val="nil"/>
            </w:tcBorders>
            <w:shd w:val="clear" w:color="auto" w:fill="auto"/>
            <w:noWrap/>
            <w:vAlign w:val="bottom"/>
          </w:tcPr>
          <w:p w14:paraId="30C1985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83</w:t>
            </w:r>
          </w:p>
        </w:tc>
        <w:tc>
          <w:tcPr>
            <w:tcW w:w="1144" w:type="dxa"/>
            <w:tcBorders>
              <w:top w:val="nil"/>
              <w:left w:val="nil"/>
              <w:bottom w:val="nil"/>
              <w:right w:val="nil"/>
            </w:tcBorders>
            <w:shd w:val="clear" w:color="auto" w:fill="auto"/>
            <w:noWrap/>
            <w:vAlign w:val="bottom"/>
          </w:tcPr>
          <w:p w14:paraId="0DFD324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20.2</w:t>
            </w:r>
          </w:p>
        </w:tc>
        <w:tc>
          <w:tcPr>
            <w:tcW w:w="1351" w:type="dxa"/>
            <w:tcBorders>
              <w:top w:val="nil"/>
              <w:left w:val="nil"/>
              <w:bottom w:val="nil"/>
              <w:right w:val="nil"/>
            </w:tcBorders>
            <w:shd w:val="clear" w:color="auto" w:fill="auto"/>
            <w:noWrap/>
            <w:vAlign w:val="bottom"/>
          </w:tcPr>
          <w:p w14:paraId="18B207A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48</w:t>
            </w:r>
          </w:p>
        </w:tc>
        <w:tc>
          <w:tcPr>
            <w:tcW w:w="1229" w:type="dxa"/>
            <w:tcBorders>
              <w:top w:val="nil"/>
              <w:left w:val="nil"/>
              <w:bottom w:val="nil"/>
              <w:right w:val="nil"/>
            </w:tcBorders>
            <w:shd w:val="clear" w:color="auto" w:fill="auto"/>
            <w:noWrap/>
            <w:vAlign w:val="bottom"/>
          </w:tcPr>
          <w:p w14:paraId="00DBDDD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22.2</w:t>
            </w:r>
          </w:p>
        </w:tc>
        <w:tc>
          <w:tcPr>
            <w:tcW w:w="1160" w:type="dxa"/>
            <w:tcBorders>
              <w:top w:val="nil"/>
              <w:left w:val="nil"/>
              <w:bottom w:val="nil"/>
              <w:right w:val="nil"/>
            </w:tcBorders>
            <w:shd w:val="clear" w:color="auto" w:fill="auto"/>
            <w:noWrap/>
            <w:vAlign w:val="bottom"/>
          </w:tcPr>
          <w:p w14:paraId="0DD9807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2386BEE4" w14:textId="77777777" w:rsidTr="00062C70">
        <w:trPr>
          <w:trHeight w:val="285"/>
        </w:trPr>
        <w:tc>
          <w:tcPr>
            <w:tcW w:w="2552" w:type="dxa"/>
            <w:tcBorders>
              <w:top w:val="nil"/>
              <w:left w:val="nil"/>
              <w:bottom w:val="nil"/>
              <w:right w:val="nil"/>
            </w:tcBorders>
            <w:shd w:val="clear" w:color="auto" w:fill="auto"/>
            <w:noWrap/>
            <w:vAlign w:val="bottom"/>
          </w:tcPr>
          <w:p w14:paraId="65EA8135"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Smoking</w:t>
            </w:r>
          </w:p>
        </w:tc>
        <w:tc>
          <w:tcPr>
            <w:tcW w:w="1144" w:type="dxa"/>
            <w:tcBorders>
              <w:top w:val="nil"/>
              <w:left w:val="nil"/>
              <w:bottom w:val="nil"/>
              <w:right w:val="nil"/>
            </w:tcBorders>
            <w:shd w:val="clear" w:color="auto" w:fill="auto"/>
            <w:noWrap/>
            <w:vAlign w:val="bottom"/>
          </w:tcPr>
          <w:p w14:paraId="706BBF51"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70978A4C"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4DCB6300"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0EA1DE8E"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72E3AD92"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6CA02A35" w14:textId="77777777" w:rsidTr="00B10CA6">
        <w:trPr>
          <w:trHeight w:val="285"/>
        </w:trPr>
        <w:tc>
          <w:tcPr>
            <w:tcW w:w="2552" w:type="dxa"/>
            <w:tcBorders>
              <w:top w:val="nil"/>
              <w:left w:val="nil"/>
              <w:bottom w:val="nil"/>
              <w:right w:val="nil"/>
            </w:tcBorders>
            <w:shd w:val="clear" w:color="auto" w:fill="auto"/>
            <w:noWrap/>
            <w:vAlign w:val="bottom"/>
          </w:tcPr>
          <w:p w14:paraId="0355E642"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No</w:t>
            </w:r>
          </w:p>
        </w:tc>
        <w:tc>
          <w:tcPr>
            <w:tcW w:w="1144" w:type="dxa"/>
            <w:tcBorders>
              <w:top w:val="nil"/>
              <w:left w:val="nil"/>
              <w:bottom w:val="nil"/>
              <w:right w:val="nil"/>
            </w:tcBorders>
            <w:shd w:val="clear" w:color="auto" w:fill="auto"/>
            <w:noWrap/>
            <w:vAlign w:val="bottom"/>
          </w:tcPr>
          <w:p w14:paraId="116F12A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116</w:t>
            </w:r>
          </w:p>
        </w:tc>
        <w:tc>
          <w:tcPr>
            <w:tcW w:w="1144" w:type="dxa"/>
            <w:tcBorders>
              <w:top w:val="nil"/>
              <w:left w:val="nil"/>
              <w:bottom w:val="nil"/>
              <w:right w:val="nil"/>
            </w:tcBorders>
            <w:shd w:val="clear" w:color="auto" w:fill="auto"/>
            <w:noWrap/>
            <w:vAlign w:val="bottom"/>
          </w:tcPr>
          <w:p w14:paraId="6D2B254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28.3</w:t>
            </w:r>
          </w:p>
        </w:tc>
        <w:tc>
          <w:tcPr>
            <w:tcW w:w="1351" w:type="dxa"/>
            <w:tcBorders>
              <w:top w:val="nil"/>
              <w:left w:val="nil"/>
              <w:bottom w:val="nil"/>
              <w:right w:val="nil"/>
            </w:tcBorders>
            <w:shd w:val="clear" w:color="auto" w:fill="auto"/>
            <w:noWrap/>
            <w:vAlign w:val="bottom"/>
          </w:tcPr>
          <w:p w14:paraId="1564F42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67</w:t>
            </w:r>
          </w:p>
        </w:tc>
        <w:tc>
          <w:tcPr>
            <w:tcW w:w="1229" w:type="dxa"/>
            <w:tcBorders>
              <w:top w:val="nil"/>
              <w:left w:val="nil"/>
              <w:bottom w:val="nil"/>
              <w:right w:val="nil"/>
            </w:tcBorders>
            <w:shd w:val="clear" w:color="auto" w:fill="auto"/>
            <w:noWrap/>
            <w:vAlign w:val="bottom"/>
          </w:tcPr>
          <w:p w14:paraId="5CF6248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31.0</w:t>
            </w:r>
          </w:p>
        </w:tc>
        <w:tc>
          <w:tcPr>
            <w:tcW w:w="1160" w:type="dxa"/>
            <w:tcBorders>
              <w:top w:val="nil"/>
              <w:left w:val="nil"/>
              <w:bottom w:val="nil"/>
              <w:right w:val="nil"/>
            </w:tcBorders>
            <w:shd w:val="clear" w:color="auto" w:fill="auto"/>
            <w:noWrap/>
            <w:vAlign w:val="bottom"/>
          </w:tcPr>
          <w:p w14:paraId="69E40BA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0.476</w:t>
            </w:r>
          </w:p>
        </w:tc>
      </w:tr>
      <w:tr w:rsidR="000B3235" w:rsidRPr="00572D61" w14:paraId="7F7F6882" w14:textId="77777777" w:rsidTr="00855EDF">
        <w:trPr>
          <w:trHeight w:val="285"/>
        </w:trPr>
        <w:tc>
          <w:tcPr>
            <w:tcW w:w="2552" w:type="dxa"/>
            <w:tcBorders>
              <w:top w:val="nil"/>
              <w:left w:val="nil"/>
              <w:bottom w:val="nil"/>
              <w:right w:val="nil"/>
            </w:tcBorders>
            <w:shd w:val="clear" w:color="auto" w:fill="auto"/>
            <w:noWrap/>
            <w:vAlign w:val="bottom"/>
          </w:tcPr>
          <w:p w14:paraId="57802EF6"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Yes</w:t>
            </w:r>
          </w:p>
        </w:tc>
        <w:tc>
          <w:tcPr>
            <w:tcW w:w="1144" w:type="dxa"/>
            <w:tcBorders>
              <w:top w:val="nil"/>
              <w:left w:val="nil"/>
              <w:bottom w:val="nil"/>
              <w:right w:val="nil"/>
            </w:tcBorders>
            <w:shd w:val="clear" w:color="auto" w:fill="auto"/>
            <w:noWrap/>
            <w:vAlign w:val="bottom"/>
          </w:tcPr>
          <w:p w14:paraId="6B96690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294</w:t>
            </w:r>
          </w:p>
        </w:tc>
        <w:tc>
          <w:tcPr>
            <w:tcW w:w="1144" w:type="dxa"/>
            <w:tcBorders>
              <w:top w:val="nil"/>
              <w:left w:val="nil"/>
              <w:bottom w:val="nil"/>
              <w:right w:val="nil"/>
            </w:tcBorders>
            <w:shd w:val="clear" w:color="auto" w:fill="auto"/>
            <w:noWrap/>
            <w:vAlign w:val="bottom"/>
          </w:tcPr>
          <w:p w14:paraId="0447632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71.7</w:t>
            </w:r>
          </w:p>
        </w:tc>
        <w:tc>
          <w:tcPr>
            <w:tcW w:w="1351" w:type="dxa"/>
            <w:tcBorders>
              <w:top w:val="nil"/>
              <w:left w:val="nil"/>
              <w:bottom w:val="nil"/>
              <w:right w:val="nil"/>
            </w:tcBorders>
            <w:shd w:val="clear" w:color="auto" w:fill="auto"/>
            <w:noWrap/>
            <w:vAlign w:val="bottom"/>
          </w:tcPr>
          <w:p w14:paraId="3B71FA0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149</w:t>
            </w:r>
          </w:p>
        </w:tc>
        <w:tc>
          <w:tcPr>
            <w:tcW w:w="1229" w:type="dxa"/>
            <w:tcBorders>
              <w:top w:val="nil"/>
              <w:left w:val="nil"/>
              <w:bottom w:val="nil"/>
              <w:right w:val="nil"/>
            </w:tcBorders>
            <w:shd w:val="clear" w:color="auto" w:fill="auto"/>
            <w:noWrap/>
            <w:vAlign w:val="bottom"/>
          </w:tcPr>
          <w:p w14:paraId="1E91811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69.0</w:t>
            </w:r>
          </w:p>
        </w:tc>
        <w:tc>
          <w:tcPr>
            <w:tcW w:w="1160" w:type="dxa"/>
            <w:tcBorders>
              <w:top w:val="nil"/>
              <w:left w:val="nil"/>
              <w:bottom w:val="nil"/>
              <w:right w:val="nil"/>
            </w:tcBorders>
            <w:shd w:val="clear" w:color="auto" w:fill="auto"/>
            <w:noWrap/>
            <w:vAlign w:val="bottom"/>
          </w:tcPr>
          <w:p w14:paraId="4F11F8B7"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34BFDACF" w14:textId="77777777" w:rsidTr="0068297D">
        <w:trPr>
          <w:trHeight w:val="285"/>
        </w:trPr>
        <w:tc>
          <w:tcPr>
            <w:tcW w:w="2552" w:type="dxa"/>
            <w:tcBorders>
              <w:top w:val="nil"/>
              <w:left w:val="nil"/>
              <w:bottom w:val="nil"/>
              <w:right w:val="nil"/>
            </w:tcBorders>
            <w:shd w:val="clear" w:color="auto" w:fill="auto"/>
            <w:noWrap/>
            <w:vAlign w:val="bottom"/>
          </w:tcPr>
          <w:p w14:paraId="55D92FDF"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Drinking</w:t>
            </w:r>
          </w:p>
        </w:tc>
        <w:tc>
          <w:tcPr>
            <w:tcW w:w="1144" w:type="dxa"/>
            <w:tcBorders>
              <w:top w:val="nil"/>
              <w:left w:val="nil"/>
              <w:bottom w:val="nil"/>
              <w:right w:val="nil"/>
            </w:tcBorders>
            <w:shd w:val="clear" w:color="auto" w:fill="auto"/>
            <w:noWrap/>
            <w:vAlign w:val="bottom"/>
          </w:tcPr>
          <w:p w14:paraId="080E668A"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2B807E85"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5A32AA99"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64C7A1FF"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599E9B7C"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1FD63626" w14:textId="77777777" w:rsidTr="00017D74">
        <w:trPr>
          <w:trHeight w:val="285"/>
        </w:trPr>
        <w:tc>
          <w:tcPr>
            <w:tcW w:w="2552" w:type="dxa"/>
            <w:tcBorders>
              <w:top w:val="nil"/>
              <w:left w:val="nil"/>
              <w:bottom w:val="nil"/>
              <w:right w:val="nil"/>
            </w:tcBorders>
            <w:shd w:val="clear" w:color="auto" w:fill="auto"/>
            <w:noWrap/>
            <w:vAlign w:val="bottom"/>
          </w:tcPr>
          <w:p w14:paraId="3F3A0D38"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No</w:t>
            </w:r>
          </w:p>
        </w:tc>
        <w:tc>
          <w:tcPr>
            <w:tcW w:w="1144" w:type="dxa"/>
            <w:tcBorders>
              <w:top w:val="nil"/>
              <w:left w:val="nil"/>
              <w:bottom w:val="nil"/>
              <w:right w:val="nil"/>
            </w:tcBorders>
            <w:shd w:val="clear" w:color="auto" w:fill="auto"/>
            <w:noWrap/>
            <w:vAlign w:val="bottom"/>
          </w:tcPr>
          <w:p w14:paraId="3119E4E7"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196</w:t>
            </w:r>
          </w:p>
        </w:tc>
        <w:tc>
          <w:tcPr>
            <w:tcW w:w="1144" w:type="dxa"/>
            <w:tcBorders>
              <w:top w:val="nil"/>
              <w:left w:val="nil"/>
              <w:bottom w:val="nil"/>
              <w:right w:val="nil"/>
            </w:tcBorders>
            <w:shd w:val="clear" w:color="auto" w:fill="auto"/>
            <w:noWrap/>
            <w:vAlign w:val="bottom"/>
          </w:tcPr>
          <w:p w14:paraId="496F374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47.8</w:t>
            </w:r>
          </w:p>
        </w:tc>
        <w:tc>
          <w:tcPr>
            <w:tcW w:w="1351" w:type="dxa"/>
            <w:tcBorders>
              <w:top w:val="nil"/>
              <w:left w:val="nil"/>
              <w:bottom w:val="nil"/>
              <w:right w:val="nil"/>
            </w:tcBorders>
            <w:shd w:val="clear" w:color="auto" w:fill="auto"/>
            <w:noWrap/>
            <w:vAlign w:val="bottom"/>
          </w:tcPr>
          <w:p w14:paraId="5FCC560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91</w:t>
            </w:r>
          </w:p>
        </w:tc>
        <w:tc>
          <w:tcPr>
            <w:tcW w:w="1229" w:type="dxa"/>
            <w:tcBorders>
              <w:top w:val="nil"/>
              <w:left w:val="nil"/>
              <w:bottom w:val="nil"/>
              <w:right w:val="nil"/>
            </w:tcBorders>
            <w:shd w:val="clear" w:color="auto" w:fill="auto"/>
            <w:noWrap/>
            <w:vAlign w:val="bottom"/>
          </w:tcPr>
          <w:p w14:paraId="3D0DBF0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42.1</w:t>
            </w:r>
          </w:p>
        </w:tc>
        <w:tc>
          <w:tcPr>
            <w:tcW w:w="1160" w:type="dxa"/>
            <w:tcBorders>
              <w:top w:val="nil"/>
              <w:left w:val="nil"/>
              <w:bottom w:val="nil"/>
              <w:right w:val="nil"/>
            </w:tcBorders>
            <w:shd w:val="clear" w:color="auto" w:fill="auto"/>
            <w:noWrap/>
            <w:vAlign w:val="bottom"/>
          </w:tcPr>
          <w:p w14:paraId="53668A5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0.176</w:t>
            </w:r>
          </w:p>
        </w:tc>
      </w:tr>
      <w:tr w:rsidR="000B3235" w:rsidRPr="00572D61" w14:paraId="5F241C9D" w14:textId="77777777" w:rsidTr="005C6550">
        <w:trPr>
          <w:trHeight w:val="285"/>
        </w:trPr>
        <w:tc>
          <w:tcPr>
            <w:tcW w:w="2552" w:type="dxa"/>
            <w:tcBorders>
              <w:top w:val="nil"/>
              <w:left w:val="nil"/>
              <w:bottom w:val="nil"/>
              <w:right w:val="nil"/>
            </w:tcBorders>
            <w:shd w:val="clear" w:color="auto" w:fill="auto"/>
            <w:noWrap/>
            <w:vAlign w:val="bottom"/>
          </w:tcPr>
          <w:p w14:paraId="77E82405"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Yes</w:t>
            </w:r>
          </w:p>
        </w:tc>
        <w:tc>
          <w:tcPr>
            <w:tcW w:w="1144" w:type="dxa"/>
            <w:tcBorders>
              <w:top w:val="nil"/>
              <w:left w:val="nil"/>
              <w:bottom w:val="nil"/>
              <w:right w:val="nil"/>
            </w:tcBorders>
            <w:shd w:val="clear" w:color="auto" w:fill="auto"/>
            <w:noWrap/>
            <w:vAlign w:val="bottom"/>
          </w:tcPr>
          <w:p w14:paraId="1FBADA5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214</w:t>
            </w:r>
          </w:p>
        </w:tc>
        <w:tc>
          <w:tcPr>
            <w:tcW w:w="1144" w:type="dxa"/>
            <w:tcBorders>
              <w:top w:val="nil"/>
              <w:left w:val="nil"/>
              <w:bottom w:val="nil"/>
              <w:right w:val="nil"/>
            </w:tcBorders>
            <w:shd w:val="clear" w:color="auto" w:fill="auto"/>
            <w:noWrap/>
            <w:vAlign w:val="bottom"/>
          </w:tcPr>
          <w:p w14:paraId="5E560AB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52.2</w:t>
            </w:r>
          </w:p>
        </w:tc>
        <w:tc>
          <w:tcPr>
            <w:tcW w:w="1351" w:type="dxa"/>
            <w:tcBorders>
              <w:top w:val="nil"/>
              <w:left w:val="nil"/>
              <w:bottom w:val="nil"/>
              <w:right w:val="nil"/>
            </w:tcBorders>
            <w:shd w:val="clear" w:color="auto" w:fill="auto"/>
            <w:noWrap/>
            <w:vAlign w:val="bottom"/>
          </w:tcPr>
          <w:p w14:paraId="69E7029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125</w:t>
            </w:r>
          </w:p>
        </w:tc>
        <w:tc>
          <w:tcPr>
            <w:tcW w:w="1229" w:type="dxa"/>
            <w:tcBorders>
              <w:top w:val="nil"/>
              <w:left w:val="nil"/>
              <w:bottom w:val="nil"/>
              <w:right w:val="nil"/>
            </w:tcBorders>
            <w:shd w:val="clear" w:color="auto" w:fill="auto"/>
            <w:noWrap/>
            <w:vAlign w:val="bottom"/>
          </w:tcPr>
          <w:p w14:paraId="5E5C64F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57.9</w:t>
            </w:r>
          </w:p>
        </w:tc>
        <w:tc>
          <w:tcPr>
            <w:tcW w:w="1160" w:type="dxa"/>
            <w:tcBorders>
              <w:top w:val="nil"/>
              <w:left w:val="nil"/>
              <w:bottom w:val="nil"/>
              <w:right w:val="nil"/>
            </w:tcBorders>
            <w:shd w:val="clear" w:color="auto" w:fill="auto"/>
            <w:noWrap/>
            <w:vAlign w:val="bottom"/>
          </w:tcPr>
          <w:p w14:paraId="199AB52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044BCBCA" w14:textId="77777777" w:rsidTr="00AD210F">
        <w:trPr>
          <w:trHeight w:val="285"/>
        </w:trPr>
        <w:tc>
          <w:tcPr>
            <w:tcW w:w="2552" w:type="dxa"/>
            <w:tcBorders>
              <w:top w:val="nil"/>
              <w:left w:val="nil"/>
              <w:bottom w:val="nil"/>
              <w:right w:val="nil"/>
            </w:tcBorders>
            <w:shd w:val="clear" w:color="auto" w:fill="auto"/>
            <w:noWrap/>
            <w:vAlign w:val="bottom"/>
          </w:tcPr>
          <w:p w14:paraId="076A9A84" w14:textId="3B753B3C"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ALBI grade</w:t>
            </w:r>
          </w:p>
        </w:tc>
        <w:tc>
          <w:tcPr>
            <w:tcW w:w="1144" w:type="dxa"/>
            <w:tcBorders>
              <w:top w:val="nil"/>
              <w:left w:val="nil"/>
              <w:bottom w:val="nil"/>
              <w:right w:val="nil"/>
            </w:tcBorders>
            <w:shd w:val="clear" w:color="auto" w:fill="auto"/>
            <w:noWrap/>
            <w:vAlign w:val="bottom"/>
          </w:tcPr>
          <w:p w14:paraId="1FB6678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44" w:type="dxa"/>
            <w:tcBorders>
              <w:top w:val="nil"/>
              <w:left w:val="nil"/>
              <w:bottom w:val="nil"/>
              <w:right w:val="nil"/>
            </w:tcBorders>
            <w:shd w:val="clear" w:color="auto" w:fill="auto"/>
            <w:noWrap/>
            <w:vAlign w:val="bottom"/>
          </w:tcPr>
          <w:p w14:paraId="33ADD0D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351" w:type="dxa"/>
            <w:tcBorders>
              <w:top w:val="nil"/>
              <w:left w:val="nil"/>
              <w:bottom w:val="nil"/>
              <w:right w:val="nil"/>
            </w:tcBorders>
            <w:shd w:val="clear" w:color="auto" w:fill="auto"/>
            <w:noWrap/>
            <w:vAlign w:val="bottom"/>
          </w:tcPr>
          <w:p w14:paraId="4F588EB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229" w:type="dxa"/>
            <w:tcBorders>
              <w:top w:val="nil"/>
              <w:left w:val="nil"/>
              <w:bottom w:val="nil"/>
              <w:right w:val="nil"/>
            </w:tcBorders>
            <w:shd w:val="clear" w:color="auto" w:fill="auto"/>
            <w:noWrap/>
            <w:vAlign w:val="bottom"/>
          </w:tcPr>
          <w:p w14:paraId="1368715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60" w:type="dxa"/>
            <w:tcBorders>
              <w:top w:val="nil"/>
              <w:left w:val="nil"/>
              <w:bottom w:val="nil"/>
              <w:right w:val="nil"/>
            </w:tcBorders>
            <w:shd w:val="clear" w:color="auto" w:fill="auto"/>
            <w:noWrap/>
            <w:vAlign w:val="bottom"/>
          </w:tcPr>
          <w:p w14:paraId="28D1663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690107AF" w14:textId="77777777" w:rsidTr="000B5163">
        <w:trPr>
          <w:trHeight w:val="285"/>
        </w:trPr>
        <w:tc>
          <w:tcPr>
            <w:tcW w:w="2552" w:type="dxa"/>
            <w:tcBorders>
              <w:top w:val="nil"/>
              <w:left w:val="nil"/>
              <w:bottom w:val="nil"/>
              <w:right w:val="nil"/>
            </w:tcBorders>
            <w:shd w:val="clear" w:color="auto" w:fill="auto"/>
            <w:noWrap/>
            <w:vAlign w:val="bottom"/>
          </w:tcPr>
          <w:p w14:paraId="6AD5BC80"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1</w:t>
            </w:r>
          </w:p>
        </w:tc>
        <w:tc>
          <w:tcPr>
            <w:tcW w:w="1144" w:type="dxa"/>
            <w:tcBorders>
              <w:top w:val="nil"/>
              <w:left w:val="nil"/>
              <w:bottom w:val="nil"/>
              <w:right w:val="nil"/>
            </w:tcBorders>
            <w:shd w:val="clear" w:color="auto" w:fill="auto"/>
            <w:noWrap/>
            <w:vAlign w:val="bottom"/>
          </w:tcPr>
          <w:p w14:paraId="24AD7C9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221</w:t>
            </w:r>
          </w:p>
        </w:tc>
        <w:tc>
          <w:tcPr>
            <w:tcW w:w="1144" w:type="dxa"/>
            <w:tcBorders>
              <w:top w:val="nil"/>
              <w:left w:val="nil"/>
              <w:bottom w:val="nil"/>
              <w:right w:val="nil"/>
            </w:tcBorders>
            <w:shd w:val="clear" w:color="auto" w:fill="auto"/>
            <w:noWrap/>
            <w:vAlign w:val="bottom"/>
          </w:tcPr>
          <w:p w14:paraId="2E90F9D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53.9</w:t>
            </w:r>
          </w:p>
        </w:tc>
        <w:tc>
          <w:tcPr>
            <w:tcW w:w="1351" w:type="dxa"/>
            <w:tcBorders>
              <w:top w:val="nil"/>
              <w:left w:val="nil"/>
              <w:bottom w:val="nil"/>
              <w:right w:val="nil"/>
            </w:tcBorders>
            <w:shd w:val="clear" w:color="auto" w:fill="auto"/>
            <w:noWrap/>
            <w:vAlign w:val="bottom"/>
          </w:tcPr>
          <w:p w14:paraId="7A3D162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121</w:t>
            </w:r>
          </w:p>
        </w:tc>
        <w:tc>
          <w:tcPr>
            <w:tcW w:w="1229" w:type="dxa"/>
            <w:tcBorders>
              <w:top w:val="nil"/>
              <w:left w:val="nil"/>
              <w:bottom w:val="nil"/>
              <w:right w:val="nil"/>
            </w:tcBorders>
            <w:shd w:val="clear" w:color="auto" w:fill="auto"/>
            <w:noWrap/>
            <w:vAlign w:val="bottom"/>
          </w:tcPr>
          <w:p w14:paraId="1488EFE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56.0</w:t>
            </w:r>
          </w:p>
        </w:tc>
        <w:tc>
          <w:tcPr>
            <w:tcW w:w="1160" w:type="dxa"/>
            <w:tcBorders>
              <w:top w:val="nil"/>
              <w:left w:val="nil"/>
              <w:bottom w:val="nil"/>
              <w:right w:val="nil"/>
            </w:tcBorders>
            <w:shd w:val="clear" w:color="auto" w:fill="auto"/>
            <w:noWrap/>
            <w:vAlign w:val="bottom"/>
          </w:tcPr>
          <w:p w14:paraId="6467464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0.998</w:t>
            </w:r>
          </w:p>
        </w:tc>
      </w:tr>
      <w:tr w:rsidR="000B3235" w:rsidRPr="00572D61" w14:paraId="2BB18B0B" w14:textId="77777777" w:rsidTr="007C5003">
        <w:trPr>
          <w:trHeight w:val="285"/>
        </w:trPr>
        <w:tc>
          <w:tcPr>
            <w:tcW w:w="2552" w:type="dxa"/>
            <w:tcBorders>
              <w:top w:val="nil"/>
              <w:left w:val="nil"/>
              <w:bottom w:val="nil"/>
              <w:right w:val="nil"/>
            </w:tcBorders>
            <w:shd w:val="clear" w:color="auto" w:fill="auto"/>
            <w:noWrap/>
            <w:vAlign w:val="bottom"/>
          </w:tcPr>
          <w:p w14:paraId="6790AD3F"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2 and 3</w:t>
            </w:r>
          </w:p>
        </w:tc>
        <w:tc>
          <w:tcPr>
            <w:tcW w:w="1144" w:type="dxa"/>
            <w:tcBorders>
              <w:top w:val="nil"/>
              <w:left w:val="nil"/>
              <w:bottom w:val="nil"/>
              <w:right w:val="nil"/>
            </w:tcBorders>
            <w:shd w:val="clear" w:color="auto" w:fill="auto"/>
            <w:noWrap/>
            <w:vAlign w:val="bottom"/>
          </w:tcPr>
          <w:p w14:paraId="3453409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189</w:t>
            </w:r>
          </w:p>
        </w:tc>
        <w:tc>
          <w:tcPr>
            <w:tcW w:w="1144" w:type="dxa"/>
            <w:tcBorders>
              <w:top w:val="nil"/>
              <w:left w:val="nil"/>
              <w:bottom w:val="nil"/>
              <w:right w:val="nil"/>
            </w:tcBorders>
            <w:shd w:val="clear" w:color="auto" w:fill="auto"/>
            <w:noWrap/>
            <w:vAlign w:val="bottom"/>
          </w:tcPr>
          <w:p w14:paraId="78E1167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46.1</w:t>
            </w:r>
          </w:p>
        </w:tc>
        <w:tc>
          <w:tcPr>
            <w:tcW w:w="1351" w:type="dxa"/>
            <w:tcBorders>
              <w:top w:val="nil"/>
              <w:left w:val="nil"/>
              <w:bottom w:val="nil"/>
              <w:right w:val="nil"/>
            </w:tcBorders>
            <w:shd w:val="clear" w:color="auto" w:fill="auto"/>
            <w:noWrap/>
            <w:vAlign w:val="bottom"/>
          </w:tcPr>
          <w:p w14:paraId="6FC8DC7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95</w:t>
            </w:r>
          </w:p>
        </w:tc>
        <w:tc>
          <w:tcPr>
            <w:tcW w:w="1229" w:type="dxa"/>
            <w:tcBorders>
              <w:top w:val="nil"/>
              <w:left w:val="nil"/>
              <w:bottom w:val="nil"/>
              <w:right w:val="nil"/>
            </w:tcBorders>
            <w:shd w:val="clear" w:color="auto" w:fill="auto"/>
            <w:noWrap/>
            <w:vAlign w:val="bottom"/>
          </w:tcPr>
          <w:p w14:paraId="07BDF46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44.0</w:t>
            </w:r>
          </w:p>
        </w:tc>
        <w:tc>
          <w:tcPr>
            <w:tcW w:w="1160" w:type="dxa"/>
            <w:tcBorders>
              <w:top w:val="nil"/>
              <w:left w:val="nil"/>
              <w:bottom w:val="nil"/>
              <w:right w:val="nil"/>
            </w:tcBorders>
            <w:shd w:val="clear" w:color="auto" w:fill="auto"/>
            <w:noWrap/>
            <w:vAlign w:val="bottom"/>
          </w:tcPr>
          <w:p w14:paraId="1D56F2E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7D798A08" w14:textId="77777777" w:rsidTr="006F302E">
        <w:trPr>
          <w:trHeight w:val="285"/>
        </w:trPr>
        <w:tc>
          <w:tcPr>
            <w:tcW w:w="2552" w:type="dxa"/>
            <w:tcBorders>
              <w:top w:val="nil"/>
              <w:left w:val="nil"/>
              <w:bottom w:val="nil"/>
              <w:right w:val="nil"/>
            </w:tcBorders>
            <w:shd w:val="clear" w:color="auto" w:fill="auto"/>
            <w:noWrap/>
            <w:vAlign w:val="bottom"/>
          </w:tcPr>
          <w:p w14:paraId="552FF9E4" w14:textId="77777777" w:rsidR="000B3235" w:rsidRPr="00572D61" w:rsidRDefault="000B3235" w:rsidP="00450E72">
            <w:pPr>
              <w:adjustRightInd w:val="0"/>
              <w:snapToGrid w:val="0"/>
              <w:spacing w:line="360" w:lineRule="auto"/>
              <w:rPr>
                <w:rFonts w:ascii="Book Antiqua" w:eastAsia="等线" w:hAnsi="Book Antiqua"/>
                <w:b/>
                <w:color w:val="000000"/>
                <w:lang w:val="en-GB"/>
              </w:rPr>
            </w:pPr>
            <w:proofErr w:type="spellStart"/>
            <w:r w:rsidRPr="00572D61">
              <w:rPr>
                <w:rFonts w:ascii="Book Antiqua" w:eastAsia="等线" w:hAnsi="Book Antiqua"/>
                <w:b/>
                <w:color w:val="000000"/>
                <w:lang w:val="en-GB"/>
              </w:rPr>
              <w:t>HBsAg</w:t>
            </w:r>
            <w:proofErr w:type="spellEnd"/>
          </w:p>
        </w:tc>
        <w:tc>
          <w:tcPr>
            <w:tcW w:w="1144" w:type="dxa"/>
            <w:tcBorders>
              <w:top w:val="nil"/>
              <w:left w:val="nil"/>
              <w:bottom w:val="nil"/>
              <w:right w:val="nil"/>
            </w:tcBorders>
            <w:shd w:val="clear" w:color="auto" w:fill="auto"/>
            <w:noWrap/>
            <w:vAlign w:val="bottom"/>
          </w:tcPr>
          <w:p w14:paraId="2C9271F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44" w:type="dxa"/>
            <w:tcBorders>
              <w:top w:val="nil"/>
              <w:left w:val="nil"/>
              <w:bottom w:val="nil"/>
              <w:right w:val="nil"/>
            </w:tcBorders>
            <w:shd w:val="clear" w:color="auto" w:fill="auto"/>
            <w:noWrap/>
            <w:vAlign w:val="bottom"/>
          </w:tcPr>
          <w:p w14:paraId="092A541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351" w:type="dxa"/>
            <w:tcBorders>
              <w:top w:val="nil"/>
              <w:left w:val="nil"/>
              <w:bottom w:val="nil"/>
              <w:right w:val="nil"/>
            </w:tcBorders>
            <w:shd w:val="clear" w:color="auto" w:fill="auto"/>
            <w:noWrap/>
            <w:vAlign w:val="bottom"/>
          </w:tcPr>
          <w:p w14:paraId="1C53EF0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229" w:type="dxa"/>
            <w:tcBorders>
              <w:top w:val="nil"/>
              <w:left w:val="nil"/>
              <w:bottom w:val="nil"/>
              <w:right w:val="nil"/>
            </w:tcBorders>
            <w:shd w:val="clear" w:color="auto" w:fill="auto"/>
            <w:noWrap/>
            <w:vAlign w:val="bottom"/>
          </w:tcPr>
          <w:p w14:paraId="5B06C94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60" w:type="dxa"/>
            <w:tcBorders>
              <w:top w:val="nil"/>
              <w:left w:val="nil"/>
              <w:bottom w:val="nil"/>
              <w:right w:val="nil"/>
            </w:tcBorders>
            <w:shd w:val="clear" w:color="auto" w:fill="auto"/>
            <w:noWrap/>
            <w:vAlign w:val="bottom"/>
          </w:tcPr>
          <w:p w14:paraId="2E6540F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6F1DD579" w14:textId="77777777" w:rsidTr="00A241D1">
        <w:trPr>
          <w:trHeight w:val="285"/>
        </w:trPr>
        <w:tc>
          <w:tcPr>
            <w:tcW w:w="2552" w:type="dxa"/>
            <w:tcBorders>
              <w:top w:val="nil"/>
              <w:left w:val="nil"/>
              <w:bottom w:val="nil"/>
              <w:right w:val="nil"/>
            </w:tcBorders>
            <w:shd w:val="clear" w:color="auto" w:fill="auto"/>
            <w:noWrap/>
            <w:vAlign w:val="bottom"/>
          </w:tcPr>
          <w:p w14:paraId="3AB15A5B" w14:textId="77777777" w:rsidR="000B3235" w:rsidRPr="00572D61" w:rsidRDefault="000B3235" w:rsidP="00450E72">
            <w:pPr>
              <w:adjustRightInd w:val="0"/>
              <w:snapToGrid w:val="0"/>
              <w:spacing w:line="360" w:lineRule="auto"/>
              <w:rPr>
                <w:rFonts w:ascii="Book Antiqua" w:eastAsia="等线" w:hAnsi="Book Antiqua"/>
                <w:b/>
                <w:color w:val="000000"/>
                <w:lang w:val="en-GB"/>
              </w:rPr>
            </w:pPr>
            <w:r w:rsidRPr="00572D61">
              <w:rPr>
                <w:rFonts w:ascii="Book Antiqua" w:eastAsia="等线" w:hAnsi="Book Antiqua"/>
                <w:bCs/>
                <w:color w:val="000000"/>
                <w:lang w:val="en-GB"/>
              </w:rPr>
              <w:t>Negative</w:t>
            </w:r>
          </w:p>
        </w:tc>
        <w:tc>
          <w:tcPr>
            <w:tcW w:w="1144" w:type="dxa"/>
            <w:tcBorders>
              <w:top w:val="nil"/>
              <w:left w:val="nil"/>
              <w:bottom w:val="nil"/>
              <w:right w:val="nil"/>
            </w:tcBorders>
            <w:shd w:val="clear" w:color="auto" w:fill="auto"/>
            <w:noWrap/>
            <w:vAlign w:val="bottom"/>
          </w:tcPr>
          <w:p w14:paraId="40E41BD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115</w:t>
            </w:r>
          </w:p>
        </w:tc>
        <w:tc>
          <w:tcPr>
            <w:tcW w:w="1144" w:type="dxa"/>
            <w:tcBorders>
              <w:top w:val="nil"/>
              <w:left w:val="nil"/>
              <w:bottom w:val="nil"/>
              <w:right w:val="nil"/>
            </w:tcBorders>
            <w:shd w:val="clear" w:color="auto" w:fill="auto"/>
            <w:noWrap/>
            <w:vAlign w:val="bottom"/>
          </w:tcPr>
          <w:p w14:paraId="0A0DE01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28.0</w:t>
            </w:r>
          </w:p>
        </w:tc>
        <w:tc>
          <w:tcPr>
            <w:tcW w:w="1351" w:type="dxa"/>
            <w:tcBorders>
              <w:top w:val="nil"/>
              <w:left w:val="nil"/>
              <w:bottom w:val="nil"/>
              <w:right w:val="nil"/>
            </w:tcBorders>
            <w:shd w:val="clear" w:color="auto" w:fill="auto"/>
            <w:noWrap/>
            <w:vAlign w:val="bottom"/>
          </w:tcPr>
          <w:p w14:paraId="0920429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56</w:t>
            </w:r>
          </w:p>
        </w:tc>
        <w:tc>
          <w:tcPr>
            <w:tcW w:w="1229" w:type="dxa"/>
            <w:tcBorders>
              <w:top w:val="nil"/>
              <w:left w:val="nil"/>
              <w:bottom w:val="nil"/>
              <w:right w:val="nil"/>
            </w:tcBorders>
            <w:shd w:val="clear" w:color="auto" w:fill="auto"/>
            <w:noWrap/>
            <w:vAlign w:val="bottom"/>
          </w:tcPr>
          <w:p w14:paraId="35A772B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25.9</w:t>
            </w:r>
          </w:p>
        </w:tc>
        <w:tc>
          <w:tcPr>
            <w:tcW w:w="1160" w:type="dxa"/>
            <w:tcBorders>
              <w:top w:val="nil"/>
              <w:left w:val="nil"/>
              <w:bottom w:val="nil"/>
              <w:right w:val="nil"/>
            </w:tcBorders>
            <w:shd w:val="clear" w:color="auto" w:fill="auto"/>
            <w:noWrap/>
            <w:vAlign w:val="bottom"/>
          </w:tcPr>
          <w:p w14:paraId="73E9E5B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0.571</w:t>
            </w:r>
          </w:p>
        </w:tc>
      </w:tr>
      <w:tr w:rsidR="000B3235" w:rsidRPr="00572D61" w14:paraId="24B480EA" w14:textId="77777777" w:rsidTr="008074D9">
        <w:trPr>
          <w:trHeight w:val="285"/>
        </w:trPr>
        <w:tc>
          <w:tcPr>
            <w:tcW w:w="2552" w:type="dxa"/>
            <w:tcBorders>
              <w:top w:val="nil"/>
              <w:left w:val="nil"/>
              <w:bottom w:val="nil"/>
              <w:right w:val="nil"/>
            </w:tcBorders>
            <w:shd w:val="clear" w:color="auto" w:fill="auto"/>
            <w:noWrap/>
            <w:vAlign w:val="bottom"/>
          </w:tcPr>
          <w:p w14:paraId="66936DE1"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bCs/>
                <w:color w:val="000000"/>
                <w:lang w:val="en-GB"/>
              </w:rPr>
              <w:t>Positive</w:t>
            </w:r>
          </w:p>
        </w:tc>
        <w:tc>
          <w:tcPr>
            <w:tcW w:w="1144" w:type="dxa"/>
            <w:tcBorders>
              <w:top w:val="nil"/>
              <w:left w:val="nil"/>
              <w:bottom w:val="nil"/>
              <w:right w:val="nil"/>
            </w:tcBorders>
            <w:shd w:val="clear" w:color="auto" w:fill="auto"/>
            <w:noWrap/>
            <w:vAlign w:val="bottom"/>
          </w:tcPr>
          <w:p w14:paraId="40EB325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295</w:t>
            </w:r>
          </w:p>
        </w:tc>
        <w:tc>
          <w:tcPr>
            <w:tcW w:w="1144" w:type="dxa"/>
            <w:tcBorders>
              <w:top w:val="nil"/>
              <w:left w:val="nil"/>
              <w:bottom w:val="nil"/>
              <w:right w:val="nil"/>
            </w:tcBorders>
            <w:shd w:val="clear" w:color="auto" w:fill="auto"/>
            <w:noWrap/>
            <w:vAlign w:val="bottom"/>
          </w:tcPr>
          <w:p w14:paraId="19F833F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72.0</w:t>
            </w:r>
          </w:p>
        </w:tc>
        <w:tc>
          <w:tcPr>
            <w:tcW w:w="1351" w:type="dxa"/>
            <w:tcBorders>
              <w:top w:val="nil"/>
              <w:left w:val="nil"/>
              <w:bottom w:val="nil"/>
              <w:right w:val="nil"/>
            </w:tcBorders>
            <w:shd w:val="clear" w:color="auto" w:fill="auto"/>
            <w:noWrap/>
            <w:vAlign w:val="bottom"/>
          </w:tcPr>
          <w:p w14:paraId="3305459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160</w:t>
            </w:r>
          </w:p>
        </w:tc>
        <w:tc>
          <w:tcPr>
            <w:tcW w:w="1229" w:type="dxa"/>
            <w:tcBorders>
              <w:top w:val="nil"/>
              <w:left w:val="nil"/>
              <w:bottom w:val="nil"/>
              <w:right w:val="nil"/>
            </w:tcBorders>
            <w:shd w:val="clear" w:color="auto" w:fill="auto"/>
            <w:noWrap/>
            <w:vAlign w:val="bottom"/>
          </w:tcPr>
          <w:p w14:paraId="6C4B1BE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74.1</w:t>
            </w:r>
          </w:p>
        </w:tc>
        <w:tc>
          <w:tcPr>
            <w:tcW w:w="1160" w:type="dxa"/>
            <w:tcBorders>
              <w:top w:val="nil"/>
              <w:left w:val="nil"/>
              <w:bottom w:val="nil"/>
              <w:right w:val="nil"/>
            </w:tcBorders>
            <w:shd w:val="clear" w:color="auto" w:fill="auto"/>
            <w:noWrap/>
            <w:vAlign w:val="bottom"/>
          </w:tcPr>
          <w:p w14:paraId="187A3E4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6660A6BD" w14:textId="77777777" w:rsidTr="008D7051">
        <w:trPr>
          <w:trHeight w:val="285"/>
        </w:trPr>
        <w:tc>
          <w:tcPr>
            <w:tcW w:w="2552" w:type="dxa"/>
            <w:tcBorders>
              <w:top w:val="nil"/>
              <w:left w:val="nil"/>
              <w:bottom w:val="nil"/>
              <w:right w:val="nil"/>
            </w:tcBorders>
            <w:shd w:val="clear" w:color="auto" w:fill="auto"/>
            <w:noWrap/>
            <w:vAlign w:val="bottom"/>
          </w:tcPr>
          <w:p w14:paraId="3BC2574B"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Tumour location</w:t>
            </w:r>
          </w:p>
        </w:tc>
        <w:tc>
          <w:tcPr>
            <w:tcW w:w="1144" w:type="dxa"/>
            <w:tcBorders>
              <w:top w:val="nil"/>
              <w:left w:val="nil"/>
              <w:bottom w:val="nil"/>
              <w:right w:val="nil"/>
            </w:tcBorders>
            <w:shd w:val="clear" w:color="auto" w:fill="auto"/>
            <w:noWrap/>
            <w:vAlign w:val="bottom"/>
          </w:tcPr>
          <w:p w14:paraId="299B9A42"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5179B0CA"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00AF458E"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F0C0551"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6B34DF1F"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1745E3F5" w14:textId="77777777" w:rsidTr="00724AA7">
        <w:trPr>
          <w:trHeight w:val="285"/>
        </w:trPr>
        <w:tc>
          <w:tcPr>
            <w:tcW w:w="2552" w:type="dxa"/>
            <w:tcBorders>
              <w:top w:val="nil"/>
              <w:left w:val="nil"/>
              <w:bottom w:val="nil"/>
              <w:right w:val="nil"/>
            </w:tcBorders>
            <w:shd w:val="clear" w:color="auto" w:fill="auto"/>
            <w:noWrap/>
            <w:vAlign w:val="bottom"/>
          </w:tcPr>
          <w:p w14:paraId="24E991E1"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Left</w:t>
            </w:r>
          </w:p>
        </w:tc>
        <w:tc>
          <w:tcPr>
            <w:tcW w:w="1144" w:type="dxa"/>
            <w:tcBorders>
              <w:top w:val="nil"/>
              <w:left w:val="nil"/>
              <w:bottom w:val="nil"/>
              <w:right w:val="nil"/>
            </w:tcBorders>
            <w:shd w:val="clear" w:color="auto" w:fill="auto"/>
            <w:noWrap/>
            <w:vAlign w:val="bottom"/>
          </w:tcPr>
          <w:p w14:paraId="2F8E29D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88</w:t>
            </w:r>
          </w:p>
        </w:tc>
        <w:tc>
          <w:tcPr>
            <w:tcW w:w="1144" w:type="dxa"/>
            <w:tcBorders>
              <w:top w:val="nil"/>
              <w:left w:val="nil"/>
              <w:bottom w:val="nil"/>
              <w:right w:val="nil"/>
            </w:tcBorders>
            <w:shd w:val="clear" w:color="auto" w:fill="auto"/>
            <w:noWrap/>
            <w:vAlign w:val="bottom"/>
          </w:tcPr>
          <w:p w14:paraId="7BE7494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28.8</w:t>
            </w:r>
          </w:p>
        </w:tc>
        <w:tc>
          <w:tcPr>
            <w:tcW w:w="1351" w:type="dxa"/>
            <w:tcBorders>
              <w:top w:val="nil"/>
              <w:left w:val="nil"/>
              <w:bottom w:val="nil"/>
              <w:right w:val="nil"/>
            </w:tcBorders>
            <w:shd w:val="clear" w:color="auto" w:fill="auto"/>
            <w:noWrap/>
            <w:vAlign w:val="bottom"/>
          </w:tcPr>
          <w:p w14:paraId="57414C5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42</w:t>
            </w:r>
          </w:p>
        </w:tc>
        <w:tc>
          <w:tcPr>
            <w:tcW w:w="1229" w:type="dxa"/>
            <w:tcBorders>
              <w:top w:val="nil"/>
              <w:left w:val="nil"/>
              <w:bottom w:val="nil"/>
              <w:right w:val="nil"/>
            </w:tcBorders>
            <w:shd w:val="clear" w:color="auto" w:fill="auto"/>
            <w:noWrap/>
            <w:vAlign w:val="bottom"/>
          </w:tcPr>
          <w:p w14:paraId="7F19E86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28.2</w:t>
            </w:r>
          </w:p>
        </w:tc>
        <w:tc>
          <w:tcPr>
            <w:tcW w:w="1160" w:type="dxa"/>
            <w:tcBorders>
              <w:top w:val="nil"/>
              <w:left w:val="nil"/>
              <w:bottom w:val="nil"/>
              <w:right w:val="nil"/>
            </w:tcBorders>
            <w:shd w:val="clear" w:color="auto" w:fill="auto"/>
            <w:noWrap/>
            <w:vAlign w:val="bottom"/>
          </w:tcPr>
          <w:p w14:paraId="1FF50EC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0.335</w:t>
            </w:r>
          </w:p>
        </w:tc>
      </w:tr>
      <w:tr w:rsidR="000B3235" w:rsidRPr="00572D61" w14:paraId="023452C2" w14:textId="77777777" w:rsidTr="00870757">
        <w:trPr>
          <w:trHeight w:val="285"/>
        </w:trPr>
        <w:tc>
          <w:tcPr>
            <w:tcW w:w="2552" w:type="dxa"/>
            <w:tcBorders>
              <w:top w:val="nil"/>
              <w:left w:val="nil"/>
              <w:bottom w:val="nil"/>
              <w:right w:val="nil"/>
            </w:tcBorders>
            <w:shd w:val="clear" w:color="auto" w:fill="auto"/>
            <w:noWrap/>
            <w:vAlign w:val="bottom"/>
          </w:tcPr>
          <w:p w14:paraId="6F46EFCA"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Right</w:t>
            </w:r>
          </w:p>
        </w:tc>
        <w:tc>
          <w:tcPr>
            <w:tcW w:w="1144" w:type="dxa"/>
            <w:tcBorders>
              <w:top w:val="nil"/>
              <w:left w:val="nil"/>
              <w:bottom w:val="nil"/>
              <w:right w:val="nil"/>
            </w:tcBorders>
            <w:shd w:val="clear" w:color="auto" w:fill="auto"/>
            <w:noWrap/>
            <w:vAlign w:val="bottom"/>
          </w:tcPr>
          <w:p w14:paraId="0F6A04A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184</w:t>
            </w:r>
          </w:p>
        </w:tc>
        <w:tc>
          <w:tcPr>
            <w:tcW w:w="1144" w:type="dxa"/>
            <w:tcBorders>
              <w:top w:val="nil"/>
              <w:left w:val="nil"/>
              <w:bottom w:val="nil"/>
              <w:right w:val="nil"/>
            </w:tcBorders>
            <w:shd w:val="clear" w:color="auto" w:fill="auto"/>
            <w:noWrap/>
            <w:vAlign w:val="bottom"/>
          </w:tcPr>
          <w:p w14:paraId="714166A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60.1</w:t>
            </w:r>
          </w:p>
        </w:tc>
        <w:tc>
          <w:tcPr>
            <w:tcW w:w="1351" w:type="dxa"/>
            <w:tcBorders>
              <w:top w:val="nil"/>
              <w:left w:val="nil"/>
              <w:bottom w:val="nil"/>
              <w:right w:val="nil"/>
            </w:tcBorders>
            <w:shd w:val="clear" w:color="auto" w:fill="auto"/>
            <w:noWrap/>
            <w:vAlign w:val="bottom"/>
          </w:tcPr>
          <w:p w14:paraId="5311FA7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85</w:t>
            </w:r>
          </w:p>
        </w:tc>
        <w:tc>
          <w:tcPr>
            <w:tcW w:w="1229" w:type="dxa"/>
            <w:tcBorders>
              <w:top w:val="nil"/>
              <w:left w:val="nil"/>
              <w:bottom w:val="nil"/>
              <w:right w:val="nil"/>
            </w:tcBorders>
            <w:shd w:val="clear" w:color="auto" w:fill="auto"/>
            <w:noWrap/>
            <w:vAlign w:val="bottom"/>
          </w:tcPr>
          <w:p w14:paraId="73C3434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57.0</w:t>
            </w:r>
          </w:p>
        </w:tc>
        <w:tc>
          <w:tcPr>
            <w:tcW w:w="1160" w:type="dxa"/>
            <w:tcBorders>
              <w:top w:val="nil"/>
              <w:left w:val="nil"/>
              <w:bottom w:val="nil"/>
              <w:right w:val="nil"/>
            </w:tcBorders>
            <w:shd w:val="clear" w:color="auto" w:fill="auto"/>
            <w:noWrap/>
            <w:vAlign w:val="bottom"/>
          </w:tcPr>
          <w:p w14:paraId="24F9120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63DF8916" w14:textId="77777777" w:rsidTr="003F7F66">
        <w:trPr>
          <w:trHeight w:val="285"/>
        </w:trPr>
        <w:tc>
          <w:tcPr>
            <w:tcW w:w="2552" w:type="dxa"/>
            <w:tcBorders>
              <w:top w:val="nil"/>
              <w:left w:val="nil"/>
              <w:bottom w:val="nil"/>
              <w:right w:val="nil"/>
            </w:tcBorders>
            <w:shd w:val="clear" w:color="auto" w:fill="auto"/>
            <w:noWrap/>
            <w:vAlign w:val="bottom"/>
          </w:tcPr>
          <w:p w14:paraId="2C579E44"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Others</w:t>
            </w:r>
          </w:p>
        </w:tc>
        <w:tc>
          <w:tcPr>
            <w:tcW w:w="1144" w:type="dxa"/>
            <w:tcBorders>
              <w:top w:val="nil"/>
              <w:left w:val="nil"/>
              <w:bottom w:val="nil"/>
              <w:right w:val="nil"/>
            </w:tcBorders>
            <w:shd w:val="clear" w:color="auto" w:fill="auto"/>
            <w:noWrap/>
            <w:vAlign w:val="bottom"/>
          </w:tcPr>
          <w:p w14:paraId="385F5C9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34</w:t>
            </w:r>
          </w:p>
        </w:tc>
        <w:tc>
          <w:tcPr>
            <w:tcW w:w="1144" w:type="dxa"/>
            <w:tcBorders>
              <w:top w:val="nil"/>
              <w:left w:val="nil"/>
              <w:bottom w:val="nil"/>
              <w:right w:val="nil"/>
            </w:tcBorders>
            <w:shd w:val="clear" w:color="auto" w:fill="auto"/>
            <w:noWrap/>
            <w:vAlign w:val="bottom"/>
          </w:tcPr>
          <w:p w14:paraId="3D70CF9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11.1</w:t>
            </w:r>
          </w:p>
        </w:tc>
        <w:tc>
          <w:tcPr>
            <w:tcW w:w="1351" w:type="dxa"/>
            <w:tcBorders>
              <w:top w:val="nil"/>
              <w:left w:val="nil"/>
              <w:bottom w:val="nil"/>
              <w:right w:val="nil"/>
            </w:tcBorders>
            <w:shd w:val="clear" w:color="auto" w:fill="auto"/>
            <w:noWrap/>
            <w:vAlign w:val="bottom"/>
          </w:tcPr>
          <w:p w14:paraId="17ADACD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22</w:t>
            </w:r>
          </w:p>
        </w:tc>
        <w:tc>
          <w:tcPr>
            <w:tcW w:w="1229" w:type="dxa"/>
            <w:tcBorders>
              <w:top w:val="nil"/>
              <w:left w:val="nil"/>
              <w:bottom w:val="nil"/>
              <w:right w:val="nil"/>
            </w:tcBorders>
            <w:shd w:val="clear" w:color="auto" w:fill="auto"/>
            <w:noWrap/>
            <w:vAlign w:val="bottom"/>
          </w:tcPr>
          <w:p w14:paraId="7CCB834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14.8</w:t>
            </w:r>
          </w:p>
        </w:tc>
        <w:tc>
          <w:tcPr>
            <w:tcW w:w="1160" w:type="dxa"/>
            <w:tcBorders>
              <w:top w:val="nil"/>
              <w:left w:val="nil"/>
              <w:bottom w:val="nil"/>
              <w:right w:val="nil"/>
            </w:tcBorders>
            <w:shd w:val="clear" w:color="auto" w:fill="auto"/>
            <w:noWrap/>
            <w:vAlign w:val="bottom"/>
          </w:tcPr>
          <w:p w14:paraId="2677FAD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1A78BA09" w14:textId="77777777" w:rsidTr="00414FC7">
        <w:trPr>
          <w:trHeight w:val="285"/>
        </w:trPr>
        <w:tc>
          <w:tcPr>
            <w:tcW w:w="2552" w:type="dxa"/>
            <w:tcBorders>
              <w:top w:val="nil"/>
              <w:left w:val="nil"/>
              <w:bottom w:val="nil"/>
              <w:right w:val="nil"/>
            </w:tcBorders>
            <w:shd w:val="clear" w:color="auto" w:fill="auto"/>
            <w:noWrap/>
            <w:vAlign w:val="bottom"/>
          </w:tcPr>
          <w:p w14:paraId="119AEF8E"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Tumour size, cm</w:t>
            </w:r>
          </w:p>
        </w:tc>
        <w:tc>
          <w:tcPr>
            <w:tcW w:w="1144" w:type="dxa"/>
            <w:tcBorders>
              <w:top w:val="nil"/>
              <w:left w:val="nil"/>
              <w:bottom w:val="nil"/>
              <w:right w:val="nil"/>
            </w:tcBorders>
            <w:shd w:val="clear" w:color="auto" w:fill="auto"/>
            <w:noWrap/>
            <w:vAlign w:val="bottom"/>
          </w:tcPr>
          <w:p w14:paraId="7FE4D6E6"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09153E3A"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32FEB9D7"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712C3F4D"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498550C7"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51AAF3AB" w14:textId="77777777" w:rsidTr="008703CC">
        <w:trPr>
          <w:trHeight w:val="285"/>
        </w:trPr>
        <w:tc>
          <w:tcPr>
            <w:tcW w:w="2552" w:type="dxa"/>
            <w:tcBorders>
              <w:top w:val="nil"/>
              <w:left w:val="nil"/>
              <w:bottom w:val="nil"/>
              <w:right w:val="nil"/>
            </w:tcBorders>
            <w:shd w:val="clear" w:color="auto" w:fill="auto"/>
            <w:noWrap/>
            <w:vAlign w:val="bottom"/>
          </w:tcPr>
          <w:p w14:paraId="2485B9A6"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&lt; 5</w:t>
            </w:r>
          </w:p>
        </w:tc>
        <w:tc>
          <w:tcPr>
            <w:tcW w:w="1144" w:type="dxa"/>
            <w:tcBorders>
              <w:top w:val="nil"/>
              <w:left w:val="nil"/>
              <w:bottom w:val="nil"/>
              <w:right w:val="nil"/>
            </w:tcBorders>
            <w:shd w:val="clear" w:color="auto" w:fill="auto"/>
            <w:noWrap/>
            <w:vAlign w:val="bottom"/>
          </w:tcPr>
          <w:p w14:paraId="392FC8A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157</w:t>
            </w:r>
          </w:p>
        </w:tc>
        <w:tc>
          <w:tcPr>
            <w:tcW w:w="1144" w:type="dxa"/>
            <w:tcBorders>
              <w:top w:val="nil"/>
              <w:left w:val="nil"/>
              <w:bottom w:val="nil"/>
              <w:right w:val="nil"/>
            </w:tcBorders>
            <w:shd w:val="clear" w:color="auto" w:fill="auto"/>
            <w:noWrap/>
            <w:vAlign w:val="bottom"/>
          </w:tcPr>
          <w:p w14:paraId="7930B29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42.1</w:t>
            </w:r>
          </w:p>
        </w:tc>
        <w:tc>
          <w:tcPr>
            <w:tcW w:w="1351" w:type="dxa"/>
            <w:tcBorders>
              <w:top w:val="nil"/>
              <w:left w:val="nil"/>
              <w:bottom w:val="nil"/>
              <w:right w:val="nil"/>
            </w:tcBorders>
            <w:shd w:val="clear" w:color="auto" w:fill="auto"/>
            <w:noWrap/>
            <w:vAlign w:val="bottom"/>
          </w:tcPr>
          <w:p w14:paraId="1F37C72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94</w:t>
            </w:r>
          </w:p>
        </w:tc>
        <w:tc>
          <w:tcPr>
            <w:tcW w:w="1229" w:type="dxa"/>
            <w:tcBorders>
              <w:top w:val="nil"/>
              <w:left w:val="nil"/>
              <w:bottom w:val="nil"/>
              <w:right w:val="nil"/>
            </w:tcBorders>
            <w:shd w:val="clear" w:color="auto" w:fill="auto"/>
            <w:noWrap/>
            <w:vAlign w:val="bottom"/>
          </w:tcPr>
          <w:p w14:paraId="39E0E31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45.2</w:t>
            </w:r>
          </w:p>
        </w:tc>
        <w:tc>
          <w:tcPr>
            <w:tcW w:w="1160" w:type="dxa"/>
            <w:tcBorders>
              <w:top w:val="nil"/>
              <w:left w:val="nil"/>
              <w:bottom w:val="nil"/>
              <w:right w:val="nil"/>
            </w:tcBorders>
            <w:shd w:val="clear" w:color="auto" w:fill="auto"/>
            <w:noWrap/>
            <w:vAlign w:val="bottom"/>
          </w:tcPr>
          <w:p w14:paraId="03759A3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0.469</w:t>
            </w:r>
          </w:p>
        </w:tc>
      </w:tr>
      <w:tr w:rsidR="000B3235" w:rsidRPr="00572D61" w14:paraId="1ED97043" w14:textId="77777777" w:rsidTr="002D6A84">
        <w:trPr>
          <w:trHeight w:val="285"/>
        </w:trPr>
        <w:tc>
          <w:tcPr>
            <w:tcW w:w="2552" w:type="dxa"/>
            <w:tcBorders>
              <w:top w:val="nil"/>
              <w:left w:val="nil"/>
              <w:bottom w:val="nil"/>
              <w:right w:val="nil"/>
            </w:tcBorders>
            <w:shd w:val="clear" w:color="auto" w:fill="auto"/>
            <w:noWrap/>
            <w:vAlign w:val="bottom"/>
          </w:tcPr>
          <w:p w14:paraId="2652DB56"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 5</w:t>
            </w:r>
          </w:p>
        </w:tc>
        <w:tc>
          <w:tcPr>
            <w:tcW w:w="1144" w:type="dxa"/>
            <w:tcBorders>
              <w:top w:val="nil"/>
              <w:left w:val="nil"/>
              <w:bottom w:val="nil"/>
              <w:right w:val="nil"/>
            </w:tcBorders>
            <w:shd w:val="clear" w:color="auto" w:fill="auto"/>
            <w:noWrap/>
            <w:vAlign w:val="bottom"/>
          </w:tcPr>
          <w:p w14:paraId="53B5418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216</w:t>
            </w:r>
          </w:p>
        </w:tc>
        <w:tc>
          <w:tcPr>
            <w:tcW w:w="1144" w:type="dxa"/>
            <w:tcBorders>
              <w:top w:val="nil"/>
              <w:left w:val="nil"/>
              <w:bottom w:val="nil"/>
              <w:right w:val="nil"/>
            </w:tcBorders>
            <w:shd w:val="clear" w:color="auto" w:fill="auto"/>
            <w:noWrap/>
            <w:vAlign w:val="bottom"/>
          </w:tcPr>
          <w:p w14:paraId="6B9F458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57.9</w:t>
            </w:r>
          </w:p>
        </w:tc>
        <w:tc>
          <w:tcPr>
            <w:tcW w:w="1351" w:type="dxa"/>
            <w:tcBorders>
              <w:top w:val="nil"/>
              <w:left w:val="nil"/>
              <w:bottom w:val="nil"/>
              <w:right w:val="nil"/>
            </w:tcBorders>
            <w:shd w:val="clear" w:color="auto" w:fill="auto"/>
            <w:noWrap/>
            <w:vAlign w:val="bottom"/>
          </w:tcPr>
          <w:p w14:paraId="7C6EF36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114</w:t>
            </w:r>
          </w:p>
        </w:tc>
        <w:tc>
          <w:tcPr>
            <w:tcW w:w="1229" w:type="dxa"/>
            <w:tcBorders>
              <w:top w:val="nil"/>
              <w:left w:val="nil"/>
              <w:bottom w:val="nil"/>
              <w:right w:val="nil"/>
            </w:tcBorders>
            <w:shd w:val="clear" w:color="auto" w:fill="auto"/>
            <w:noWrap/>
            <w:vAlign w:val="bottom"/>
          </w:tcPr>
          <w:p w14:paraId="477D3FD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54.8</w:t>
            </w:r>
          </w:p>
        </w:tc>
        <w:tc>
          <w:tcPr>
            <w:tcW w:w="1160" w:type="dxa"/>
            <w:tcBorders>
              <w:top w:val="nil"/>
              <w:left w:val="nil"/>
              <w:bottom w:val="nil"/>
              <w:right w:val="nil"/>
            </w:tcBorders>
            <w:shd w:val="clear" w:color="auto" w:fill="auto"/>
            <w:noWrap/>
            <w:vAlign w:val="bottom"/>
          </w:tcPr>
          <w:p w14:paraId="2B05F6C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14266F4E" w14:textId="77777777" w:rsidTr="00963C59">
        <w:trPr>
          <w:trHeight w:val="285"/>
        </w:trPr>
        <w:tc>
          <w:tcPr>
            <w:tcW w:w="2552" w:type="dxa"/>
            <w:tcBorders>
              <w:top w:val="nil"/>
              <w:left w:val="nil"/>
              <w:bottom w:val="nil"/>
              <w:right w:val="nil"/>
            </w:tcBorders>
            <w:shd w:val="clear" w:color="auto" w:fill="auto"/>
            <w:noWrap/>
            <w:vAlign w:val="bottom"/>
          </w:tcPr>
          <w:p w14:paraId="16B47BC1"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Grade</w:t>
            </w:r>
          </w:p>
        </w:tc>
        <w:tc>
          <w:tcPr>
            <w:tcW w:w="1144" w:type="dxa"/>
            <w:tcBorders>
              <w:top w:val="nil"/>
              <w:left w:val="nil"/>
              <w:bottom w:val="nil"/>
              <w:right w:val="nil"/>
            </w:tcBorders>
            <w:shd w:val="clear" w:color="auto" w:fill="auto"/>
            <w:noWrap/>
            <w:vAlign w:val="bottom"/>
          </w:tcPr>
          <w:p w14:paraId="24FC648C"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01AA02A4"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4D4D87F6"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265C3B5"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511BA58"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623335B2" w14:textId="77777777" w:rsidTr="00A13B1F">
        <w:trPr>
          <w:trHeight w:val="285"/>
        </w:trPr>
        <w:tc>
          <w:tcPr>
            <w:tcW w:w="2552" w:type="dxa"/>
            <w:tcBorders>
              <w:top w:val="nil"/>
              <w:left w:val="nil"/>
              <w:bottom w:val="nil"/>
              <w:right w:val="nil"/>
            </w:tcBorders>
            <w:shd w:val="clear" w:color="auto" w:fill="auto"/>
            <w:noWrap/>
            <w:vAlign w:val="bottom"/>
          </w:tcPr>
          <w:p w14:paraId="2188B2B1"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Well differentiated</w:t>
            </w:r>
          </w:p>
        </w:tc>
        <w:tc>
          <w:tcPr>
            <w:tcW w:w="1144" w:type="dxa"/>
            <w:tcBorders>
              <w:top w:val="nil"/>
              <w:left w:val="nil"/>
              <w:bottom w:val="nil"/>
              <w:right w:val="nil"/>
            </w:tcBorders>
            <w:shd w:val="clear" w:color="auto" w:fill="auto"/>
            <w:noWrap/>
            <w:vAlign w:val="bottom"/>
          </w:tcPr>
          <w:p w14:paraId="143C025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78</w:t>
            </w:r>
          </w:p>
        </w:tc>
        <w:tc>
          <w:tcPr>
            <w:tcW w:w="1144" w:type="dxa"/>
            <w:tcBorders>
              <w:top w:val="nil"/>
              <w:left w:val="nil"/>
              <w:bottom w:val="nil"/>
              <w:right w:val="nil"/>
            </w:tcBorders>
            <w:shd w:val="clear" w:color="auto" w:fill="auto"/>
            <w:noWrap/>
            <w:vAlign w:val="bottom"/>
          </w:tcPr>
          <w:p w14:paraId="5D32E63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24.9</w:t>
            </w:r>
          </w:p>
        </w:tc>
        <w:tc>
          <w:tcPr>
            <w:tcW w:w="1351" w:type="dxa"/>
            <w:tcBorders>
              <w:top w:val="nil"/>
              <w:left w:val="nil"/>
              <w:bottom w:val="nil"/>
              <w:right w:val="nil"/>
            </w:tcBorders>
            <w:shd w:val="clear" w:color="auto" w:fill="auto"/>
            <w:noWrap/>
            <w:vAlign w:val="bottom"/>
          </w:tcPr>
          <w:p w14:paraId="57F0F937"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49</w:t>
            </w:r>
          </w:p>
        </w:tc>
        <w:tc>
          <w:tcPr>
            <w:tcW w:w="1229" w:type="dxa"/>
            <w:tcBorders>
              <w:top w:val="nil"/>
              <w:left w:val="nil"/>
              <w:bottom w:val="nil"/>
              <w:right w:val="nil"/>
            </w:tcBorders>
            <w:shd w:val="clear" w:color="auto" w:fill="auto"/>
            <w:noWrap/>
            <w:vAlign w:val="bottom"/>
          </w:tcPr>
          <w:p w14:paraId="529593B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24.0</w:t>
            </w:r>
          </w:p>
        </w:tc>
        <w:tc>
          <w:tcPr>
            <w:tcW w:w="1160" w:type="dxa"/>
            <w:tcBorders>
              <w:top w:val="nil"/>
              <w:left w:val="nil"/>
              <w:bottom w:val="nil"/>
              <w:right w:val="nil"/>
            </w:tcBorders>
            <w:shd w:val="clear" w:color="auto" w:fill="auto"/>
            <w:noWrap/>
            <w:vAlign w:val="bottom"/>
          </w:tcPr>
          <w:p w14:paraId="4F509A1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0.050</w:t>
            </w:r>
          </w:p>
        </w:tc>
      </w:tr>
      <w:tr w:rsidR="000B3235" w:rsidRPr="00572D61" w14:paraId="01C95F8A" w14:textId="77777777" w:rsidTr="001A617A">
        <w:trPr>
          <w:trHeight w:val="285"/>
        </w:trPr>
        <w:tc>
          <w:tcPr>
            <w:tcW w:w="2552" w:type="dxa"/>
            <w:tcBorders>
              <w:top w:val="nil"/>
              <w:left w:val="nil"/>
              <w:bottom w:val="nil"/>
              <w:right w:val="nil"/>
            </w:tcBorders>
            <w:shd w:val="clear" w:color="auto" w:fill="auto"/>
            <w:noWrap/>
            <w:vAlign w:val="bottom"/>
          </w:tcPr>
          <w:p w14:paraId="619FDE5B"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lastRenderedPageBreak/>
              <w:t>Moderately differentiated</w:t>
            </w:r>
          </w:p>
        </w:tc>
        <w:tc>
          <w:tcPr>
            <w:tcW w:w="1144" w:type="dxa"/>
            <w:tcBorders>
              <w:top w:val="nil"/>
              <w:left w:val="nil"/>
              <w:bottom w:val="nil"/>
              <w:right w:val="nil"/>
            </w:tcBorders>
            <w:shd w:val="clear" w:color="auto" w:fill="auto"/>
            <w:noWrap/>
            <w:vAlign w:val="bottom"/>
          </w:tcPr>
          <w:p w14:paraId="4D222A17"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193</w:t>
            </w:r>
          </w:p>
        </w:tc>
        <w:tc>
          <w:tcPr>
            <w:tcW w:w="1144" w:type="dxa"/>
            <w:tcBorders>
              <w:top w:val="nil"/>
              <w:left w:val="nil"/>
              <w:bottom w:val="nil"/>
              <w:right w:val="nil"/>
            </w:tcBorders>
            <w:shd w:val="clear" w:color="auto" w:fill="auto"/>
            <w:noWrap/>
            <w:vAlign w:val="bottom"/>
          </w:tcPr>
          <w:p w14:paraId="32B596D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61.7</w:t>
            </w:r>
          </w:p>
        </w:tc>
        <w:tc>
          <w:tcPr>
            <w:tcW w:w="1351" w:type="dxa"/>
            <w:tcBorders>
              <w:top w:val="nil"/>
              <w:left w:val="nil"/>
              <w:bottom w:val="nil"/>
              <w:right w:val="nil"/>
            </w:tcBorders>
            <w:shd w:val="clear" w:color="auto" w:fill="auto"/>
            <w:noWrap/>
            <w:vAlign w:val="bottom"/>
          </w:tcPr>
          <w:p w14:paraId="4B4BAD8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141</w:t>
            </w:r>
          </w:p>
        </w:tc>
        <w:tc>
          <w:tcPr>
            <w:tcW w:w="1229" w:type="dxa"/>
            <w:tcBorders>
              <w:top w:val="nil"/>
              <w:left w:val="nil"/>
              <w:bottom w:val="nil"/>
              <w:right w:val="nil"/>
            </w:tcBorders>
            <w:shd w:val="clear" w:color="auto" w:fill="auto"/>
            <w:noWrap/>
            <w:vAlign w:val="bottom"/>
          </w:tcPr>
          <w:p w14:paraId="314E19E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69.1</w:t>
            </w:r>
          </w:p>
        </w:tc>
        <w:tc>
          <w:tcPr>
            <w:tcW w:w="1160" w:type="dxa"/>
            <w:tcBorders>
              <w:top w:val="nil"/>
              <w:left w:val="nil"/>
              <w:bottom w:val="nil"/>
              <w:right w:val="nil"/>
            </w:tcBorders>
            <w:shd w:val="clear" w:color="auto" w:fill="auto"/>
            <w:noWrap/>
            <w:vAlign w:val="bottom"/>
          </w:tcPr>
          <w:p w14:paraId="1C4442F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58ECBB79" w14:textId="77777777" w:rsidTr="005E5353">
        <w:trPr>
          <w:trHeight w:val="285"/>
        </w:trPr>
        <w:tc>
          <w:tcPr>
            <w:tcW w:w="2552" w:type="dxa"/>
            <w:tcBorders>
              <w:top w:val="nil"/>
              <w:left w:val="nil"/>
              <w:bottom w:val="nil"/>
              <w:right w:val="nil"/>
            </w:tcBorders>
            <w:shd w:val="clear" w:color="auto" w:fill="auto"/>
            <w:noWrap/>
            <w:vAlign w:val="bottom"/>
          </w:tcPr>
          <w:p w14:paraId="2562DCE5"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Poorly differentiated</w:t>
            </w:r>
          </w:p>
        </w:tc>
        <w:tc>
          <w:tcPr>
            <w:tcW w:w="1144" w:type="dxa"/>
            <w:tcBorders>
              <w:top w:val="nil"/>
              <w:left w:val="nil"/>
              <w:bottom w:val="nil"/>
              <w:right w:val="nil"/>
            </w:tcBorders>
            <w:shd w:val="clear" w:color="auto" w:fill="auto"/>
            <w:noWrap/>
            <w:vAlign w:val="bottom"/>
          </w:tcPr>
          <w:p w14:paraId="5CC0F3A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42</w:t>
            </w:r>
          </w:p>
        </w:tc>
        <w:tc>
          <w:tcPr>
            <w:tcW w:w="1144" w:type="dxa"/>
            <w:tcBorders>
              <w:top w:val="nil"/>
              <w:left w:val="nil"/>
              <w:bottom w:val="nil"/>
              <w:right w:val="nil"/>
            </w:tcBorders>
            <w:shd w:val="clear" w:color="auto" w:fill="auto"/>
            <w:noWrap/>
            <w:vAlign w:val="bottom"/>
          </w:tcPr>
          <w:p w14:paraId="7150B39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13.4</w:t>
            </w:r>
          </w:p>
        </w:tc>
        <w:tc>
          <w:tcPr>
            <w:tcW w:w="1351" w:type="dxa"/>
            <w:tcBorders>
              <w:top w:val="nil"/>
              <w:left w:val="nil"/>
              <w:bottom w:val="nil"/>
              <w:right w:val="nil"/>
            </w:tcBorders>
            <w:shd w:val="clear" w:color="auto" w:fill="auto"/>
            <w:noWrap/>
            <w:vAlign w:val="bottom"/>
          </w:tcPr>
          <w:p w14:paraId="05460B7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w:t>
            </w:r>
          </w:p>
        </w:tc>
        <w:tc>
          <w:tcPr>
            <w:tcW w:w="1229" w:type="dxa"/>
            <w:tcBorders>
              <w:top w:val="nil"/>
              <w:left w:val="nil"/>
              <w:bottom w:val="nil"/>
              <w:right w:val="nil"/>
            </w:tcBorders>
            <w:shd w:val="clear" w:color="auto" w:fill="auto"/>
            <w:noWrap/>
            <w:vAlign w:val="bottom"/>
          </w:tcPr>
          <w:p w14:paraId="6B336C4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6.9</w:t>
            </w:r>
          </w:p>
        </w:tc>
        <w:tc>
          <w:tcPr>
            <w:tcW w:w="1160" w:type="dxa"/>
            <w:tcBorders>
              <w:top w:val="nil"/>
              <w:left w:val="nil"/>
              <w:bottom w:val="nil"/>
              <w:right w:val="nil"/>
            </w:tcBorders>
            <w:shd w:val="clear" w:color="auto" w:fill="auto"/>
            <w:noWrap/>
            <w:vAlign w:val="bottom"/>
          </w:tcPr>
          <w:p w14:paraId="2ECF11DB"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0AFB4E7C" w14:textId="77777777" w:rsidTr="00A502FD">
        <w:trPr>
          <w:trHeight w:val="285"/>
        </w:trPr>
        <w:tc>
          <w:tcPr>
            <w:tcW w:w="2552" w:type="dxa"/>
            <w:tcBorders>
              <w:top w:val="nil"/>
              <w:left w:val="nil"/>
              <w:bottom w:val="nil"/>
              <w:right w:val="nil"/>
            </w:tcBorders>
            <w:shd w:val="clear" w:color="auto" w:fill="auto"/>
            <w:noWrap/>
            <w:vAlign w:val="bottom"/>
          </w:tcPr>
          <w:p w14:paraId="0CE104A6"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MVI</w:t>
            </w:r>
          </w:p>
        </w:tc>
        <w:tc>
          <w:tcPr>
            <w:tcW w:w="1144" w:type="dxa"/>
            <w:tcBorders>
              <w:top w:val="nil"/>
              <w:left w:val="nil"/>
              <w:bottom w:val="nil"/>
              <w:right w:val="nil"/>
            </w:tcBorders>
            <w:shd w:val="clear" w:color="auto" w:fill="auto"/>
            <w:noWrap/>
            <w:vAlign w:val="bottom"/>
          </w:tcPr>
          <w:p w14:paraId="2F7C192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44" w:type="dxa"/>
            <w:tcBorders>
              <w:top w:val="nil"/>
              <w:left w:val="nil"/>
              <w:bottom w:val="nil"/>
              <w:right w:val="nil"/>
            </w:tcBorders>
            <w:shd w:val="clear" w:color="auto" w:fill="auto"/>
            <w:noWrap/>
            <w:vAlign w:val="bottom"/>
          </w:tcPr>
          <w:p w14:paraId="46DE375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351" w:type="dxa"/>
            <w:tcBorders>
              <w:top w:val="nil"/>
              <w:left w:val="nil"/>
              <w:bottom w:val="nil"/>
              <w:right w:val="nil"/>
            </w:tcBorders>
            <w:shd w:val="clear" w:color="auto" w:fill="auto"/>
            <w:noWrap/>
            <w:vAlign w:val="bottom"/>
          </w:tcPr>
          <w:p w14:paraId="70AE518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229" w:type="dxa"/>
            <w:tcBorders>
              <w:top w:val="nil"/>
              <w:left w:val="nil"/>
              <w:bottom w:val="nil"/>
              <w:right w:val="nil"/>
            </w:tcBorders>
            <w:shd w:val="clear" w:color="auto" w:fill="auto"/>
            <w:noWrap/>
            <w:vAlign w:val="bottom"/>
          </w:tcPr>
          <w:p w14:paraId="6A7B4E9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c>
          <w:tcPr>
            <w:tcW w:w="1160" w:type="dxa"/>
            <w:tcBorders>
              <w:top w:val="nil"/>
              <w:left w:val="nil"/>
              <w:bottom w:val="nil"/>
              <w:right w:val="nil"/>
            </w:tcBorders>
            <w:shd w:val="clear" w:color="auto" w:fill="auto"/>
            <w:noWrap/>
            <w:vAlign w:val="bottom"/>
          </w:tcPr>
          <w:p w14:paraId="1782AB8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5D5F6AF0" w14:textId="77777777" w:rsidTr="00540106">
        <w:trPr>
          <w:trHeight w:val="285"/>
        </w:trPr>
        <w:tc>
          <w:tcPr>
            <w:tcW w:w="2552" w:type="dxa"/>
            <w:tcBorders>
              <w:top w:val="nil"/>
              <w:left w:val="nil"/>
              <w:bottom w:val="nil"/>
              <w:right w:val="nil"/>
            </w:tcBorders>
            <w:shd w:val="clear" w:color="auto" w:fill="auto"/>
            <w:noWrap/>
            <w:vAlign w:val="bottom"/>
          </w:tcPr>
          <w:p w14:paraId="65FEA8DC"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No</w:t>
            </w:r>
          </w:p>
        </w:tc>
        <w:tc>
          <w:tcPr>
            <w:tcW w:w="1144" w:type="dxa"/>
            <w:tcBorders>
              <w:top w:val="nil"/>
              <w:left w:val="nil"/>
              <w:bottom w:val="nil"/>
              <w:right w:val="nil"/>
            </w:tcBorders>
            <w:shd w:val="clear" w:color="auto" w:fill="auto"/>
            <w:noWrap/>
            <w:vAlign w:val="bottom"/>
          </w:tcPr>
          <w:p w14:paraId="75A0FA8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282</w:t>
            </w:r>
          </w:p>
        </w:tc>
        <w:tc>
          <w:tcPr>
            <w:tcW w:w="1144" w:type="dxa"/>
            <w:tcBorders>
              <w:top w:val="nil"/>
              <w:left w:val="nil"/>
              <w:bottom w:val="nil"/>
              <w:right w:val="nil"/>
            </w:tcBorders>
            <w:shd w:val="clear" w:color="auto" w:fill="auto"/>
            <w:noWrap/>
            <w:vAlign w:val="bottom"/>
          </w:tcPr>
          <w:p w14:paraId="3BB706F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73.2</w:t>
            </w:r>
          </w:p>
        </w:tc>
        <w:tc>
          <w:tcPr>
            <w:tcW w:w="1351" w:type="dxa"/>
            <w:tcBorders>
              <w:top w:val="nil"/>
              <w:left w:val="nil"/>
              <w:bottom w:val="nil"/>
              <w:right w:val="nil"/>
            </w:tcBorders>
            <w:shd w:val="clear" w:color="auto" w:fill="auto"/>
            <w:noWrap/>
            <w:vAlign w:val="bottom"/>
          </w:tcPr>
          <w:p w14:paraId="0D729CE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142</w:t>
            </w:r>
          </w:p>
        </w:tc>
        <w:tc>
          <w:tcPr>
            <w:tcW w:w="1229" w:type="dxa"/>
            <w:tcBorders>
              <w:top w:val="nil"/>
              <w:left w:val="nil"/>
              <w:bottom w:val="nil"/>
              <w:right w:val="nil"/>
            </w:tcBorders>
            <w:shd w:val="clear" w:color="auto" w:fill="auto"/>
            <w:noWrap/>
            <w:vAlign w:val="bottom"/>
          </w:tcPr>
          <w:p w14:paraId="00F99A3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71.0</w:t>
            </w:r>
          </w:p>
        </w:tc>
        <w:tc>
          <w:tcPr>
            <w:tcW w:w="1160" w:type="dxa"/>
            <w:tcBorders>
              <w:top w:val="nil"/>
              <w:left w:val="nil"/>
              <w:bottom w:val="nil"/>
              <w:right w:val="nil"/>
            </w:tcBorders>
            <w:shd w:val="clear" w:color="auto" w:fill="auto"/>
            <w:noWrap/>
            <w:vAlign w:val="bottom"/>
          </w:tcPr>
          <w:p w14:paraId="029D089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0.564</w:t>
            </w:r>
          </w:p>
        </w:tc>
      </w:tr>
      <w:tr w:rsidR="000B3235" w:rsidRPr="00572D61" w14:paraId="5DA8E47C" w14:textId="77777777" w:rsidTr="00400CE6">
        <w:trPr>
          <w:trHeight w:val="285"/>
        </w:trPr>
        <w:tc>
          <w:tcPr>
            <w:tcW w:w="2552" w:type="dxa"/>
            <w:tcBorders>
              <w:top w:val="nil"/>
              <w:left w:val="nil"/>
              <w:bottom w:val="nil"/>
              <w:right w:val="nil"/>
            </w:tcBorders>
            <w:shd w:val="clear" w:color="auto" w:fill="auto"/>
            <w:noWrap/>
            <w:vAlign w:val="bottom"/>
          </w:tcPr>
          <w:p w14:paraId="3096559C"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Yes</w:t>
            </w:r>
          </w:p>
        </w:tc>
        <w:tc>
          <w:tcPr>
            <w:tcW w:w="1144" w:type="dxa"/>
            <w:tcBorders>
              <w:top w:val="nil"/>
              <w:left w:val="nil"/>
              <w:bottom w:val="nil"/>
              <w:right w:val="nil"/>
            </w:tcBorders>
            <w:shd w:val="clear" w:color="auto" w:fill="auto"/>
            <w:noWrap/>
            <w:vAlign w:val="bottom"/>
          </w:tcPr>
          <w:p w14:paraId="125F19C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103</w:t>
            </w:r>
          </w:p>
        </w:tc>
        <w:tc>
          <w:tcPr>
            <w:tcW w:w="1144" w:type="dxa"/>
            <w:tcBorders>
              <w:top w:val="nil"/>
              <w:left w:val="nil"/>
              <w:bottom w:val="nil"/>
              <w:right w:val="nil"/>
            </w:tcBorders>
            <w:shd w:val="clear" w:color="auto" w:fill="auto"/>
            <w:noWrap/>
            <w:vAlign w:val="bottom"/>
          </w:tcPr>
          <w:p w14:paraId="656D253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26.8</w:t>
            </w:r>
          </w:p>
        </w:tc>
        <w:tc>
          <w:tcPr>
            <w:tcW w:w="1351" w:type="dxa"/>
            <w:tcBorders>
              <w:top w:val="nil"/>
              <w:left w:val="nil"/>
              <w:bottom w:val="nil"/>
              <w:right w:val="nil"/>
            </w:tcBorders>
            <w:shd w:val="clear" w:color="auto" w:fill="auto"/>
            <w:noWrap/>
            <w:vAlign w:val="bottom"/>
          </w:tcPr>
          <w:p w14:paraId="04A4E88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58</w:t>
            </w:r>
          </w:p>
        </w:tc>
        <w:tc>
          <w:tcPr>
            <w:tcW w:w="1229" w:type="dxa"/>
            <w:tcBorders>
              <w:top w:val="nil"/>
              <w:left w:val="nil"/>
              <w:bottom w:val="nil"/>
              <w:right w:val="nil"/>
            </w:tcBorders>
            <w:shd w:val="clear" w:color="auto" w:fill="auto"/>
            <w:noWrap/>
            <w:vAlign w:val="bottom"/>
          </w:tcPr>
          <w:p w14:paraId="4578202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29.0</w:t>
            </w:r>
          </w:p>
        </w:tc>
        <w:tc>
          <w:tcPr>
            <w:tcW w:w="1160" w:type="dxa"/>
            <w:tcBorders>
              <w:top w:val="nil"/>
              <w:left w:val="nil"/>
              <w:bottom w:val="nil"/>
              <w:right w:val="nil"/>
            </w:tcBorders>
            <w:shd w:val="clear" w:color="auto" w:fill="auto"/>
            <w:noWrap/>
            <w:vAlign w:val="bottom"/>
          </w:tcPr>
          <w:p w14:paraId="2C769E6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048F1BF2" w14:textId="77777777" w:rsidTr="00427A0E">
        <w:trPr>
          <w:trHeight w:val="285"/>
        </w:trPr>
        <w:tc>
          <w:tcPr>
            <w:tcW w:w="2552" w:type="dxa"/>
            <w:tcBorders>
              <w:top w:val="nil"/>
              <w:left w:val="nil"/>
              <w:bottom w:val="nil"/>
              <w:right w:val="nil"/>
            </w:tcBorders>
            <w:shd w:val="clear" w:color="auto" w:fill="auto"/>
            <w:noWrap/>
            <w:vAlign w:val="bottom"/>
          </w:tcPr>
          <w:p w14:paraId="335252EC"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 xml:space="preserve">AFP, </w:t>
            </w:r>
            <w:bookmarkStart w:id="4" w:name="OLE_LINK4"/>
            <w:proofErr w:type="spellStart"/>
            <w:r w:rsidRPr="00572D61">
              <w:rPr>
                <w:rFonts w:ascii="Book Antiqua" w:eastAsia="等线" w:hAnsi="Book Antiqua"/>
                <w:b/>
                <w:bCs/>
                <w:color w:val="000000"/>
                <w:lang w:val="en-GB"/>
              </w:rPr>
              <w:t>μg</w:t>
            </w:r>
            <w:proofErr w:type="spellEnd"/>
            <w:r w:rsidRPr="00572D61">
              <w:rPr>
                <w:rFonts w:ascii="Book Antiqua" w:eastAsia="等线" w:hAnsi="Book Antiqua"/>
                <w:b/>
                <w:bCs/>
                <w:color w:val="000000"/>
                <w:lang w:val="en-GB"/>
              </w:rPr>
              <w:t>/L</w:t>
            </w:r>
            <w:bookmarkEnd w:id="4"/>
          </w:p>
        </w:tc>
        <w:tc>
          <w:tcPr>
            <w:tcW w:w="1144" w:type="dxa"/>
            <w:tcBorders>
              <w:top w:val="nil"/>
              <w:left w:val="nil"/>
              <w:bottom w:val="nil"/>
              <w:right w:val="nil"/>
            </w:tcBorders>
            <w:shd w:val="clear" w:color="auto" w:fill="auto"/>
            <w:noWrap/>
            <w:vAlign w:val="bottom"/>
          </w:tcPr>
          <w:p w14:paraId="7843F475"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62062CB4"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3FBD27DC"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6AEED06"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FC7F1AC"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4E703B2B" w14:textId="77777777" w:rsidTr="00AA2820">
        <w:trPr>
          <w:trHeight w:val="285"/>
        </w:trPr>
        <w:tc>
          <w:tcPr>
            <w:tcW w:w="2552" w:type="dxa"/>
            <w:tcBorders>
              <w:top w:val="nil"/>
              <w:left w:val="nil"/>
              <w:bottom w:val="nil"/>
              <w:right w:val="nil"/>
            </w:tcBorders>
            <w:shd w:val="clear" w:color="auto" w:fill="auto"/>
            <w:noWrap/>
            <w:vAlign w:val="bottom"/>
          </w:tcPr>
          <w:p w14:paraId="012FB8D5"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&lt; 400</w:t>
            </w:r>
          </w:p>
        </w:tc>
        <w:tc>
          <w:tcPr>
            <w:tcW w:w="1144" w:type="dxa"/>
            <w:tcBorders>
              <w:top w:val="nil"/>
              <w:left w:val="nil"/>
              <w:bottom w:val="nil"/>
              <w:right w:val="nil"/>
            </w:tcBorders>
            <w:shd w:val="clear" w:color="auto" w:fill="auto"/>
            <w:noWrap/>
            <w:vAlign w:val="bottom"/>
          </w:tcPr>
          <w:p w14:paraId="1ED27369"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270</w:t>
            </w:r>
          </w:p>
        </w:tc>
        <w:tc>
          <w:tcPr>
            <w:tcW w:w="1144" w:type="dxa"/>
            <w:tcBorders>
              <w:top w:val="nil"/>
              <w:left w:val="nil"/>
              <w:bottom w:val="nil"/>
              <w:right w:val="nil"/>
            </w:tcBorders>
            <w:shd w:val="clear" w:color="auto" w:fill="auto"/>
            <w:noWrap/>
            <w:vAlign w:val="bottom"/>
          </w:tcPr>
          <w:p w14:paraId="0AA2472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69.1</w:t>
            </w:r>
          </w:p>
        </w:tc>
        <w:tc>
          <w:tcPr>
            <w:tcW w:w="1351" w:type="dxa"/>
            <w:tcBorders>
              <w:top w:val="nil"/>
              <w:left w:val="nil"/>
              <w:bottom w:val="nil"/>
              <w:right w:val="nil"/>
            </w:tcBorders>
            <w:shd w:val="clear" w:color="auto" w:fill="auto"/>
            <w:noWrap/>
            <w:vAlign w:val="bottom"/>
          </w:tcPr>
          <w:p w14:paraId="01A878B4"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145</w:t>
            </w:r>
          </w:p>
        </w:tc>
        <w:tc>
          <w:tcPr>
            <w:tcW w:w="1229" w:type="dxa"/>
            <w:tcBorders>
              <w:top w:val="nil"/>
              <w:left w:val="nil"/>
              <w:bottom w:val="nil"/>
              <w:right w:val="nil"/>
            </w:tcBorders>
            <w:shd w:val="clear" w:color="auto" w:fill="auto"/>
            <w:noWrap/>
            <w:vAlign w:val="bottom"/>
          </w:tcPr>
          <w:p w14:paraId="372B3FB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72.9</w:t>
            </w:r>
          </w:p>
        </w:tc>
        <w:tc>
          <w:tcPr>
            <w:tcW w:w="1160" w:type="dxa"/>
            <w:tcBorders>
              <w:top w:val="nil"/>
              <w:left w:val="nil"/>
              <w:bottom w:val="nil"/>
              <w:right w:val="nil"/>
            </w:tcBorders>
            <w:shd w:val="clear" w:color="auto" w:fill="auto"/>
            <w:noWrap/>
            <w:vAlign w:val="bottom"/>
          </w:tcPr>
          <w:p w14:paraId="1138E32F"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0.338</w:t>
            </w:r>
          </w:p>
        </w:tc>
      </w:tr>
      <w:tr w:rsidR="000B3235" w:rsidRPr="00572D61" w14:paraId="324E26D4" w14:textId="77777777" w:rsidTr="0026509B">
        <w:trPr>
          <w:trHeight w:val="285"/>
        </w:trPr>
        <w:tc>
          <w:tcPr>
            <w:tcW w:w="2552" w:type="dxa"/>
            <w:tcBorders>
              <w:top w:val="nil"/>
              <w:left w:val="nil"/>
              <w:bottom w:val="nil"/>
              <w:right w:val="nil"/>
            </w:tcBorders>
            <w:shd w:val="clear" w:color="auto" w:fill="auto"/>
            <w:noWrap/>
            <w:vAlign w:val="bottom"/>
          </w:tcPr>
          <w:p w14:paraId="429ACA32"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 400</w:t>
            </w:r>
          </w:p>
        </w:tc>
        <w:tc>
          <w:tcPr>
            <w:tcW w:w="1144" w:type="dxa"/>
            <w:tcBorders>
              <w:top w:val="nil"/>
              <w:left w:val="nil"/>
              <w:bottom w:val="nil"/>
              <w:right w:val="nil"/>
            </w:tcBorders>
            <w:shd w:val="clear" w:color="auto" w:fill="auto"/>
            <w:noWrap/>
            <w:vAlign w:val="bottom"/>
          </w:tcPr>
          <w:p w14:paraId="474BB76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121</w:t>
            </w:r>
          </w:p>
        </w:tc>
        <w:tc>
          <w:tcPr>
            <w:tcW w:w="1144" w:type="dxa"/>
            <w:tcBorders>
              <w:top w:val="nil"/>
              <w:left w:val="nil"/>
              <w:bottom w:val="nil"/>
              <w:right w:val="nil"/>
            </w:tcBorders>
            <w:shd w:val="clear" w:color="auto" w:fill="auto"/>
            <w:noWrap/>
            <w:vAlign w:val="bottom"/>
          </w:tcPr>
          <w:p w14:paraId="3EC6EE9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30.9</w:t>
            </w:r>
          </w:p>
        </w:tc>
        <w:tc>
          <w:tcPr>
            <w:tcW w:w="1351" w:type="dxa"/>
            <w:tcBorders>
              <w:top w:val="nil"/>
              <w:left w:val="nil"/>
              <w:bottom w:val="nil"/>
              <w:right w:val="nil"/>
            </w:tcBorders>
            <w:shd w:val="clear" w:color="auto" w:fill="auto"/>
            <w:noWrap/>
            <w:vAlign w:val="bottom"/>
          </w:tcPr>
          <w:p w14:paraId="4B5CAE86"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54</w:t>
            </w:r>
          </w:p>
        </w:tc>
        <w:tc>
          <w:tcPr>
            <w:tcW w:w="1229" w:type="dxa"/>
            <w:tcBorders>
              <w:top w:val="nil"/>
              <w:left w:val="nil"/>
              <w:bottom w:val="nil"/>
              <w:right w:val="nil"/>
            </w:tcBorders>
            <w:shd w:val="clear" w:color="auto" w:fill="auto"/>
            <w:noWrap/>
            <w:vAlign w:val="bottom"/>
          </w:tcPr>
          <w:p w14:paraId="3DA01EAD"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27.1</w:t>
            </w:r>
          </w:p>
        </w:tc>
        <w:tc>
          <w:tcPr>
            <w:tcW w:w="1160" w:type="dxa"/>
            <w:tcBorders>
              <w:top w:val="nil"/>
              <w:left w:val="nil"/>
              <w:bottom w:val="nil"/>
              <w:right w:val="nil"/>
            </w:tcBorders>
            <w:shd w:val="clear" w:color="auto" w:fill="auto"/>
            <w:noWrap/>
            <w:vAlign w:val="bottom"/>
          </w:tcPr>
          <w:p w14:paraId="42C59E1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3EBB688E" w14:textId="77777777" w:rsidTr="001D03DB">
        <w:trPr>
          <w:trHeight w:val="285"/>
        </w:trPr>
        <w:tc>
          <w:tcPr>
            <w:tcW w:w="2552" w:type="dxa"/>
            <w:tcBorders>
              <w:top w:val="nil"/>
              <w:left w:val="nil"/>
              <w:bottom w:val="nil"/>
              <w:right w:val="nil"/>
            </w:tcBorders>
            <w:shd w:val="clear" w:color="auto" w:fill="auto"/>
            <w:noWrap/>
            <w:vAlign w:val="bottom"/>
          </w:tcPr>
          <w:p w14:paraId="7B346A61"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NLR</w:t>
            </w:r>
          </w:p>
        </w:tc>
        <w:tc>
          <w:tcPr>
            <w:tcW w:w="1144" w:type="dxa"/>
            <w:tcBorders>
              <w:top w:val="nil"/>
              <w:left w:val="nil"/>
              <w:bottom w:val="nil"/>
              <w:right w:val="nil"/>
            </w:tcBorders>
            <w:shd w:val="clear" w:color="auto" w:fill="auto"/>
            <w:noWrap/>
            <w:vAlign w:val="bottom"/>
          </w:tcPr>
          <w:p w14:paraId="24E20380"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0DAD0D82"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7257F134"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2CD400B"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71EAC0F"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3AA8D311" w14:textId="77777777" w:rsidTr="009702B1">
        <w:trPr>
          <w:trHeight w:val="285"/>
        </w:trPr>
        <w:tc>
          <w:tcPr>
            <w:tcW w:w="2552" w:type="dxa"/>
            <w:tcBorders>
              <w:top w:val="nil"/>
              <w:left w:val="nil"/>
              <w:bottom w:val="nil"/>
              <w:right w:val="nil"/>
            </w:tcBorders>
            <w:shd w:val="clear" w:color="auto" w:fill="auto"/>
            <w:noWrap/>
            <w:vAlign w:val="bottom"/>
          </w:tcPr>
          <w:p w14:paraId="36A6F6C3"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Low</w:t>
            </w:r>
          </w:p>
        </w:tc>
        <w:tc>
          <w:tcPr>
            <w:tcW w:w="1144" w:type="dxa"/>
            <w:tcBorders>
              <w:top w:val="nil"/>
              <w:left w:val="nil"/>
              <w:bottom w:val="nil"/>
              <w:right w:val="nil"/>
            </w:tcBorders>
            <w:shd w:val="clear" w:color="auto" w:fill="auto"/>
            <w:noWrap/>
            <w:vAlign w:val="bottom"/>
          </w:tcPr>
          <w:p w14:paraId="3E557540"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201</w:t>
            </w:r>
          </w:p>
        </w:tc>
        <w:tc>
          <w:tcPr>
            <w:tcW w:w="1144" w:type="dxa"/>
            <w:tcBorders>
              <w:top w:val="nil"/>
              <w:left w:val="nil"/>
              <w:bottom w:val="nil"/>
              <w:right w:val="nil"/>
            </w:tcBorders>
            <w:shd w:val="clear" w:color="auto" w:fill="auto"/>
            <w:noWrap/>
            <w:vAlign w:val="bottom"/>
          </w:tcPr>
          <w:p w14:paraId="6F7FECF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49.9</w:t>
            </w:r>
          </w:p>
        </w:tc>
        <w:tc>
          <w:tcPr>
            <w:tcW w:w="1351" w:type="dxa"/>
            <w:tcBorders>
              <w:top w:val="nil"/>
              <w:left w:val="nil"/>
              <w:bottom w:val="nil"/>
              <w:right w:val="nil"/>
            </w:tcBorders>
            <w:shd w:val="clear" w:color="auto" w:fill="auto"/>
            <w:noWrap/>
            <w:vAlign w:val="bottom"/>
          </w:tcPr>
          <w:p w14:paraId="1E797B8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117</w:t>
            </w:r>
          </w:p>
        </w:tc>
        <w:tc>
          <w:tcPr>
            <w:tcW w:w="1229" w:type="dxa"/>
            <w:tcBorders>
              <w:top w:val="nil"/>
              <w:left w:val="nil"/>
              <w:bottom w:val="nil"/>
              <w:right w:val="nil"/>
            </w:tcBorders>
            <w:shd w:val="clear" w:color="auto" w:fill="auto"/>
            <w:noWrap/>
            <w:vAlign w:val="bottom"/>
          </w:tcPr>
          <w:p w14:paraId="3584600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54.4</w:t>
            </w:r>
          </w:p>
        </w:tc>
        <w:tc>
          <w:tcPr>
            <w:tcW w:w="1160" w:type="dxa"/>
            <w:tcBorders>
              <w:top w:val="nil"/>
              <w:left w:val="nil"/>
              <w:bottom w:val="nil"/>
              <w:right w:val="nil"/>
            </w:tcBorders>
            <w:shd w:val="clear" w:color="auto" w:fill="auto"/>
            <w:noWrap/>
            <w:vAlign w:val="bottom"/>
          </w:tcPr>
          <w:p w14:paraId="3263D32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0.282</w:t>
            </w:r>
          </w:p>
        </w:tc>
      </w:tr>
      <w:tr w:rsidR="000B3235" w:rsidRPr="00572D61" w14:paraId="2B3DD991" w14:textId="77777777" w:rsidTr="00A47CCE">
        <w:trPr>
          <w:trHeight w:val="285"/>
        </w:trPr>
        <w:tc>
          <w:tcPr>
            <w:tcW w:w="2552" w:type="dxa"/>
            <w:tcBorders>
              <w:top w:val="nil"/>
              <w:left w:val="nil"/>
              <w:bottom w:val="nil"/>
              <w:right w:val="nil"/>
            </w:tcBorders>
            <w:shd w:val="clear" w:color="auto" w:fill="auto"/>
            <w:noWrap/>
            <w:vAlign w:val="bottom"/>
          </w:tcPr>
          <w:p w14:paraId="79B600B9"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High</w:t>
            </w:r>
          </w:p>
        </w:tc>
        <w:tc>
          <w:tcPr>
            <w:tcW w:w="1144" w:type="dxa"/>
            <w:tcBorders>
              <w:top w:val="nil"/>
              <w:left w:val="nil"/>
              <w:bottom w:val="nil"/>
              <w:right w:val="nil"/>
            </w:tcBorders>
            <w:shd w:val="clear" w:color="auto" w:fill="auto"/>
            <w:noWrap/>
            <w:vAlign w:val="bottom"/>
          </w:tcPr>
          <w:p w14:paraId="5646B955"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202</w:t>
            </w:r>
          </w:p>
        </w:tc>
        <w:tc>
          <w:tcPr>
            <w:tcW w:w="1144" w:type="dxa"/>
            <w:tcBorders>
              <w:top w:val="nil"/>
              <w:left w:val="nil"/>
              <w:bottom w:val="nil"/>
              <w:right w:val="nil"/>
            </w:tcBorders>
            <w:shd w:val="clear" w:color="auto" w:fill="auto"/>
            <w:noWrap/>
            <w:vAlign w:val="bottom"/>
          </w:tcPr>
          <w:p w14:paraId="7240E318"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50.1</w:t>
            </w:r>
          </w:p>
        </w:tc>
        <w:tc>
          <w:tcPr>
            <w:tcW w:w="1351" w:type="dxa"/>
            <w:tcBorders>
              <w:top w:val="nil"/>
              <w:left w:val="nil"/>
              <w:bottom w:val="nil"/>
              <w:right w:val="nil"/>
            </w:tcBorders>
            <w:shd w:val="clear" w:color="auto" w:fill="auto"/>
            <w:noWrap/>
            <w:vAlign w:val="bottom"/>
          </w:tcPr>
          <w:p w14:paraId="5D34666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98</w:t>
            </w:r>
          </w:p>
        </w:tc>
        <w:tc>
          <w:tcPr>
            <w:tcW w:w="1229" w:type="dxa"/>
            <w:tcBorders>
              <w:top w:val="nil"/>
              <w:left w:val="nil"/>
              <w:bottom w:val="nil"/>
              <w:right w:val="nil"/>
            </w:tcBorders>
            <w:shd w:val="clear" w:color="auto" w:fill="auto"/>
            <w:noWrap/>
            <w:vAlign w:val="bottom"/>
          </w:tcPr>
          <w:p w14:paraId="3E48753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45.6</w:t>
            </w:r>
          </w:p>
        </w:tc>
        <w:tc>
          <w:tcPr>
            <w:tcW w:w="1160" w:type="dxa"/>
            <w:tcBorders>
              <w:top w:val="nil"/>
              <w:left w:val="nil"/>
              <w:bottom w:val="nil"/>
              <w:right w:val="nil"/>
            </w:tcBorders>
            <w:shd w:val="clear" w:color="auto" w:fill="auto"/>
            <w:noWrap/>
            <w:vAlign w:val="bottom"/>
          </w:tcPr>
          <w:p w14:paraId="7CC4F6D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r w:rsidR="000B3235" w:rsidRPr="00572D61" w14:paraId="18644D31" w14:textId="77777777" w:rsidTr="006D5F8A">
        <w:trPr>
          <w:trHeight w:val="285"/>
        </w:trPr>
        <w:tc>
          <w:tcPr>
            <w:tcW w:w="2552" w:type="dxa"/>
            <w:tcBorders>
              <w:top w:val="nil"/>
              <w:left w:val="nil"/>
              <w:bottom w:val="nil"/>
              <w:right w:val="nil"/>
            </w:tcBorders>
            <w:shd w:val="clear" w:color="auto" w:fill="auto"/>
            <w:noWrap/>
            <w:vAlign w:val="bottom"/>
          </w:tcPr>
          <w:p w14:paraId="7ED04C24" w14:textId="77777777" w:rsidR="000B3235" w:rsidRPr="00572D61" w:rsidRDefault="000B3235" w:rsidP="00450E72">
            <w:pPr>
              <w:adjustRightInd w:val="0"/>
              <w:snapToGrid w:val="0"/>
              <w:spacing w:line="360" w:lineRule="auto"/>
              <w:rPr>
                <w:rFonts w:ascii="Book Antiqua" w:eastAsia="等线" w:hAnsi="Book Antiqua"/>
                <w:b/>
                <w:bCs/>
                <w:color w:val="000000"/>
                <w:lang w:val="en-GB"/>
              </w:rPr>
            </w:pPr>
            <w:r w:rsidRPr="00572D61">
              <w:rPr>
                <w:rFonts w:ascii="Book Antiqua" w:eastAsia="等线" w:hAnsi="Book Antiqua"/>
                <w:b/>
                <w:bCs/>
                <w:color w:val="000000"/>
                <w:lang w:val="en-GB"/>
              </w:rPr>
              <w:t>PLR</w:t>
            </w:r>
          </w:p>
        </w:tc>
        <w:tc>
          <w:tcPr>
            <w:tcW w:w="1144" w:type="dxa"/>
            <w:tcBorders>
              <w:top w:val="nil"/>
              <w:left w:val="nil"/>
              <w:bottom w:val="nil"/>
              <w:right w:val="nil"/>
            </w:tcBorders>
            <w:shd w:val="clear" w:color="auto" w:fill="auto"/>
            <w:noWrap/>
            <w:vAlign w:val="bottom"/>
          </w:tcPr>
          <w:p w14:paraId="1805F153" w14:textId="77777777" w:rsidR="000B3235" w:rsidRPr="00572D61" w:rsidRDefault="000B3235" w:rsidP="00450E72">
            <w:pPr>
              <w:adjustRightInd w:val="0"/>
              <w:snapToGrid w:val="0"/>
              <w:spacing w:line="360" w:lineRule="auto"/>
              <w:jc w:val="center"/>
              <w:rPr>
                <w:rFonts w:ascii="Book Antiqua" w:eastAsia="等线" w:hAnsi="Book Antiqua"/>
                <w:b/>
                <w:bCs/>
                <w:color w:val="000000"/>
                <w:lang w:val="en-GB"/>
              </w:rPr>
            </w:pPr>
          </w:p>
        </w:tc>
        <w:tc>
          <w:tcPr>
            <w:tcW w:w="1144" w:type="dxa"/>
            <w:tcBorders>
              <w:top w:val="nil"/>
              <w:left w:val="nil"/>
              <w:bottom w:val="nil"/>
              <w:right w:val="nil"/>
            </w:tcBorders>
            <w:shd w:val="clear" w:color="auto" w:fill="auto"/>
            <w:noWrap/>
            <w:vAlign w:val="bottom"/>
          </w:tcPr>
          <w:p w14:paraId="3707B486"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351" w:type="dxa"/>
            <w:tcBorders>
              <w:top w:val="nil"/>
              <w:left w:val="nil"/>
              <w:bottom w:val="nil"/>
              <w:right w:val="nil"/>
            </w:tcBorders>
            <w:shd w:val="clear" w:color="auto" w:fill="auto"/>
            <w:noWrap/>
            <w:vAlign w:val="bottom"/>
          </w:tcPr>
          <w:p w14:paraId="0BB19A9A"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784C14A"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7AF80853" w14:textId="77777777" w:rsidR="000B3235" w:rsidRPr="00572D61" w:rsidRDefault="000B3235" w:rsidP="00450E72">
            <w:pPr>
              <w:adjustRightInd w:val="0"/>
              <w:snapToGrid w:val="0"/>
              <w:spacing w:line="360" w:lineRule="auto"/>
              <w:jc w:val="center"/>
              <w:rPr>
                <w:rFonts w:ascii="Book Antiqua" w:eastAsia="Times New Roman" w:hAnsi="Book Antiqua"/>
                <w:lang w:val="en-GB"/>
              </w:rPr>
            </w:pPr>
          </w:p>
        </w:tc>
      </w:tr>
      <w:tr w:rsidR="000B3235" w:rsidRPr="00572D61" w14:paraId="1463B7B4" w14:textId="77777777" w:rsidTr="008267F5">
        <w:trPr>
          <w:trHeight w:val="285"/>
        </w:trPr>
        <w:tc>
          <w:tcPr>
            <w:tcW w:w="2552" w:type="dxa"/>
            <w:tcBorders>
              <w:top w:val="nil"/>
              <w:left w:val="nil"/>
              <w:right w:val="nil"/>
            </w:tcBorders>
            <w:shd w:val="clear" w:color="auto" w:fill="auto"/>
            <w:noWrap/>
            <w:vAlign w:val="bottom"/>
          </w:tcPr>
          <w:p w14:paraId="5AF22026"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Low</w:t>
            </w:r>
          </w:p>
        </w:tc>
        <w:tc>
          <w:tcPr>
            <w:tcW w:w="1144" w:type="dxa"/>
            <w:tcBorders>
              <w:top w:val="nil"/>
              <w:left w:val="nil"/>
              <w:right w:val="nil"/>
            </w:tcBorders>
            <w:shd w:val="clear" w:color="auto" w:fill="auto"/>
            <w:noWrap/>
            <w:vAlign w:val="bottom"/>
          </w:tcPr>
          <w:p w14:paraId="15C8395C"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202</w:t>
            </w:r>
          </w:p>
        </w:tc>
        <w:tc>
          <w:tcPr>
            <w:tcW w:w="1144" w:type="dxa"/>
            <w:tcBorders>
              <w:top w:val="nil"/>
              <w:left w:val="nil"/>
              <w:right w:val="nil"/>
            </w:tcBorders>
            <w:shd w:val="clear" w:color="auto" w:fill="auto"/>
            <w:noWrap/>
            <w:vAlign w:val="bottom"/>
          </w:tcPr>
          <w:p w14:paraId="3D4D32F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50.0</w:t>
            </w:r>
          </w:p>
        </w:tc>
        <w:tc>
          <w:tcPr>
            <w:tcW w:w="1351" w:type="dxa"/>
            <w:tcBorders>
              <w:top w:val="nil"/>
              <w:left w:val="nil"/>
              <w:right w:val="nil"/>
            </w:tcBorders>
            <w:shd w:val="clear" w:color="auto" w:fill="auto"/>
            <w:noWrap/>
            <w:vAlign w:val="bottom"/>
          </w:tcPr>
          <w:p w14:paraId="35BB52E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117</w:t>
            </w:r>
          </w:p>
        </w:tc>
        <w:tc>
          <w:tcPr>
            <w:tcW w:w="1229" w:type="dxa"/>
            <w:tcBorders>
              <w:top w:val="nil"/>
              <w:left w:val="nil"/>
              <w:right w:val="nil"/>
            </w:tcBorders>
            <w:shd w:val="clear" w:color="auto" w:fill="auto"/>
            <w:noWrap/>
            <w:vAlign w:val="bottom"/>
          </w:tcPr>
          <w:p w14:paraId="6E6947EE"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54.4</w:t>
            </w:r>
          </w:p>
        </w:tc>
        <w:tc>
          <w:tcPr>
            <w:tcW w:w="1160" w:type="dxa"/>
            <w:tcBorders>
              <w:top w:val="nil"/>
              <w:left w:val="nil"/>
              <w:right w:val="nil"/>
            </w:tcBorders>
            <w:shd w:val="clear" w:color="auto" w:fill="auto"/>
            <w:noWrap/>
            <w:vAlign w:val="bottom"/>
          </w:tcPr>
          <w:p w14:paraId="57F95CA3"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0.295</w:t>
            </w:r>
          </w:p>
        </w:tc>
      </w:tr>
      <w:tr w:rsidR="000B3235" w:rsidRPr="00572D61" w14:paraId="382FD7B2" w14:textId="77777777" w:rsidTr="00226A47">
        <w:trPr>
          <w:trHeight w:val="285"/>
        </w:trPr>
        <w:tc>
          <w:tcPr>
            <w:tcW w:w="2552" w:type="dxa"/>
            <w:tcBorders>
              <w:top w:val="nil"/>
              <w:left w:val="nil"/>
              <w:bottom w:val="single" w:sz="4" w:space="0" w:color="auto"/>
              <w:right w:val="nil"/>
            </w:tcBorders>
            <w:shd w:val="clear" w:color="auto" w:fill="auto"/>
            <w:noWrap/>
            <w:vAlign w:val="bottom"/>
          </w:tcPr>
          <w:p w14:paraId="508B29BD" w14:textId="77777777" w:rsidR="000B3235" w:rsidRPr="00572D61" w:rsidRDefault="000B3235" w:rsidP="00450E72">
            <w:pPr>
              <w:adjustRightInd w:val="0"/>
              <w:snapToGrid w:val="0"/>
              <w:spacing w:line="360" w:lineRule="auto"/>
              <w:rPr>
                <w:rFonts w:ascii="Book Antiqua" w:eastAsia="等线" w:hAnsi="Book Antiqua"/>
                <w:color w:val="000000"/>
                <w:lang w:val="en-GB"/>
              </w:rPr>
            </w:pPr>
            <w:r w:rsidRPr="00572D61">
              <w:rPr>
                <w:rFonts w:ascii="Book Antiqua" w:eastAsia="等线" w:hAnsi="Book Antiqua"/>
                <w:color w:val="000000"/>
                <w:lang w:val="en-GB"/>
              </w:rPr>
              <w:t>High</w:t>
            </w:r>
          </w:p>
        </w:tc>
        <w:tc>
          <w:tcPr>
            <w:tcW w:w="1144" w:type="dxa"/>
            <w:tcBorders>
              <w:top w:val="nil"/>
              <w:left w:val="nil"/>
              <w:bottom w:val="single" w:sz="4" w:space="0" w:color="auto"/>
              <w:right w:val="nil"/>
            </w:tcBorders>
            <w:shd w:val="clear" w:color="auto" w:fill="auto"/>
            <w:noWrap/>
            <w:vAlign w:val="bottom"/>
          </w:tcPr>
          <w:p w14:paraId="05CD1E17"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202</w:t>
            </w:r>
          </w:p>
        </w:tc>
        <w:tc>
          <w:tcPr>
            <w:tcW w:w="1144" w:type="dxa"/>
            <w:tcBorders>
              <w:top w:val="nil"/>
              <w:left w:val="nil"/>
              <w:bottom w:val="single" w:sz="4" w:space="0" w:color="auto"/>
              <w:right w:val="nil"/>
            </w:tcBorders>
            <w:shd w:val="clear" w:color="auto" w:fill="auto"/>
            <w:noWrap/>
            <w:vAlign w:val="bottom"/>
          </w:tcPr>
          <w:p w14:paraId="29081772"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50.0</w:t>
            </w:r>
          </w:p>
        </w:tc>
        <w:tc>
          <w:tcPr>
            <w:tcW w:w="1351" w:type="dxa"/>
            <w:tcBorders>
              <w:top w:val="nil"/>
              <w:left w:val="nil"/>
              <w:bottom w:val="single" w:sz="4" w:space="0" w:color="auto"/>
              <w:right w:val="nil"/>
            </w:tcBorders>
            <w:shd w:val="clear" w:color="auto" w:fill="auto"/>
            <w:noWrap/>
            <w:vAlign w:val="bottom"/>
          </w:tcPr>
          <w:p w14:paraId="3F6F352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98</w:t>
            </w:r>
          </w:p>
        </w:tc>
        <w:tc>
          <w:tcPr>
            <w:tcW w:w="1229" w:type="dxa"/>
            <w:tcBorders>
              <w:top w:val="nil"/>
              <w:left w:val="nil"/>
              <w:bottom w:val="single" w:sz="4" w:space="0" w:color="auto"/>
              <w:right w:val="nil"/>
            </w:tcBorders>
            <w:shd w:val="clear" w:color="auto" w:fill="auto"/>
            <w:noWrap/>
            <w:vAlign w:val="bottom"/>
          </w:tcPr>
          <w:p w14:paraId="28576E31"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r w:rsidRPr="00572D61">
              <w:rPr>
                <w:rFonts w:ascii="Book Antiqua" w:eastAsia="等线" w:hAnsi="Book Antiqua"/>
                <w:color w:val="000000"/>
                <w:lang w:val="en-GB"/>
              </w:rPr>
              <w:t>45.6</w:t>
            </w:r>
          </w:p>
        </w:tc>
        <w:tc>
          <w:tcPr>
            <w:tcW w:w="1160" w:type="dxa"/>
            <w:tcBorders>
              <w:top w:val="nil"/>
              <w:left w:val="nil"/>
              <w:bottom w:val="single" w:sz="4" w:space="0" w:color="auto"/>
              <w:right w:val="nil"/>
            </w:tcBorders>
            <w:shd w:val="clear" w:color="auto" w:fill="auto"/>
            <w:noWrap/>
            <w:vAlign w:val="bottom"/>
          </w:tcPr>
          <w:p w14:paraId="3D2B10CA" w14:textId="77777777" w:rsidR="000B3235" w:rsidRPr="00572D61" w:rsidRDefault="000B3235" w:rsidP="00450E72">
            <w:pPr>
              <w:adjustRightInd w:val="0"/>
              <w:snapToGrid w:val="0"/>
              <w:spacing w:line="360" w:lineRule="auto"/>
              <w:jc w:val="center"/>
              <w:rPr>
                <w:rFonts w:ascii="Book Antiqua" w:eastAsia="等线" w:hAnsi="Book Antiqua"/>
                <w:color w:val="000000"/>
                <w:lang w:val="en-GB"/>
              </w:rPr>
            </w:pPr>
          </w:p>
        </w:tc>
      </w:tr>
    </w:tbl>
    <w:p w14:paraId="1E7297FD" w14:textId="5D0DA7C1" w:rsidR="00037BBC" w:rsidRPr="00572D61" w:rsidRDefault="00037BBC" w:rsidP="008505D2">
      <w:pPr>
        <w:adjustRightInd w:val="0"/>
        <w:snapToGrid w:val="0"/>
        <w:spacing w:line="360" w:lineRule="auto"/>
        <w:ind w:left="120" w:hangingChars="50" w:hanging="120"/>
        <w:jc w:val="both"/>
        <w:rPr>
          <w:rFonts w:ascii="Book Antiqua" w:hAnsi="Book Antiqua"/>
          <w:lang w:val="en-GB" w:eastAsia="zh-CN"/>
        </w:rPr>
      </w:pPr>
      <w:r w:rsidRPr="00572D61">
        <w:rPr>
          <w:rFonts w:ascii="Book Antiqua" w:hAnsi="Book Antiqua"/>
          <w:lang w:val="en-GB"/>
        </w:rPr>
        <w:t xml:space="preserve">ALBI: </w:t>
      </w:r>
      <w:r w:rsidRPr="00572D61">
        <w:rPr>
          <w:rFonts w:ascii="Book Antiqua" w:hAnsi="Book Antiqua"/>
          <w:caps/>
          <w:lang w:val="en-GB"/>
        </w:rPr>
        <w:t>a</w:t>
      </w:r>
      <w:r w:rsidRPr="00572D61">
        <w:rPr>
          <w:rFonts w:ascii="Book Antiqua" w:hAnsi="Book Antiqua"/>
          <w:lang w:val="en-GB"/>
        </w:rPr>
        <w:t>lbumin</w:t>
      </w:r>
      <w:r w:rsidR="00583DAC">
        <w:rPr>
          <w:rFonts w:ascii="Book Antiqua" w:hAnsi="Book Antiqua"/>
          <w:lang w:val="en-GB"/>
        </w:rPr>
        <w:t>–</w:t>
      </w:r>
      <w:r w:rsidRPr="00572D61">
        <w:rPr>
          <w:rFonts w:ascii="Book Antiqua" w:hAnsi="Book Antiqua"/>
          <w:lang w:val="en-GB"/>
        </w:rPr>
        <w:t xml:space="preserve">bilirubin; </w:t>
      </w:r>
      <w:proofErr w:type="spellStart"/>
      <w:r w:rsidRPr="00572D61">
        <w:rPr>
          <w:rFonts w:ascii="Book Antiqua" w:hAnsi="Book Antiqua"/>
          <w:lang w:val="en-GB"/>
        </w:rPr>
        <w:t>HBsAg</w:t>
      </w:r>
      <w:proofErr w:type="spellEnd"/>
      <w:r w:rsidRPr="00572D61">
        <w:rPr>
          <w:rFonts w:ascii="Book Antiqua" w:hAnsi="Book Antiqua"/>
          <w:lang w:val="en-GB"/>
        </w:rPr>
        <w:t xml:space="preserve">: </w:t>
      </w:r>
      <w:r w:rsidRPr="00572D61">
        <w:rPr>
          <w:rFonts w:ascii="Book Antiqua" w:hAnsi="Book Antiqua"/>
          <w:caps/>
          <w:lang w:val="en-GB"/>
        </w:rPr>
        <w:t>h</w:t>
      </w:r>
      <w:r w:rsidRPr="00572D61">
        <w:rPr>
          <w:rFonts w:ascii="Book Antiqua" w:hAnsi="Book Antiqua"/>
          <w:lang w:val="en-GB"/>
        </w:rPr>
        <w:t xml:space="preserve">epatitis B surface antigen; MVI: </w:t>
      </w:r>
      <w:r w:rsidRPr="00572D61">
        <w:rPr>
          <w:rFonts w:ascii="Book Antiqua" w:hAnsi="Book Antiqua"/>
          <w:caps/>
          <w:lang w:val="en-GB"/>
        </w:rPr>
        <w:t>m</w:t>
      </w:r>
      <w:r w:rsidRPr="00572D61">
        <w:rPr>
          <w:rFonts w:ascii="Book Antiqua" w:hAnsi="Book Antiqua"/>
          <w:lang w:val="en-GB"/>
        </w:rPr>
        <w:t xml:space="preserve">icrovascular invasion; AFP: </w:t>
      </w:r>
      <w:r w:rsidR="00583DAC">
        <w:rPr>
          <w:rFonts w:ascii="Book Antiqua" w:hAnsi="Book Antiqua"/>
          <w:caps/>
          <w:lang w:val="en-GB"/>
        </w:rPr>
        <w:sym w:font="Symbol" w:char="F061"/>
      </w:r>
      <w:r w:rsidRPr="00572D61">
        <w:rPr>
          <w:rFonts w:ascii="Book Antiqua" w:hAnsi="Book Antiqua"/>
          <w:lang w:val="en-GB"/>
        </w:rPr>
        <w:t xml:space="preserve">-fetoprotein; NLR: </w:t>
      </w:r>
      <w:r w:rsidRPr="00572D61">
        <w:rPr>
          <w:rFonts w:ascii="Book Antiqua" w:hAnsi="Book Antiqua"/>
          <w:caps/>
          <w:lang w:val="en-GB"/>
        </w:rPr>
        <w:t>n</w:t>
      </w:r>
      <w:r w:rsidRPr="00572D61">
        <w:rPr>
          <w:rFonts w:ascii="Book Antiqua" w:hAnsi="Book Antiqua"/>
          <w:lang w:val="en-GB"/>
        </w:rPr>
        <w:t xml:space="preserve">eutrophil-to-lymphocyte ratio; PLR: </w:t>
      </w:r>
      <w:r w:rsidRPr="00572D61">
        <w:rPr>
          <w:rFonts w:ascii="Book Antiqua" w:hAnsi="Book Antiqua"/>
          <w:caps/>
          <w:lang w:val="en-GB"/>
        </w:rPr>
        <w:t>p</w:t>
      </w:r>
      <w:r w:rsidRPr="00572D61">
        <w:rPr>
          <w:rFonts w:ascii="Book Antiqua" w:hAnsi="Book Antiqua"/>
          <w:lang w:val="en-GB"/>
        </w:rPr>
        <w:t xml:space="preserve">latelet-to-lymphocyte ratio. </w:t>
      </w:r>
    </w:p>
    <w:p w14:paraId="2D3D93F6" w14:textId="77777777" w:rsidR="00037BBC" w:rsidRPr="00572D61" w:rsidRDefault="00037BBC" w:rsidP="008505D2">
      <w:pPr>
        <w:adjustRightInd w:val="0"/>
        <w:snapToGrid w:val="0"/>
        <w:spacing w:line="360" w:lineRule="auto"/>
        <w:ind w:left="120" w:hangingChars="50" w:hanging="120"/>
        <w:rPr>
          <w:rFonts w:ascii="Book Antiqua" w:hAnsi="Book Antiqua"/>
          <w:lang w:val="en-GB" w:eastAsia="zh-CN"/>
        </w:rPr>
      </w:pPr>
    </w:p>
    <w:p w14:paraId="2E62100C" w14:textId="77777777" w:rsidR="00037BBC" w:rsidRPr="00572D61" w:rsidRDefault="00037BBC" w:rsidP="008505D2">
      <w:pPr>
        <w:adjustRightInd w:val="0"/>
        <w:snapToGrid w:val="0"/>
        <w:spacing w:line="360" w:lineRule="auto"/>
        <w:ind w:left="120" w:hangingChars="50" w:hanging="120"/>
        <w:rPr>
          <w:rFonts w:ascii="Book Antiqua" w:hAnsi="Book Antiqua"/>
          <w:lang w:val="en-GB" w:eastAsia="zh-CN"/>
        </w:rPr>
        <w:sectPr w:rsidR="00037BBC" w:rsidRPr="00572D61">
          <w:pgSz w:w="11906" w:h="16838"/>
          <w:pgMar w:top="1440" w:right="1800" w:bottom="1440" w:left="1800" w:header="851" w:footer="992" w:gutter="0"/>
          <w:cols w:space="425"/>
          <w:docGrid w:type="lines" w:linePitch="312"/>
        </w:sectPr>
      </w:pPr>
    </w:p>
    <w:p w14:paraId="030E615F" w14:textId="77777777" w:rsidR="00037BBC" w:rsidRPr="00572D61" w:rsidRDefault="00037BBC" w:rsidP="00450E72">
      <w:pPr>
        <w:adjustRightInd w:val="0"/>
        <w:snapToGrid w:val="0"/>
        <w:spacing w:line="360" w:lineRule="auto"/>
        <w:rPr>
          <w:rFonts w:ascii="Book Antiqua" w:hAnsi="Book Antiqua"/>
          <w:b/>
          <w:lang w:val="en-GB"/>
        </w:rPr>
      </w:pPr>
      <w:r w:rsidRPr="00572D61">
        <w:rPr>
          <w:rFonts w:ascii="Book Antiqua" w:hAnsi="Book Antiqua"/>
          <w:b/>
          <w:bCs/>
          <w:lang w:val="en-GB"/>
        </w:rPr>
        <w:lastRenderedPageBreak/>
        <w:t>Table 2</w:t>
      </w:r>
      <w:r w:rsidRPr="00572D61">
        <w:rPr>
          <w:rFonts w:ascii="Book Antiqua" w:hAnsi="Book Antiqua"/>
          <w:lang w:val="en-GB"/>
        </w:rPr>
        <w:t xml:space="preserve"> </w:t>
      </w:r>
      <w:r w:rsidRPr="00572D61">
        <w:rPr>
          <w:rFonts w:ascii="Book Antiqua" w:hAnsi="Book Antiqua"/>
          <w:b/>
          <w:lang w:val="en-GB"/>
        </w:rPr>
        <w:t>Univariate and multivariate Cox regression analyses in the training cohort</w:t>
      </w:r>
    </w:p>
    <w:tbl>
      <w:tblPr>
        <w:tblW w:w="9894" w:type="dxa"/>
        <w:tblLook w:val="04A0" w:firstRow="1" w:lastRow="0" w:firstColumn="1" w:lastColumn="0" w:noHBand="0" w:noVBand="1"/>
      </w:tblPr>
      <w:tblGrid>
        <w:gridCol w:w="2920"/>
        <w:gridCol w:w="766"/>
        <w:gridCol w:w="756"/>
        <w:gridCol w:w="848"/>
        <w:gridCol w:w="1380"/>
        <w:gridCol w:w="756"/>
        <w:gridCol w:w="756"/>
        <w:gridCol w:w="756"/>
        <w:gridCol w:w="956"/>
      </w:tblGrid>
      <w:tr w:rsidR="00CC07FA" w:rsidRPr="00572D61" w14:paraId="399B2AAA" w14:textId="77777777" w:rsidTr="00CC07FA">
        <w:trPr>
          <w:trHeight w:val="285"/>
        </w:trPr>
        <w:tc>
          <w:tcPr>
            <w:tcW w:w="2920" w:type="dxa"/>
            <w:tcBorders>
              <w:top w:val="single" w:sz="4" w:space="0" w:color="auto"/>
              <w:left w:val="nil"/>
              <w:bottom w:val="nil"/>
              <w:right w:val="nil"/>
            </w:tcBorders>
            <w:shd w:val="clear" w:color="auto" w:fill="auto"/>
            <w:noWrap/>
            <w:vAlign w:val="bottom"/>
          </w:tcPr>
          <w:p w14:paraId="59BA3827"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eastAsia="zh-CN"/>
              </w:rPr>
            </w:pPr>
          </w:p>
        </w:tc>
        <w:tc>
          <w:tcPr>
            <w:tcW w:w="3750" w:type="dxa"/>
            <w:gridSpan w:val="4"/>
            <w:tcBorders>
              <w:top w:val="single" w:sz="4" w:space="0" w:color="auto"/>
              <w:left w:val="nil"/>
              <w:bottom w:val="single" w:sz="4" w:space="0" w:color="auto"/>
              <w:right w:val="nil"/>
            </w:tcBorders>
            <w:shd w:val="clear" w:color="auto" w:fill="auto"/>
            <w:noWrap/>
            <w:vAlign w:val="bottom"/>
          </w:tcPr>
          <w:p w14:paraId="58090450" w14:textId="77777777" w:rsidR="00CC07FA" w:rsidRPr="00572D61" w:rsidRDefault="00CC07FA" w:rsidP="00450E72">
            <w:pPr>
              <w:adjustRightInd w:val="0"/>
              <w:snapToGrid w:val="0"/>
              <w:spacing w:line="360" w:lineRule="auto"/>
              <w:jc w:val="center"/>
              <w:rPr>
                <w:rFonts w:ascii="Book Antiqua" w:eastAsia="等线" w:hAnsi="Book Antiqua"/>
                <w:b/>
                <w:color w:val="000000" w:themeColor="text1"/>
                <w:lang w:val="en-GB"/>
              </w:rPr>
            </w:pPr>
            <w:r w:rsidRPr="00572D61">
              <w:rPr>
                <w:rFonts w:ascii="Book Antiqua" w:eastAsia="等线" w:hAnsi="Book Antiqua"/>
                <w:b/>
                <w:color w:val="000000" w:themeColor="text1"/>
                <w:lang w:val="en-GB"/>
              </w:rPr>
              <w:t>Univariate Model</w:t>
            </w:r>
          </w:p>
        </w:tc>
        <w:tc>
          <w:tcPr>
            <w:tcW w:w="3224" w:type="dxa"/>
            <w:gridSpan w:val="4"/>
            <w:tcBorders>
              <w:top w:val="single" w:sz="4" w:space="0" w:color="auto"/>
              <w:left w:val="nil"/>
              <w:bottom w:val="single" w:sz="4" w:space="0" w:color="auto"/>
              <w:right w:val="nil"/>
            </w:tcBorders>
            <w:shd w:val="clear" w:color="auto" w:fill="auto"/>
            <w:noWrap/>
            <w:vAlign w:val="bottom"/>
          </w:tcPr>
          <w:p w14:paraId="6959EB0C" w14:textId="77777777" w:rsidR="00CC07FA" w:rsidRPr="00572D61" w:rsidRDefault="00CC07FA" w:rsidP="00450E72">
            <w:pPr>
              <w:adjustRightInd w:val="0"/>
              <w:snapToGrid w:val="0"/>
              <w:spacing w:line="360" w:lineRule="auto"/>
              <w:jc w:val="center"/>
              <w:rPr>
                <w:rFonts w:ascii="Book Antiqua" w:eastAsia="等线" w:hAnsi="Book Antiqua"/>
                <w:b/>
                <w:color w:val="000000" w:themeColor="text1"/>
                <w:lang w:val="en-GB"/>
              </w:rPr>
            </w:pPr>
            <w:r w:rsidRPr="00572D61">
              <w:rPr>
                <w:rFonts w:ascii="Book Antiqua" w:eastAsia="等线" w:hAnsi="Book Antiqua"/>
                <w:b/>
                <w:color w:val="000000" w:themeColor="text1"/>
                <w:lang w:val="en-GB"/>
              </w:rPr>
              <w:t>Multivariate Model</w:t>
            </w:r>
          </w:p>
        </w:tc>
      </w:tr>
      <w:tr w:rsidR="00CC07FA" w:rsidRPr="00572D61" w14:paraId="22478135" w14:textId="77777777" w:rsidTr="00CC07FA">
        <w:trPr>
          <w:trHeight w:val="285"/>
        </w:trPr>
        <w:tc>
          <w:tcPr>
            <w:tcW w:w="2920" w:type="dxa"/>
            <w:tcBorders>
              <w:top w:val="nil"/>
              <w:left w:val="nil"/>
              <w:bottom w:val="single" w:sz="4" w:space="0" w:color="auto"/>
              <w:right w:val="nil"/>
            </w:tcBorders>
            <w:shd w:val="clear" w:color="auto" w:fill="auto"/>
            <w:noWrap/>
            <w:vAlign w:val="bottom"/>
          </w:tcPr>
          <w:p w14:paraId="10C0868A"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eastAsia="zh-CN"/>
              </w:rPr>
            </w:pPr>
          </w:p>
        </w:tc>
        <w:tc>
          <w:tcPr>
            <w:tcW w:w="766" w:type="dxa"/>
            <w:tcBorders>
              <w:top w:val="single" w:sz="4" w:space="0" w:color="auto"/>
              <w:left w:val="nil"/>
              <w:bottom w:val="single" w:sz="4" w:space="0" w:color="auto"/>
              <w:right w:val="nil"/>
            </w:tcBorders>
            <w:shd w:val="clear" w:color="auto" w:fill="auto"/>
            <w:noWrap/>
            <w:vAlign w:val="bottom"/>
          </w:tcPr>
          <w:p w14:paraId="44F61A40" w14:textId="77777777" w:rsidR="00CC07FA" w:rsidRPr="00572D61" w:rsidRDefault="00CC07FA" w:rsidP="00450E72">
            <w:pPr>
              <w:adjustRightInd w:val="0"/>
              <w:snapToGrid w:val="0"/>
              <w:spacing w:line="360" w:lineRule="auto"/>
              <w:rPr>
                <w:rFonts w:ascii="Book Antiqua" w:eastAsia="等线" w:hAnsi="Book Antiqua"/>
                <w:b/>
                <w:color w:val="000000" w:themeColor="text1"/>
                <w:lang w:val="en-GB"/>
              </w:rPr>
            </w:pPr>
            <w:r w:rsidRPr="00572D61">
              <w:rPr>
                <w:rFonts w:ascii="Book Antiqua" w:eastAsia="等线" w:hAnsi="Book Antiqua"/>
                <w:b/>
                <w:color w:val="000000" w:themeColor="text1"/>
                <w:lang w:val="en-GB"/>
              </w:rPr>
              <w:t>HR</w:t>
            </w:r>
          </w:p>
        </w:tc>
        <w:tc>
          <w:tcPr>
            <w:tcW w:w="1604" w:type="dxa"/>
            <w:gridSpan w:val="2"/>
            <w:tcBorders>
              <w:top w:val="single" w:sz="4" w:space="0" w:color="auto"/>
              <w:left w:val="nil"/>
              <w:bottom w:val="single" w:sz="4" w:space="0" w:color="auto"/>
              <w:right w:val="nil"/>
            </w:tcBorders>
            <w:shd w:val="clear" w:color="auto" w:fill="auto"/>
            <w:noWrap/>
            <w:vAlign w:val="bottom"/>
          </w:tcPr>
          <w:p w14:paraId="3059D2FB" w14:textId="6D1EB78D" w:rsidR="00CC07FA" w:rsidRPr="00572D61" w:rsidRDefault="00CC07FA" w:rsidP="00450E72">
            <w:pPr>
              <w:adjustRightInd w:val="0"/>
              <w:snapToGrid w:val="0"/>
              <w:spacing w:line="360" w:lineRule="auto"/>
              <w:jc w:val="center"/>
              <w:rPr>
                <w:rFonts w:ascii="Book Antiqua" w:eastAsia="等线" w:hAnsi="Book Antiqua"/>
                <w:b/>
                <w:color w:val="000000" w:themeColor="text1"/>
                <w:lang w:val="en-GB"/>
              </w:rPr>
            </w:pPr>
            <w:r w:rsidRPr="00572D61">
              <w:rPr>
                <w:rFonts w:ascii="Book Antiqua" w:eastAsia="等线" w:hAnsi="Book Antiqua"/>
                <w:b/>
                <w:color w:val="000000" w:themeColor="text1"/>
                <w:lang w:val="en-GB"/>
              </w:rPr>
              <w:t>95%</w:t>
            </w:r>
            <w:r>
              <w:rPr>
                <w:rFonts w:ascii="Book Antiqua" w:eastAsia="等线" w:hAnsi="Book Antiqua"/>
                <w:b/>
                <w:color w:val="000000" w:themeColor="text1"/>
                <w:lang w:val="en-GB"/>
              </w:rPr>
              <w:t xml:space="preserve"> </w:t>
            </w:r>
            <w:r w:rsidRPr="00572D61">
              <w:rPr>
                <w:rFonts w:ascii="Book Antiqua" w:eastAsia="等线" w:hAnsi="Book Antiqua"/>
                <w:b/>
                <w:color w:val="000000" w:themeColor="text1"/>
                <w:lang w:val="en-GB"/>
              </w:rPr>
              <w:t>CI</w:t>
            </w:r>
          </w:p>
        </w:tc>
        <w:tc>
          <w:tcPr>
            <w:tcW w:w="1380" w:type="dxa"/>
            <w:tcBorders>
              <w:top w:val="single" w:sz="4" w:space="0" w:color="auto"/>
              <w:left w:val="nil"/>
              <w:bottom w:val="single" w:sz="4" w:space="0" w:color="auto"/>
              <w:right w:val="nil"/>
            </w:tcBorders>
            <w:shd w:val="clear" w:color="auto" w:fill="auto"/>
            <w:noWrap/>
            <w:vAlign w:val="bottom"/>
          </w:tcPr>
          <w:p w14:paraId="00FFB6D6" w14:textId="77777777" w:rsidR="00CC07FA" w:rsidRPr="00572D61" w:rsidRDefault="00CC07FA" w:rsidP="00450E72">
            <w:pPr>
              <w:adjustRightInd w:val="0"/>
              <w:snapToGrid w:val="0"/>
              <w:spacing w:line="360" w:lineRule="auto"/>
              <w:rPr>
                <w:rFonts w:ascii="Book Antiqua" w:eastAsia="等线" w:hAnsi="Book Antiqua"/>
                <w:b/>
                <w:color w:val="000000" w:themeColor="text1"/>
                <w:lang w:val="en-GB"/>
              </w:rPr>
            </w:pPr>
            <w:r w:rsidRPr="00572D61">
              <w:rPr>
                <w:rFonts w:ascii="Book Antiqua" w:eastAsia="等线" w:hAnsi="Book Antiqua"/>
                <w:b/>
                <w:i/>
                <w:color w:val="000000" w:themeColor="text1"/>
                <w:lang w:val="en-GB"/>
              </w:rPr>
              <w:t>P</w:t>
            </w:r>
            <w:r w:rsidRPr="00572D61">
              <w:rPr>
                <w:rFonts w:ascii="Book Antiqua" w:eastAsia="等线" w:hAnsi="Book Antiqua"/>
                <w:b/>
                <w:color w:val="000000" w:themeColor="text1"/>
                <w:lang w:val="en-GB"/>
              </w:rPr>
              <w:t xml:space="preserve"> value</w:t>
            </w:r>
          </w:p>
        </w:tc>
        <w:tc>
          <w:tcPr>
            <w:tcW w:w="756" w:type="dxa"/>
            <w:tcBorders>
              <w:top w:val="single" w:sz="4" w:space="0" w:color="auto"/>
              <w:left w:val="nil"/>
              <w:bottom w:val="single" w:sz="4" w:space="0" w:color="auto"/>
              <w:right w:val="nil"/>
            </w:tcBorders>
            <w:shd w:val="clear" w:color="auto" w:fill="auto"/>
            <w:noWrap/>
            <w:vAlign w:val="bottom"/>
          </w:tcPr>
          <w:p w14:paraId="7C364774" w14:textId="77777777" w:rsidR="00CC07FA" w:rsidRPr="00572D61" w:rsidRDefault="00CC07FA" w:rsidP="00450E72">
            <w:pPr>
              <w:adjustRightInd w:val="0"/>
              <w:snapToGrid w:val="0"/>
              <w:spacing w:line="360" w:lineRule="auto"/>
              <w:rPr>
                <w:rFonts w:ascii="Book Antiqua" w:eastAsia="等线" w:hAnsi="Book Antiqua"/>
                <w:b/>
                <w:color w:val="000000" w:themeColor="text1"/>
                <w:lang w:val="en-GB"/>
              </w:rPr>
            </w:pPr>
            <w:r w:rsidRPr="00572D61">
              <w:rPr>
                <w:rFonts w:ascii="Book Antiqua" w:eastAsia="等线" w:hAnsi="Book Antiqua"/>
                <w:b/>
                <w:color w:val="000000" w:themeColor="text1"/>
                <w:lang w:val="en-GB"/>
              </w:rPr>
              <w:t>HR</w:t>
            </w:r>
          </w:p>
        </w:tc>
        <w:tc>
          <w:tcPr>
            <w:tcW w:w="1512" w:type="dxa"/>
            <w:gridSpan w:val="2"/>
            <w:tcBorders>
              <w:top w:val="single" w:sz="4" w:space="0" w:color="auto"/>
              <w:left w:val="nil"/>
              <w:bottom w:val="single" w:sz="4" w:space="0" w:color="auto"/>
              <w:right w:val="nil"/>
            </w:tcBorders>
            <w:shd w:val="clear" w:color="auto" w:fill="auto"/>
            <w:noWrap/>
            <w:vAlign w:val="bottom"/>
          </w:tcPr>
          <w:p w14:paraId="496020C1" w14:textId="4E747C81" w:rsidR="00CC07FA" w:rsidRPr="00572D61" w:rsidRDefault="00CC07FA" w:rsidP="00450E72">
            <w:pPr>
              <w:adjustRightInd w:val="0"/>
              <w:snapToGrid w:val="0"/>
              <w:spacing w:line="360" w:lineRule="auto"/>
              <w:jc w:val="center"/>
              <w:rPr>
                <w:rFonts w:ascii="Book Antiqua" w:eastAsia="等线" w:hAnsi="Book Antiqua"/>
                <w:b/>
                <w:color w:val="000000" w:themeColor="text1"/>
                <w:lang w:val="en-GB"/>
              </w:rPr>
            </w:pPr>
            <w:r w:rsidRPr="00572D61">
              <w:rPr>
                <w:rFonts w:ascii="Book Antiqua" w:eastAsia="等线" w:hAnsi="Book Antiqua"/>
                <w:b/>
                <w:color w:val="000000" w:themeColor="text1"/>
                <w:lang w:val="en-GB"/>
              </w:rPr>
              <w:t>95%</w:t>
            </w:r>
            <w:r>
              <w:rPr>
                <w:rFonts w:ascii="Book Antiqua" w:eastAsia="等线" w:hAnsi="Book Antiqua"/>
                <w:b/>
                <w:color w:val="000000" w:themeColor="text1"/>
                <w:lang w:val="en-GB"/>
              </w:rPr>
              <w:t xml:space="preserve"> </w:t>
            </w:r>
            <w:r w:rsidRPr="00572D61">
              <w:rPr>
                <w:rFonts w:ascii="Book Antiqua" w:eastAsia="等线" w:hAnsi="Book Antiqua"/>
                <w:b/>
                <w:color w:val="000000" w:themeColor="text1"/>
                <w:lang w:val="en-GB"/>
              </w:rPr>
              <w:t>CI</w:t>
            </w:r>
          </w:p>
        </w:tc>
        <w:tc>
          <w:tcPr>
            <w:tcW w:w="956" w:type="dxa"/>
            <w:tcBorders>
              <w:top w:val="single" w:sz="4" w:space="0" w:color="auto"/>
              <w:left w:val="nil"/>
              <w:bottom w:val="single" w:sz="4" w:space="0" w:color="auto"/>
              <w:right w:val="nil"/>
            </w:tcBorders>
            <w:shd w:val="clear" w:color="auto" w:fill="auto"/>
            <w:noWrap/>
            <w:vAlign w:val="bottom"/>
          </w:tcPr>
          <w:p w14:paraId="07D57072" w14:textId="77777777" w:rsidR="00CC07FA" w:rsidRPr="00572D61" w:rsidRDefault="00CC07FA" w:rsidP="00450E72">
            <w:pPr>
              <w:adjustRightInd w:val="0"/>
              <w:snapToGrid w:val="0"/>
              <w:spacing w:line="360" w:lineRule="auto"/>
              <w:rPr>
                <w:rFonts w:ascii="Book Antiqua" w:eastAsia="等线" w:hAnsi="Book Antiqua"/>
                <w:b/>
                <w:color w:val="000000" w:themeColor="text1"/>
                <w:lang w:val="en-GB"/>
              </w:rPr>
            </w:pPr>
            <w:r w:rsidRPr="00572D61">
              <w:rPr>
                <w:rFonts w:ascii="Book Antiqua" w:eastAsia="等线" w:hAnsi="Book Antiqua"/>
                <w:b/>
                <w:i/>
                <w:color w:val="000000" w:themeColor="text1"/>
                <w:lang w:val="en-GB"/>
              </w:rPr>
              <w:t>P</w:t>
            </w:r>
            <w:r w:rsidRPr="00572D61">
              <w:rPr>
                <w:rFonts w:ascii="Book Antiqua" w:eastAsia="等线" w:hAnsi="Book Antiqua"/>
                <w:b/>
                <w:color w:val="000000" w:themeColor="text1"/>
                <w:lang w:val="en-GB"/>
              </w:rPr>
              <w:t xml:space="preserve"> value</w:t>
            </w:r>
          </w:p>
        </w:tc>
      </w:tr>
      <w:tr w:rsidR="00CC07FA" w:rsidRPr="00572D61" w14:paraId="3FE3A772" w14:textId="77777777" w:rsidTr="00CC07FA">
        <w:trPr>
          <w:trHeight w:val="285"/>
        </w:trPr>
        <w:tc>
          <w:tcPr>
            <w:tcW w:w="2920" w:type="dxa"/>
            <w:tcBorders>
              <w:top w:val="nil"/>
              <w:left w:val="nil"/>
              <w:bottom w:val="nil"/>
              <w:right w:val="nil"/>
            </w:tcBorders>
            <w:shd w:val="clear" w:color="auto" w:fill="auto"/>
            <w:noWrap/>
            <w:vAlign w:val="bottom"/>
          </w:tcPr>
          <w:p w14:paraId="2C34A625"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eastAsia="zh-CN"/>
              </w:rPr>
            </w:pPr>
            <w:r w:rsidRPr="00572D61">
              <w:rPr>
                <w:rFonts w:ascii="Book Antiqua" w:eastAsia="等线" w:hAnsi="Book Antiqua"/>
                <w:b/>
                <w:bCs/>
                <w:color w:val="000000" w:themeColor="text1"/>
                <w:lang w:val="en-GB"/>
              </w:rPr>
              <w:t xml:space="preserve">Age, </w:t>
            </w:r>
            <w:proofErr w:type="spellStart"/>
            <w:r w:rsidRPr="00572D61">
              <w:rPr>
                <w:rFonts w:ascii="Book Antiqua" w:eastAsia="等线" w:hAnsi="Book Antiqua"/>
                <w:b/>
                <w:bCs/>
                <w:color w:val="000000" w:themeColor="text1"/>
                <w:lang w:val="en-GB"/>
              </w:rPr>
              <w:t>yr</w:t>
            </w:r>
            <w:proofErr w:type="spellEnd"/>
          </w:p>
        </w:tc>
        <w:tc>
          <w:tcPr>
            <w:tcW w:w="766" w:type="dxa"/>
            <w:tcBorders>
              <w:top w:val="nil"/>
              <w:left w:val="nil"/>
              <w:bottom w:val="nil"/>
              <w:right w:val="nil"/>
            </w:tcBorders>
            <w:shd w:val="clear" w:color="auto" w:fill="auto"/>
            <w:noWrap/>
            <w:vAlign w:val="bottom"/>
          </w:tcPr>
          <w:p w14:paraId="7AD6B5C0"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1A077E9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2C8F1EE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9A0329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D33BEC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52AA6B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04BA7A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6CA43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651EBE32" w14:textId="77777777" w:rsidTr="00CC07FA">
        <w:trPr>
          <w:trHeight w:val="285"/>
        </w:trPr>
        <w:tc>
          <w:tcPr>
            <w:tcW w:w="2920" w:type="dxa"/>
            <w:tcBorders>
              <w:top w:val="nil"/>
              <w:left w:val="nil"/>
              <w:bottom w:val="nil"/>
              <w:right w:val="nil"/>
            </w:tcBorders>
            <w:shd w:val="clear" w:color="auto" w:fill="auto"/>
            <w:noWrap/>
            <w:vAlign w:val="bottom"/>
          </w:tcPr>
          <w:p w14:paraId="1B9B8A5F"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50</w:t>
            </w:r>
          </w:p>
        </w:tc>
        <w:tc>
          <w:tcPr>
            <w:tcW w:w="766" w:type="dxa"/>
            <w:tcBorders>
              <w:top w:val="nil"/>
              <w:left w:val="nil"/>
              <w:bottom w:val="nil"/>
              <w:right w:val="nil"/>
            </w:tcBorders>
            <w:shd w:val="clear" w:color="auto" w:fill="auto"/>
            <w:noWrap/>
            <w:vAlign w:val="bottom"/>
          </w:tcPr>
          <w:p w14:paraId="3918282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6EC9C24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4D2FE52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176F9A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1542E6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585D7E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AB782C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D208F1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A2DA944" w14:textId="77777777" w:rsidTr="00CC07FA">
        <w:trPr>
          <w:trHeight w:val="285"/>
        </w:trPr>
        <w:tc>
          <w:tcPr>
            <w:tcW w:w="2920" w:type="dxa"/>
            <w:tcBorders>
              <w:top w:val="nil"/>
              <w:left w:val="nil"/>
              <w:bottom w:val="nil"/>
              <w:right w:val="nil"/>
            </w:tcBorders>
            <w:shd w:val="clear" w:color="auto" w:fill="auto"/>
            <w:noWrap/>
            <w:vAlign w:val="bottom"/>
          </w:tcPr>
          <w:p w14:paraId="677377C7"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50</w:t>
            </w:r>
          </w:p>
        </w:tc>
        <w:tc>
          <w:tcPr>
            <w:tcW w:w="766" w:type="dxa"/>
            <w:tcBorders>
              <w:top w:val="nil"/>
              <w:left w:val="nil"/>
              <w:bottom w:val="nil"/>
              <w:right w:val="nil"/>
            </w:tcBorders>
            <w:shd w:val="clear" w:color="auto" w:fill="auto"/>
            <w:noWrap/>
            <w:vAlign w:val="bottom"/>
          </w:tcPr>
          <w:p w14:paraId="53C6F18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0.837</w:t>
            </w:r>
          </w:p>
        </w:tc>
        <w:tc>
          <w:tcPr>
            <w:tcW w:w="756" w:type="dxa"/>
            <w:tcBorders>
              <w:top w:val="nil"/>
              <w:left w:val="nil"/>
              <w:bottom w:val="nil"/>
              <w:right w:val="nil"/>
            </w:tcBorders>
            <w:shd w:val="clear" w:color="auto" w:fill="auto"/>
            <w:noWrap/>
            <w:vAlign w:val="bottom"/>
          </w:tcPr>
          <w:p w14:paraId="122D630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0.642</w:t>
            </w:r>
          </w:p>
        </w:tc>
        <w:tc>
          <w:tcPr>
            <w:tcW w:w="848" w:type="dxa"/>
            <w:tcBorders>
              <w:top w:val="nil"/>
              <w:left w:val="nil"/>
              <w:bottom w:val="nil"/>
              <w:right w:val="nil"/>
            </w:tcBorders>
            <w:shd w:val="clear" w:color="auto" w:fill="auto"/>
            <w:noWrap/>
            <w:vAlign w:val="bottom"/>
          </w:tcPr>
          <w:p w14:paraId="723D9F5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1.090</w:t>
            </w:r>
          </w:p>
        </w:tc>
        <w:tc>
          <w:tcPr>
            <w:tcW w:w="1380" w:type="dxa"/>
            <w:tcBorders>
              <w:top w:val="nil"/>
              <w:left w:val="nil"/>
              <w:bottom w:val="nil"/>
              <w:right w:val="nil"/>
            </w:tcBorders>
            <w:shd w:val="clear" w:color="auto" w:fill="auto"/>
            <w:noWrap/>
            <w:vAlign w:val="bottom"/>
          </w:tcPr>
          <w:p w14:paraId="4117DB7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0.187</w:t>
            </w:r>
          </w:p>
        </w:tc>
        <w:tc>
          <w:tcPr>
            <w:tcW w:w="756" w:type="dxa"/>
            <w:tcBorders>
              <w:top w:val="nil"/>
              <w:left w:val="nil"/>
              <w:bottom w:val="nil"/>
              <w:right w:val="nil"/>
            </w:tcBorders>
            <w:shd w:val="clear" w:color="auto" w:fill="auto"/>
            <w:noWrap/>
            <w:vAlign w:val="bottom"/>
          </w:tcPr>
          <w:p w14:paraId="08E21B5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53FF9E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263D5B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B0A6E1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568B79FA" w14:textId="77777777" w:rsidTr="00CC07FA">
        <w:trPr>
          <w:trHeight w:val="285"/>
        </w:trPr>
        <w:tc>
          <w:tcPr>
            <w:tcW w:w="2920" w:type="dxa"/>
            <w:tcBorders>
              <w:top w:val="nil"/>
              <w:left w:val="nil"/>
              <w:bottom w:val="nil"/>
              <w:right w:val="nil"/>
            </w:tcBorders>
            <w:shd w:val="clear" w:color="auto" w:fill="auto"/>
            <w:noWrap/>
            <w:vAlign w:val="bottom"/>
          </w:tcPr>
          <w:p w14:paraId="54C371CA"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Sex</w:t>
            </w:r>
          </w:p>
        </w:tc>
        <w:tc>
          <w:tcPr>
            <w:tcW w:w="766" w:type="dxa"/>
            <w:tcBorders>
              <w:top w:val="nil"/>
              <w:left w:val="nil"/>
              <w:bottom w:val="nil"/>
              <w:right w:val="nil"/>
            </w:tcBorders>
            <w:shd w:val="clear" w:color="auto" w:fill="auto"/>
            <w:noWrap/>
            <w:vAlign w:val="bottom"/>
          </w:tcPr>
          <w:p w14:paraId="68F13549"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089628B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3A5676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7B7C893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12F617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1BA7C9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A4A00A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407B3D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2BF93E10" w14:textId="77777777" w:rsidTr="00CC07FA">
        <w:trPr>
          <w:trHeight w:val="285"/>
        </w:trPr>
        <w:tc>
          <w:tcPr>
            <w:tcW w:w="2920" w:type="dxa"/>
            <w:tcBorders>
              <w:top w:val="nil"/>
              <w:left w:val="nil"/>
              <w:bottom w:val="nil"/>
              <w:right w:val="nil"/>
            </w:tcBorders>
            <w:shd w:val="clear" w:color="auto" w:fill="auto"/>
            <w:noWrap/>
            <w:vAlign w:val="bottom"/>
          </w:tcPr>
          <w:p w14:paraId="3FD3461C"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Male</w:t>
            </w:r>
          </w:p>
        </w:tc>
        <w:tc>
          <w:tcPr>
            <w:tcW w:w="766" w:type="dxa"/>
            <w:tcBorders>
              <w:top w:val="nil"/>
              <w:left w:val="nil"/>
              <w:bottom w:val="nil"/>
              <w:right w:val="nil"/>
            </w:tcBorders>
            <w:shd w:val="clear" w:color="auto" w:fill="auto"/>
            <w:noWrap/>
            <w:vAlign w:val="bottom"/>
          </w:tcPr>
          <w:p w14:paraId="2735754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48E17EE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0DCE811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63C38E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F57A6A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0A218C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59E8E8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ECD7B1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61F0104" w14:textId="77777777" w:rsidTr="00CC07FA">
        <w:trPr>
          <w:trHeight w:val="285"/>
        </w:trPr>
        <w:tc>
          <w:tcPr>
            <w:tcW w:w="2920" w:type="dxa"/>
            <w:tcBorders>
              <w:top w:val="nil"/>
              <w:left w:val="nil"/>
              <w:bottom w:val="nil"/>
              <w:right w:val="nil"/>
            </w:tcBorders>
            <w:shd w:val="clear" w:color="auto" w:fill="auto"/>
            <w:noWrap/>
            <w:vAlign w:val="bottom"/>
          </w:tcPr>
          <w:p w14:paraId="13CEB193"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Female</w:t>
            </w:r>
          </w:p>
        </w:tc>
        <w:tc>
          <w:tcPr>
            <w:tcW w:w="766" w:type="dxa"/>
            <w:tcBorders>
              <w:top w:val="nil"/>
              <w:left w:val="nil"/>
              <w:bottom w:val="nil"/>
              <w:right w:val="nil"/>
            </w:tcBorders>
            <w:shd w:val="clear" w:color="auto" w:fill="auto"/>
            <w:noWrap/>
            <w:vAlign w:val="bottom"/>
          </w:tcPr>
          <w:p w14:paraId="7B7F0BF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1.065</w:t>
            </w:r>
          </w:p>
        </w:tc>
        <w:tc>
          <w:tcPr>
            <w:tcW w:w="756" w:type="dxa"/>
            <w:tcBorders>
              <w:top w:val="nil"/>
              <w:left w:val="nil"/>
              <w:bottom w:val="nil"/>
              <w:right w:val="nil"/>
            </w:tcBorders>
            <w:shd w:val="clear" w:color="auto" w:fill="auto"/>
            <w:noWrap/>
            <w:vAlign w:val="bottom"/>
          </w:tcPr>
          <w:p w14:paraId="53FC2D4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0.809</w:t>
            </w:r>
          </w:p>
        </w:tc>
        <w:tc>
          <w:tcPr>
            <w:tcW w:w="848" w:type="dxa"/>
            <w:tcBorders>
              <w:top w:val="nil"/>
              <w:left w:val="nil"/>
              <w:bottom w:val="nil"/>
              <w:right w:val="nil"/>
            </w:tcBorders>
            <w:shd w:val="clear" w:color="auto" w:fill="auto"/>
            <w:noWrap/>
            <w:vAlign w:val="bottom"/>
          </w:tcPr>
          <w:p w14:paraId="0C62999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1.401</w:t>
            </w:r>
          </w:p>
        </w:tc>
        <w:tc>
          <w:tcPr>
            <w:tcW w:w="1380" w:type="dxa"/>
            <w:tcBorders>
              <w:top w:val="nil"/>
              <w:left w:val="nil"/>
              <w:bottom w:val="nil"/>
              <w:right w:val="nil"/>
            </w:tcBorders>
            <w:shd w:val="clear" w:color="auto" w:fill="auto"/>
            <w:noWrap/>
            <w:vAlign w:val="bottom"/>
          </w:tcPr>
          <w:p w14:paraId="3DAB460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0.655</w:t>
            </w:r>
          </w:p>
        </w:tc>
        <w:tc>
          <w:tcPr>
            <w:tcW w:w="756" w:type="dxa"/>
            <w:tcBorders>
              <w:top w:val="nil"/>
              <w:left w:val="nil"/>
              <w:bottom w:val="nil"/>
              <w:right w:val="nil"/>
            </w:tcBorders>
            <w:shd w:val="clear" w:color="auto" w:fill="auto"/>
            <w:noWrap/>
            <w:vAlign w:val="bottom"/>
          </w:tcPr>
          <w:p w14:paraId="08F22C5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D9CBD3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1146B4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576483B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D0C4D11" w14:textId="77777777" w:rsidTr="00CC07FA">
        <w:trPr>
          <w:trHeight w:val="285"/>
        </w:trPr>
        <w:tc>
          <w:tcPr>
            <w:tcW w:w="2920" w:type="dxa"/>
            <w:tcBorders>
              <w:top w:val="nil"/>
              <w:left w:val="nil"/>
              <w:bottom w:val="nil"/>
              <w:right w:val="nil"/>
            </w:tcBorders>
            <w:shd w:val="clear" w:color="auto" w:fill="auto"/>
            <w:noWrap/>
            <w:vAlign w:val="bottom"/>
          </w:tcPr>
          <w:p w14:paraId="2E76CCFF"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Smoking</w:t>
            </w:r>
          </w:p>
        </w:tc>
        <w:tc>
          <w:tcPr>
            <w:tcW w:w="766" w:type="dxa"/>
            <w:tcBorders>
              <w:top w:val="nil"/>
              <w:left w:val="nil"/>
              <w:bottom w:val="nil"/>
              <w:right w:val="nil"/>
            </w:tcBorders>
            <w:shd w:val="clear" w:color="auto" w:fill="auto"/>
            <w:noWrap/>
            <w:vAlign w:val="bottom"/>
          </w:tcPr>
          <w:p w14:paraId="1EA3249C"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73C0439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31ED1C2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705D84B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21048E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5CA6FB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22B604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5190CC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6F9CADC" w14:textId="77777777" w:rsidTr="00CC07FA">
        <w:trPr>
          <w:trHeight w:val="285"/>
        </w:trPr>
        <w:tc>
          <w:tcPr>
            <w:tcW w:w="2920" w:type="dxa"/>
            <w:tcBorders>
              <w:top w:val="nil"/>
              <w:left w:val="nil"/>
              <w:bottom w:val="nil"/>
              <w:right w:val="nil"/>
            </w:tcBorders>
            <w:shd w:val="clear" w:color="auto" w:fill="auto"/>
            <w:noWrap/>
            <w:vAlign w:val="bottom"/>
          </w:tcPr>
          <w:p w14:paraId="6BF55B0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3EB294F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640A2EE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75B57BC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E5B504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C687EB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FD1149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310630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6B348B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6ACA72F4" w14:textId="77777777" w:rsidTr="00CC07FA">
        <w:trPr>
          <w:trHeight w:val="285"/>
        </w:trPr>
        <w:tc>
          <w:tcPr>
            <w:tcW w:w="2920" w:type="dxa"/>
            <w:tcBorders>
              <w:top w:val="nil"/>
              <w:left w:val="nil"/>
              <w:bottom w:val="nil"/>
              <w:right w:val="nil"/>
            </w:tcBorders>
            <w:shd w:val="clear" w:color="auto" w:fill="auto"/>
            <w:noWrap/>
            <w:vAlign w:val="bottom"/>
          </w:tcPr>
          <w:p w14:paraId="07E811BF"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6CFD8C3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0.959</w:t>
            </w:r>
          </w:p>
        </w:tc>
        <w:tc>
          <w:tcPr>
            <w:tcW w:w="756" w:type="dxa"/>
            <w:tcBorders>
              <w:top w:val="nil"/>
              <w:left w:val="nil"/>
              <w:bottom w:val="nil"/>
              <w:right w:val="nil"/>
            </w:tcBorders>
            <w:shd w:val="clear" w:color="auto" w:fill="auto"/>
            <w:noWrap/>
            <w:vAlign w:val="bottom"/>
          </w:tcPr>
          <w:p w14:paraId="55F95D9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0.748</w:t>
            </w:r>
          </w:p>
        </w:tc>
        <w:tc>
          <w:tcPr>
            <w:tcW w:w="848" w:type="dxa"/>
            <w:tcBorders>
              <w:top w:val="nil"/>
              <w:left w:val="nil"/>
              <w:bottom w:val="nil"/>
              <w:right w:val="nil"/>
            </w:tcBorders>
            <w:shd w:val="clear" w:color="auto" w:fill="auto"/>
            <w:noWrap/>
            <w:vAlign w:val="bottom"/>
          </w:tcPr>
          <w:p w14:paraId="5A895A6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1.230</w:t>
            </w:r>
          </w:p>
        </w:tc>
        <w:tc>
          <w:tcPr>
            <w:tcW w:w="1380" w:type="dxa"/>
            <w:tcBorders>
              <w:top w:val="nil"/>
              <w:left w:val="nil"/>
              <w:bottom w:val="nil"/>
              <w:right w:val="nil"/>
            </w:tcBorders>
            <w:shd w:val="clear" w:color="auto" w:fill="auto"/>
            <w:noWrap/>
            <w:vAlign w:val="bottom"/>
          </w:tcPr>
          <w:p w14:paraId="625EF43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0.741</w:t>
            </w:r>
          </w:p>
        </w:tc>
        <w:tc>
          <w:tcPr>
            <w:tcW w:w="756" w:type="dxa"/>
            <w:tcBorders>
              <w:top w:val="nil"/>
              <w:left w:val="nil"/>
              <w:bottom w:val="nil"/>
              <w:right w:val="nil"/>
            </w:tcBorders>
            <w:shd w:val="clear" w:color="auto" w:fill="auto"/>
            <w:noWrap/>
            <w:vAlign w:val="bottom"/>
          </w:tcPr>
          <w:p w14:paraId="205D105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D49C5A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23194C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324833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5C623F8F" w14:textId="77777777" w:rsidTr="00CC07FA">
        <w:trPr>
          <w:trHeight w:val="285"/>
        </w:trPr>
        <w:tc>
          <w:tcPr>
            <w:tcW w:w="2920" w:type="dxa"/>
            <w:tcBorders>
              <w:top w:val="nil"/>
              <w:left w:val="nil"/>
              <w:bottom w:val="nil"/>
              <w:right w:val="nil"/>
            </w:tcBorders>
            <w:shd w:val="clear" w:color="auto" w:fill="auto"/>
            <w:noWrap/>
            <w:vAlign w:val="bottom"/>
          </w:tcPr>
          <w:p w14:paraId="73A8DE4B"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Drinking</w:t>
            </w:r>
          </w:p>
        </w:tc>
        <w:tc>
          <w:tcPr>
            <w:tcW w:w="766" w:type="dxa"/>
            <w:tcBorders>
              <w:top w:val="nil"/>
              <w:left w:val="nil"/>
              <w:bottom w:val="nil"/>
              <w:right w:val="nil"/>
            </w:tcBorders>
            <w:shd w:val="clear" w:color="auto" w:fill="auto"/>
            <w:noWrap/>
            <w:vAlign w:val="bottom"/>
          </w:tcPr>
          <w:p w14:paraId="3064D391"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27151FF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7077383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8B483C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EE9498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6B73A8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E4D2F7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2240F0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29272E8" w14:textId="77777777" w:rsidTr="00CC07FA">
        <w:trPr>
          <w:trHeight w:val="285"/>
        </w:trPr>
        <w:tc>
          <w:tcPr>
            <w:tcW w:w="2920" w:type="dxa"/>
            <w:tcBorders>
              <w:top w:val="nil"/>
              <w:left w:val="nil"/>
              <w:bottom w:val="nil"/>
              <w:right w:val="nil"/>
            </w:tcBorders>
            <w:shd w:val="clear" w:color="auto" w:fill="auto"/>
            <w:noWrap/>
            <w:vAlign w:val="bottom"/>
          </w:tcPr>
          <w:p w14:paraId="402D48FC"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2455C4F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0970F96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4E1D234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EDE8D5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79CD43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6863DF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704DDF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0C50D0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2693342" w14:textId="77777777" w:rsidTr="00CC07FA">
        <w:trPr>
          <w:trHeight w:val="285"/>
        </w:trPr>
        <w:tc>
          <w:tcPr>
            <w:tcW w:w="2920" w:type="dxa"/>
            <w:tcBorders>
              <w:top w:val="nil"/>
              <w:left w:val="nil"/>
              <w:bottom w:val="nil"/>
              <w:right w:val="nil"/>
            </w:tcBorders>
            <w:shd w:val="clear" w:color="auto" w:fill="auto"/>
            <w:noWrap/>
            <w:vAlign w:val="bottom"/>
          </w:tcPr>
          <w:p w14:paraId="174EF730"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4B6DBC2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0.986</w:t>
            </w:r>
          </w:p>
        </w:tc>
        <w:tc>
          <w:tcPr>
            <w:tcW w:w="756" w:type="dxa"/>
            <w:tcBorders>
              <w:top w:val="nil"/>
              <w:left w:val="nil"/>
              <w:bottom w:val="nil"/>
              <w:right w:val="nil"/>
            </w:tcBorders>
            <w:shd w:val="clear" w:color="auto" w:fill="auto"/>
            <w:noWrap/>
            <w:vAlign w:val="bottom"/>
          </w:tcPr>
          <w:p w14:paraId="4BD854E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0.787</w:t>
            </w:r>
          </w:p>
        </w:tc>
        <w:tc>
          <w:tcPr>
            <w:tcW w:w="848" w:type="dxa"/>
            <w:tcBorders>
              <w:top w:val="nil"/>
              <w:left w:val="nil"/>
              <w:bottom w:val="nil"/>
              <w:right w:val="nil"/>
            </w:tcBorders>
            <w:shd w:val="clear" w:color="auto" w:fill="auto"/>
            <w:noWrap/>
            <w:vAlign w:val="bottom"/>
          </w:tcPr>
          <w:p w14:paraId="453ECE6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1.234</w:t>
            </w:r>
          </w:p>
        </w:tc>
        <w:tc>
          <w:tcPr>
            <w:tcW w:w="1380" w:type="dxa"/>
            <w:tcBorders>
              <w:top w:val="nil"/>
              <w:left w:val="nil"/>
              <w:bottom w:val="nil"/>
              <w:right w:val="nil"/>
            </w:tcBorders>
            <w:shd w:val="clear" w:color="auto" w:fill="auto"/>
            <w:noWrap/>
            <w:vAlign w:val="bottom"/>
          </w:tcPr>
          <w:p w14:paraId="1580479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0.900</w:t>
            </w:r>
          </w:p>
        </w:tc>
        <w:tc>
          <w:tcPr>
            <w:tcW w:w="756" w:type="dxa"/>
            <w:tcBorders>
              <w:top w:val="nil"/>
              <w:left w:val="nil"/>
              <w:bottom w:val="nil"/>
              <w:right w:val="nil"/>
            </w:tcBorders>
            <w:shd w:val="clear" w:color="auto" w:fill="auto"/>
            <w:noWrap/>
            <w:vAlign w:val="bottom"/>
          </w:tcPr>
          <w:p w14:paraId="6CED605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996C06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760098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A5B7A2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2C20013C" w14:textId="77777777" w:rsidTr="00CC07FA">
        <w:trPr>
          <w:trHeight w:val="285"/>
        </w:trPr>
        <w:tc>
          <w:tcPr>
            <w:tcW w:w="2920" w:type="dxa"/>
            <w:tcBorders>
              <w:top w:val="nil"/>
              <w:left w:val="nil"/>
              <w:bottom w:val="nil"/>
              <w:right w:val="nil"/>
            </w:tcBorders>
            <w:shd w:val="clear" w:color="auto" w:fill="auto"/>
            <w:noWrap/>
            <w:vAlign w:val="bottom"/>
          </w:tcPr>
          <w:p w14:paraId="58E03AB3"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b/>
                <w:bCs/>
                <w:color w:val="000000"/>
                <w:lang w:val="en-GB"/>
              </w:rPr>
              <w:t>ALBI Grade</w:t>
            </w:r>
          </w:p>
        </w:tc>
        <w:tc>
          <w:tcPr>
            <w:tcW w:w="766" w:type="dxa"/>
            <w:tcBorders>
              <w:top w:val="nil"/>
              <w:left w:val="nil"/>
              <w:bottom w:val="nil"/>
              <w:right w:val="nil"/>
            </w:tcBorders>
            <w:shd w:val="clear" w:color="auto" w:fill="auto"/>
            <w:noWrap/>
            <w:vAlign w:val="bottom"/>
          </w:tcPr>
          <w:p w14:paraId="2D38C90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76860AB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0F56905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6EB019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648DA5B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91A712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67317F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86C41A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BEB6BF5" w14:textId="77777777" w:rsidTr="00CC07FA">
        <w:trPr>
          <w:trHeight w:val="285"/>
        </w:trPr>
        <w:tc>
          <w:tcPr>
            <w:tcW w:w="2920" w:type="dxa"/>
            <w:tcBorders>
              <w:top w:val="nil"/>
              <w:left w:val="nil"/>
              <w:bottom w:val="nil"/>
              <w:right w:val="nil"/>
            </w:tcBorders>
            <w:shd w:val="clear" w:color="auto" w:fill="auto"/>
            <w:noWrap/>
            <w:vAlign w:val="bottom"/>
          </w:tcPr>
          <w:p w14:paraId="62DC128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lang w:val="en-GB"/>
              </w:rPr>
              <w:t>1</w:t>
            </w:r>
          </w:p>
        </w:tc>
        <w:tc>
          <w:tcPr>
            <w:tcW w:w="766" w:type="dxa"/>
            <w:tcBorders>
              <w:top w:val="nil"/>
              <w:left w:val="nil"/>
              <w:bottom w:val="nil"/>
              <w:right w:val="nil"/>
            </w:tcBorders>
            <w:shd w:val="clear" w:color="auto" w:fill="auto"/>
            <w:noWrap/>
            <w:vAlign w:val="bottom"/>
          </w:tcPr>
          <w:p w14:paraId="2FC03DB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7D0D039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77500E86"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54A13F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272F5FA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F752DD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D6D207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E847E3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6E70B6E" w14:textId="77777777" w:rsidTr="00CC07FA">
        <w:trPr>
          <w:trHeight w:val="285"/>
        </w:trPr>
        <w:tc>
          <w:tcPr>
            <w:tcW w:w="2920" w:type="dxa"/>
            <w:tcBorders>
              <w:top w:val="nil"/>
              <w:left w:val="nil"/>
              <w:bottom w:val="nil"/>
              <w:right w:val="nil"/>
            </w:tcBorders>
            <w:shd w:val="clear" w:color="auto" w:fill="auto"/>
            <w:noWrap/>
            <w:vAlign w:val="bottom"/>
          </w:tcPr>
          <w:p w14:paraId="21997DA2"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lang w:val="en-GB"/>
              </w:rPr>
              <w:t>2 and 3</w:t>
            </w:r>
          </w:p>
        </w:tc>
        <w:tc>
          <w:tcPr>
            <w:tcW w:w="766" w:type="dxa"/>
            <w:tcBorders>
              <w:top w:val="nil"/>
              <w:left w:val="nil"/>
              <w:bottom w:val="nil"/>
              <w:right w:val="nil"/>
            </w:tcBorders>
            <w:shd w:val="clear" w:color="auto" w:fill="auto"/>
            <w:noWrap/>
            <w:vAlign w:val="bottom"/>
          </w:tcPr>
          <w:p w14:paraId="18756B5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1.032</w:t>
            </w:r>
          </w:p>
        </w:tc>
        <w:tc>
          <w:tcPr>
            <w:tcW w:w="756" w:type="dxa"/>
            <w:tcBorders>
              <w:top w:val="nil"/>
              <w:left w:val="nil"/>
              <w:bottom w:val="nil"/>
              <w:right w:val="nil"/>
            </w:tcBorders>
            <w:shd w:val="clear" w:color="auto" w:fill="auto"/>
            <w:noWrap/>
            <w:vAlign w:val="bottom"/>
          </w:tcPr>
          <w:p w14:paraId="6BA3F15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0.821</w:t>
            </w:r>
          </w:p>
        </w:tc>
        <w:tc>
          <w:tcPr>
            <w:tcW w:w="848" w:type="dxa"/>
            <w:tcBorders>
              <w:top w:val="nil"/>
              <w:left w:val="nil"/>
              <w:bottom w:val="nil"/>
              <w:right w:val="nil"/>
            </w:tcBorders>
            <w:shd w:val="clear" w:color="auto" w:fill="auto"/>
            <w:noWrap/>
            <w:vAlign w:val="bottom"/>
          </w:tcPr>
          <w:p w14:paraId="0B6ED02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1.290</w:t>
            </w:r>
          </w:p>
        </w:tc>
        <w:tc>
          <w:tcPr>
            <w:tcW w:w="1380" w:type="dxa"/>
            <w:tcBorders>
              <w:top w:val="nil"/>
              <w:left w:val="nil"/>
              <w:bottom w:val="nil"/>
              <w:right w:val="nil"/>
            </w:tcBorders>
            <w:shd w:val="clear" w:color="auto" w:fill="auto"/>
            <w:noWrap/>
            <w:vAlign w:val="bottom"/>
          </w:tcPr>
          <w:p w14:paraId="353351F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0.820</w:t>
            </w:r>
          </w:p>
        </w:tc>
        <w:tc>
          <w:tcPr>
            <w:tcW w:w="756" w:type="dxa"/>
            <w:tcBorders>
              <w:top w:val="nil"/>
              <w:left w:val="nil"/>
              <w:bottom w:val="nil"/>
              <w:right w:val="nil"/>
            </w:tcBorders>
            <w:shd w:val="clear" w:color="auto" w:fill="auto"/>
            <w:noWrap/>
            <w:vAlign w:val="bottom"/>
          </w:tcPr>
          <w:p w14:paraId="50D090C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C4E4BF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2C5861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EB528B2"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38D7945" w14:textId="77777777" w:rsidTr="00CC07FA">
        <w:trPr>
          <w:trHeight w:val="285"/>
        </w:trPr>
        <w:tc>
          <w:tcPr>
            <w:tcW w:w="2920" w:type="dxa"/>
            <w:tcBorders>
              <w:top w:val="nil"/>
              <w:left w:val="nil"/>
              <w:bottom w:val="nil"/>
              <w:right w:val="nil"/>
            </w:tcBorders>
            <w:shd w:val="clear" w:color="auto" w:fill="auto"/>
            <w:noWrap/>
            <w:vAlign w:val="bottom"/>
          </w:tcPr>
          <w:p w14:paraId="28AE61D7"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b/>
                <w:color w:val="000000"/>
                <w:lang w:val="en-GB"/>
              </w:rPr>
              <w:t>HBsAg</w:t>
            </w:r>
          </w:p>
        </w:tc>
        <w:tc>
          <w:tcPr>
            <w:tcW w:w="766" w:type="dxa"/>
            <w:tcBorders>
              <w:top w:val="nil"/>
              <w:left w:val="nil"/>
              <w:bottom w:val="nil"/>
              <w:right w:val="nil"/>
            </w:tcBorders>
            <w:shd w:val="clear" w:color="auto" w:fill="auto"/>
            <w:noWrap/>
            <w:vAlign w:val="bottom"/>
          </w:tcPr>
          <w:p w14:paraId="44EC37A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351F73C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12AA8EE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438674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5C5B7B2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C8FEDE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8A7220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ED1D96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F8F5E30" w14:textId="77777777" w:rsidTr="00CC07FA">
        <w:trPr>
          <w:trHeight w:val="285"/>
        </w:trPr>
        <w:tc>
          <w:tcPr>
            <w:tcW w:w="2920" w:type="dxa"/>
            <w:tcBorders>
              <w:top w:val="nil"/>
              <w:left w:val="nil"/>
              <w:bottom w:val="nil"/>
              <w:right w:val="nil"/>
            </w:tcBorders>
            <w:shd w:val="clear" w:color="auto" w:fill="auto"/>
            <w:noWrap/>
            <w:vAlign w:val="bottom"/>
          </w:tcPr>
          <w:p w14:paraId="3571F86D"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bCs/>
                <w:caps/>
                <w:color w:val="000000"/>
                <w:lang w:val="en-GB"/>
              </w:rPr>
              <w:t>n</w:t>
            </w:r>
            <w:r w:rsidRPr="00572D61">
              <w:rPr>
                <w:rFonts w:ascii="Book Antiqua" w:eastAsia="等线" w:hAnsi="Book Antiqua"/>
                <w:bCs/>
                <w:color w:val="000000"/>
                <w:lang w:val="en-GB"/>
              </w:rPr>
              <w:t>egative</w:t>
            </w:r>
          </w:p>
        </w:tc>
        <w:tc>
          <w:tcPr>
            <w:tcW w:w="766" w:type="dxa"/>
            <w:tcBorders>
              <w:top w:val="nil"/>
              <w:left w:val="nil"/>
              <w:bottom w:val="nil"/>
              <w:right w:val="nil"/>
            </w:tcBorders>
            <w:shd w:val="clear" w:color="auto" w:fill="auto"/>
            <w:noWrap/>
            <w:vAlign w:val="bottom"/>
          </w:tcPr>
          <w:p w14:paraId="7054357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6993846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5B4B0E3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696CAFD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64B23E8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5168BD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D0001D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45442B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5905EDAF" w14:textId="77777777" w:rsidTr="00CC07FA">
        <w:trPr>
          <w:trHeight w:val="285"/>
        </w:trPr>
        <w:tc>
          <w:tcPr>
            <w:tcW w:w="2920" w:type="dxa"/>
            <w:tcBorders>
              <w:top w:val="nil"/>
              <w:left w:val="nil"/>
              <w:bottom w:val="nil"/>
              <w:right w:val="nil"/>
            </w:tcBorders>
            <w:shd w:val="clear" w:color="auto" w:fill="auto"/>
            <w:noWrap/>
            <w:vAlign w:val="bottom"/>
          </w:tcPr>
          <w:p w14:paraId="5A1D21C4"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bCs/>
                <w:caps/>
                <w:color w:val="000000"/>
                <w:lang w:val="en-GB"/>
              </w:rPr>
              <w:t>p</w:t>
            </w:r>
            <w:r w:rsidRPr="00572D61">
              <w:rPr>
                <w:rFonts w:ascii="Book Antiqua" w:eastAsia="等线" w:hAnsi="Book Antiqua"/>
                <w:bCs/>
                <w:color w:val="000000"/>
                <w:lang w:val="en-GB"/>
              </w:rPr>
              <w:t>ositive</w:t>
            </w:r>
          </w:p>
        </w:tc>
        <w:tc>
          <w:tcPr>
            <w:tcW w:w="766" w:type="dxa"/>
            <w:tcBorders>
              <w:top w:val="nil"/>
              <w:left w:val="nil"/>
              <w:bottom w:val="nil"/>
              <w:right w:val="nil"/>
            </w:tcBorders>
            <w:shd w:val="clear" w:color="auto" w:fill="auto"/>
            <w:noWrap/>
            <w:vAlign w:val="bottom"/>
          </w:tcPr>
          <w:p w14:paraId="2AA53D3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1.063</w:t>
            </w:r>
          </w:p>
        </w:tc>
        <w:tc>
          <w:tcPr>
            <w:tcW w:w="756" w:type="dxa"/>
            <w:tcBorders>
              <w:top w:val="nil"/>
              <w:left w:val="nil"/>
              <w:bottom w:val="nil"/>
              <w:right w:val="nil"/>
            </w:tcBorders>
            <w:shd w:val="clear" w:color="auto" w:fill="auto"/>
            <w:noWrap/>
            <w:vAlign w:val="bottom"/>
          </w:tcPr>
          <w:p w14:paraId="202B094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0.833</w:t>
            </w:r>
          </w:p>
        </w:tc>
        <w:tc>
          <w:tcPr>
            <w:tcW w:w="848" w:type="dxa"/>
            <w:tcBorders>
              <w:top w:val="nil"/>
              <w:left w:val="nil"/>
              <w:bottom w:val="nil"/>
              <w:right w:val="nil"/>
            </w:tcBorders>
            <w:shd w:val="clear" w:color="auto" w:fill="auto"/>
            <w:noWrap/>
            <w:vAlign w:val="bottom"/>
          </w:tcPr>
          <w:p w14:paraId="2E0ED00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1.365</w:t>
            </w:r>
          </w:p>
        </w:tc>
        <w:tc>
          <w:tcPr>
            <w:tcW w:w="1380" w:type="dxa"/>
            <w:tcBorders>
              <w:top w:val="nil"/>
              <w:left w:val="nil"/>
              <w:bottom w:val="nil"/>
              <w:right w:val="nil"/>
            </w:tcBorders>
            <w:shd w:val="clear" w:color="auto" w:fill="auto"/>
            <w:noWrap/>
            <w:vAlign w:val="bottom"/>
          </w:tcPr>
          <w:p w14:paraId="094EF54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0.639</w:t>
            </w:r>
          </w:p>
        </w:tc>
        <w:tc>
          <w:tcPr>
            <w:tcW w:w="756" w:type="dxa"/>
            <w:tcBorders>
              <w:top w:val="nil"/>
              <w:left w:val="nil"/>
              <w:bottom w:val="nil"/>
              <w:right w:val="nil"/>
            </w:tcBorders>
            <w:shd w:val="clear" w:color="auto" w:fill="auto"/>
            <w:noWrap/>
            <w:vAlign w:val="bottom"/>
          </w:tcPr>
          <w:p w14:paraId="58D2283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15D4E2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38BD9E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73435E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2F3AE824" w14:textId="77777777" w:rsidTr="00CC07FA">
        <w:trPr>
          <w:trHeight w:val="285"/>
        </w:trPr>
        <w:tc>
          <w:tcPr>
            <w:tcW w:w="2920" w:type="dxa"/>
            <w:tcBorders>
              <w:top w:val="nil"/>
              <w:left w:val="nil"/>
              <w:bottom w:val="nil"/>
              <w:right w:val="nil"/>
            </w:tcBorders>
            <w:shd w:val="clear" w:color="auto" w:fill="auto"/>
            <w:noWrap/>
            <w:vAlign w:val="bottom"/>
          </w:tcPr>
          <w:p w14:paraId="537C46F0"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Tumour location</w:t>
            </w:r>
          </w:p>
        </w:tc>
        <w:tc>
          <w:tcPr>
            <w:tcW w:w="766" w:type="dxa"/>
            <w:tcBorders>
              <w:top w:val="nil"/>
              <w:left w:val="nil"/>
              <w:bottom w:val="nil"/>
              <w:right w:val="nil"/>
            </w:tcBorders>
            <w:shd w:val="clear" w:color="auto" w:fill="auto"/>
            <w:noWrap/>
            <w:vAlign w:val="bottom"/>
          </w:tcPr>
          <w:p w14:paraId="61BA4266"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41921B6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1D31D17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1B3D07D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4CD354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F81A6E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BEBE7A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423748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AE6CA80" w14:textId="77777777" w:rsidTr="00CC07FA">
        <w:trPr>
          <w:trHeight w:val="285"/>
        </w:trPr>
        <w:tc>
          <w:tcPr>
            <w:tcW w:w="2920" w:type="dxa"/>
            <w:tcBorders>
              <w:top w:val="nil"/>
              <w:left w:val="nil"/>
              <w:bottom w:val="nil"/>
              <w:right w:val="nil"/>
            </w:tcBorders>
            <w:shd w:val="clear" w:color="auto" w:fill="auto"/>
            <w:noWrap/>
            <w:vAlign w:val="bottom"/>
          </w:tcPr>
          <w:p w14:paraId="01E87949"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Left</w:t>
            </w:r>
          </w:p>
        </w:tc>
        <w:tc>
          <w:tcPr>
            <w:tcW w:w="766" w:type="dxa"/>
            <w:tcBorders>
              <w:top w:val="nil"/>
              <w:left w:val="nil"/>
              <w:bottom w:val="nil"/>
              <w:right w:val="nil"/>
            </w:tcBorders>
            <w:shd w:val="clear" w:color="auto" w:fill="auto"/>
            <w:noWrap/>
            <w:vAlign w:val="bottom"/>
          </w:tcPr>
          <w:p w14:paraId="4E818E9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5B47B24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688F884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656C5CB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901B75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1E319F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067C34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7BBCE5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36CFB7DF" w14:textId="77777777" w:rsidTr="00CC07FA">
        <w:trPr>
          <w:trHeight w:val="285"/>
        </w:trPr>
        <w:tc>
          <w:tcPr>
            <w:tcW w:w="2920" w:type="dxa"/>
            <w:tcBorders>
              <w:top w:val="nil"/>
              <w:left w:val="nil"/>
              <w:bottom w:val="nil"/>
              <w:right w:val="nil"/>
            </w:tcBorders>
            <w:shd w:val="clear" w:color="auto" w:fill="auto"/>
            <w:noWrap/>
            <w:vAlign w:val="bottom"/>
          </w:tcPr>
          <w:p w14:paraId="22F35882"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Right</w:t>
            </w:r>
          </w:p>
        </w:tc>
        <w:tc>
          <w:tcPr>
            <w:tcW w:w="766" w:type="dxa"/>
            <w:tcBorders>
              <w:top w:val="nil"/>
              <w:left w:val="nil"/>
              <w:bottom w:val="nil"/>
              <w:right w:val="nil"/>
            </w:tcBorders>
            <w:shd w:val="clear" w:color="auto" w:fill="auto"/>
            <w:noWrap/>
            <w:vAlign w:val="bottom"/>
          </w:tcPr>
          <w:p w14:paraId="6C973C0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1.263</w:t>
            </w:r>
          </w:p>
        </w:tc>
        <w:tc>
          <w:tcPr>
            <w:tcW w:w="756" w:type="dxa"/>
            <w:tcBorders>
              <w:top w:val="nil"/>
              <w:left w:val="nil"/>
              <w:bottom w:val="nil"/>
              <w:right w:val="nil"/>
            </w:tcBorders>
            <w:shd w:val="clear" w:color="auto" w:fill="auto"/>
            <w:noWrap/>
            <w:vAlign w:val="bottom"/>
          </w:tcPr>
          <w:p w14:paraId="00E7D43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0.942</w:t>
            </w:r>
          </w:p>
        </w:tc>
        <w:tc>
          <w:tcPr>
            <w:tcW w:w="848" w:type="dxa"/>
            <w:tcBorders>
              <w:top w:val="nil"/>
              <w:left w:val="nil"/>
              <w:bottom w:val="nil"/>
              <w:right w:val="nil"/>
            </w:tcBorders>
            <w:shd w:val="clear" w:color="auto" w:fill="auto"/>
            <w:noWrap/>
            <w:vAlign w:val="bottom"/>
          </w:tcPr>
          <w:p w14:paraId="58C4B71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1.693</w:t>
            </w:r>
          </w:p>
        </w:tc>
        <w:tc>
          <w:tcPr>
            <w:tcW w:w="1380" w:type="dxa"/>
            <w:tcBorders>
              <w:top w:val="nil"/>
              <w:left w:val="nil"/>
              <w:bottom w:val="nil"/>
              <w:right w:val="nil"/>
            </w:tcBorders>
            <w:shd w:val="clear" w:color="auto" w:fill="auto"/>
            <w:noWrap/>
            <w:vAlign w:val="bottom"/>
          </w:tcPr>
          <w:p w14:paraId="0DB1C6C8"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0.119</w:t>
            </w:r>
          </w:p>
        </w:tc>
        <w:tc>
          <w:tcPr>
            <w:tcW w:w="756" w:type="dxa"/>
            <w:tcBorders>
              <w:top w:val="nil"/>
              <w:left w:val="nil"/>
              <w:bottom w:val="nil"/>
              <w:right w:val="nil"/>
            </w:tcBorders>
            <w:shd w:val="clear" w:color="auto" w:fill="auto"/>
            <w:noWrap/>
            <w:vAlign w:val="bottom"/>
          </w:tcPr>
          <w:p w14:paraId="06EB926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65C1C9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6C07B0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3DB18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E6ED6DF" w14:textId="77777777" w:rsidTr="00CC07FA">
        <w:trPr>
          <w:trHeight w:val="285"/>
        </w:trPr>
        <w:tc>
          <w:tcPr>
            <w:tcW w:w="2920" w:type="dxa"/>
            <w:tcBorders>
              <w:top w:val="nil"/>
              <w:left w:val="nil"/>
              <w:bottom w:val="nil"/>
              <w:right w:val="nil"/>
            </w:tcBorders>
            <w:shd w:val="clear" w:color="auto" w:fill="auto"/>
            <w:noWrap/>
            <w:vAlign w:val="bottom"/>
          </w:tcPr>
          <w:p w14:paraId="59CDB237"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Others</w:t>
            </w:r>
          </w:p>
        </w:tc>
        <w:tc>
          <w:tcPr>
            <w:tcW w:w="766" w:type="dxa"/>
            <w:tcBorders>
              <w:top w:val="nil"/>
              <w:left w:val="nil"/>
              <w:bottom w:val="nil"/>
              <w:right w:val="nil"/>
            </w:tcBorders>
            <w:shd w:val="clear" w:color="auto" w:fill="auto"/>
            <w:noWrap/>
            <w:vAlign w:val="bottom"/>
          </w:tcPr>
          <w:p w14:paraId="433AC2D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1.359</w:t>
            </w:r>
          </w:p>
        </w:tc>
        <w:tc>
          <w:tcPr>
            <w:tcW w:w="756" w:type="dxa"/>
            <w:tcBorders>
              <w:top w:val="nil"/>
              <w:left w:val="nil"/>
              <w:bottom w:val="nil"/>
              <w:right w:val="nil"/>
            </w:tcBorders>
            <w:shd w:val="clear" w:color="auto" w:fill="auto"/>
            <w:noWrap/>
            <w:vAlign w:val="bottom"/>
          </w:tcPr>
          <w:p w14:paraId="4052A52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0.855</w:t>
            </w:r>
          </w:p>
        </w:tc>
        <w:tc>
          <w:tcPr>
            <w:tcW w:w="848" w:type="dxa"/>
            <w:tcBorders>
              <w:top w:val="nil"/>
              <w:left w:val="nil"/>
              <w:bottom w:val="nil"/>
              <w:right w:val="nil"/>
            </w:tcBorders>
            <w:shd w:val="clear" w:color="auto" w:fill="auto"/>
            <w:noWrap/>
            <w:vAlign w:val="bottom"/>
          </w:tcPr>
          <w:p w14:paraId="3D968F3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2.159</w:t>
            </w:r>
          </w:p>
        </w:tc>
        <w:tc>
          <w:tcPr>
            <w:tcW w:w="1380" w:type="dxa"/>
            <w:tcBorders>
              <w:top w:val="nil"/>
              <w:left w:val="nil"/>
              <w:bottom w:val="nil"/>
              <w:right w:val="nil"/>
            </w:tcBorders>
            <w:shd w:val="clear" w:color="auto" w:fill="auto"/>
            <w:noWrap/>
            <w:vAlign w:val="bottom"/>
          </w:tcPr>
          <w:p w14:paraId="5401778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0.195</w:t>
            </w:r>
          </w:p>
        </w:tc>
        <w:tc>
          <w:tcPr>
            <w:tcW w:w="756" w:type="dxa"/>
            <w:tcBorders>
              <w:top w:val="nil"/>
              <w:left w:val="nil"/>
              <w:bottom w:val="nil"/>
              <w:right w:val="nil"/>
            </w:tcBorders>
            <w:shd w:val="clear" w:color="auto" w:fill="auto"/>
            <w:noWrap/>
            <w:vAlign w:val="bottom"/>
          </w:tcPr>
          <w:p w14:paraId="456B451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F4717E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256D568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E9E6AA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228D0C9" w14:textId="77777777" w:rsidTr="00CC07FA">
        <w:trPr>
          <w:trHeight w:val="285"/>
        </w:trPr>
        <w:tc>
          <w:tcPr>
            <w:tcW w:w="2920" w:type="dxa"/>
            <w:tcBorders>
              <w:top w:val="nil"/>
              <w:left w:val="nil"/>
              <w:bottom w:val="nil"/>
              <w:right w:val="nil"/>
            </w:tcBorders>
            <w:shd w:val="clear" w:color="auto" w:fill="auto"/>
            <w:noWrap/>
            <w:vAlign w:val="bottom"/>
          </w:tcPr>
          <w:p w14:paraId="0D35FE0F"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Tumour size, cm</w:t>
            </w:r>
          </w:p>
        </w:tc>
        <w:tc>
          <w:tcPr>
            <w:tcW w:w="766" w:type="dxa"/>
            <w:tcBorders>
              <w:top w:val="nil"/>
              <w:left w:val="nil"/>
              <w:bottom w:val="nil"/>
              <w:right w:val="nil"/>
            </w:tcBorders>
            <w:shd w:val="clear" w:color="auto" w:fill="auto"/>
            <w:noWrap/>
            <w:vAlign w:val="bottom"/>
          </w:tcPr>
          <w:p w14:paraId="6B603F24"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6663430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90F8CF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49F60E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9C8B5D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33F54B9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4614F5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42ECAD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5FB9BE25" w14:textId="77777777" w:rsidTr="00CC07FA">
        <w:trPr>
          <w:trHeight w:val="285"/>
        </w:trPr>
        <w:tc>
          <w:tcPr>
            <w:tcW w:w="2920" w:type="dxa"/>
            <w:tcBorders>
              <w:top w:val="nil"/>
              <w:left w:val="nil"/>
              <w:bottom w:val="nil"/>
              <w:right w:val="nil"/>
            </w:tcBorders>
            <w:shd w:val="clear" w:color="auto" w:fill="auto"/>
            <w:noWrap/>
            <w:vAlign w:val="bottom"/>
          </w:tcPr>
          <w:p w14:paraId="42DE5C5A"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5</w:t>
            </w:r>
          </w:p>
        </w:tc>
        <w:tc>
          <w:tcPr>
            <w:tcW w:w="766" w:type="dxa"/>
            <w:tcBorders>
              <w:top w:val="nil"/>
              <w:left w:val="nil"/>
              <w:bottom w:val="nil"/>
              <w:right w:val="nil"/>
            </w:tcBorders>
            <w:shd w:val="clear" w:color="auto" w:fill="auto"/>
            <w:noWrap/>
            <w:vAlign w:val="bottom"/>
          </w:tcPr>
          <w:p w14:paraId="6789BE6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2A5ABA8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75B3AF7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95ED52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6EA29D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054790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3B3931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B1E2D3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226EFBA9" w14:textId="77777777" w:rsidTr="00CC07FA">
        <w:trPr>
          <w:trHeight w:val="285"/>
        </w:trPr>
        <w:tc>
          <w:tcPr>
            <w:tcW w:w="2920" w:type="dxa"/>
            <w:tcBorders>
              <w:top w:val="nil"/>
              <w:left w:val="nil"/>
              <w:bottom w:val="nil"/>
              <w:right w:val="nil"/>
            </w:tcBorders>
            <w:shd w:val="clear" w:color="auto" w:fill="auto"/>
            <w:noWrap/>
            <w:vAlign w:val="bottom"/>
          </w:tcPr>
          <w:p w14:paraId="73C0747E"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lastRenderedPageBreak/>
              <w: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5</w:t>
            </w:r>
          </w:p>
        </w:tc>
        <w:tc>
          <w:tcPr>
            <w:tcW w:w="766" w:type="dxa"/>
            <w:tcBorders>
              <w:top w:val="nil"/>
              <w:left w:val="nil"/>
              <w:bottom w:val="nil"/>
              <w:right w:val="nil"/>
            </w:tcBorders>
            <w:shd w:val="clear" w:color="auto" w:fill="auto"/>
            <w:noWrap/>
            <w:vAlign w:val="bottom"/>
          </w:tcPr>
          <w:p w14:paraId="39420AE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1.595</w:t>
            </w:r>
          </w:p>
        </w:tc>
        <w:tc>
          <w:tcPr>
            <w:tcW w:w="756" w:type="dxa"/>
            <w:tcBorders>
              <w:top w:val="nil"/>
              <w:left w:val="nil"/>
              <w:bottom w:val="nil"/>
              <w:right w:val="nil"/>
            </w:tcBorders>
            <w:shd w:val="clear" w:color="auto" w:fill="auto"/>
            <w:noWrap/>
            <w:vAlign w:val="bottom"/>
          </w:tcPr>
          <w:p w14:paraId="35A9D108"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1.255</w:t>
            </w:r>
          </w:p>
        </w:tc>
        <w:tc>
          <w:tcPr>
            <w:tcW w:w="848" w:type="dxa"/>
            <w:tcBorders>
              <w:top w:val="nil"/>
              <w:left w:val="nil"/>
              <w:bottom w:val="nil"/>
              <w:right w:val="nil"/>
            </w:tcBorders>
            <w:shd w:val="clear" w:color="auto" w:fill="auto"/>
            <w:noWrap/>
            <w:vAlign w:val="bottom"/>
          </w:tcPr>
          <w:p w14:paraId="4EC4FCD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2.027</w:t>
            </w:r>
          </w:p>
        </w:tc>
        <w:tc>
          <w:tcPr>
            <w:tcW w:w="1380" w:type="dxa"/>
            <w:tcBorders>
              <w:top w:val="nil"/>
              <w:left w:val="nil"/>
              <w:bottom w:val="nil"/>
              <w:right w:val="nil"/>
            </w:tcBorders>
            <w:shd w:val="clear" w:color="auto" w:fill="auto"/>
            <w:noWrap/>
            <w:vAlign w:val="bottom"/>
          </w:tcPr>
          <w:p w14:paraId="7623C0C1" w14:textId="6FE98D93"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c>
          <w:tcPr>
            <w:tcW w:w="756" w:type="dxa"/>
            <w:tcBorders>
              <w:top w:val="nil"/>
              <w:left w:val="nil"/>
              <w:bottom w:val="nil"/>
              <w:right w:val="nil"/>
            </w:tcBorders>
            <w:shd w:val="clear" w:color="auto" w:fill="auto"/>
            <w:noWrap/>
            <w:vAlign w:val="bottom"/>
          </w:tcPr>
          <w:p w14:paraId="16C92CC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1.323</w:t>
            </w:r>
          </w:p>
        </w:tc>
        <w:tc>
          <w:tcPr>
            <w:tcW w:w="756" w:type="dxa"/>
            <w:tcBorders>
              <w:top w:val="nil"/>
              <w:left w:val="nil"/>
              <w:bottom w:val="nil"/>
              <w:right w:val="nil"/>
            </w:tcBorders>
            <w:shd w:val="clear" w:color="auto" w:fill="auto"/>
            <w:noWrap/>
            <w:vAlign w:val="bottom"/>
          </w:tcPr>
          <w:p w14:paraId="3EC84A8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1.002</w:t>
            </w:r>
          </w:p>
        </w:tc>
        <w:tc>
          <w:tcPr>
            <w:tcW w:w="756" w:type="dxa"/>
            <w:tcBorders>
              <w:top w:val="nil"/>
              <w:left w:val="nil"/>
              <w:bottom w:val="nil"/>
              <w:right w:val="nil"/>
            </w:tcBorders>
            <w:shd w:val="clear" w:color="auto" w:fill="auto"/>
            <w:noWrap/>
            <w:vAlign w:val="bottom"/>
          </w:tcPr>
          <w:p w14:paraId="24DEF9C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1.747</w:t>
            </w:r>
          </w:p>
        </w:tc>
        <w:tc>
          <w:tcPr>
            <w:tcW w:w="956" w:type="dxa"/>
            <w:tcBorders>
              <w:top w:val="nil"/>
              <w:left w:val="nil"/>
              <w:bottom w:val="nil"/>
              <w:right w:val="nil"/>
            </w:tcBorders>
            <w:shd w:val="clear" w:color="auto" w:fill="auto"/>
            <w:noWrap/>
            <w:vAlign w:val="bottom"/>
          </w:tcPr>
          <w:p w14:paraId="192102A4" w14:textId="6DE920E8"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0.048</w:t>
            </w:r>
          </w:p>
        </w:tc>
      </w:tr>
      <w:tr w:rsidR="00CC07FA" w:rsidRPr="00572D61" w14:paraId="6AD96BAE" w14:textId="77777777" w:rsidTr="00CC07FA">
        <w:trPr>
          <w:trHeight w:val="285"/>
        </w:trPr>
        <w:tc>
          <w:tcPr>
            <w:tcW w:w="2920" w:type="dxa"/>
            <w:tcBorders>
              <w:top w:val="nil"/>
              <w:left w:val="nil"/>
              <w:bottom w:val="nil"/>
              <w:right w:val="nil"/>
            </w:tcBorders>
            <w:shd w:val="clear" w:color="auto" w:fill="auto"/>
            <w:noWrap/>
            <w:vAlign w:val="bottom"/>
          </w:tcPr>
          <w:p w14:paraId="16B95112"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Grade</w:t>
            </w:r>
          </w:p>
        </w:tc>
        <w:tc>
          <w:tcPr>
            <w:tcW w:w="766" w:type="dxa"/>
            <w:tcBorders>
              <w:top w:val="nil"/>
              <w:left w:val="nil"/>
              <w:bottom w:val="nil"/>
              <w:right w:val="nil"/>
            </w:tcBorders>
            <w:shd w:val="clear" w:color="auto" w:fill="auto"/>
            <w:noWrap/>
            <w:vAlign w:val="bottom"/>
          </w:tcPr>
          <w:p w14:paraId="5E67EEBD"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543EA24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1E43A9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BA765B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6F60A1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77EE151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3ABA2B8"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A8E297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556ACCD7" w14:textId="77777777" w:rsidTr="00CC07FA">
        <w:trPr>
          <w:trHeight w:val="285"/>
        </w:trPr>
        <w:tc>
          <w:tcPr>
            <w:tcW w:w="2920" w:type="dxa"/>
            <w:tcBorders>
              <w:top w:val="nil"/>
              <w:left w:val="nil"/>
              <w:bottom w:val="nil"/>
              <w:right w:val="nil"/>
            </w:tcBorders>
            <w:shd w:val="clear" w:color="auto" w:fill="auto"/>
            <w:noWrap/>
            <w:vAlign w:val="bottom"/>
          </w:tcPr>
          <w:p w14:paraId="3204EDE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Well differentiated</w:t>
            </w:r>
          </w:p>
        </w:tc>
        <w:tc>
          <w:tcPr>
            <w:tcW w:w="766" w:type="dxa"/>
            <w:tcBorders>
              <w:top w:val="nil"/>
              <w:left w:val="nil"/>
              <w:bottom w:val="nil"/>
              <w:right w:val="nil"/>
            </w:tcBorders>
            <w:shd w:val="clear" w:color="auto" w:fill="auto"/>
            <w:noWrap/>
            <w:vAlign w:val="bottom"/>
          </w:tcPr>
          <w:p w14:paraId="0228260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59473288"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1B6A6566"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BC0CA4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2A510AA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02132D1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34B6C06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956" w:type="dxa"/>
            <w:tcBorders>
              <w:top w:val="nil"/>
              <w:left w:val="nil"/>
              <w:bottom w:val="nil"/>
              <w:right w:val="nil"/>
            </w:tcBorders>
            <w:shd w:val="clear" w:color="auto" w:fill="auto"/>
            <w:noWrap/>
            <w:vAlign w:val="bottom"/>
          </w:tcPr>
          <w:p w14:paraId="6200D7F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r>
      <w:tr w:rsidR="00CC07FA" w:rsidRPr="00572D61" w14:paraId="38D10C0A" w14:textId="77777777" w:rsidTr="00CC07FA">
        <w:trPr>
          <w:trHeight w:val="285"/>
        </w:trPr>
        <w:tc>
          <w:tcPr>
            <w:tcW w:w="2920" w:type="dxa"/>
            <w:tcBorders>
              <w:top w:val="nil"/>
              <w:left w:val="nil"/>
              <w:bottom w:val="nil"/>
              <w:right w:val="nil"/>
            </w:tcBorders>
            <w:shd w:val="clear" w:color="auto" w:fill="auto"/>
            <w:noWrap/>
            <w:vAlign w:val="bottom"/>
          </w:tcPr>
          <w:p w14:paraId="7D413C54"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Moderately differentiated</w:t>
            </w:r>
          </w:p>
        </w:tc>
        <w:tc>
          <w:tcPr>
            <w:tcW w:w="766" w:type="dxa"/>
            <w:tcBorders>
              <w:top w:val="nil"/>
              <w:left w:val="nil"/>
              <w:bottom w:val="nil"/>
              <w:right w:val="nil"/>
            </w:tcBorders>
            <w:shd w:val="clear" w:color="auto" w:fill="auto"/>
            <w:noWrap/>
            <w:vAlign w:val="bottom"/>
          </w:tcPr>
          <w:p w14:paraId="4AB455C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1.421</w:t>
            </w:r>
          </w:p>
        </w:tc>
        <w:tc>
          <w:tcPr>
            <w:tcW w:w="756" w:type="dxa"/>
            <w:tcBorders>
              <w:top w:val="nil"/>
              <w:left w:val="nil"/>
              <w:bottom w:val="nil"/>
              <w:right w:val="nil"/>
            </w:tcBorders>
            <w:shd w:val="clear" w:color="auto" w:fill="auto"/>
            <w:noWrap/>
            <w:vAlign w:val="bottom"/>
          </w:tcPr>
          <w:p w14:paraId="034AB50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1.031</w:t>
            </w:r>
          </w:p>
        </w:tc>
        <w:tc>
          <w:tcPr>
            <w:tcW w:w="848" w:type="dxa"/>
            <w:tcBorders>
              <w:top w:val="nil"/>
              <w:left w:val="nil"/>
              <w:bottom w:val="nil"/>
              <w:right w:val="nil"/>
            </w:tcBorders>
            <w:shd w:val="clear" w:color="auto" w:fill="auto"/>
            <w:noWrap/>
            <w:vAlign w:val="bottom"/>
          </w:tcPr>
          <w:p w14:paraId="641017F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1.959</w:t>
            </w:r>
          </w:p>
        </w:tc>
        <w:tc>
          <w:tcPr>
            <w:tcW w:w="1380" w:type="dxa"/>
            <w:tcBorders>
              <w:top w:val="nil"/>
              <w:left w:val="nil"/>
              <w:bottom w:val="nil"/>
              <w:right w:val="nil"/>
            </w:tcBorders>
            <w:shd w:val="clear" w:color="auto" w:fill="auto"/>
            <w:noWrap/>
            <w:vAlign w:val="bottom"/>
          </w:tcPr>
          <w:p w14:paraId="587589E6" w14:textId="23A062B0"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0.032</w:t>
            </w:r>
          </w:p>
        </w:tc>
        <w:tc>
          <w:tcPr>
            <w:tcW w:w="756" w:type="dxa"/>
            <w:tcBorders>
              <w:top w:val="nil"/>
              <w:left w:val="nil"/>
              <w:bottom w:val="nil"/>
              <w:right w:val="nil"/>
            </w:tcBorders>
            <w:shd w:val="clear" w:color="auto" w:fill="auto"/>
            <w:noWrap/>
            <w:vAlign w:val="bottom"/>
          </w:tcPr>
          <w:p w14:paraId="7383699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1.752</w:t>
            </w:r>
          </w:p>
        </w:tc>
        <w:tc>
          <w:tcPr>
            <w:tcW w:w="756" w:type="dxa"/>
            <w:tcBorders>
              <w:top w:val="nil"/>
              <w:left w:val="nil"/>
              <w:bottom w:val="nil"/>
              <w:right w:val="nil"/>
            </w:tcBorders>
            <w:shd w:val="clear" w:color="auto" w:fill="auto"/>
            <w:noWrap/>
            <w:vAlign w:val="bottom"/>
          </w:tcPr>
          <w:p w14:paraId="1375D3B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1.246</w:t>
            </w:r>
          </w:p>
        </w:tc>
        <w:tc>
          <w:tcPr>
            <w:tcW w:w="756" w:type="dxa"/>
            <w:tcBorders>
              <w:top w:val="nil"/>
              <w:left w:val="nil"/>
              <w:bottom w:val="nil"/>
              <w:right w:val="nil"/>
            </w:tcBorders>
            <w:shd w:val="clear" w:color="auto" w:fill="auto"/>
            <w:noWrap/>
            <w:vAlign w:val="bottom"/>
          </w:tcPr>
          <w:p w14:paraId="2A48E17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2.463</w:t>
            </w:r>
          </w:p>
        </w:tc>
        <w:tc>
          <w:tcPr>
            <w:tcW w:w="956" w:type="dxa"/>
            <w:tcBorders>
              <w:top w:val="nil"/>
              <w:left w:val="nil"/>
              <w:bottom w:val="nil"/>
              <w:right w:val="nil"/>
            </w:tcBorders>
            <w:shd w:val="clear" w:color="auto" w:fill="auto"/>
            <w:noWrap/>
            <w:vAlign w:val="bottom"/>
          </w:tcPr>
          <w:p w14:paraId="48FD4F1E" w14:textId="5AF6BDE5"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0.001</w:t>
            </w:r>
          </w:p>
        </w:tc>
      </w:tr>
      <w:tr w:rsidR="00CC07FA" w:rsidRPr="00572D61" w14:paraId="13B50204" w14:textId="77777777" w:rsidTr="00CC07FA">
        <w:trPr>
          <w:trHeight w:val="285"/>
        </w:trPr>
        <w:tc>
          <w:tcPr>
            <w:tcW w:w="2920" w:type="dxa"/>
            <w:tcBorders>
              <w:top w:val="nil"/>
              <w:left w:val="nil"/>
              <w:bottom w:val="nil"/>
              <w:right w:val="nil"/>
            </w:tcBorders>
            <w:shd w:val="clear" w:color="auto" w:fill="auto"/>
            <w:noWrap/>
            <w:vAlign w:val="bottom"/>
          </w:tcPr>
          <w:p w14:paraId="46C7A2D1"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Poorly differentiated</w:t>
            </w:r>
          </w:p>
        </w:tc>
        <w:tc>
          <w:tcPr>
            <w:tcW w:w="766" w:type="dxa"/>
            <w:tcBorders>
              <w:top w:val="nil"/>
              <w:left w:val="nil"/>
              <w:bottom w:val="nil"/>
              <w:right w:val="nil"/>
            </w:tcBorders>
            <w:shd w:val="clear" w:color="auto" w:fill="auto"/>
            <w:noWrap/>
            <w:vAlign w:val="bottom"/>
          </w:tcPr>
          <w:p w14:paraId="73BDF4D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1.669</w:t>
            </w:r>
          </w:p>
        </w:tc>
        <w:tc>
          <w:tcPr>
            <w:tcW w:w="756" w:type="dxa"/>
            <w:tcBorders>
              <w:top w:val="nil"/>
              <w:left w:val="nil"/>
              <w:bottom w:val="nil"/>
              <w:right w:val="nil"/>
            </w:tcBorders>
            <w:shd w:val="clear" w:color="auto" w:fill="auto"/>
            <w:noWrap/>
            <w:vAlign w:val="bottom"/>
          </w:tcPr>
          <w:p w14:paraId="59665F1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1.047</w:t>
            </w:r>
          </w:p>
        </w:tc>
        <w:tc>
          <w:tcPr>
            <w:tcW w:w="848" w:type="dxa"/>
            <w:tcBorders>
              <w:top w:val="nil"/>
              <w:left w:val="nil"/>
              <w:bottom w:val="nil"/>
              <w:right w:val="nil"/>
            </w:tcBorders>
            <w:shd w:val="clear" w:color="auto" w:fill="auto"/>
            <w:noWrap/>
            <w:vAlign w:val="bottom"/>
          </w:tcPr>
          <w:p w14:paraId="475B4C79"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r w:rsidRPr="00572D61">
              <w:rPr>
                <w:rFonts w:ascii="Book Antiqua" w:eastAsia="等线" w:hAnsi="Book Antiqua"/>
                <w:color w:val="000000" w:themeColor="text1"/>
                <w:lang w:val="en-GB"/>
              </w:rPr>
              <w:t>2.661</w:t>
            </w:r>
          </w:p>
        </w:tc>
        <w:tc>
          <w:tcPr>
            <w:tcW w:w="1380" w:type="dxa"/>
            <w:tcBorders>
              <w:top w:val="nil"/>
              <w:left w:val="nil"/>
              <w:bottom w:val="nil"/>
              <w:right w:val="nil"/>
            </w:tcBorders>
            <w:shd w:val="clear" w:color="auto" w:fill="auto"/>
            <w:noWrap/>
            <w:vAlign w:val="bottom"/>
          </w:tcPr>
          <w:p w14:paraId="1491AA9B" w14:textId="46DFF0BA"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eastAsia="zh-CN"/>
              </w:rPr>
            </w:pPr>
            <w:r w:rsidRPr="00572D61">
              <w:rPr>
                <w:rFonts w:ascii="Book Antiqua" w:eastAsia="等线" w:hAnsi="Book Antiqua"/>
                <w:color w:val="000000" w:themeColor="text1"/>
                <w:lang w:val="en-GB"/>
              </w:rPr>
              <w:t>0.031</w:t>
            </w:r>
          </w:p>
        </w:tc>
        <w:tc>
          <w:tcPr>
            <w:tcW w:w="756" w:type="dxa"/>
            <w:tcBorders>
              <w:top w:val="nil"/>
              <w:left w:val="nil"/>
              <w:bottom w:val="nil"/>
              <w:right w:val="nil"/>
            </w:tcBorders>
            <w:shd w:val="clear" w:color="auto" w:fill="auto"/>
            <w:noWrap/>
            <w:vAlign w:val="bottom"/>
          </w:tcPr>
          <w:p w14:paraId="55742A9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3.207</w:t>
            </w:r>
          </w:p>
        </w:tc>
        <w:tc>
          <w:tcPr>
            <w:tcW w:w="756" w:type="dxa"/>
            <w:tcBorders>
              <w:top w:val="nil"/>
              <w:left w:val="nil"/>
              <w:bottom w:val="nil"/>
              <w:right w:val="nil"/>
            </w:tcBorders>
            <w:shd w:val="clear" w:color="auto" w:fill="auto"/>
            <w:noWrap/>
            <w:vAlign w:val="bottom"/>
          </w:tcPr>
          <w:p w14:paraId="6493357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1.944</w:t>
            </w:r>
          </w:p>
        </w:tc>
        <w:tc>
          <w:tcPr>
            <w:tcW w:w="756" w:type="dxa"/>
            <w:tcBorders>
              <w:top w:val="nil"/>
              <w:left w:val="nil"/>
              <w:bottom w:val="nil"/>
              <w:right w:val="nil"/>
            </w:tcBorders>
            <w:shd w:val="clear" w:color="auto" w:fill="auto"/>
            <w:noWrap/>
            <w:vAlign w:val="bottom"/>
          </w:tcPr>
          <w:p w14:paraId="7E7779D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r w:rsidRPr="00572D61">
              <w:rPr>
                <w:rFonts w:ascii="Book Antiqua" w:eastAsia="等线" w:hAnsi="Book Antiqua"/>
                <w:color w:val="000000" w:themeColor="text1"/>
                <w:lang w:val="en-GB"/>
              </w:rPr>
              <w:t>5.290</w:t>
            </w:r>
          </w:p>
        </w:tc>
        <w:tc>
          <w:tcPr>
            <w:tcW w:w="956" w:type="dxa"/>
            <w:tcBorders>
              <w:top w:val="nil"/>
              <w:left w:val="nil"/>
              <w:bottom w:val="nil"/>
              <w:right w:val="nil"/>
            </w:tcBorders>
            <w:shd w:val="clear" w:color="auto" w:fill="auto"/>
            <w:noWrap/>
            <w:vAlign w:val="bottom"/>
          </w:tcPr>
          <w:p w14:paraId="488AE661" w14:textId="1822F70D"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eastAsia="zh-CN"/>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r>
      <w:tr w:rsidR="00CC07FA" w:rsidRPr="00572D61" w14:paraId="2548014C" w14:textId="77777777" w:rsidTr="00CC07FA">
        <w:trPr>
          <w:trHeight w:val="285"/>
        </w:trPr>
        <w:tc>
          <w:tcPr>
            <w:tcW w:w="2920" w:type="dxa"/>
            <w:tcBorders>
              <w:top w:val="nil"/>
              <w:left w:val="nil"/>
              <w:bottom w:val="nil"/>
              <w:right w:val="nil"/>
            </w:tcBorders>
            <w:shd w:val="clear" w:color="auto" w:fill="auto"/>
            <w:noWrap/>
            <w:vAlign w:val="bottom"/>
          </w:tcPr>
          <w:p w14:paraId="221B00B6"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MVI</w:t>
            </w:r>
          </w:p>
        </w:tc>
        <w:tc>
          <w:tcPr>
            <w:tcW w:w="766" w:type="dxa"/>
            <w:tcBorders>
              <w:top w:val="nil"/>
              <w:left w:val="nil"/>
              <w:bottom w:val="nil"/>
              <w:right w:val="nil"/>
            </w:tcBorders>
            <w:shd w:val="clear" w:color="auto" w:fill="auto"/>
            <w:noWrap/>
            <w:vAlign w:val="bottom"/>
          </w:tcPr>
          <w:p w14:paraId="00F714D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21E85ED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6A8A4D6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6C8F0E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6F3AD6F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3F55029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3B5049D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956" w:type="dxa"/>
            <w:tcBorders>
              <w:top w:val="nil"/>
              <w:left w:val="nil"/>
              <w:bottom w:val="nil"/>
              <w:right w:val="nil"/>
            </w:tcBorders>
            <w:shd w:val="clear" w:color="auto" w:fill="auto"/>
            <w:noWrap/>
            <w:vAlign w:val="bottom"/>
          </w:tcPr>
          <w:p w14:paraId="122EB7A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r>
      <w:tr w:rsidR="00CC07FA" w:rsidRPr="00572D61" w14:paraId="66572126" w14:textId="77777777" w:rsidTr="00CC07FA">
        <w:trPr>
          <w:trHeight w:val="285"/>
        </w:trPr>
        <w:tc>
          <w:tcPr>
            <w:tcW w:w="2920" w:type="dxa"/>
            <w:tcBorders>
              <w:top w:val="nil"/>
              <w:left w:val="nil"/>
              <w:bottom w:val="nil"/>
              <w:right w:val="nil"/>
            </w:tcBorders>
            <w:shd w:val="clear" w:color="auto" w:fill="auto"/>
            <w:noWrap/>
            <w:vAlign w:val="bottom"/>
          </w:tcPr>
          <w:p w14:paraId="5666779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34075B96"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1951610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6203698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7F5790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4A6385A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670B3C98"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352086C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956" w:type="dxa"/>
            <w:tcBorders>
              <w:top w:val="nil"/>
              <w:left w:val="nil"/>
              <w:bottom w:val="nil"/>
              <w:right w:val="nil"/>
            </w:tcBorders>
            <w:shd w:val="clear" w:color="auto" w:fill="auto"/>
            <w:noWrap/>
            <w:vAlign w:val="bottom"/>
          </w:tcPr>
          <w:p w14:paraId="3BDE9DC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r>
      <w:tr w:rsidR="00CC07FA" w:rsidRPr="00572D61" w14:paraId="10B723BA" w14:textId="77777777" w:rsidTr="00CC07FA">
        <w:trPr>
          <w:trHeight w:val="285"/>
        </w:trPr>
        <w:tc>
          <w:tcPr>
            <w:tcW w:w="2920" w:type="dxa"/>
            <w:tcBorders>
              <w:top w:val="nil"/>
              <w:left w:val="nil"/>
              <w:bottom w:val="nil"/>
              <w:right w:val="nil"/>
            </w:tcBorders>
            <w:shd w:val="clear" w:color="auto" w:fill="auto"/>
            <w:noWrap/>
            <w:vAlign w:val="bottom"/>
          </w:tcPr>
          <w:p w14:paraId="379F8A71"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7E8EF08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1.171</w:t>
            </w:r>
          </w:p>
        </w:tc>
        <w:tc>
          <w:tcPr>
            <w:tcW w:w="756" w:type="dxa"/>
            <w:tcBorders>
              <w:top w:val="nil"/>
              <w:left w:val="nil"/>
              <w:bottom w:val="nil"/>
              <w:right w:val="nil"/>
            </w:tcBorders>
            <w:shd w:val="clear" w:color="auto" w:fill="auto"/>
            <w:noWrap/>
            <w:vAlign w:val="bottom"/>
          </w:tcPr>
          <w:p w14:paraId="4CAD94C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0.905</w:t>
            </w:r>
          </w:p>
        </w:tc>
        <w:tc>
          <w:tcPr>
            <w:tcW w:w="848" w:type="dxa"/>
            <w:tcBorders>
              <w:top w:val="nil"/>
              <w:left w:val="nil"/>
              <w:bottom w:val="nil"/>
              <w:right w:val="nil"/>
            </w:tcBorders>
            <w:shd w:val="clear" w:color="auto" w:fill="auto"/>
            <w:noWrap/>
            <w:vAlign w:val="bottom"/>
          </w:tcPr>
          <w:p w14:paraId="3A3253C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1.515</w:t>
            </w:r>
          </w:p>
        </w:tc>
        <w:tc>
          <w:tcPr>
            <w:tcW w:w="1380" w:type="dxa"/>
            <w:tcBorders>
              <w:top w:val="nil"/>
              <w:left w:val="nil"/>
              <w:bottom w:val="nil"/>
              <w:right w:val="nil"/>
            </w:tcBorders>
            <w:shd w:val="clear" w:color="auto" w:fill="auto"/>
            <w:noWrap/>
            <w:vAlign w:val="bottom"/>
          </w:tcPr>
          <w:p w14:paraId="37C4512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0.230</w:t>
            </w:r>
          </w:p>
        </w:tc>
        <w:tc>
          <w:tcPr>
            <w:tcW w:w="756" w:type="dxa"/>
            <w:tcBorders>
              <w:top w:val="nil"/>
              <w:left w:val="nil"/>
              <w:bottom w:val="nil"/>
              <w:right w:val="nil"/>
            </w:tcBorders>
            <w:shd w:val="clear" w:color="auto" w:fill="auto"/>
            <w:noWrap/>
            <w:vAlign w:val="bottom"/>
          </w:tcPr>
          <w:p w14:paraId="4064C44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74CA5B76"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756" w:type="dxa"/>
            <w:tcBorders>
              <w:top w:val="nil"/>
              <w:left w:val="nil"/>
              <w:bottom w:val="nil"/>
              <w:right w:val="nil"/>
            </w:tcBorders>
            <w:shd w:val="clear" w:color="auto" w:fill="auto"/>
            <w:noWrap/>
            <w:vAlign w:val="bottom"/>
          </w:tcPr>
          <w:p w14:paraId="1223C5B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64BD1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r>
      <w:tr w:rsidR="00CC07FA" w:rsidRPr="00572D61" w14:paraId="712603AD" w14:textId="77777777" w:rsidTr="00CC07FA">
        <w:trPr>
          <w:trHeight w:val="285"/>
        </w:trPr>
        <w:tc>
          <w:tcPr>
            <w:tcW w:w="2920" w:type="dxa"/>
            <w:tcBorders>
              <w:top w:val="nil"/>
              <w:left w:val="nil"/>
              <w:bottom w:val="nil"/>
              <w:right w:val="nil"/>
            </w:tcBorders>
            <w:shd w:val="clear" w:color="auto" w:fill="auto"/>
            <w:noWrap/>
            <w:vAlign w:val="bottom"/>
          </w:tcPr>
          <w:p w14:paraId="5CE26086"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 xml:space="preserve">AFP, </w:t>
            </w:r>
            <w:proofErr w:type="spellStart"/>
            <w:r w:rsidRPr="00572D61">
              <w:rPr>
                <w:rFonts w:ascii="Book Antiqua" w:eastAsia="等线" w:hAnsi="Book Antiqua"/>
                <w:b/>
                <w:bCs/>
                <w:color w:val="000000" w:themeColor="text1"/>
                <w:lang w:val="en-GB"/>
              </w:rPr>
              <w:t>μg</w:t>
            </w:r>
            <w:proofErr w:type="spellEnd"/>
            <w:r w:rsidRPr="00572D61">
              <w:rPr>
                <w:rFonts w:ascii="Book Antiqua" w:eastAsia="等线" w:hAnsi="Book Antiqua"/>
                <w:b/>
                <w:bCs/>
                <w:color w:val="000000" w:themeColor="text1"/>
                <w:lang w:val="en-GB"/>
              </w:rPr>
              <w:t>/L</w:t>
            </w:r>
          </w:p>
        </w:tc>
        <w:tc>
          <w:tcPr>
            <w:tcW w:w="766" w:type="dxa"/>
            <w:tcBorders>
              <w:top w:val="nil"/>
              <w:left w:val="nil"/>
              <w:bottom w:val="nil"/>
              <w:right w:val="nil"/>
            </w:tcBorders>
            <w:shd w:val="clear" w:color="auto" w:fill="auto"/>
            <w:noWrap/>
            <w:vAlign w:val="bottom"/>
          </w:tcPr>
          <w:p w14:paraId="739DE4BB"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0B5CDF9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4FB18F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FF8DB6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4A3E435"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E76AF9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A3A90F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3D72EA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69F50CE0" w14:textId="77777777" w:rsidTr="00CC07FA">
        <w:trPr>
          <w:trHeight w:val="285"/>
        </w:trPr>
        <w:tc>
          <w:tcPr>
            <w:tcW w:w="2920" w:type="dxa"/>
            <w:tcBorders>
              <w:top w:val="nil"/>
              <w:left w:val="nil"/>
              <w:bottom w:val="nil"/>
              <w:right w:val="nil"/>
            </w:tcBorders>
            <w:shd w:val="clear" w:color="auto" w:fill="auto"/>
            <w:noWrap/>
            <w:vAlign w:val="bottom"/>
          </w:tcPr>
          <w:p w14:paraId="5A67EE78"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400</w:t>
            </w:r>
          </w:p>
        </w:tc>
        <w:tc>
          <w:tcPr>
            <w:tcW w:w="766" w:type="dxa"/>
            <w:tcBorders>
              <w:top w:val="nil"/>
              <w:left w:val="nil"/>
              <w:bottom w:val="nil"/>
              <w:right w:val="nil"/>
            </w:tcBorders>
            <w:shd w:val="clear" w:color="auto" w:fill="auto"/>
            <w:noWrap/>
            <w:vAlign w:val="bottom"/>
          </w:tcPr>
          <w:p w14:paraId="60345DB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53FC1371"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0882A75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175ADE3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B1513F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02AABBC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AF26FB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1B5E3E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1331ECED" w14:textId="77777777" w:rsidTr="00CC07FA">
        <w:trPr>
          <w:trHeight w:val="285"/>
        </w:trPr>
        <w:tc>
          <w:tcPr>
            <w:tcW w:w="2920" w:type="dxa"/>
            <w:tcBorders>
              <w:top w:val="nil"/>
              <w:left w:val="nil"/>
              <w:bottom w:val="nil"/>
              <w:right w:val="nil"/>
            </w:tcBorders>
            <w:shd w:val="clear" w:color="auto" w:fill="auto"/>
            <w:noWrap/>
            <w:vAlign w:val="bottom"/>
          </w:tcPr>
          <w:p w14:paraId="78FBE63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400</w:t>
            </w:r>
          </w:p>
        </w:tc>
        <w:tc>
          <w:tcPr>
            <w:tcW w:w="766" w:type="dxa"/>
            <w:tcBorders>
              <w:top w:val="nil"/>
              <w:left w:val="nil"/>
              <w:bottom w:val="nil"/>
              <w:right w:val="nil"/>
            </w:tcBorders>
            <w:shd w:val="clear" w:color="auto" w:fill="auto"/>
            <w:noWrap/>
            <w:vAlign w:val="bottom"/>
          </w:tcPr>
          <w:p w14:paraId="72BC651C"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1.757</w:t>
            </w:r>
          </w:p>
        </w:tc>
        <w:tc>
          <w:tcPr>
            <w:tcW w:w="756" w:type="dxa"/>
            <w:tcBorders>
              <w:top w:val="nil"/>
              <w:left w:val="nil"/>
              <w:bottom w:val="nil"/>
              <w:right w:val="nil"/>
            </w:tcBorders>
            <w:shd w:val="clear" w:color="auto" w:fill="auto"/>
            <w:noWrap/>
            <w:vAlign w:val="bottom"/>
          </w:tcPr>
          <w:p w14:paraId="407FD0C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1.347</w:t>
            </w:r>
          </w:p>
        </w:tc>
        <w:tc>
          <w:tcPr>
            <w:tcW w:w="848" w:type="dxa"/>
            <w:tcBorders>
              <w:top w:val="nil"/>
              <w:left w:val="nil"/>
              <w:bottom w:val="nil"/>
              <w:right w:val="nil"/>
            </w:tcBorders>
            <w:shd w:val="clear" w:color="auto" w:fill="auto"/>
            <w:noWrap/>
            <w:vAlign w:val="bottom"/>
          </w:tcPr>
          <w:p w14:paraId="0279CBB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2.293</w:t>
            </w:r>
          </w:p>
        </w:tc>
        <w:tc>
          <w:tcPr>
            <w:tcW w:w="1380" w:type="dxa"/>
            <w:tcBorders>
              <w:top w:val="nil"/>
              <w:left w:val="nil"/>
              <w:bottom w:val="nil"/>
              <w:right w:val="nil"/>
            </w:tcBorders>
            <w:shd w:val="clear" w:color="auto" w:fill="auto"/>
            <w:noWrap/>
            <w:vAlign w:val="bottom"/>
          </w:tcPr>
          <w:p w14:paraId="15883E3D" w14:textId="106C5B48"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c>
          <w:tcPr>
            <w:tcW w:w="756" w:type="dxa"/>
            <w:tcBorders>
              <w:top w:val="nil"/>
              <w:left w:val="nil"/>
              <w:bottom w:val="nil"/>
              <w:right w:val="nil"/>
            </w:tcBorders>
            <w:shd w:val="clear" w:color="auto" w:fill="auto"/>
            <w:noWrap/>
            <w:vAlign w:val="bottom"/>
          </w:tcPr>
          <w:p w14:paraId="70B453C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1.812</w:t>
            </w:r>
          </w:p>
        </w:tc>
        <w:tc>
          <w:tcPr>
            <w:tcW w:w="756" w:type="dxa"/>
            <w:tcBorders>
              <w:top w:val="nil"/>
              <w:left w:val="nil"/>
              <w:bottom w:val="nil"/>
              <w:right w:val="nil"/>
            </w:tcBorders>
            <w:shd w:val="clear" w:color="auto" w:fill="auto"/>
            <w:noWrap/>
            <w:vAlign w:val="bottom"/>
          </w:tcPr>
          <w:p w14:paraId="50FE73BF"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1.343</w:t>
            </w:r>
          </w:p>
        </w:tc>
        <w:tc>
          <w:tcPr>
            <w:tcW w:w="756" w:type="dxa"/>
            <w:tcBorders>
              <w:top w:val="nil"/>
              <w:left w:val="nil"/>
              <w:bottom w:val="nil"/>
              <w:right w:val="nil"/>
            </w:tcBorders>
            <w:shd w:val="clear" w:color="auto" w:fill="auto"/>
            <w:noWrap/>
            <w:vAlign w:val="bottom"/>
          </w:tcPr>
          <w:p w14:paraId="4CAB55C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2.444</w:t>
            </w:r>
          </w:p>
        </w:tc>
        <w:tc>
          <w:tcPr>
            <w:tcW w:w="956" w:type="dxa"/>
            <w:tcBorders>
              <w:top w:val="nil"/>
              <w:left w:val="nil"/>
              <w:bottom w:val="nil"/>
              <w:right w:val="nil"/>
            </w:tcBorders>
            <w:shd w:val="clear" w:color="auto" w:fill="auto"/>
            <w:noWrap/>
            <w:vAlign w:val="bottom"/>
          </w:tcPr>
          <w:p w14:paraId="64079D7F" w14:textId="27F69D6B"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r>
      <w:tr w:rsidR="00CC07FA" w:rsidRPr="00572D61" w14:paraId="564DDFD7" w14:textId="77777777" w:rsidTr="00CC07FA">
        <w:trPr>
          <w:trHeight w:val="285"/>
        </w:trPr>
        <w:tc>
          <w:tcPr>
            <w:tcW w:w="2920" w:type="dxa"/>
            <w:tcBorders>
              <w:top w:val="nil"/>
              <w:left w:val="nil"/>
              <w:bottom w:val="nil"/>
              <w:right w:val="nil"/>
            </w:tcBorders>
            <w:shd w:val="clear" w:color="auto" w:fill="auto"/>
            <w:noWrap/>
            <w:vAlign w:val="bottom"/>
          </w:tcPr>
          <w:p w14:paraId="7D5B0720"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NLR</w:t>
            </w:r>
          </w:p>
        </w:tc>
        <w:tc>
          <w:tcPr>
            <w:tcW w:w="766" w:type="dxa"/>
            <w:tcBorders>
              <w:top w:val="nil"/>
              <w:left w:val="nil"/>
              <w:bottom w:val="nil"/>
              <w:right w:val="nil"/>
            </w:tcBorders>
            <w:shd w:val="clear" w:color="auto" w:fill="auto"/>
            <w:noWrap/>
            <w:vAlign w:val="bottom"/>
          </w:tcPr>
          <w:p w14:paraId="282D5E52"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6F8847D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5A387A4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3B74C0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E50D510"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E0AB5B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BE9B3F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FAB364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2B10BC96" w14:textId="77777777" w:rsidTr="00CC07FA">
        <w:trPr>
          <w:trHeight w:val="285"/>
        </w:trPr>
        <w:tc>
          <w:tcPr>
            <w:tcW w:w="2920" w:type="dxa"/>
            <w:tcBorders>
              <w:top w:val="nil"/>
              <w:left w:val="nil"/>
              <w:bottom w:val="nil"/>
              <w:right w:val="nil"/>
            </w:tcBorders>
            <w:shd w:val="clear" w:color="auto" w:fill="auto"/>
            <w:noWrap/>
            <w:vAlign w:val="bottom"/>
          </w:tcPr>
          <w:p w14:paraId="04910EBB"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Low</w:t>
            </w:r>
          </w:p>
        </w:tc>
        <w:tc>
          <w:tcPr>
            <w:tcW w:w="766" w:type="dxa"/>
            <w:tcBorders>
              <w:top w:val="nil"/>
              <w:left w:val="nil"/>
              <w:bottom w:val="nil"/>
              <w:right w:val="nil"/>
            </w:tcBorders>
            <w:shd w:val="clear" w:color="auto" w:fill="auto"/>
            <w:noWrap/>
            <w:vAlign w:val="bottom"/>
          </w:tcPr>
          <w:p w14:paraId="4BEEC45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bottom w:val="nil"/>
              <w:right w:val="nil"/>
            </w:tcBorders>
            <w:shd w:val="clear" w:color="auto" w:fill="auto"/>
            <w:noWrap/>
            <w:vAlign w:val="bottom"/>
          </w:tcPr>
          <w:p w14:paraId="21EE53F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bottom w:val="nil"/>
              <w:right w:val="nil"/>
            </w:tcBorders>
            <w:shd w:val="clear" w:color="auto" w:fill="auto"/>
            <w:noWrap/>
            <w:vAlign w:val="bottom"/>
          </w:tcPr>
          <w:p w14:paraId="4F17B37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B4DF2A4"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5102670F"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43882A3"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6F89F66"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B07F361"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0CF78B9F" w14:textId="77777777" w:rsidTr="00CC07FA">
        <w:trPr>
          <w:trHeight w:val="285"/>
        </w:trPr>
        <w:tc>
          <w:tcPr>
            <w:tcW w:w="2920" w:type="dxa"/>
            <w:tcBorders>
              <w:top w:val="nil"/>
              <w:left w:val="nil"/>
              <w:bottom w:val="nil"/>
              <w:right w:val="nil"/>
            </w:tcBorders>
            <w:shd w:val="clear" w:color="auto" w:fill="auto"/>
            <w:noWrap/>
            <w:vAlign w:val="bottom"/>
          </w:tcPr>
          <w:p w14:paraId="3C1F9325"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High</w:t>
            </w:r>
          </w:p>
        </w:tc>
        <w:tc>
          <w:tcPr>
            <w:tcW w:w="766" w:type="dxa"/>
            <w:tcBorders>
              <w:top w:val="nil"/>
              <w:left w:val="nil"/>
              <w:bottom w:val="nil"/>
              <w:right w:val="nil"/>
            </w:tcBorders>
            <w:shd w:val="clear" w:color="auto" w:fill="auto"/>
            <w:noWrap/>
            <w:vAlign w:val="bottom"/>
          </w:tcPr>
          <w:p w14:paraId="225CC550"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2.744</w:t>
            </w:r>
          </w:p>
        </w:tc>
        <w:tc>
          <w:tcPr>
            <w:tcW w:w="756" w:type="dxa"/>
            <w:tcBorders>
              <w:top w:val="nil"/>
              <w:left w:val="nil"/>
              <w:bottom w:val="nil"/>
              <w:right w:val="nil"/>
            </w:tcBorders>
            <w:shd w:val="clear" w:color="auto" w:fill="auto"/>
            <w:noWrap/>
            <w:vAlign w:val="bottom"/>
          </w:tcPr>
          <w:p w14:paraId="5C0A63D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2.152</w:t>
            </w:r>
          </w:p>
        </w:tc>
        <w:tc>
          <w:tcPr>
            <w:tcW w:w="848" w:type="dxa"/>
            <w:tcBorders>
              <w:top w:val="nil"/>
              <w:left w:val="nil"/>
              <w:bottom w:val="nil"/>
              <w:right w:val="nil"/>
            </w:tcBorders>
            <w:shd w:val="clear" w:color="auto" w:fill="auto"/>
            <w:noWrap/>
            <w:vAlign w:val="bottom"/>
          </w:tcPr>
          <w:p w14:paraId="15A5A194"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3.498</w:t>
            </w:r>
          </w:p>
        </w:tc>
        <w:tc>
          <w:tcPr>
            <w:tcW w:w="1380" w:type="dxa"/>
            <w:tcBorders>
              <w:top w:val="nil"/>
              <w:left w:val="nil"/>
              <w:bottom w:val="nil"/>
              <w:right w:val="nil"/>
            </w:tcBorders>
            <w:shd w:val="clear" w:color="auto" w:fill="auto"/>
            <w:noWrap/>
            <w:vAlign w:val="bottom"/>
          </w:tcPr>
          <w:p w14:paraId="0E345627" w14:textId="3B01D78E"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c>
          <w:tcPr>
            <w:tcW w:w="756" w:type="dxa"/>
            <w:tcBorders>
              <w:top w:val="nil"/>
              <w:left w:val="nil"/>
              <w:bottom w:val="nil"/>
              <w:right w:val="nil"/>
            </w:tcBorders>
            <w:shd w:val="clear" w:color="auto" w:fill="auto"/>
            <w:noWrap/>
            <w:vAlign w:val="bottom"/>
          </w:tcPr>
          <w:p w14:paraId="2713A55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2.480</w:t>
            </w:r>
          </w:p>
        </w:tc>
        <w:tc>
          <w:tcPr>
            <w:tcW w:w="756" w:type="dxa"/>
            <w:tcBorders>
              <w:top w:val="nil"/>
              <w:left w:val="nil"/>
              <w:bottom w:val="nil"/>
              <w:right w:val="nil"/>
            </w:tcBorders>
            <w:shd w:val="clear" w:color="auto" w:fill="auto"/>
            <w:noWrap/>
            <w:vAlign w:val="bottom"/>
          </w:tcPr>
          <w:p w14:paraId="37BBACEA"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1.856</w:t>
            </w:r>
          </w:p>
        </w:tc>
        <w:tc>
          <w:tcPr>
            <w:tcW w:w="756" w:type="dxa"/>
            <w:tcBorders>
              <w:top w:val="nil"/>
              <w:left w:val="nil"/>
              <w:bottom w:val="nil"/>
              <w:right w:val="nil"/>
            </w:tcBorders>
            <w:shd w:val="clear" w:color="auto" w:fill="auto"/>
            <w:noWrap/>
            <w:vAlign w:val="bottom"/>
          </w:tcPr>
          <w:p w14:paraId="35E5557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3.312</w:t>
            </w:r>
          </w:p>
        </w:tc>
        <w:tc>
          <w:tcPr>
            <w:tcW w:w="956" w:type="dxa"/>
            <w:tcBorders>
              <w:top w:val="nil"/>
              <w:left w:val="nil"/>
              <w:bottom w:val="nil"/>
              <w:right w:val="nil"/>
            </w:tcBorders>
            <w:shd w:val="clear" w:color="auto" w:fill="auto"/>
            <w:noWrap/>
            <w:vAlign w:val="bottom"/>
          </w:tcPr>
          <w:p w14:paraId="3A0C8282" w14:textId="50B73994"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eastAsia="zh-CN"/>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r>
      <w:tr w:rsidR="00CC07FA" w:rsidRPr="00572D61" w14:paraId="55F19736" w14:textId="77777777" w:rsidTr="00CC07FA">
        <w:trPr>
          <w:trHeight w:val="285"/>
        </w:trPr>
        <w:tc>
          <w:tcPr>
            <w:tcW w:w="2920" w:type="dxa"/>
            <w:tcBorders>
              <w:top w:val="nil"/>
              <w:left w:val="nil"/>
              <w:bottom w:val="nil"/>
              <w:right w:val="nil"/>
            </w:tcBorders>
            <w:shd w:val="clear" w:color="auto" w:fill="auto"/>
            <w:noWrap/>
            <w:vAlign w:val="bottom"/>
          </w:tcPr>
          <w:p w14:paraId="0FB416CD" w14:textId="77777777" w:rsidR="00CC07FA" w:rsidRPr="00572D61" w:rsidRDefault="00CC07FA" w:rsidP="00450E72">
            <w:pPr>
              <w:adjustRightInd w:val="0"/>
              <w:snapToGrid w:val="0"/>
              <w:spacing w:line="360" w:lineRule="auto"/>
              <w:rPr>
                <w:rFonts w:ascii="Book Antiqua" w:eastAsia="等线" w:hAnsi="Book Antiqua"/>
                <w:b/>
                <w:bCs/>
                <w:color w:val="000000" w:themeColor="text1"/>
                <w:lang w:val="en-GB"/>
              </w:rPr>
            </w:pPr>
            <w:r w:rsidRPr="00572D61">
              <w:rPr>
                <w:rFonts w:ascii="Book Antiqua" w:eastAsia="等线" w:hAnsi="Book Antiqua"/>
                <w:b/>
                <w:bCs/>
                <w:color w:val="000000" w:themeColor="text1"/>
                <w:lang w:val="en-GB"/>
              </w:rPr>
              <w:t>PLR</w:t>
            </w:r>
          </w:p>
        </w:tc>
        <w:tc>
          <w:tcPr>
            <w:tcW w:w="766" w:type="dxa"/>
            <w:tcBorders>
              <w:top w:val="nil"/>
              <w:left w:val="nil"/>
              <w:bottom w:val="nil"/>
              <w:right w:val="nil"/>
            </w:tcBorders>
            <w:shd w:val="clear" w:color="auto" w:fill="auto"/>
            <w:noWrap/>
            <w:vAlign w:val="bottom"/>
          </w:tcPr>
          <w:p w14:paraId="0ADB6741" w14:textId="77777777" w:rsidR="00CC07FA" w:rsidRPr="00572D61" w:rsidRDefault="00CC07FA" w:rsidP="00450E72">
            <w:pPr>
              <w:adjustRightInd w:val="0"/>
              <w:snapToGrid w:val="0"/>
              <w:spacing w:line="360" w:lineRule="auto"/>
              <w:jc w:val="center"/>
              <w:rPr>
                <w:rFonts w:ascii="Book Antiqua" w:eastAsia="等线" w:hAnsi="Book Antiqua"/>
                <w:b/>
                <w:bCs/>
                <w:color w:val="000000" w:themeColor="text1"/>
                <w:lang w:val="en-GB"/>
              </w:rPr>
            </w:pPr>
          </w:p>
        </w:tc>
        <w:tc>
          <w:tcPr>
            <w:tcW w:w="756" w:type="dxa"/>
            <w:tcBorders>
              <w:top w:val="nil"/>
              <w:left w:val="nil"/>
              <w:bottom w:val="nil"/>
              <w:right w:val="nil"/>
            </w:tcBorders>
            <w:shd w:val="clear" w:color="auto" w:fill="auto"/>
            <w:noWrap/>
            <w:vAlign w:val="bottom"/>
          </w:tcPr>
          <w:p w14:paraId="1E14E59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22B93F9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7C9DE0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1414165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61A9CB6A"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bottom w:val="nil"/>
              <w:right w:val="nil"/>
            </w:tcBorders>
            <w:shd w:val="clear" w:color="auto" w:fill="auto"/>
            <w:noWrap/>
            <w:vAlign w:val="bottom"/>
          </w:tcPr>
          <w:p w14:paraId="49ED8A1C"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8D81D87"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4C1601ED" w14:textId="77777777" w:rsidTr="00CC07FA">
        <w:trPr>
          <w:trHeight w:val="285"/>
        </w:trPr>
        <w:tc>
          <w:tcPr>
            <w:tcW w:w="2920" w:type="dxa"/>
            <w:tcBorders>
              <w:top w:val="nil"/>
              <w:left w:val="nil"/>
              <w:right w:val="nil"/>
            </w:tcBorders>
            <w:shd w:val="clear" w:color="auto" w:fill="auto"/>
            <w:noWrap/>
            <w:vAlign w:val="bottom"/>
          </w:tcPr>
          <w:p w14:paraId="3042E449"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Low</w:t>
            </w:r>
          </w:p>
        </w:tc>
        <w:tc>
          <w:tcPr>
            <w:tcW w:w="766" w:type="dxa"/>
            <w:tcBorders>
              <w:top w:val="nil"/>
              <w:left w:val="nil"/>
              <w:right w:val="nil"/>
            </w:tcBorders>
            <w:shd w:val="clear" w:color="auto" w:fill="auto"/>
            <w:noWrap/>
            <w:vAlign w:val="bottom"/>
          </w:tcPr>
          <w:p w14:paraId="113C8D0E"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Ref.</w:t>
            </w:r>
          </w:p>
        </w:tc>
        <w:tc>
          <w:tcPr>
            <w:tcW w:w="756" w:type="dxa"/>
            <w:tcBorders>
              <w:top w:val="nil"/>
              <w:left w:val="nil"/>
              <w:right w:val="nil"/>
            </w:tcBorders>
            <w:shd w:val="clear" w:color="auto" w:fill="auto"/>
            <w:noWrap/>
            <w:vAlign w:val="bottom"/>
          </w:tcPr>
          <w:p w14:paraId="5AFBFEF7"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p>
        </w:tc>
        <w:tc>
          <w:tcPr>
            <w:tcW w:w="848" w:type="dxa"/>
            <w:tcBorders>
              <w:top w:val="nil"/>
              <w:left w:val="nil"/>
              <w:right w:val="nil"/>
            </w:tcBorders>
            <w:shd w:val="clear" w:color="auto" w:fill="auto"/>
            <w:noWrap/>
            <w:vAlign w:val="bottom"/>
          </w:tcPr>
          <w:p w14:paraId="1071425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right w:val="nil"/>
            </w:tcBorders>
            <w:shd w:val="clear" w:color="auto" w:fill="auto"/>
            <w:noWrap/>
            <w:vAlign w:val="bottom"/>
          </w:tcPr>
          <w:p w14:paraId="640BD48E"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right w:val="nil"/>
            </w:tcBorders>
            <w:shd w:val="clear" w:color="auto" w:fill="auto"/>
            <w:noWrap/>
            <w:vAlign w:val="bottom"/>
          </w:tcPr>
          <w:p w14:paraId="0107C0CB"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right w:val="nil"/>
            </w:tcBorders>
            <w:shd w:val="clear" w:color="auto" w:fill="auto"/>
            <w:noWrap/>
            <w:vAlign w:val="bottom"/>
          </w:tcPr>
          <w:p w14:paraId="217BDB8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756" w:type="dxa"/>
            <w:tcBorders>
              <w:top w:val="nil"/>
              <w:left w:val="nil"/>
              <w:right w:val="nil"/>
            </w:tcBorders>
            <w:shd w:val="clear" w:color="auto" w:fill="auto"/>
            <w:noWrap/>
            <w:vAlign w:val="bottom"/>
          </w:tcPr>
          <w:p w14:paraId="27A285B8"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right w:val="nil"/>
            </w:tcBorders>
            <w:shd w:val="clear" w:color="auto" w:fill="auto"/>
            <w:noWrap/>
            <w:vAlign w:val="bottom"/>
          </w:tcPr>
          <w:p w14:paraId="20F0AC7D" w14:textId="77777777" w:rsidR="00CC07FA" w:rsidRPr="00572D61" w:rsidRDefault="00CC07FA" w:rsidP="00450E72">
            <w:pPr>
              <w:adjustRightInd w:val="0"/>
              <w:snapToGrid w:val="0"/>
              <w:spacing w:line="360" w:lineRule="auto"/>
              <w:jc w:val="center"/>
              <w:rPr>
                <w:rFonts w:ascii="Book Antiqua" w:eastAsia="Times New Roman" w:hAnsi="Book Antiqua"/>
                <w:color w:val="000000" w:themeColor="text1"/>
                <w:lang w:val="en-GB"/>
              </w:rPr>
            </w:pPr>
          </w:p>
        </w:tc>
      </w:tr>
      <w:tr w:rsidR="00CC07FA" w:rsidRPr="00572D61" w14:paraId="023EF561" w14:textId="77777777" w:rsidTr="00CC07FA">
        <w:trPr>
          <w:trHeight w:val="285"/>
        </w:trPr>
        <w:tc>
          <w:tcPr>
            <w:tcW w:w="2920" w:type="dxa"/>
            <w:tcBorders>
              <w:top w:val="nil"/>
              <w:left w:val="nil"/>
              <w:bottom w:val="single" w:sz="4" w:space="0" w:color="auto"/>
              <w:right w:val="nil"/>
            </w:tcBorders>
            <w:shd w:val="clear" w:color="auto" w:fill="auto"/>
            <w:noWrap/>
            <w:vAlign w:val="bottom"/>
          </w:tcPr>
          <w:p w14:paraId="0354C05F" w14:textId="77777777" w:rsidR="00CC07FA" w:rsidRPr="00572D61" w:rsidRDefault="00CC07FA" w:rsidP="00450E72">
            <w:pPr>
              <w:adjustRightInd w:val="0"/>
              <w:snapToGrid w:val="0"/>
              <w:spacing w:line="360" w:lineRule="auto"/>
              <w:rPr>
                <w:rFonts w:ascii="Book Antiqua" w:eastAsia="等线" w:hAnsi="Book Antiqua"/>
                <w:color w:val="000000" w:themeColor="text1"/>
                <w:lang w:val="en-GB"/>
              </w:rPr>
            </w:pPr>
            <w:r w:rsidRPr="00572D61">
              <w:rPr>
                <w:rFonts w:ascii="Book Antiqua" w:eastAsia="等线" w:hAnsi="Book Antiqua"/>
                <w:color w:val="000000" w:themeColor="text1"/>
                <w:lang w:val="en-GB"/>
              </w:rPr>
              <w:t>High</w:t>
            </w:r>
          </w:p>
        </w:tc>
        <w:tc>
          <w:tcPr>
            <w:tcW w:w="766" w:type="dxa"/>
            <w:tcBorders>
              <w:top w:val="nil"/>
              <w:left w:val="nil"/>
              <w:bottom w:val="single" w:sz="4" w:space="0" w:color="auto"/>
              <w:right w:val="nil"/>
            </w:tcBorders>
            <w:shd w:val="clear" w:color="auto" w:fill="auto"/>
            <w:noWrap/>
            <w:vAlign w:val="bottom"/>
          </w:tcPr>
          <w:p w14:paraId="6564C172"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2.212</w:t>
            </w:r>
          </w:p>
        </w:tc>
        <w:tc>
          <w:tcPr>
            <w:tcW w:w="756" w:type="dxa"/>
            <w:tcBorders>
              <w:top w:val="nil"/>
              <w:left w:val="nil"/>
              <w:bottom w:val="single" w:sz="4" w:space="0" w:color="auto"/>
              <w:right w:val="nil"/>
            </w:tcBorders>
            <w:shd w:val="clear" w:color="auto" w:fill="auto"/>
            <w:noWrap/>
            <w:vAlign w:val="bottom"/>
          </w:tcPr>
          <w:p w14:paraId="655E1073"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1.748</w:t>
            </w:r>
          </w:p>
        </w:tc>
        <w:tc>
          <w:tcPr>
            <w:tcW w:w="848" w:type="dxa"/>
            <w:tcBorders>
              <w:top w:val="nil"/>
              <w:left w:val="nil"/>
              <w:bottom w:val="single" w:sz="4" w:space="0" w:color="auto"/>
              <w:right w:val="nil"/>
            </w:tcBorders>
            <w:shd w:val="clear" w:color="auto" w:fill="auto"/>
            <w:noWrap/>
            <w:vAlign w:val="bottom"/>
          </w:tcPr>
          <w:p w14:paraId="64A9FB0B"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2.800</w:t>
            </w:r>
          </w:p>
        </w:tc>
        <w:tc>
          <w:tcPr>
            <w:tcW w:w="1380" w:type="dxa"/>
            <w:tcBorders>
              <w:top w:val="nil"/>
              <w:left w:val="nil"/>
              <w:bottom w:val="single" w:sz="4" w:space="0" w:color="auto"/>
              <w:right w:val="nil"/>
            </w:tcBorders>
            <w:shd w:val="clear" w:color="auto" w:fill="auto"/>
            <w:noWrap/>
            <w:vAlign w:val="bottom"/>
          </w:tcPr>
          <w:p w14:paraId="6810CB15" w14:textId="2028B830"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c>
          <w:tcPr>
            <w:tcW w:w="756" w:type="dxa"/>
            <w:tcBorders>
              <w:top w:val="nil"/>
              <w:left w:val="nil"/>
              <w:bottom w:val="single" w:sz="4" w:space="0" w:color="auto"/>
              <w:right w:val="nil"/>
            </w:tcBorders>
            <w:shd w:val="clear" w:color="auto" w:fill="auto"/>
            <w:noWrap/>
            <w:vAlign w:val="bottom"/>
          </w:tcPr>
          <w:p w14:paraId="615DC1AD"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1.974</w:t>
            </w:r>
          </w:p>
        </w:tc>
        <w:tc>
          <w:tcPr>
            <w:tcW w:w="756" w:type="dxa"/>
            <w:tcBorders>
              <w:top w:val="nil"/>
              <w:left w:val="nil"/>
              <w:bottom w:val="single" w:sz="4" w:space="0" w:color="auto"/>
              <w:right w:val="nil"/>
            </w:tcBorders>
            <w:shd w:val="clear" w:color="auto" w:fill="auto"/>
            <w:noWrap/>
            <w:vAlign w:val="bottom"/>
          </w:tcPr>
          <w:p w14:paraId="64DBF239"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1.490</w:t>
            </w:r>
          </w:p>
        </w:tc>
        <w:tc>
          <w:tcPr>
            <w:tcW w:w="756" w:type="dxa"/>
            <w:tcBorders>
              <w:top w:val="nil"/>
              <w:left w:val="nil"/>
              <w:bottom w:val="single" w:sz="4" w:space="0" w:color="auto"/>
              <w:right w:val="nil"/>
            </w:tcBorders>
            <w:shd w:val="clear" w:color="auto" w:fill="auto"/>
            <w:noWrap/>
            <w:vAlign w:val="bottom"/>
          </w:tcPr>
          <w:p w14:paraId="64E84F85" w14:textId="77777777"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2.616</w:t>
            </w:r>
          </w:p>
        </w:tc>
        <w:tc>
          <w:tcPr>
            <w:tcW w:w="956" w:type="dxa"/>
            <w:tcBorders>
              <w:top w:val="nil"/>
              <w:left w:val="nil"/>
              <w:bottom w:val="single" w:sz="4" w:space="0" w:color="auto"/>
              <w:right w:val="nil"/>
            </w:tcBorders>
            <w:shd w:val="clear" w:color="auto" w:fill="auto"/>
            <w:noWrap/>
            <w:vAlign w:val="bottom"/>
          </w:tcPr>
          <w:p w14:paraId="3F3F80DA" w14:textId="552EBF9C" w:rsidR="00CC07FA" w:rsidRPr="00572D61" w:rsidRDefault="00CC07FA" w:rsidP="00450E72">
            <w:pPr>
              <w:adjustRightInd w:val="0"/>
              <w:snapToGrid w:val="0"/>
              <w:spacing w:line="360" w:lineRule="auto"/>
              <w:jc w:val="center"/>
              <w:rPr>
                <w:rFonts w:ascii="Book Antiqua" w:eastAsia="等线" w:hAnsi="Book Antiqua"/>
                <w:color w:val="000000" w:themeColor="text1"/>
                <w:lang w:val="en-GB"/>
              </w:rPr>
            </w:pPr>
            <w:r w:rsidRPr="00572D61">
              <w:rPr>
                <w:rFonts w:ascii="Book Antiqua" w:eastAsia="等线" w:hAnsi="Book Antiqua"/>
                <w:color w:val="000000" w:themeColor="text1"/>
                <w:lang w:val="en-GB"/>
              </w:rPr>
              <w:t>&lt;</w:t>
            </w:r>
            <w:r w:rsidRPr="00572D61">
              <w:rPr>
                <w:rFonts w:ascii="Book Antiqua" w:eastAsia="等线" w:hAnsi="Book Antiqua"/>
                <w:color w:val="000000" w:themeColor="text1"/>
                <w:lang w:val="en-GB" w:eastAsia="zh-CN"/>
              </w:rPr>
              <w:t xml:space="preserve"> </w:t>
            </w:r>
            <w:r w:rsidRPr="00572D61">
              <w:rPr>
                <w:rFonts w:ascii="Book Antiqua" w:eastAsia="等线" w:hAnsi="Book Antiqua"/>
                <w:color w:val="000000" w:themeColor="text1"/>
                <w:lang w:val="en-GB"/>
              </w:rPr>
              <w:t>0.001</w:t>
            </w:r>
          </w:p>
        </w:tc>
      </w:tr>
    </w:tbl>
    <w:p w14:paraId="445836F8" w14:textId="4B867754" w:rsidR="00B76AEB" w:rsidRDefault="00037BBC" w:rsidP="00450E72">
      <w:pPr>
        <w:adjustRightInd w:val="0"/>
        <w:snapToGrid w:val="0"/>
        <w:spacing w:line="360" w:lineRule="auto"/>
        <w:jc w:val="both"/>
        <w:rPr>
          <w:rFonts w:ascii="Book Antiqua" w:hAnsi="Book Antiqua"/>
          <w:lang w:val="en-GB"/>
        </w:rPr>
      </w:pPr>
      <w:r w:rsidRPr="00572D61">
        <w:rPr>
          <w:rFonts w:ascii="Book Antiqua" w:hAnsi="Book Antiqua"/>
          <w:lang w:val="en-GB"/>
        </w:rPr>
        <w:t>ALBI</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a</w:t>
      </w:r>
      <w:r w:rsidRPr="00572D61">
        <w:rPr>
          <w:rFonts w:ascii="Book Antiqua" w:hAnsi="Book Antiqua"/>
          <w:lang w:val="en-GB"/>
        </w:rPr>
        <w:t>lbumin</w:t>
      </w:r>
      <w:r w:rsidR="00583DAC">
        <w:rPr>
          <w:rFonts w:ascii="Book Antiqua" w:hAnsi="Book Antiqua"/>
          <w:lang w:val="en-GB"/>
        </w:rPr>
        <w:t>–</w:t>
      </w:r>
      <w:r w:rsidRPr="00572D61">
        <w:rPr>
          <w:rFonts w:ascii="Book Antiqua" w:hAnsi="Book Antiqua"/>
          <w:lang w:val="en-GB"/>
        </w:rPr>
        <w:t>bilirubin;</w:t>
      </w:r>
      <w:r w:rsidR="00583DAC">
        <w:rPr>
          <w:rFonts w:ascii="Book Antiqua" w:hAnsi="Book Antiqua"/>
          <w:lang w:val="en-GB"/>
        </w:rPr>
        <w:t xml:space="preserve"> CI: Confidence interval;</w:t>
      </w:r>
      <w:r w:rsidRPr="00572D61">
        <w:rPr>
          <w:rFonts w:ascii="Book Antiqua" w:hAnsi="Book Antiqua"/>
          <w:lang w:val="en-GB"/>
        </w:rPr>
        <w:t xml:space="preserve"> HBsAg</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h</w:t>
      </w:r>
      <w:r w:rsidRPr="00572D61">
        <w:rPr>
          <w:rFonts w:ascii="Book Antiqua" w:hAnsi="Book Antiqua"/>
          <w:lang w:val="en-GB"/>
        </w:rPr>
        <w:t xml:space="preserve">epatitis B surface antigen; </w:t>
      </w:r>
      <w:r w:rsidR="00583DAC">
        <w:rPr>
          <w:rFonts w:ascii="Book Antiqua" w:hAnsi="Book Antiqua"/>
          <w:lang w:val="en-GB"/>
        </w:rPr>
        <w:t xml:space="preserve">HR: Hazard ratio; </w:t>
      </w:r>
      <w:r w:rsidRPr="00572D61">
        <w:rPr>
          <w:rFonts w:ascii="Book Antiqua" w:hAnsi="Book Antiqua"/>
          <w:lang w:val="en-GB"/>
        </w:rPr>
        <w:t>MVI</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m</w:t>
      </w:r>
      <w:r w:rsidRPr="00572D61">
        <w:rPr>
          <w:rFonts w:ascii="Book Antiqua" w:hAnsi="Book Antiqua"/>
          <w:lang w:val="en-GB"/>
        </w:rPr>
        <w:t>icrovascular invasion; AFP</w:t>
      </w:r>
      <w:r w:rsidRPr="00572D61">
        <w:rPr>
          <w:rFonts w:ascii="Book Antiqua" w:hAnsi="Book Antiqua"/>
          <w:lang w:val="en-GB" w:eastAsia="zh-CN"/>
        </w:rPr>
        <w:t>:</w:t>
      </w:r>
      <w:r w:rsidRPr="00572D61">
        <w:rPr>
          <w:rFonts w:ascii="Book Antiqua" w:hAnsi="Book Antiqua"/>
          <w:lang w:val="en-GB"/>
        </w:rPr>
        <w:t xml:space="preserve"> </w:t>
      </w:r>
      <w:r w:rsidR="00583DAC">
        <w:rPr>
          <w:rFonts w:ascii="Book Antiqua" w:hAnsi="Book Antiqua"/>
          <w:caps/>
          <w:lang w:val="en-GB"/>
        </w:rPr>
        <w:sym w:font="Symbol" w:char="F061"/>
      </w:r>
      <w:r w:rsidRPr="00572D61">
        <w:rPr>
          <w:rFonts w:ascii="Book Antiqua" w:hAnsi="Book Antiqua"/>
          <w:lang w:val="en-GB"/>
        </w:rPr>
        <w:t>-fetoprotein; NLR</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n</w:t>
      </w:r>
      <w:r w:rsidRPr="00572D61">
        <w:rPr>
          <w:rFonts w:ascii="Book Antiqua" w:hAnsi="Book Antiqua"/>
          <w:lang w:val="en-GB"/>
        </w:rPr>
        <w:t>eutrophil-to-lymphocyte ratio; PLR</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p</w:t>
      </w:r>
      <w:r w:rsidRPr="00572D61">
        <w:rPr>
          <w:rFonts w:ascii="Book Antiqua" w:hAnsi="Book Antiqua"/>
          <w:lang w:val="en-GB"/>
        </w:rPr>
        <w:t>latelet-to-lymphocyte ratio</w:t>
      </w:r>
      <w:r w:rsidRPr="00572D61">
        <w:rPr>
          <w:rFonts w:ascii="Book Antiqua" w:hAnsi="Book Antiqua"/>
          <w:lang w:val="en-GB" w:eastAsia="zh-CN"/>
        </w:rPr>
        <w:t>.</w:t>
      </w:r>
      <w:r w:rsidRPr="00572D61">
        <w:rPr>
          <w:rFonts w:ascii="Book Antiqua" w:hAnsi="Book Antiqua"/>
          <w:lang w:val="en-GB"/>
        </w:rPr>
        <w:t xml:space="preserve"> </w:t>
      </w:r>
    </w:p>
    <w:p w14:paraId="1B0F98D2" w14:textId="77777777" w:rsidR="00B76AEB" w:rsidRDefault="00B76AEB" w:rsidP="00B76AEB">
      <w:pPr>
        <w:jc w:val="center"/>
        <w:rPr>
          <w:rFonts w:ascii="Book Antiqua" w:hAnsi="Book Antiqua"/>
          <w:lang w:eastAsia="zh-CN"/>
        </w:rPr>
      </w:pPr>
      <w:r>
        <w:rPr>
          <w:rFonts w:ascii="Book Antiqua" w:hAnsi="Book Antiqua"/>
          <w:lang w:val="en-GB"/>
        </w:rPr>
        <w:br w:type="page"/>
      </w:r>
      <w:bookmarkStart w:id="5" w:name="OLE_LINK1"/>
      <w:bookmarkStart w:id="6" w:name="OLE_LINK2"/>
    </w:p>
    <w:p w14:paraId="40667AD8" w14:textId="77777777" w:rsidR="00B76AEB" w:rsidRDefault="00B76AEB" w:rsidP="00B76AEB">
      <w:pPr>
        <w:jc w:val="center"/>
        <w:rPr>
          <w:rFonts w:ascii="Book Antiqua" w:hAnsi="Book Antiqua"/>
          <w:lang w:eastAsia="zh-CN"/>
        </w:rPr>
      </w:pPr>
    </w:p>
    <w:p w14:paraId="3683800B" w14:textId="77777777" w:rsidR="00B76AEB" w:rsidRDefault="00B76AEB" w:rsidP="00B76AEB">
      <w:pPr>
        <w:jc w:val="center"/>
        <w:rPr>
          <w:rFonts w:ascii="Book Antiqua" w:hAnsi="Book Antiqua"/>
          <w:lang w:eastAsia="zh-CN"/>
        </w:rPr>
      </w:pPr>
    </w:p>
    <w:p w14:paraId="6DD3FC16" w14:textId="77777777" w:rsidR="00B76AEB" w:rsidRDefault="00B76AEB" w:rsidP="00B76AEB">
      <w:pPr>
        <w:jc w:val="center"/>
        <w:rPr>
          <w:rFonts w:ascii="Book Antiqua" w:hAnsi="Book Antiqua"/>
          <w:lang w:eastAsia="zh-CN"/>
        </w:rPr>
      </w:pPr>
    </w:p>
    <w:p w14:paraId="787ACCE1" w14:textId="77777777" w:rsidR="00B76AEB" w:rsidRDefault="00B76AEB" w:rsidP="00B76AEB">
      <w:pPr>
        <w:jc w:val="center"/>
        <w:rPr>
          <w:rFonts w:ascii="Book Antiqua" w:hAnsi="Book Antiqua"/>
          <w:lang w:eastAsia="zh-CN"/>
        </w:rPr>
      </w:pPr>
    </w:p>
    <w:p w14:paraId="1A12BB5E" w14:textId="77777777" w:rsidR="00B76AEB" w:rsidRDefault="00B76AEB" w:rsidP="00B76AEB">
      <w:pPr>
        <w:jc w:val="center"/>
        <w:rPr>
          <w:rFonts w:ascii="Book Antiqua" w:hAnsi="Book Antiqua"/>
          <w:lang w:eastAsia="zh-CN"/>
        </w:rPr>
      </w:pPr>
      <w:r>
        <w:rPr>
          <w:rFonts w:ascii="Book Antiqua" w:hAnsi="Book Antiqua"/>
          <w:noProof/>
          <w:lang w:eastAsia="zh-CN"/>
        </w:rPr>
        <w:drawing>
          <wp:inline distT="0" distB="0" distL="0" distR="0" wp14:anchorId="21428301" wp14:editId="0FA893FC">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AAC0B7" w14:textId="77777777" w:rsidR="00B76AEB" w:rsidRDefault="00B76AEB" w:rsidP="00B76AEB">
      <w:pPr>
        <w:jc w:val="center"/>
        <w:rPr>
          <w:rFonts w:ascii="Book Antiqua" w:hAnsi="Book Antiqua"/>
          <w:lang w:eastAsia="zh-CN"/>
        </w:rPr>
      </w:pPr>
    </w:p>
    <w:p w14:paraId="40B015D4" w14:textId="77777777" w:rsidR="00B76AEB" w:rsidRPr="00763D22" w:rsidRDefault="00B76AEB" w:rsidP="00B76AE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E424EB1" w14:textId="77777777" w:rsidR="00B76AEB" w:rsidRPr="00763D22" w:rsidRDefault="00B76AEB" w:rsidP="00B76A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D1ACA1" w14:textId="77777777" w:rsidR="00B76AEB" w:rsidRPr="00763D22" w:rsidRDefault="00B76AEB" w:rsidP="00B76A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D8452C" w14:textId="77777777" w:rsidR="00B76AEB" w:rsidRPr="00763D22" w:rsidRDefault="00B76AEB" w:rsidP="00B76A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E29B07" w14:textId="77777777" w:rsidR="00B76AEB" w:rsidRPr="00763D22" w:rsidRDefault="00B76AEB" w:rsidP="00B76A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62208E" w14:textId="77777777" w:rsidR="00B76AEB" w:rsidRPr="00763D22" w:rsidRDefault="00B76AEB" w:rsidP="00B76AE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87A63A" w14:textId="77777777" w:rsidR="00B76AEB" w:rsidRDefault="00B76AEB" w:rsidP="00B76AEB">
      <w:pPr>
        <w:jc w:val="center"/>
        <w:rPr>
          <w:rFonts w:ascii="Book Antiqua" w:hAnsi="Book Antiqua"/>
          <w:lang w:eastAsia="zh-CN"/>
        </w:rPr>
      </w:pPr>
    </w:p>
    <w:p w14:paraId="7700D336" w14:textId="77777777" w:rsidR="00B76AEB" w:rsidRDefault="00B76AEB" w:rsidP="00B76AEB">
      <w:pPr>
        <w:jc w:val="center"/>
        <w:rPr>
          <w:rFonts w:ascii="Book Antiqua" w:hAnsi="Book Antiqua"/>
          <w:lang w:eastAsia="zh-CN"/>
        </w:rPr>
      </w:pPr>
    </w:p>
    <w:p w14:paraId="75B3BE24" w14:textId="77777777" w:rsidR="00B76AEB" w:rsidRDefault="00B76AEB" w:rsidP="00B76AEB">
      <w:pPr>
        <w:jc w:val="center"/>
        <w:rPr>
          <w:rFonts w:ascii="Book Antiqua" w:hAnsi="Book Antiqua"/>
          <w:lang w:eastAsia="zh-CN"/>
        </w:rPr>
      </w:pPr>
    </w:p>
    <w:p w14:paraId="0B927121" w14:textId="77777777" w:rsidR="00B76AEB" w:rsidRDefault="00B76AEB" w:rsidP="00B76AEB">
      <w:pPr>
        <w:jc w:val="center"/>
        <w:rPr>
          <w:rFonts w:ascii="Book Antiqua" w:hAnsi="Book Antiqua"/>
          <w:lang w:eastAsia="zh-CN"/>
        </w:rPr>
      </w:pPr>
      <w:r>
        <w:rPr>
          <w:rFonts w:ascii="Book Antiqua" w:hAnsi="Book Antiqua"/>
          <w:noProof/>
          <w:lang w:eastAsia="zh-CN"/>
        </w:rPr>
        <w:drawing>
          <wp:inline distT="0" distB="0" distL="0" distR="0" wp14:anchorId="5141DD1F" wp14:editId="66CCDF67">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0AB0D2" w14:textId="77777777" w:rsidR="00B76AEB" w:rsidRDefault="00B76AEB" w:rsidP="00B76AEB">
      <w:pPr>
        <w:jc w:val="center"/>
        <w:rPr>
          <w:rFonts w:ascii="Book Antiqua" w:hAnsi="Book Antiqua"/>
          <w:lang w:eastAsia="zh-CN"/>
        </w:rPr>
      </w:pPr>
    </w:p>
    <w:p w14:paraId="112E13C0" w14:textId="77777777" w:rsidR="00B76AEB" w:rsidRDefault="00B76AEB" w:rsidP="00B76AEB">
      <w:pPr>
        <w:jc w:val="center"/>
        <w:rPr>
          <w:rFonts w:ascii="Book Antiqua" w:hAnsi="Book Antiqua"/>
          <w:lang w:eastAsia="zh-CN"/>
        </w:rPr>
      </w:pPr>
    </w:p>
    <w:p w14:paraId="2FB86DB7" w14:textId="77777777" w:rsidR="00B76AEB" w:rsidRDefault="00B76AEB" w:rsidP="00B76AEB">
      <w:pPr>
        <w:jc w:val="center"/>
        <w:rPr>
          <w:rFonts w:ascii="Book Antiqua" w:hAnsi="Book Antiqua"/>
          <w:lang w:eastAsia="zh-CN"/>
        </w:rPr>
      </w:pPr>
    </w:p>
    <w:p w14:paraId="5155CB76" w14:textId="77777777" w:rsidR="00B76AEB" w:rsidRDefault="00B76AEB" w:rsidP="00B76AEB">
      <w:pPr>
        <w:jc w:val="center"/>
        <w:rPr>
          <w:rFonts w:ascii="Book Antiqua" w:hAnsi="Book Antiqua"/>
          <w:lang w:eastAsia="zh-CN"/>
        </w:rPr>
      </w:pPr>
    </w:p>
    <w:p w14:paraId="636B60BB" w14:textId="77777777" w:rsidR="00B76AEB" w:rsidRDefault="00B76AEB" w:rsidP="00B76AEB">
      <w:pPr>
        <w:jc w:val="center"/>
        <w:rPr>
          <w:rFonts w:ascii="Book Antiqua" w:hAnsi="Book Antiqua"/>
          <w:lang w:eastAsia="zh-CN"/>
        </w:rPr>
      </w:pPr>
    </w:p>
    <w:p w14:paraId="296AD13C" w14:textId="77777777" w:rsidR="00B76AEB" w:rsidRDefault="00B76AEB" w:rsidP="00B76AEB">
      <w:pPr>
        <w:jc w:val="center"/>
        <w:rPr>
          <w:rFonts w:ascii="Book Antiqua" w:hAnsi="Book Antiqua"/>
          <w:lang w:eastAsia="zh-CN"/>
        </w:rPr>
      </w:pPr>
    </w:p>
    <w:p w14:paraId="01E9A279" w14:textId="77777777" w:rsidR="00B76AEB" w:rsidRDefault="00B76AEB" w:rsidP="00B76AEB">
      <w:pPr>
        <w:jc w:val="center"/>
        <w:rPr>
          <w:rFonts w:ascii="Book Antiqua" w:hAnsi="Book Antiqua"/>
          <w:lang w:eastAsia="zh-CN"/>
        </w:rPr>
      </w:pPr>
    </w:p>
    <w:p w14:paraId="7B0AADDB" w14:textId="77777777" w:rsidR="00B76AEB" w:rsidRDefault="00B76AEB" w:rsidP="00B76AEB">
      <w:pPr>
        <w:jc w:val="center"/>
        <w:rPr>
          <w:rFonts w:ascii="Book Antiqua" w:hAnsi="Book Antiqua"/>
          <w:lang w:eastAsia="zh-CN"/>
        </w:rPr>
      </w:pPr>
    </w:p>
    <w:p w14:paraId="63BCA9B6" w14:textId="77777777" w:rsidR="00B76AEB" w:rsidRDefault="00B76AEB" w:rsidP="00B76AEB">
      <w:pPr>
        <w:jc w:val="center"/>
        <w:rPr>
          <w:rFonts w:ascii="Book Antiqua" w:hAnsi="Book Antiqua"/>
          <w:lang w:eastAsia="zh-CN"/>
        </w:rPr>
      </w:pPr>
    </w:p>
    <w:p w14:paraId="57C7A553" w14:textId="77777777" w:rsidR="00B76AEB" w:rsidRPr="00763D22" w:rsidRDefault="00B76AEB" w:rsidP="00B76AEB">
      <w:pPr>
        <w:jc w:val="right"/>
        <w:rPr>
          <w:rFonts w:ascii="Book Antiqua" w:hAnsi="Book Antiqua"/>
          <w:color w:val="000000" w:themeColor="text1"/>
          <w:lang w:eastAsia="zh-CN"/>
        </w:rPr>
      </w:pPr>
    </w:p>
    <w:p w14:paraId="211E44CF" w14:textId="77777777" w:rsidR="00B76AEB" w:rsidRPr="00763D22" w:rsidRDefault="00B76AEB" w:rsidP="00B76AE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5050EC4F" w14:textId="77777777" w:rsidR="00037BBC" w:rsidRPr="00B76AEB" w:rsidRDefault="00037BBC" w:rsidP="00450E72">
      <w:pPr>
        <w:adjustRightInd w:val="0"/>
        <w:snapToGrid w:val="0"/>
        <w:spacing w:line="360" w:lineRule="auto"/>
        <w:jc w:val="both"/>
        <w:rPr>
          <w:rFonts w:ascii="Book Antiqua" w:hAnsi="Book Antiqua"/>
          <w:lang w:eastAsia="zh-CN"/>
        </w:rPr>
      </w:pPr>
      <w:bookmarkStart w:id="7" w:name="_GoBack"/>
      <w:bookmarkEnd w:id="7"/>
    </w:p>
    <w:sectPr w:rsidR="00037BBC" w:rsidRPr="00B76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48D7" w14:textId="77777777" w:rsidR="00CA4DD9" w:rsidRDefault="00CA4DD9" w:rsidP="008505D2">
      <w:r>
        <w:separator/>
      </w:r>
    </w:p>
  </w:endnote>
  <w:endnote w:type="continuationSeparator" w:id="0">
    <w:p w14:paraId="6DF65AAD" w14:textId="77777777" w:rsidR="00CA4DD9" w:rsidRDefault="00CA4DD9" w:rsidP="0085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088"/>
      <w:docPartObj>
        <w:docPartGallery w:val="Page Numbers (Bottom of Page)"/>
        <w:docPartUnique/>
      </w:docPartObj>
    </w:sdtPr>
    <w:sdtEndPr/>
    <w:sdtContent>
      <w:sdt>
        <w:sdtPr>
          <w:id w:val="98381352"/>
          <w:docPartObj>
            <w:docPartGallery w:val="Page Numbers (Top of Page)"/>
            <w:docPartUnique/>
          </w:docPartObj>
        </w:sdtPr>
        <w:sdtEndPr/>
        <w:sdtContent>
          <w:p w14:paraId="2F4B76BA" w14:textId="77777777" w:rsidR="008505D2" w:rsidRDefault="008505D2" w:rsidP="008505D2">
            <w:pPr>
              <w:pStyle w:val="a5"/>
              <w:jc w:val="right"/>
            </w:pPr>
            <w:r w:rsidRPr="008505D2">
              <w:rPr>
                <w:rFonts w:ascii="Book Antiqua" w:hAnsi="Book Antiqua"/>
                <w:sz w:val="24"/>
                <w:szCs w:val="24"/>
                <w:lang w:val="zh-CN" w:eastAsia="zh-CN"/>
              </w:rPr>
              <w:t xml:space="preserve"> </w:t>
            </w:r>
            <w:r w:rsidRPr="008505D2">
              <w:rPr>
                <w:rFonts w:ascii="Book Antiqua" w:hAnsi="Book Antiqua"/>
                <w:b/>
                <w:bCs/>
                <w:sz w:val="24"/>
                <w:szCs w:val="24"/>
              </w:rPr>
              <w:fldChar w:fldCharType="begin"/>
            </w:r>
            <w:r w:rsidRPr="008505D2">
              <w:rPr>
                <w:rFonts w:ascii="Book Antiqua" w:hAnsi="Book Antiqua"/>
                <w:b/>
                <w:bCs/>
                <w:sz w:val="24"/>
                <w:szCs w:val="24"/>
              </w:rPr>
              <w:instrText>PAGE</w:instrText>
            </w:r>
            <w:r w:rsidRPr="008505D2">
              <w:rPr>
                <w:rFonts w:ascii="Book Antiqua" w:hAnsi="Book Antiqua"/>
                <w:b/>
                <w:bCs/>
                <w:sz w:val="24"/>
                <w:szCs w:val="24"/>
              </w:rPr>
              <w:fldChar w:fldCharType="separate"/>
            </w:r>
            <w:r w:rsidR="00B76AEB">
              <w:rPr>
                <w:rFonts w:ascii="Book Antiqua" w:hAnsi="Book Antiqua"/>
                <w:b/>
                <w:bCs/>
                <w:noProof/>
                <w:sz w:val="24"/>
                <w:szCs w:val="24"/>
              </w:rPr>
              <w:t>33</w:t>
            </w:r>
            <w:r w:rsidRPr="008505D2">
              <w:rPr>
                <w:rFonts w:ascii="Book Antiqua" w:hAnsi="Book Antiqua"/>
                <w:b/>
                <w:bCs/>
                <w:sz w:val="24"/>
                <w:szCs w:val="24"/>
              </w:rPr>
              <w:fldChar w:fldCharType="end"/>
            </w:r>
            <w:r w:rsidRPr="008505D2">
              <w:rPr>
                <w:rFonts w:ascii="Book Antiqua" w:hAnsi="Book Antiqua"/>
                <w:sz w:val="24"/>
                <w:szCs w:val="24"/>
                <w:lang w:val="zh-CN" w:eastAsia="zh-CN"/>
              </w:rPr>
              <w:t xml:space="preserve"> / </w:t>
            </w:r>
            <w:r w:rsidRPr="008505D2">
              <w:rPr>
                <w:rFonts w:ascii="Book Antiqua" w:hAnsi="Book Antiqua"/>
                <w:b/>
                <w:bCs/>
                <w:sz w:val="24"/>
                <w:szCs w:val="24"/>
              </w:rPr>
              <w:fldChar w:fldCharType="begin"/>
            </w:r>
            <w:r w:rsidRPr="008505D2">
              <w:rPr>
                <w:rFonts w:ascii="Book Antiqua" w:hAnsi="Book Antiqua"/>
                <w:b/>
                <w:bCs/>
                <w:sz w:val="24"/>
                <w:szCs w:val="24"/>
              </w:rPr>
              <w:instrText>NUMPAGES</w:instrText>
            </w:r>
            <w:r w:rsidRPr="008505D2">
              <w:rPr>
                <w:rFonts w:ascii="Book Antiqua" w:hAnsi="Book Antiqua"/>
                <w:b/>
                <w:bCs/>
                <w:sz w:val="24"/>
                <w:szCs w:val="24"/>
              </w:rPr>
              <w:fldChar w:fldCharType="separate"/>
            </w:r>
            <w:r w:rsidR="00B76AEB">
              <w:rPr>
                <w:rFonts w:ascii="Book Antiqua" w:hAnsi="Book Antiqua"/>
                <w:b/>
                <w:bCs/>
                <w:noProof/>
                <w:sz w:val="24"/>
                <w:szCs w:val="24"/>
              </w:rPr>
              <w:t>33</w:t>
            </w:r>
            <w:r w:rsidRPr="008505D2">
              <w:rPr>
                <w:rFonts w:ascii="Book Antiqua" w:hAnsi="Book Antiqua"/>
                <w:b/>
                <w:bCs/>
                <w:sz w:val="24"/>
                <w:szCs w:val="24"/>
              </w:rPr>
              <w:fldChar w:fldCharType="end"/>
            </w:r>
          </w:p>
        </w:sdtContent>
      </w:sdt>
    </w:sdtContent>
  </w:sdt>
  <w:p w14:paraId="7D167A69" w14:textId="77777777" w:rsidR="008505D2" w:rsidRDefault="00850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43BB" w14:textId="77777777" w:rsidR="00CA4DD9" w:rsidRDefault="00CA4DD9" w:rsidP="008505D2">
      <w:r>
        <w:separator/>
      </w:r>
    </w:p>
  </w:footnote>
  <w:footnote w:type="continuationSeparator" w:id="0">
    <w:p w14:paraId="6BE32A24" w14:textId="77777777" w:rsidR="00CA4DD9" w:rsidRDefault="00CA4DD9" w:rsidP="0085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20A"/>
    <w:rsid w:val="00037BBC"/>
    <w:rsid w:val="00065E76"/>
    <w:rsid w:val="00084E02"/>
    <w:rsid w:val="000B068D"/>
    <w:rsid w:val="000B3235"/>
    <w:rsid w:val="000F740F"/>
    <w:rsid w:val="0013669F"/>
    <w:rsid w:val="00141484"/>
    <w:rsid w:val="001510C1"/>
    <w:rsid w:val="001D55D8"/>
    <w:rsid w:val="003267DF"/>
    <w:rsid w:val="003734FE"/>
    <w:rsid w:val="00450E72"/>
    <w:rsid w:val="004555EF"/>
    <w:rsid w:val="004C3977"/>
    <w:rsid w:val="005563A6"/>
    <w:rsid w:val="00572D61"/>
    <w:rsid w:val="00583DAC"/>
    <w:rsid w:val="00586E99"/>
    <w:rsid w:val="005C3BA6"/>
    <w:rsid w:val="00651E0F"/>
    <w:rsid w:val="006C18A3"/>
    <w:rsid w:val="00767137"/>
    <w:rsid w:val="008505D2"/>
    <w:rsid w:val="008701E7"/>
    <w:rsid w:val="009001E2"/>
    <w:rsid w:val="00910E17"/>
    <w:rsid w:val="00911CA4"/>
    <w:rsid w:val="00A0071B"/>
    <w:rsid w:val="00A77B3E"/>
    <w:rsid w:val="00AA6476"/>
    <w:rsid w:val="00B755E8"/>
    <w:rsid w:val="00B76AEB"/>
    <w:rsid w:val="00C301A0"/>
    <w:rsid w:val="00CA2A55"/>
    <w:rsid w:val="00CA4DD9"/>
    <w:rsid w:val="00CC07FA"/>
    <w:rsid w:val="00D74886"/>
    <w:rsid w:val="00D92A4E"/>
    <w:rsid w:val="00E918BD"/>
    <w:rsid w:val="00EE2D2B"/>
    <w:rsid w:val="00F00A5A"/>
    <w:rsid w:val="00F0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86E99"/>
    <w:rPr>
      <w:sz w:val="18"/>
      <w:szCs w:val="18"/>
    </w:rPr>
  </w:style>
  <w:style w:type="character" w:customStyle="1" w:styleId="Char">
    <w:name w:val="批注框文本 Char"/>
    <w:basedOn w:val="a0"/>
    <w:link w:val="a3"/>
    <w:rsid w:val="00586E99"/>
    <w:rPr>
      <w:sz w:val="18"/>
      <w:szCs w:val="18"/>
    </w:rPr>
  </w:style>
  <w:style w:type="paragraph" w:styleId="a4">
    <w:name w:val="header"/>
    <w:basedOn w:val="a"/>
    <w:link w:val="Char0"/>
    <w:rsid w:val="00850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505D2"/>
    <w:rPr>
      <w:sz w:val="18"/>
      <w:szCs w:val="18"/>
    </w:rPr>
  </w:style>
  <w:style w:type="paragraph" w:styleId="a5">
    <w:name w:val="footer"/>
    <w:basedOn w:val="a"/>
    <w:link w:val="Char1"/>
    <w:uiPriority w:val="99"/>
    <w:rsid w:val="008505D2"/>
    <w:pPr>
      <w:tabs>
        <w:tab w:val="center" w:pos="4153"/>
        <w:tab w:val="right" w:pos="8306"/>
      </w:tabs>
      <w:snapToGrid w:val="0"/>
    </w:pPr>
    <w:rPr>
      <w:sz w:val="18"/>
      <w:szCs w:val="18"/>
    </w:rPr>
  </w:style>
  <w:style w:type="character" w:customStyle="1" w:styleId="Char1">
    <w:name w:val="页脚 Char"/>
    <w:basedOn w:val="a0"/>
    <w:link w:val="a5"/>
    <w:uiPriority w:val="99"/>
    <w:rsid w:val="00850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9213">
      <w:bodyDiv w:val="1"/>
      <w:marLeft w:val="0"/>
      <w:marRight w:val="0"/>
      <w:marTop w:val="0"/>
      <w:marBottom w:val="0"/>
      <w:divBdr>
        <w:top w:val="none" w:sz="0" w:space="0" w:color="auto"/>
        <w:left w:val="none" w:sz="0" w:space="0" w:color="auto"/>
        <w:bottom w:val="none" w:sz="0" w:space="0" w:color="auto"/>
        <w:right w:val="none" w:sz="0" w:space="0" w:color="auto"/>
      </w:divBdr>
    </w:div>
    <w:div w:id="205653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hmuptt.shinyapps.io/NLP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33</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22</cp:revision>
  <dcterms:created xsi:type="dcterms:W3CDTF">2021-11-25T08:51:00Z</dcterms:created>
  <dcterms:modified xsi:type="dcterms:W3CDTF">2021-12-18T03:29:00Z</dcterms:modified>
</cp:coreProperties>
</file>