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A5A57" w14:textId="77777777" w:rsidR="00A77B3E" w:rsidRDefault="003E73B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6488F99" w14:textId="77777777" w:rsidR="00A77B3E" w:rsidRDefault="003E73B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67917</w:t>
      </w:r>
    </w:p>
    <w:p w14:paraId="08B9D22D" w14:textId="77777777" w:rsidR="00A77B3E" w:rsidRDefault="003E73B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BC0C9E9" w14:textId="77777777" w:rsidR="00A77B3E" w:rsidRDefault="00A77B3E">
      <w:pPr>
        <w:spacing w:line="360" w:lineRule="auto"/>
        <w:jc w:val="both"/>
      </w:pPr>
    </w:p>
    <w:p w14:paraId="0E0EC704" w14:textId="77777777" w:rsidR="00A77B3E" w:rsidRDefault="003E73B5">
      <w:pPr>
        <w:spacing w:line="360" w:lineRule="auto"/>
        <w:jc w:val="both"/>
      </w:pPr>
      <w:r>
        <w:rPr>
          <w:rFonts w:ascii="Book Antiqua" w:eastAsia="Book Antiqua" w:hAnsi="Book Antiqua" w:cs="Book Antiqua"/>
          <w:b/>
          <w:i/>
          <w:color w:val="000000"/>
        </w:rPr>
        <w:t>Basic Study</w:t>
      </w:r>
    </w:p>
    <w:p w14:paraId="67F58FFC" w14:textId="77777777" w:rsidR="00A77B3E" w:rsidRDefault="003E73B5">
      <w:pPr>
        <w:spacing w:line="360" w:lineRule="auto"/>
        <w:jc w:val="both"/>
      </w:pPr>
      <w:r>
        <w:rPr>
          <w:rFonts w:ascii="Book Antiqua" w:eastAsia="Book Antiqua" w:hAnsi="Book Antiqua" w:cs="Book Antiqua"/>
          <w:b/>
          <w:color w:val="000000"/>
        </w:rPr>
        <w:t>Gut microbiome composition can predict the response to nivolumab in advanced hepatocellular carcinoma patients</w:t>
      </w:r>
    </w:p>
    <w:p w14:paraId="52A1A4D7" w14:textId="77777777" w:rsidR="00A77B3E" w:rsidRDefault="00A77B3E">
      <w:pPr>
        <w:spacing w:line="360" w:lineRule="auto"/>
        <w:jc w:val="both"/>
      </w:pPr>
    </w:p>
    <w:p w14:paraId="1E3DB455" w14:textId="4E7C6671" w:rsidR="00A77B3E" w:rsidRDefault="00964AEA">
      <w:pPr>
        <w:spacing w:line="360" w:lineRule="auto"/>
        <w:jc w:val="both"/>
      </w:pPr>
      <w:r>
        <w:rPr>
          <w:rFonts w:ascii="Book Antiqua" w:eastAsia="Book Antiqua" w:hAnsi="Book Antiqua" w:cs="Book Antiqua"/>
          <w:color w:val="000000"/>
        </w:rPr>
        <w:t xml:space="preserve">Chung MW </w:t>
      </w:r>
      <w:r w:rsidRPr="00964AEA">
        <w:rPr>
          <w:rFonts w:ascii="Book Antiqua" w:eastAsia="Book Antiqua" w:hAnsi="Book Antiqua" w:cs="Book Antiqua"/>
          <w:i/>
          <w:iCs/>
          <w:color w:val="000000"/>
        </w:rPr>
        <w:t>et al</w:t>
      </w:r>
      <w:r w:rsidR="007B49F1">
        <w:rPr>
          <w:rFonts w:ascii="Book Antiqua" w:eastAsia="Book Antiqua" w:hAnsi="Book Antiqua" w:cs="Book Antiqua"/>
          <w:i/>
          <w:iCs/>
          <w:color w:val="000000"/>
        </w:rPr>
        <w:t>.</w:t>
      </w:r>
      <w:r w:rsidRPr="00964AEA">
        <w:rPr>
          <w:rFonts w:ascii="Book Antiqua" w:eastAsia="Book Antiqua" w:hAnsi="Book Antiqua" w:cs="Book Antiqua"/>
          <w:i/>
          <w:iCs/>
          <w:color w:val="000000"/>
        </w:rPr>
        <w:t xml:space="preserve"> </w:t>
      </w:r>
      <w:r w:rsidR="003E73B5">
        <w:rPr>
          <w:rFonts w:ascii="Book Antiqua" w:eastAsia="Book Antiqua" w:hAnsi="Book Antiqua" w:cs="Book Antiqua"/>
          <w:color w:val="000000"/>
        </w:rPr>
        <w:t>Gut microbiome in advanced hepatocellular carcinoma</w:t>
      </w:r>
    </w:p>
    <w:p w14:paraId="403BEDC1" w14:textId="77777777" w:rsidR="00A77B3E" w:rsidRDefault="00A77B3E">
      <w:pPr>
        <w:spacing w:line="360" w:lineRule="auto"/>
        <w:jc w:val="both"/>
      </w:pPr>
    </w:p>
    <w:p w14:paraId="561CECE3" w14:textId="77777777" w:rsidR="00A77B3E" w:rsidRDefault="003E73B5">
      <w:pPr>
        <w:spacing w:line="360" w:lineRule="auto"/>
        <w:jc w:val="both"/>
      </w:pPr>
      <w:r>
        <w:rPr>
          <w:rFonts w:ascii="Book Antiqua" w:eastAsia="Book Antiqua" w:hAnsi="Book Antiqua" w:cs="Book Antiqua"/>
          <w:color w:val="000000"/>
        </w:rPr>
        <w:t>Min-Woo Chung, Moon-</w:t>
      </w:r>
      <w:proofErr w:type="spellStart"/>
      <w:r>
        <w:rPr>
          <w:rFonts w:ascii="Book Antiqua" w:eastAsia="Book Antiqua" w:hAnsi="Book Antiqua" w:cs="Book Antiqua"/>
          <w:color w:val="000000"/>
        </w:rPr>
        <w:t>Ju</w:t>
      </w:r>
      <w:proofErr w:type="spellEnd"/>
      <w:r>
        <w:rPr>
          <w:rFonts w:ascii="Book Antiqua" w:eastAsia="Book Antiqua" w:hAnsi="Book Antiqua" w:cs="Book Antiqua"/>
          <w:color w:val="000000"/>
        </w:rPr>
        <w:t xml:space="preserve"> Kim,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Won, Yu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Lee, Yong-</w:t>
      </w:r>
      <w:proofErr w:type="spellStart"/>
      <w:r>
        <w:rPr>
          <w:rFonts w:ascii="Book Antiqua" w:eastAsia="Book Antiqua" w:hAnsi="Book Antiqua" w:cs="Book Antiqua"/>
          <w:color w:val="000000"/>
        </w:rPr>
        <w:t>Woon</w:t>
      </w:r>
      <w:proofErr w:type="spellEnd"/>
      <w:r>
        <w:rPr>
          <w:rFonts w:ascii="Book Antiqua" w:eastAsia="Book Antiqua" w:hAnsi="Book Antiqua" w:cs="Book Antiqua"/>
          <w:color w:val="000000"/>
        </w:rPr>
        <w:t xml:space="preserve"> Yun, Sung Bum Cho, Young-</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Jun-</w:t>
      </w:r>
      <w:proofErr w:type="spellStart"/>
      <w:r>
        <w:rPr>
          <w:rFonts w:ascii="Book Antiqua" w:eastAsia="Book Antiqua" w:hAnsi="Book Antiqua" w:cs="Book Antiqua"/>
          <w:color w:val="000000"/>
        </w:rPr>
        <w:t>Eul</w:t>
      </w:r>
      <w:proofErr w:type="spellEnd"/>
      <w:r>
        <w:rPr>
          <w:rFonts w:ascii="Book Antiqua" w:eastAsia="Book Antiqua" w:hAnsi="Book Antiqua" w:cs="Book Antiqua"/>
          <w:color w:val="000000"/>
        </w:rPr>
        <w:t xml:space="preserve"> Hwang, Woo </w:t>
      </w:r>
      <w:proofErr w:type="spellStart"/>
      <w:r>
        <w:rPr>
          <w:rFonts w:ascii="Book Antiqua" w:eastAsia="Book Antiqua" w:hAnsi="Book Antiqua" w:cs="Book Antiqua"/>
          <w:color w:val="000000"/>
        </w:rPr>
        <w:t>Kyun</w:t>
      </w:r>
      <w:proofErr w:type="spellEnd"/>
      <w:r>
        <w:rPr>
          <w:rFonts w:ascii="Book Antiqua" w:eastAsia="Book Antiqua" w:hAnsi="Book Antiqua" w:cs="Book Antiqua"/>
          <w:color w:val="000000"/>
        </w:rPr>
        <w:t xml:space="preserve"> Bae, </w:t>
      </w:r>
      <w:proofErr w:type="spellStart"/>
      <w:r>
        <w:rPr>
          <w:rFonts w:ascii="Book Antiqua" w:eastAsia="Book Antiqua" w:hAnsi="Book Antiqua" w:cs="Book Antiqua"/>
          <w:color w:val="000000"/>
        </w:rPr>
        <w:t>Ik-Joo</w:t>
      </w:r>
      <w:proofErr w:type="spellEnd"/>
      <w:r>
        <w:rPr>
          <w:rFonts w:ascii="Book Antiqua" w:eastAsia="Book Antiqua" w:hAnsi="Book Antiqua" w:cs="Book Antiqua"/>
          <w:color w:val="000000"/>
        </w:rPr>
        <w:t xml:space="preserve"> Chung, Myung </w:t>
      </w:r>
      <w:proofErr w:type="spellStart"/>
      <w:r>
        <w:rPr>
          <w:rFonts w:ascii="Book Antiqua" w:eastAsia="Book Antiqua" w:hAnsi="Book Antiqua" w:cs="Book Antiqua"/>
          <w:color w:val="000000"/>
        </w:rPr>
        <w:t>Geun</w:t>
      </w:r>
      <w:proofErr w:type="spellEnd"/>
      <w:r>
        <w:rPr>
          <w:rFonts w:ascii="Book Antiqua" w:eastAsia="Book Antiqua" w:hAnsi="Book Antiqua" w:cs="Book Antiqua"/>
          <w:color w:val="000000"/>
        </w:rPr>
        <w:t xml:space="preserve"> Shin, Jong </w:t>
      </w:r>
      <w:proofErr w:type="spellStart"/>
      <w:r>
        <w:rPr>
          <w:rFonts w:ascii="Book Antiqua" w:eastAsia="Book Antiqua" w:hAnsi="Book Antiqua" w:cs="Book Antiqua"/>
          <w:color w:val="000000"/>
        </w:rPr>
        <w:t>Hee</w:t>
      </w:r>
      <w:proofErr w:type="spellEnd"/>
      <w:r>
        <w:rPr>
          <w:rFonts w:ascii="Book Antiqua" w:eastAsia="Book Antiqua" w:hAnsi="Book Antiqua" w:cs="Book Antiqua"/>
          <w:color w:val="000000"/>
        </w:rPr>
        <w:t xml:space="preserve"> Shin</w:t>
      </w:r>
    </w:p>
    <w:p w14:paraId="2EB8B042" w14:textId="77777777" w:rsidR="00A77B3E" w:rsidRDefault="00A77B3E">
      <w:pPr>
        <w:spacing w:line="360" w:lineRule="auto"/>
        <w:jc w:val="both"/>
      </w:pPr>
    </w:p>
    <w:p w14:paraId="7E4EAE1D" w14:textId="77777777" w:rsidR="00A77B3E" w:rsidRDefault="003E73B5">
      <w:pPr>
        <w:spacing w:line="360" w:lineRule="auto"/>
        <w:jc w:val="both"/>
      </w:pPr>
      <w:r>
        <w:rPr>
          <w:rFonts w:ascii="Book Antiqua" w:eastAsia="Book Antiqua" w:hAnsi="Book Antiqua" w:cs="Book Antiqua"/>
          <w:b/>
          <w:bCs/>
          <w:color w:val="000000"/>
        </w:rPr>
        <w:t>Min-Woo Chung, Sung Bum Cho, Young-</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Joo</w:t>
      </w:r>
      <w:proofErr w:type="spellEnd"/>
      <w:r>
        <w:rPr>
          <w:rFonts w:ascii="Book Antiqua" w:eastAsia="Book Antiqua" w:hAnsi="Book Antiqua" w:cs="Book Antiqua"/>
          <w:b/>
          <w:bCs/>
          <w:color w:val="000000"/>
        </w:rPr>
        <w:t>, Jun-</w:t>
      </w:r>
      <w:proofErr w:type="spellStart"/>
      <w:r>
        <w:rPr>
          <w:rFonts w:ascii="Book Antiqua" w:eastAsia="Book Antiqua" w:hAnsi="Book Antiqua" w:cs="Book Antiqua"/>
          <w:b/>
          <w:bCs/>
          <w:color w:val="000000"/>
        </w:rPr>
        <w:t>Eul</w:t>
      </w:r>
      <w:proofErr w:type="spellEnd"/>
      <w:r>
        <w:rPr>
          <w:rFonts w:ascii="Book Antiqua" w:eastAsia="Book Antiqua" w:hAnsi="Book Antiqua" w:cs="Book Antiqua"/>
          <w:b/>
          <w:bCs/>
          <w:color w:val="000000"/>
        </w:rPr>
        <w:t xml:space="preserve"> Hwang, Woo </w:t>
      </w:r>
      <w:proofErr w:type="spellStart"/>
      <w:r>
        <w:rPr>
          <w:rFonts w:ascii="Book Antiqua" w:eastAsia="Book Antiqua" w:hAnsi="Book Antiqua" w:cs="Book Antiqua"/>
          <w:b/>
          <w:bCs/>
          <w:color w:val="000000"/>
        </w:rPr>
        <w:t>Kyun</w:t>
      </w:r>
      <w:proofErr w:type="spellEnd"/>
      <w:r>
        <w:rPr>
          <w:rFonts w:ascii="Book Antiqua" w:eastAsia="Book Antiqua" w:hAnsi="Book Antiqua" w:cs="Book Antiqua"/>
          <w:b/>
          <w:bCs/>
          <w:color w:val="000000"/>
        </w:rPr>
        <w:t xml:space="preserve"> Bae, </w:t>
      </w:r>
      <w:proofErr w:type="spellStart"/>
      <w:r>
        <w:rPr>
          <w:rFonts w:ascii="Book Antiqua" w:eastAsia="Book Antiqua" w:hAnsi="Book Antiqua" w:cs="Book Antiqua"/>
          <w:b/>
          <w:bCs/>
          <w:color w:val="000000"/>
        </w:rPr>
        <w:t>Ik-Joo</w:t>
      </w:r>
      <w:proofErr w:type="spellEnd"/>
      <w:r>
        <w:rPr>
          <w:rFonts w:ascii="Book Antiqua" w:eastAsia="Book Antiqua" w:hAnsi="Book Antiqua" w:cs="Book Antiqua"/>
          <w:b/>
          <w:bCs/>
          <w:color w:val="000000"/>
        </w:rPr>
        <w:t xml:space="preserve"> Chung, </w:t>
      </w:r>
      <w:r>
        <w:rPr>
          <w:rFonts w:ascii="Book Antiqua" w:eastAsia="Book Antiqua" w:hAnsi="Book Antiqua" w:cs="Book Antiqua"/>
          <w:color w:val="000000"/>
        </w:rPr>
        <w:t>De</w:t>
      </w:r>
      <w:r w:rsidRPr="007B49F1">
        <w:rPr>
          <w:rFonts w:ascii="Book Antiqua" w:eastAsia="Book Antiqua" w:hAnsi="Book Antiqua" w:cs="Book Antiqua"/>
          <w:iCs/>
          <w:color w:val="000000"/>
        </w:rPr>
        <w:t>p</w:t>
      </w:r>
      <w:r>
        <w:rPr>
          <w:rFonts w:ascii="Book Antiqua" w:eastAsia="Book Antiqua" w:hAnsi="Book Antiqua" w:cs="Book Antiqua"/>
          <w:color w:val="000000"/>
        </w:rPr>
        <w:t xml:space="preserve">artment of Internal Medicine, Chonnam National University Hospital and College of Medicine, </w:t>
      </w:r>
      <w:proofErr w:type="spellStart"/>
      <w:r>
        <w:rPr>
          <w:rFonts w:ascii="Book Antiqua" w:eastAsia="Book Antiqua" w:hAnsi="Book Antiqua" w:cs="Book Antiqua"/>
          <w:color w:val="000000"/>
        </w:rPr>
        <w:t>Hwasun</w:t>
      </w:r>
      <w:proofErr w:type="spellEnd"/>
      <w:r>
        <w:rPr>
          <w:rFonts w:ascii="Book Antiqua" w:eastAsia="Book Antiqua" w:hAnsi="Book Antiqua" w:cs="Book Antiqua"/>
          <w:color w:val="000000"/>
        </w:rPr>
        <w:t xml:space="preserve"> 58128, </w:t>
      </w:r>
      <w:proofErr w:type="spellStart"/>
      <w:r>
        <w:rPr>
          <w:rFonts w:ascii="Book Antiqua" w:eastAsia="Book Antiqua" w:hAnsi="Book Antiqua" w:cs="Book Antiqua"/>
          <w:color w:val="000000"/>
        </w:rPr>
        <w:t>Jeollanam</w:t>
      </w:r>
      <w:proofErr w:type="spellEnd"/>
      <w:r>
        <w:rPr>
          <w:rFonts w:ascii="Book Antiqua" w:eastAsia="Book Antiqua" w:hAnsi="Book Antiqua" w:cs="Book Antiqua"/>
          <w:color w:val="000000"/>
        </w:rPr>
        <w:t>-do, South Korea</w:t>
      </w:r>
    </w:p>
    <w:p w14:paraId="2B7A7C15" w14:textId="77777777" w:rsidR="00A77B3E" w:rsidRDefault="00A77B3E">
      <w:pPr>
        <w:spacing w:line="360" w:lineRule="auto"/>
        <w:jc w:val="both"/>
      </w:pPr>
    </w:p>
    <w:p w14:paraId="14F6FAB0" w14:textId="77777777" w:rsidR="00A77B3E" w:rsidRDefault="003E73B5">
      <w:pPr>
        <w:spacing w:line="360" w:lineRule="auto"/>
        <w:jc w:val="both"/>
      </w:pPr>
      <w:r>
        <w:rPr>
          <w:rFonts w:ascii="Book Antiqua" w:eastAsia="Book Antiqua" w:hAnsi="Book Antiqua" w:cs="Book Antiqua"/>
          <w:b/>
          <w:bCs/>
          <w:color w:val="000000"/>
        </w:rPr>
        <w:t>Moon-</w:t>
      </w:r>
      <w:proofErr w:type="spellStart"/>
      <w:r>
        <w:rPr>
          <w:rFonts w:ascii="Book Antiqua" w:eastAsia="Book Antiqua" w:hAnsi="Book Antiqua" w:cs="Book Antiqua"/>
          <w:b/>
          <w:bCs/>
          <w:color w:val="000000"/>
        </w:rPr>
        <w:t>Ju</w:t>
      </w:r>
      <w:proofErr w:type="spellEnd"/>
      <w:r>
        <w:rPr>
          <w:rFonts w:ascii="Book Antiqua" w:eastAsia="Book Antiqua" w:hAnsi="Book Antiqua" w:cs="Book Antiqua"/>
          <w:b/>
          <w:bCs/>
          <w:color w:val="000000"/>
        </w:rPr>
        <w:t xml:space="preserve"> Kim,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Won, Yu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Lee, </w:t>
      </w:r>
      <w:r>
        <w:rPr>
          <w:rFonts w:ascii="Book Antiqua" w:eastAsia="Book Antiqua" w:hAnsi="Book Antiqua" w:cs="Book Antiqua"/>
          <w:color w:val="000000"/>
        </w:rPr>
        <w:t xml:space="preserve">Department of Parasitology and Tropical Medicine, Chonnam National University Medical School, </w:t>
      </w:r>
      <w:proofErr w:type="spellStart"/>
      <w:r>
        <w:rPr>
          <w:rFonts w:ascii="Book Antiqua" w:eastAsia="Book Antiqua" w:hAnsi="Book Antiqua" w:cs="Book Antiqua"/>
          <w:color w:val="000000"/>
        </w:rPr>
        <w:t>Hwasun</w:t>
      </w:r>
      <w:proofErr w:type="spellEnd"/>
      <w:r>
        <w:rPr>
          <w:rFonts w:ascii="Book Antiqua" w:eastAsia="Book Antiqua" w:hAnsi="Book Antiqua" w:cs="Book Antiqua"/>
          <w:color w:val="000000"/>
        </w:rPr>
        <w:t xml:space="preserve"> 58128, </w:t>
      </w:r>
      <w:proofErr w:type="spellStart"/>
      <w:r>
        <w:rPr>
          <w:rFonts w:ascii="Book Antiqua" w:eastAsia="Book Antiqua" w:hAnsi="Book Antiqua" w:cs="Book Antiqua"/>
          <w:color w:val="000000"/>
        </w:rPr>
        <w:t>Jeollanam</w:t>
      </w:r>
      <w:proofErr w:type="spellEnd"/>
      <w:r>
        <w:rPr>
          <w:rFonts w:ascii="Book Antiqua" w:eastAsia="Book Antiqua" w:hAnsi="Book Antiqua" w:cs="Book Antiqua"/>
          <w:color w:val="000000"/>
        </w:rPr>
        <w:t>-do, South Korea</w:t>
      </w:r>
    </w:p>
    <w:p w14:paraId="61FBE93C" w14:textId="77777777" w:rsidR="00A77B3E" w:rsidRDefault="00A77B3E">
      <w:pPr>
        <w:spacing w:line="360" w:lineRule="auto"/>
        <w:jc w:val="both"/>
      </w:pPr>
    </w:p>
    <w:p w14:paraId="182F7E96" w14:textId="77777777" w:rsidR="00A77B3E" w:rsidRDefault="003E73B5">
      <w:pPr>
        <w:spacing w:line="360" w:lineRule="auto"/>
        <w:jc w:val="both"/>
      </w:pP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Won, Myung </w:t>
      </w:r>
      <w:proofErr w:type="spellStart"/>
      <w:r>
        <w:rPr>
          <w:rFonts w:ascii="Book Antiqua" w:eastAsia="Book Antiqua" w:hAnsi="Book Antiqua" w:cs="Book Antiqua"/>
          <w:b/>
          <w:bCs/>
          <w:color w:val="000000"/>
        </w:rPr>
        <w:t>Geun</w:t>
      </w:r>
      <w:proofErr w:type="spellEnd"/>
      <w:r>
        <w:rPr>
          <w:rFonts w:ascii="Book Antiqua" w:eastAsia="Book Antiqua" w:hAnsi="Book Antiqua" w:cs="Book Antiqua"/>
          <w:b/>
          <w:bCs/>
          <w:color w:val="000000"/>
        </w:rPr>
        <w:t xml:space="preserve"> Shin, </w:t>
      </w:r>
      <w:r>
        <w:rPr>
          <w:rFonts w:ascii="Book Antiqua" w:eastAsia="Book Antiqua" w:hAnsi="Book Antiqua" w:cs="Book Antiqua"/>
          <w:color w:val="000000"/>
        </w:rPr>
        <w:t xml:space="preserve">Department of Laboratory Medicine, </w:t>
      </w:r>
      <w:proofErr w:type="spellStart"/>
      <w:r>
        <w:rPr>
          <w:rFonts w:ascii="Book Antiqua" w:eastAsia="Book Antiqua" w:hAnsi="Book Antiqua" w:cs="Book Antiqua"/>
          <w:color w:val="000000"/>
        </w:rPr>
        <w:t>Chonnam</w:t>
      </w:r>
      <w:proofErr w:type="spellEnd"/>
      <w:r>
        <w:rPr>
          <w:rFonts w:ascii="Book Antiqua" w:eastAsia="Book Antiqua" w:hAnsi="Book Antiqua" w:cs="Book Antiqua"/>
          <w:color w:val="000000"/>
        </w:rPr>
        <w:t xml:space="preserve"> National University </w:t>
      </w:r>
      <w:proofErr w:type="spellStart"/>
      <w:r>
        <w:rPr>
          <w:rFonts w:ascii="Book Antiqua" w:eastAsia="Book Antiqua" w:hAnsi="Book Antiqua" w:cs="Book Antiqua"/>
          <w:color w:val="000000"/>
        </w:rPr>
        <w:t>Hwasun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Hwasun</w:t>
      </w:r>
      <w:proofErr w:type="spellEnd"/>
      <w:r>
        <w:rPr>
          <w:rFonts w:ascii="Book Antiqua" w:eastAsia="Book Antiqua" w:hAnsi="Book Antiqua" w:cs="Book Antiqua"/>
          <w:color w:val="000000"/>
        </w:rPr>
        <w:t xml:space="preserve"> 58128, </w:t>
      </w:r>
      <w:proofErr w:type="spellStart"/>
      <w:r>
        <w:rPr>
          <w:rFonts w:ascii="Book Antiqua" w:eastAsia="Book Antiqua" w:hAnsi="Book Antiqua" w:cs="Book Antiqua"/>
          <w:color w:val="000000"/>
        </w:rPr>
        <w:t>Jeollanam</w:t>
      </w:r>
      <w:proofErr w:type="spellEnd"/>
      <w:r>
        <w:rPr>
          <w:rFonts w:ascii="Book Antiqua" w:eastAsia="Book Antiqua" w:hAnsi="Book Antiqua" w:cs="Book Antiqua"/>
          <w:color w:val="000000"/>
        </w:rPr>
        <w:t>-do, South Korea</w:t>
      </w:r>
    </w:p>
    <w:p w14:paraId="71180786" w14:textId="77777777" w:rsidR="00A77B3E" w:rsidRDefault="00A77B3E">
      <w:pPr>
        <w:spacing w:line="360" w:lineRule="auto"/>
        <w:jc w:val="both"/>
      </w:pPr>
    </w:p>
    <w:p w14:paraId="41E58103" w14:textId="61FC6406" w:rsidR="00A77B3E" w:rsidRDefault="003E73B5">
      <w:pPr>
        <w:spacing w:line="360" w:lineRule="auto"/>
        <w:jc w:val="both"/>
      </w:pPr>
      <w:r>
        <w:rPr>
          <w:rFonts w:ascii="Book Antiqua" w:eastAsia="Book Antiqua" w:hAnsi="Book Antiqua" w:cs="Book Antiqua"/>
          <w:b/>
          <w:bCs/>
          <w:color w:val="000000"/>
        </w:rPr>
        <w:t>Yong-</w:t>
      </w:r>
      <w:proofErr w:type="spellStart"/>
      <w:r>
        <w:rPr>
          <w:rFonts w:ascii="Book Antiqua" w:eastAsia="Book Antiqua" w:hAnsi="Book Antiqua" w:cs="Book Antiqua"/>
          <w:b/>
          <w:bCs/>
          <w:color w:val="000000"/>
        </w:rPr>
        <w:t>Woon</w:t>
      </w:r>
      <w:proofErr w:type="spellEnd"/>
      <w:r>
        <w:rPr>
          <w:rFonts w:ascii="Book Antiqua" w:eastAsia="Book Antiqua" w:hAnsi="Book Antiqua" w:cs="Book Antiqua"/>
          <w:b/>
          <w:bCs/>
          <w:color w:val="000000"/>
        </w:rPr>
        <w:t xml:space="preserve"> Yun, </w:t>
      </w:r>
      <w:r>
        <w:rPr>
          <w:rFonts w:ascii="Book Antiqua" w:eastAsia="Book Antiqua" w:hAnsi="Book Antiqua" w:cs="Book Antiqua"/>
          <w:color w:val="000000"/>
        </w:rPr>
        <w:t xml:space="preserve">Department of Preventive Medicine, Chonnam National University Medical School, </w:t>
      </w:r>
      <w:proofErr w:type="spellStart"/>
      <w:r>
        <w:rPr>
          <w:rFonts w:ascii="Book Antiqua" w:eastAsia="Book Antiqua" w:hAnsi="Book Antiqua" w:cs="Book Antiqua"/>
          <w:color w:val="000000"/>
        </w:rPr>
        <w:t>Hwasun-eup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Hwasun</w:t>
      </w:r>
      <w:proofErr w:type="spellEnd"/>
      <w:r>
        <w:rPr>
          <w:rFonts w:ascii="Book Antiqua" w:eastAsia="Book Antiqua" w:hAnsi="Book Antiqua" w:cs="Book Antiqua"/>
          <w:color w:val="000000"/>
        </w:rPr>
        <w:t xml:space="preserve"> 58128, </w:t>
      </w:r>
      <w:proofErr w:type="spellStart"/>
      <w:r>
        <w:rPr>
          <w:rFonts w:ascii="Book Antiqua" w:eastAsia="Book Antiqua" w:hAnsi="Book Antiqua" w:cs="Book Antiqua"/>
          <w:color w:val="000000"/>
        </w:rPr>
        <w:t>Jeollanam</w:t>
      </w:r>
      <w:proofErr w:type="spellEnd"/>
      <w:r>
        <w:rPr>
          <w:rFonts w:ascii="Book Antiqua" w:eastAsia="Book Antiqua" w:hAnsi="Book Antiqua" w:cs="Book Antiqua"/>
          <w:color w:val="000000"/>
        </w:rPr>
        <w:t>-do, South Korea</w:t>
      </w:r>
    </w:p>
    <w:p w14:paraId="1C932822" w14:textId="77777777" w:rsidR="00A77B3E" w:rsidRDefault="00A77B3E">
      <w:pPr>
        <w:spacing w:line="360" w:lineRule="auto"/>
        <w:jc w:val="both"/>
      </w:pPr>
    </w:p>
    <w:p w14:paraId="5477643C" w14:textId="77777777" w:rsidR="00A77B3E" w:rsidRDefault="003E73B5">
      <w:pPr>
        <w:spacing w:line="360" w:lineRule="auto"/>
        <w:jc w:val="both"/>
      </w:pPr>
      <w:r>
        <w:rPr>
          <w:rFonts w:ascii="Book Antiqua" w:eastAsia="Book Antiqua" w:hAnsi="Book Antiqua" w:cs="Book Antiqua"/>
          <w:b/>
          <w:bCs/>
          <w:color w:val="000000"/>
        </w:rPr>
        <w:t xml:space="preserve">Jong </w:t>
      </w:r>
      <w:proofErr w:type="spellStart"/>
      <w:r>
        <w:rPr>
          <w:rFonts w:ascii="Book Antiqua" w:eastAsia="Book Antiqua" w:hAnsi="Book Antiqua" w:cs="Book Antiqua"/>
          <w:b/>
          <w:bCs/>
          <w:color w:val="000000"/>
        </w:rPr>
        <w:t>Hee</w:t>
      </w:r>
      <w:proofErr w:type="spellEnd"/>
      <w:r>
        <w:rPr>
          <w:rFonts w:ascii="Book Antiqua" w:eastAsia="Book Antiqua" w:hAnsi="Book Antiqua" w:cs="Book Antiqua"/>
          <w:b/>
          <w:bCs/>
          <w:color w:val="000000"/>
        </w:rPr>
        <w:t xml:space="preserve"> Shin, </w:t>
      </w:r>
      <w:r>
        <w:rPr>
          <w:rFonts w:ascii="Book Antiqua" w:eastAsia="Book Antiqua" w:hAnsi="Book Antiqua" w:cs="Book Antiqua"/>
          <w:color w:val="000000"/>
        </w:rPr>
        <w:t>Department of Laboratory Medicine, Chonnam National University Hospital, Gwangju 61469, South Korea</w:t>
      </w:r>
    </w:p>
    <w:p w14:paraId="034D415E" w14:textId="77777777" w:rsidR="00A77B3E" w:rsidRDefault="00A77B3E">
      <w:pPr>
        <w:spacing w:line="360" w:lineRule="auto"/>
        <w:jc w:val="both"/>
      </w:pPr>
    </w:p>
    <w:p w14:paraId="45D17862" w14:textId="3433F9E9" w:rsidR="00A77B3E" w:rsidRDefault="003E73B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Won EJ conceived of the study, participated in the study design and data analysis, and was responsible for writing and submission of the final manuscript; Kim MJ and Lee YJ carried out the experimental studies; Chung MW, Cho SB,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Y, Yun YW and Kim MJ analyzed and interpreted the data; Yun YW interpreted the statistical data; Hwang JE, Bae WK, Chung IJ, Shin MG</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and Shin JH were responsible for patient care and sample acquisition; All authors were involved in drafting the article or revising it critically for important intellectual content, and all authors approved the final version to be published.</w:t>
      </w:r>
    </w:p>
    <w:p w14:paraId="10041B27" w14:textId="77777777" w:rsidR="00A77B3E" w:rsidRDefault="00A77B3E">
      <w:pPr>
        <w:spacing w:line="360" w:lineRule="auto"/>
        <w:jc w:val="both"/>
      </w:pPr>
    </w:p>
    <w:p w14:paraId="08925F98" w14:textId="4116AC37" w:rsidR="00A77B3E" w:rsidRDefault="003E73B5">
      <w:pPr>
        <w:spacing w:line="360" w:lineRule="auto"/>
        <w:jc w:val="both"/>
      </w:pPr>
      <w:r>
        <w:rPr>
          <w:rFonts w:ascii="Book Antiqua" w:eastAsia="Book Antiqua" w:hAnsi="Book Antiqua" w:cs="Book Antiqua"/>
          <w:b/>
          <w:bCs/>
          <w:color w:val="000000"/>
        </w:rPr>
        <w:t>Supported by</w:t>
      </w:r>
      <w:r w:rsidR="007B49F1">
        <w:rPr>
          <w:rFonts w:ascii="Book Antiqua" w:eastAsia="Book Antiqua" w:hAnsi="Book Antiqua" w:cs="Book Antiqua"/>
          <w:color w:val="000000"/>
        </w:rPr>
        <w:t xml:space="preserve"> </w:t>
      </w:r>
      <w:r>
        <w:rPr>
          <w:rFonts w:ascii="Book Antiqua" w:eastAsia="Book Antiqua" w:hAnsi="Book Antiqua" w:cs="Book Antiqua"/>
          <w:color w:val="000000"/>
        </w:rPr>
        <w:t>the National Research Foundation of Korea (NRF) Grant funded by the Ministry of Education, Science, and Technology</w:t>
      </w:r>
      <w:r w:rsidR="007B49F1">
        <w:rPr>
          <w:rFonts w:ascii="Book Antiqua" w:eastAsia="Book Antiqua" w:hAnsi="Book Antiqua" w:cs="Book Antiqua"/>
          <w:color w:val="000000"/>
        </w:rPr>
        <w:t xml:space="preserve">, </w:t>
      </w:r>
      <w:r w:rsidRPr="007B49F1">
        <w:rPr>
          <w:rFonts w:ascii="Book Antiqua" w:eastAsia="Book Antiqua" w:hAnsi="Book Antiqua" w:cs="Book Antiqua"/>
          <w:caps/>
          <w:color w:val="000000"/>
        </w:rPr>
        <w:t>n</w:t>
      </w:r>
      <w:r>
        <w:rPr>
          <w:rFonts w:ascii="Book Antiqua" w:eastAsia="Book Antiqua" w:hAnsi="Book Antiqua" w:cs="Book Antiqua"/>
          <w:color w:val="000000"/>
        </w:rPr>
        <w:t xml:space="preserve">o. NRF-2019R1C1C1004605, </w:t>
      </w:r>
      <w:r w:rsidR="007B49F1" w:rsidRPr="007B49F1">
        <w:rPr>
          <w:rFonts w:ascii="Book Antiqua" w:eastAsia="Book Antiqua" w:hAnsi="Book Antiqua" w:cs="Book Antiqua"/>
          <w:caps/>
          <w:color w:val="000000"/>
        </w:rPr>
        <w:t>n</w:t>
      </w:r>
      <w:r w:rsidR="007B49F1">
        <w:rPr>
          <w:rFonts w:ascii="Book Antiqua" w:eastAsia="Book Antiqua" w:hAnsi="Book Antiqua" w:cs="Book Antiqua"/>
          <w:color w:val="000000"/>
        </w:rPr>
        <w:t xml:space="preserve">o. </w:t>
      </w:r>
      <w:r>
        <w:rPr>
          <w:rFonts w:ascii="Book Antiqua" w:eastAsia="Book Antiqua" w:hAnsi="Book Antiqua" w:cs="Book Antiqua"/>
          <w:color w:val="000000"/>
        </w:rPr>
        <w:t xml:space="preserve">NRF-2019M3E5D1A02067953, and </w:t>
      </w:r>
      <w:r w:rsidR="007B49F1" w:rsidRPr="007B49F1">
        <w:rPr>
          <w:rFonts w:ascii="Book Antiqua" w:eastAsia="Book Antiqua" w:hAnsi="Book Antiqua" w:cs="Book Antiqua"/>
          <w:caps/>
          <w:color w:val="000000"/>
        </w:rPr>
        <w:t>n</w:t>
      </w:r>
      <w:r w:rsidR="007B49F1">
        <w:rPr>
          <w:rFonts w:ascii="Book Antiqua" w:eastAsia="Book Antiqua" w:hAnsi="Book Antiqua" w:cs="Book Antiqua"/>
          <w:color w:val="000000"/>
        </w:rPr>
        <w:t>o. NRF-2021M3E5D1A0201518021</w:t>
      </w:r>
      <w:r>
        <w:rPr>
          <w:rFonts w:ascii="Book Antiqua" w:eastAsia="Book Antiqua" w:hAnsi="Book Antiqua" w:cs="Book Antiqua"/>
          <w:color w:val="000000"/>
        </w:rPr>
        <w:t>.</w:t>
      </w:r>
    </w:p>
    <w:p w14:paraId="7269F513" w14:textId="77777777" w:rsidR="00A77B3E" w:rsidRDefault="00A77B3E">
      <w:pPr>
        <w:spacing w:line="360" w:lineRule="auto"/>
        <w:jc w:val="both"/>
      </w:pPr>
    </w:p>
    <w:p w14:paraId="65EBD635" w14:textId="77777777" w:rsidR="00A77B3E" w:rsidRDefault="003E73B5">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Won, MD, PhD, Professor, </w:t>
      </w:r>
      <w:r>
        <w:rPr>
          <w:rFonts w:ascii="Book Antiqua" w:eastAsia="Book Antiqua" w:hAnsi="Book Antiqua" w:cs="Book Antiqua"/>
          <w:color w:val="000000"/>
        </w:rPr>
        <w:t xml:space="preserve">Department of Parasitology and Tropical Medicine, Chonnam National University Medical School, 322, </w:t>
      </w:r>
      <w:proofErr w:type="spellStart"/>
      <w:r>
        <w:rPr>
          <w:rFonts w:ascii="Book Antiqua" w:eastAsia="Book Antiqua" w:hAnsi="Book Antiqua" w:cs="Book Antiqua"/>
          <w:color w:val="000000"/>
        </w:rPr>
        <w:t>Seoyang-ro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Hwasun-eup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Hwasun</w:t>
      </w:r>
      <w:proofErr w:type="spellEnd"/>
      <w:r>
        <w:rPr>
          <w:rFonts w:ascii="Book Antiqua" w:eastAsia="Book Antiqua" w:hAnsi="Book Antiqua" w:cs="Book Antiqua"/>
          <w:color w:val="000000"/>
        </w:rPr>
        <w:t xml:space="preserve"> 58128, </w:t>
      </w:r>
      <w:proofErr w:type="spellStart"/>
      <w:r>
        <w:rPr>
          <w:rFonts w:ascii="Book Antiqua" w:eastAsia="Book Antiqua" w:hAnsi="Book Antiqua" w:cs="Book Antiqua"/>
          <w:color w:val="000000"/>
        </w:rPr>
        <w:t>Jeollanam</w:t>
      </w:r>
      <w:proofErr w:type="spellEnd"/>
      <w:r>
        <w:rPr>
          <w:rFonts w:ascii="Book Antiqua" w:eastAsia="Book Antiqua" w:hAnsi="Book Antiqua" w:cs="Book Antiqua"/>
          <w:color w:val="000000"/>
        </w:rPr>
        <w:t>-do, South Korea. parasite.woni@jnu.ac.kr</w:t>
      </w:r>
    </w:p>
    <w:p w14:paraId="23859648" w14:textId="77777777" w:rsidR="00A77B3E" w:rsidRDefault="00A77B3E">
      <w:pPr>
        <w:spacing w:line="360" w:lineRule="auto"/>
        <w:jc w:val="both"/>
      </w:pPr>
    </w:p>
    <w:p w14:paraId="56E318A1" w14:textId="77777777" w:rsidR="00A77B3E" w:rsidRDefault="003E73B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20, 2021</w:t>
      </w:r>
    </w:p>
    <w:p w14:paraId="6134B579" w14:textId="77777777" w:rsidR="00A77B3E" w:rsidRDefault="003E73B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18, 2021</w:t>
      </w:r>
    </w:p>
    <w:p w14:paraId="3E22CCC2" w14:textId="1B88DE99" w:rsidR="00A77B3E" w:rsidRPr="00986B9B" w:rsidRDefault="003E73B5">
      <w:pPr>
        <w:spacing w:line="360" w:lineRule="auto"/>
        <w:jc w:val="both"/>
      </w:pPr>
      <w:r>
        <w:rPr>
          <w:rFonts w:ascii="Book Antiqua" w:eastAsia="Book Antiqua" w:hAnsi="Book Antiqua" w:cs="Book Antiqua"/>
          <w:b/>
          <w:bCs/>
          <w:color w:val="000000"/>
        </w:rPr>
        <w:t xml:space="preserve">Accepted: </w:t>
      </w:r>
      <w:r w:rsidR="001A2E78" w:rsidRPr="00986B9B">
        <w:rPr>
          <w:rFonts w:ascii="Book Antiqua" w:eastAsia="Book Antiqua" w:hAnsi="Book Antiqua" w:cs="Book Antiqua"/>
          <w:bCs/>
          <w:color w:val="000000"/>
        </w:rPr>
        <w:t>November 3, 2021</w:t>
      </w:r>
    </w:p>
    <w:p w14:paraId="5815F43C" w14:textId="509147A4" w:rsidR="00A77B3E" w:rsidRDefault="003E73B5">
      <w:pPr>
        <w:spacing w:line="360" w:lineRule="auto"/>
        <w:jc w:val="both"/>
      </w:pPr>
      <w:r>
        <w:rPr>
          <w:rFonts w:ascii="Book Antiqua" w:eastAsia="Book Antiqua" w:hAnsi="Book Antiqua" w:cs="Book Antiqua"/>
          <w:b/>
          <w:bCs/>
          <w:color w:val="000000"/>
        </w:rPr>
        <w:t xml:space="preserve">Published online: </w:t>
      </w:r>
      <w:r w:rsidR="00B5794A" w:rsidRPr="00623FDC">
        <w:rPr>
          <w:rFonts w:ascii="Book Antiqua" w:eastAsia="Book Antiqua" w:hAnsi="Book Antiqua" w:cs="Book Antiqua"/>
          <w:bCs/>
          <w:color w:val="000000"/>
        </w:rPr>
        <w:t xml:space="preserve">November </w:t>
      </w:r>
      <w:r w:rsidR="00B5794A">
        <w:rPr>
          <w:rFonts w:ascii="Book Antiqua" w:hAnsi="Book Antiqua" w:cs="Book Antiqua" w:hint="eastAsia"/>
          <w:bCs/>
          <w:color w:val="000000"/>
          <w:lang w:eastAsia="zh-CN"/>
        </w:rPr>
        <w:t>14</w:t>
      </w:r>
      <w:r w:rsidR="00B5794A" w:rsidRPr="00623FDC">
        <w:rPr>
          <w:rFonts w:ascii="Book Antiqua" w:hAnsi="Book Antiqua" w:cs="Book Antiqua" w:hint="eastAsia"/>
          <w:bCs/>
          <w:color w:val="000000"/>
          <w:lang w:eastAsia="zh-CN"/>
        </w:rPr>
        <w:t>, 2021</w:t>
      </w:r>
    </w:p>
    <w:p w14:paraId="5D477FC1" w14:textId="77777777" w:rsidR="00A77B3E" w:rsidRDefault="00A77B3E">
      <w:pPr>
        <w:spacing w:line="360" w:lineRule="auto"/>
        <w:jc w:val="both"/>
      </w:pPr>
    </w:p>
    <w:p w14:paraId="633812E6" w14:textId="77777777" w:rsidR="00362132" w:rsidRDefault="00362132">
      <w:pPr>
        <w:spacing w:line="360" w:lineRule="auto"/>
        <w:jc w:val="both"/>
      </w:pPr>
    </w:p>
    <w:p w14:paraId="3C8E38C2" w14:textId="77777777" w:rsidR="00362132" w:rsidRDefault="00362132">
      <w:pPr>
        <w:spacing w:line="360" w:lineRule="auto"/>
        <w:jc w:val="both"/>
        <w:sectPr w:rsidR="00362132">
          <w:footerReference w:type="default" r:id="rId7"/>
          <w:pgSz w:w="12240" w:h="15840"/>
          <w:pgMar w:top="1440" w:right="1440" w:bottom="1440" w:left="1440" w:header="720" w:footer="720" w:gutter="0"/>
          <w:cols w:space="720"/>
          <w:docGrid w:linePitch="360"/>
        </w:sectPr>
      </w:pPr>
    </w:p>
    <w:p w14:paraId="1AFD06C7" w14:textId="77777777" w:rsidR="00A77B3E" w:rsidRDefault="003E73B5">
      <w:pPr>
        <w:spacing w:line="360" w:lineRule="auto"/>
        <w:jc w:val="both"/>
      </w:pPr>
      <w:r>
        <w:rPr>
          <w:rFonts w:ascii="Book Antiqua" w:eastAsia="Book Antiqua" w:hAnsi="Book Antiqua" w:cs="Book Antiqua"/>
          <w:b/>
          <w:color w:val="000000"/>
        </w:rPr>
        <w:lastRenderedPageBreak/>
        <w:t>Abstract</w:t>
      </w:r>
    </w:p>
    <w:p w14:paraId="77F9B6D6" w14:textId="77777777" w:rsidR="00A77B3E" w:rsidRDefault="003E73B5">
      <w:pPr>
        <w:spacing w:line="360" w:lineRule="auto"/>
        <w:jc w:val="both"/>
      </w:pPr>
      <w:r>
        <w:rPr>
          <w:rFonts w:ascii="Book Antiqua" w:eastAsia="Book Antiqua" w:hAnsi="Book Antiqua" w:cs="Book Antiqua"/>
          <w:color w:val="000000"/>
        </w:rPr>
        <w:t>BACKGROUND</w:t>
      </w:r>
    </w:p>
    <w:p w14:paraId="41E838F0" w14:textId="77777777" w:rsidR="00A77B3E" w:rsidRDefault="003E73B5">
      <w:pPr>
        <w:spacing w:line="360" w:lineRule="auto"/>
        <w:jc w:val="both"/>
      </w:pPr>
      <w:r>
        <w:rPr>
          <w:rFonts w:ascii="Book Antiqua" w:eastAsia="Book Antiqua" w:hAnsi="Book Antiqua" w:cs="Book Antiqua"/>
          <w:color w:val="000000"/>
        </w:rPr>
        <w:t xml:space="preserve">Immunotherapy has revolutionized the clinical outcomes of intractable cancer patients. Little is known about the intestinal nonpathogenic bacterial composition of hepatocellular carcinoma (HCC) patients treated by immunotherapy. </w:t>
      </w:r>
    </w:p>
    <w:p w14:paraId="04DD1925" w14:textId="77777777" w:rsidR="00A77B3E" w:rsidRDefault="00A77B3E">
      <w:pPr>
        <w:spacing w:line="360" w:lineRule="auto"/>
        <w:jc w:val="both"/>
      </w:pPr>
    </w:p>
    <w:p w14:paraId="311A5EA2" w14:textId="77777777" w:rsidR="00A77B3E" w:rsidRDefault="003E73B5">
      <w:pPr>
        <w:spacing w:line="360" w:lineRule="auto"/>
        <w:jc w:val="both"/>
      </w:pPr>
      <w:r>
        <w:rPr>
          <w:rFonts w:ascii="Book Antiqua" w:eastAsia="Book Antiqua" w:hAnsi="Book Antiqua" w:cs="Book Antiqua"/>
          <w:color w:val="000000"/>
        </w:rPr>
        <w:t>AIM</w:t>
      </w:r>
    </w:p>
    <w:p w14:paraId="5BAD3D8C" w14:textId="77777777" w:rsidR="00A77B3E" w:rsidRDefault="003E73B5">
      <w:pPr>
        <w:spacing w:line="360" w:lineRule="auto"/>
        <w:jc w:val="both"/>
      </w:pPr>
      <w:r>
        <w:rPr>
          <w:rFonts w:ascii="Book Antiqua" w:eastAsia="Book Antiqua" w:hAnsi="Book Antiqua" w:cs="Book Antiqua"/>
          <w:color w:val="000000"/>
          <w:szCs w:val="20"/>
        </w:rPr>
        <w:t xml:space="preserve">To determine whether there is a correlation between gut bacterial composition and prognosis in HCC patients. </w:t>
      </w:r>
    </w:p>
    <w:p w14:paraId="201F15C1" w14:textId="77777777" w:rsidR="00A77B3E" w:rsidRDefault="00A77B3E">
      <w:pPr>
        <w:spacing w:line="360" w:lineRule="auto"/>
        <w:jc w:val="both"/>
      </w:pPr>
    </w:p>
    <w:p w14:paraId="6392442F" w14:textId="77777777" w:rsidR="00A77B3E" w:rsidRDefault="003E73B5">
      <w:pPr>
        <w:spacing w:line="360" w:lineRule="auto"/>
        <w:jc w:val="both"/>
      </w:pPr>
      <w:r>
        <w:rPr>
          <w:rFonts w:ascii="Book Antiqua" w:eastAsia="Book Antiqua" w:hAnsi="Book Antiqua" w:cs="Book Antiqua"/>
          <w:color w:val="000000"/>
        </w:rPr>
        <w:t>METHODS</w:t>
      </w:r>
    </w:p>
    <w:p w14:paraId="7D4EAC51" w14:textId="77777777" w:rsidR="00A77B3E" w:rsidRDefault="003E73B5">
      <w:pPr>
        <w:spacing w:line="360" w:lineRule="auto"/>
        <w:jc w:val="both"/>
      </w:pPr>
      <w:r>
        <w:rPr>
          <w:rFonts w:ascii="Book Antiqua" w:eastAsia="Book Antiqua" w:hAnsi="Book Antiqua" w:cs="Book Antiqua"/>
          <w:color w:val="000000"/>
          <w:szCs w:val="20"/>
        </w:rPr>
        <w:t xml:space="preserve">From September 2019 to March 2020, we prospectively collected fecal samples and examined the gut microbiome of 8 advanced HCC patients treated with nivolumab as a second- or third-line systemic treatment. Fecal samples were collected before the start of immunotherapy. Fecal samples of patients with progression during treatment were collected at the time of progression, and fecal samples of patients who showed good response to nivolumab were collected after 5-7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as follow-up. Metagenomic data from 16S ribosomal RNA sequencing were analyzed using </w:t>
      </w:r>
      <w:r w:rsidRPr="00B07354">
        <w:rPr>
          <w:rFonts w:ascii="Book Antiqua" w:eastAsia="Book Antiqua" w:hAnsi="Book Antiqua" w:cs="Book Antiqua"/>
          <w:color w:val="000000"/>
          <w:szCs w:val="20"/>
        </w:rPr>
        <w:t>CLC</w:t>
      </w:r>
      <w:r>
        <w:rPr>
          <w:rFonts w:ascii="Book Antiqua" w:eastAsia="Book Antiqua" w:hAnsi="Book Antiqua" w:cs="Book Antiqua"/>
          <w:color w:val="000000"/>
          <w:szCs w:val="20"/>
        </w:rPr>
        <w:t xml:space="preserve"> Genomics Workbench. Microbiome data were analyzed according to therapeutic response.</w:t>
      </w:r>
    </w:p>
    <w:p w14:paraId="4E35992F" w14:textId="77777777" w:rsidR="00A77B3E" w:rsidRDefault="00A77B3E">
      <w:pPr>
        <w:spacing w:line="360" w:lineRule="auto"/>
        <w:jc w:val="both"/>
      </w:pPr>
    </w:p>
    <w:p w14:paraId="7942805B" w14:textId="77777777" w:rsidR="00A77B3E" w:rsidRDefault="003E73B5">
      <w:pPr>
        <w:spacing w:line="360" w:lineRule="auto"/>
        <w:jc w:val="both"/>
      </w:pPr>
      <w:r>
        <w:rPr>
          <w:rFonts w:ascii="Book Antiqua" w:eastAsia="Book Antiqua" w:hAnsi="Book Antiqua" w:cs="Book Antiqua"/>
          <w:color w:val="000000"/>
        </w:rPr>
        <w:t>RESULTS</w:t>
      </w:r>
    </w:p>
    <w:p w14:paraId="07430C90" w14:textId="77777777" w:rsidR="00A77B3E" w:rsidRDefault="003E73B5">
      <w:pPr>
        <w:spacing w:line="360" w:lineRule="auto"/>
        <w:jc w:val="both"/>
      </w:pPr>
      <w:r>
        <w:rPr>
          <w:rFonts w:ascii="Book Antiqua" w:eastAsia="Book Antiqua" w:hAnsi="Book Antiqua" w:cs="Book Antiqua"/>
          <w:color w:val="000000"/>
          <w:szCs w:val="20"/>
        </w:rPr>
        <w:t>All 8 patients were male, of which 6 had underlying chronic hepatitis B. A higher Shannon index was found in the responders than in the non-responders after nivolumab therapy (</w:t>
      </w:r>
      <w:r>
        <w:rPr>
          <w:rFonts w:ascii="Book Antiqua" w:eastAsia="Book Antiqua" w:hAnsi="Book Antiqua" w:cs="Book Antiqua"/>
          <w:i/>
          <w:iCs/>
          <w:color w:val="000000"/>
          <w:szCs w:val="20"/>
        </w:rPr>
        <w:t>P</w:t>
      </w:r>
      <w:r>
        <w:rPr>
          <w:rFonts w:ascii="Book Antiqua" w:eastAsia="Book Antiqua" w:hAnsi="Book Antiqua" w:cs="Book Antiqua"/>
          <w:color w:val="000000"/>
          <w:szCs w:val="20"/>
        </w:rPr>
        <w:t xml:space="preserve"> = 0.036). The unweighted beta diversity analysis also showed that the overall bacterial community structure and phylogenetic diversity were clearly distinguished according to therapeutic response. There was no significant difference in the diversity or composition of the patient gut microbiome according to the immunotherapy used. Several taxa specific to therapeutic response were designated as follows: </w:t>
      </w:r>
      <w:proofErr w:type="spellStart"/>
      <w:r>
        <w:rPr>
          <w:rFonts w:ascii="Book Antiqua" w:eastAsia="Book Antiqua" w:hAnsi="Book Antiqua" w:cs="Book Antiqua"/>
          <w:i/>
          <w:iCs/>
          <w:color w:val="000000"/>
          <w:szCs w:val="20"/>
        </w:rPr>
        <w:t>Dialister</w:t>
      </w:r>
      <w:proofErr w:type="spellEnd"/>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pneumosintes</w:t>
      </w:r>
      <w:proofErr w:type="spellEnd"/>
      <w:r>
        <w:rPr>
          <w:rFonts w:ascii="Book Antiqua" w:eastAsia="Book Antiqua" w:hAnsi="Book Antiqua" w:cs="Book Antiqua"/>
          <w:i/>
          <w:iCs/>
          <w:color w:val="000000"/>
          <w:szCs w:val="20"/>
        </w:rPr>
        <w:t xml:space="preserve">, Escherichia coli, Lactobacillus </w:t>
      </w:r>
      <w:proofErr w:type="spellStart"/>
      <w:r>
        <w:rPr>
          <w:rFonts w:ascii="Book Antiqua" w:eastAsia="Book Antiqua" w:hAnsi="Book Antiqua" w:cs="Book Antiqua"/>
          <w:i/>
          <w:iCs/>
          <w:color w:val="000000"/>
          <w:szCs w:val="20"/>
        </w:rPr>
        <w:t>reteri</w:t>
      </w:r>
      <w:proofErr w:type="spellEnd"/>
      <w:r>
        <w:rPr>
          <w:rFonts w:ascii="Book Antiqua" w:eastAsia="Book Antiqua" w:hAnsi="Book Antiqua" w:cs="Book Antiqua"/>
          <w:i/>
          <w:iCs/>
          <w:color w:val="000000"/>
          <w:szCs w:val="20"/>
        </w:rPr>
        <w:t xml:space="preserve">, Streptococcus </w:t>
      </w:r>
      <w:proofErr w:type="spellStart"/>
      <w:r>
        <w:rPr>
          <w:rFonts w:ascii="Book Antiqua" w:eastAsia="Book Antiqua" w:hAnsi="Book Antiqua" w:cs="Book Antiqua"/>
          <w:i/>
          <w:iCs/>
          <w:color w:val="000000"/>
          <w:szCs w:val="20"/>
        </w:rPr>
        <w:t>mutans</w:t>
      </w:r>
      <w:proofErr w:type="spellEnd"/>
      <w:r>
        <w:rPr>
          <w:rFonts w:ascii="Book Antiqua" w:eastAsia="Book Antiqua" w:hAnsi="Book Antiqua" w:cs="Book Antiqua"/>
          <w:i/>
          <w:iCs/>
          <w:color w:val="000000"/>
          <w:szCs w:val="20"/>
        </w:rPr>
        <w:t xml:space="preserve">, </w:t>
      </w:r>
      <w:r>
        <w:rPr>
          <w:rFonts w:ascii="Book Antiqua" w:eastAsia="Book Antiqua" w:hAnsi="Book Antiqua" w:cs="Book Antiqua"/>
          <w:i/>
          <w:iCs/>
          <w:color w:val="000000"/>
          <w:szCs w:val="20"/>
        </w:rPr>
        <w:lastRenderedPageBreak/>
        <w:t xml:space="preserve">Enterococcus </w:t>
      </w:r>
      <w:proofErr w:type="spellStart"/>
      <w:r>
        <w:rPr>
          <w:rFonts w:ascii="Book Antiqua" w:eastAsia="Book Antiqua" w:hAnsi="Book Antiqua" w:cs="Book Antiqua"/>
          <w:i/>
          <w:iCs/>
          <w:color w:val="000000"/>
          <w:szCs w:val="20"/>
        </w:rPr>
        <w:t>faecium</w:t>
      </w:r>
      <w:proofErr w:type="spellEnd"/>
      <w:r>
        <w:rPr>
          <w:rFonts w:ascii="Book Antiqua" w:eastAsia="Book Antiqua" w:hAnsi="Book Antiqua" w:cs="Book Antiqua"/>
          <w:i/>
          <w:iCs/>
          <w:color w:val="000000"/>
          <w:szCs w:val="20"/>
        </w:rPr>
        <w:t xml:space="preserve">, Streptococcus </w:t>
      </w:r>
      <w:proofErr w:type="spellStart"/>
      <w:r>
        <w:rPr>
          <w:rFonts w:ascii="Book Antiqua" w:eastAsia="Book Antiqua" w:hAnsi="Book Antiqua" w:cs="Book Antiqua"/>
          <w:i/>
          <w:iCs/>
          <w:color w:val="000000"/>
          <w:szCs w:val="20"/>
        </w:rPr>
        <w:t>gordonii</w:t>
      </w:r>
      <w:proofErr w:type="spellEnd"/>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Veillonella</w:t>
      </w:r>
      <w:proofErr w:type="spellEnd"/>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atypica</w:t>
      </w:r>
      <w:proofErr w:type="spellEnd"/>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Granulicatella</w:t>
      </w:r>
      <w:proofErr w:type="spellEnd"/>
      <w:r>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sp.,</w:t>
      </w:r>
      <w:r>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and</w:t>
      </w:r>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Trchuris</w:t>
      </w:r>
      <w:proofErr w:type="spellEnd"/>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trichiura</w:t>
      </w:r>
      <w:proofErr w:type="spellEnd"/>
      <w:r>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 xml:space="preserve">for the non-responders; </w:t>
      </w:r>
      <w:proofErr w:type="spellStart"/>
      <w:r>
        <w:rPr>
          <w:rFonts w:ascii="Book Antiqua" w:eastAsia="Book Antiqua" w:hAnsi="Book Antiqua" w:cs="Book Antiqua"/>
          <w:i/>
          <w:iCs/>
          <w:color w:val="000000"/>
          <w:szCs w:val="20"/>
        </w:rPr>
        <w:t>Citrobacter</w:t>
      </w:r>
      <w:proofErr w:type="spellEnd"/>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freundii</w:t>
      </w:r>
      <w:proofErr w:type="spellEnd"/>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Azospirillum</w:t>
      </w:r>
      <w:proofErr w:type="spellEnd"/>
      <w:r>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sp.</w:t>
      </w:r>
      <w:r>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 xml:space="preserve">and </w:t>
      </w:r>
      <w:r>
        <w:rPr>
          <w:rFonts w:ascii="Book Antiqua" w:eastAsia="Book Antiqua" w:hAnsi="Book Antiqua" w:cs="Book Antiqua"/>
          <w:i/>
          <w:iCs/>
          <w:color w:val="000000"/>
          <w:szCs w:val="20"/>
        </w:rPr>
        <w:t xml:space="preserve">Enterococcus </w:t>
      </w:r>
      <w:proofErr w:type="spellStart"/>
      <w:r>
        <w:rPr>
          <w:rFonts w:ascii="Book Antiqua" w:eastAsia="Book Antiqua" w:hAnsi="Book Antiqua" w:cs="Book Antiqua"/>
          <w:i/>
          <w:iCs/>
          <w:color w:val="000000"/>
          <w:szCs w:val="20"/>
        </w:rPr>
        <w:t>durans</w:t>
      </w:r>
      <w:proofErr w:type="spellEnd"/>
      <w:r>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 xml:space="preserve">for the responders. Of note, a skewed </w:t>
      </w:r>
      <w:r>
        <w:rPr>
          <w:rFonts w:ascii="Book Antiqua" w:eastAsia="Book Antiqua" w:hAnsi="Book Antiqua" w:cs="Book Antiqua"/>
          <w:i/>
          <w:iCs/>
          <w:color w:val="000000"/>
          <w:szCs w:val="20"/>
        </w:rPr>
        <w:t>Firmicutes/Bacteroidetes</w:t>
      </w:r>
      <w:r>
        <w:rPr>
          <w:rFonts w:ascii="Book Antiqua" w:eastAsia="Book Antiqua" w:hAnsi="Book Antiqua" w:cs="Book Antiqua"/>
          <w:color w:val="000000"/>
          <w:szCs w:val="20"/>
        </w:rPr>
        <w:t xml:space="preserve"> ratio and a low </w:t>
      </w:r>
      <w:proofErr w:type="spellStart"/>
      <w:r>
        <w:rPr>
          <w:rFonts w:ascii="Book Antiqua" w:eastAsia="Book Antiqua" w:hAnsi="Book Antiqua" w:cs="Book Antiqua"/>
          <w:i/>
          <w:iCs/>
          <w:color w:val="000000"/>
          <w:szCs w:val="20"/>
        </w:rPr>
        <w:t>Prevotella</w:t>
      </w:r>
      <w:proofErr w:type="spellEnd"/>
      <w:r>
        <w:rPr>
          <w:rFonts w:ascii="Book Antiqua" w:eastAsia="Book Antiqua" w:hAnsi="Book Antiqua" w:cs="Book Antiqua"/>
          <w:i/>
          <w:iCs/>
          <w:color w:val="000000"/>
          <w:szCs w:val="20"/>
        </w:rPr>
        <w:t>/</w:t>
      </w:r>
      <w:proofErr w:type="spellStart"/>
      <w:r>
        <w:rPr>
          <w:rFonts w:ascii="Book Antiqua" w:eastAsia="Book Antiqua" w:hAnsi="Book Antiqua" w:cs="Book Antiqua"/>
          <w:i/>
          <w:iCs/>
          <w:color w:val="000000"/>
          <w:szCs w:val="20"/>
        </w:rPr>
        <w:t>Bacteroides</w:t>
      </w:r>
      <w:proofErr w:type="spellEnd"/>
      <w:r>
        <w:rPr>
          <w:rFonts w:ascii="Book Antiqua" w:eastAsia="Book Antiqua" w:hAnsi="Book Antiqua" w:cs="Book Antiqua"/>
          <w:color w:val="000000"/>
          <w:szCs w:val="20"/>
        </w:rPr>
        <w:t xml:space="preserve"> ratio can serve as predictive markers of non-response, whereas the presence of </w:t>
      </w:r>
      <w:proofErr w:type="spellStart"/>
      <w:r>
        <w:rPr>
          <w:rFonts w:ascii="Book Antiqua" w:eastAsia="Book Antiqua" w:hAnsi="Book Antiqua" w:cs="Book Antiqua"/>
          <w:i/>
          <w:iCs/>
          <w:color w:val="000000"/>
          <w:szCs w:val="20"/>
        </w:rPr>
        <w:t>Akkermansia</w:t>
      </w:r>
      <w:proofErr w:type="spellEnd"/>
      <w:r>
        <w:rPr>
          <w:rFonts w:ascii="Book Antiqua" w:eastAsia="Book Antiqua" w:hAnsi="Book Antiqua" w:cs="Book Antiqua"/>
          <w:color w:val="000000"/>
          <w:szCs w:val="20"/>
        </w:rPr>
        <w:t xml:space="preserve"> species predicts a good response.</w:t>
      </w:r>
    </w:p>
    <w:p w14:paraId="32459A33" w14:textId="77777777" w:rsidR="00A77B3E" w:rsidRDefault="00A77B3E">
      <w:pPr>
        <w:spacing w:line="360" w:lineRule="auto"/>
        <w:jc w:val="both"/>
      </w:pPr>
    </w:p>
    <w:p w14:paraId="33395E9C" w14:textId="77777777" w:rsidR="00A77B3E" w:rsidRDefault="003E73B5">
      <w:pPr>
        <w:spacing w:line="360" w:lineRule="auto"/>
        <w:jc w:val="both"/>
      </w:pPr>
      <w:r>
        <w:rPr>
          <w:rFonts w:ascii="Book Antiqua" w:eastAsia="Book Antiqua" w:hAnsi="Book Antiqua" w:cs="Book Antiqua"/>
          <w:color w:val="000000"/>
        </w:rPr>
        <w:t>CONCLUSION</w:t>
      </w:r>
    </w:p>
    <w:p w14:paraId="3AEF5679" w14:textId="77777777" w:rsidR="00A77B3E" w:rsidRDefault="003E73B5">
      <w:pPr>
        <w:spacing w:line="360" w:lineRule="auto"/>
        <w:jc w:val="both"/>
      </w:pPr>
      <w:r>
        <w:rPr>
          <w:rFonts w:ascii="Book Antiqua" w:eastAsia="Book Antiqua" w:hAnsi="Book Antiqua" w:cs="Book Antiqua"/>
          <w:color w:val="000000"/>
          <w:szCs w:val="20"/>
        </w:rPr>
        <w:t>The current presumptive study suggests a potential role for the gut microbiome as a prognostic marker for the response to nivolumab in treatment of HCC patients.</w:t>
      </w:r>
    </w:p>
    <w:p w14:paraId="0AD52498" w14:textId="77777777" w:rsidR="00A77B3E" w:rsidRDefault="00A77B3E">
      <w:pPr>
        <w:spacing w:line="360" w:lineRule="auto"/>
        <w:jc w:val="both"/>
      </w:pPr>
    </w:p>
    <w:p w14:paraId="2DE99D62" w14:textId="1323C192" w:rsidR="00A77B3E" w:rsidRDefault="003E73B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Microbiome;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w:t>
      </w:r>
      <w:proofErr w:type="spellStart"/>
      <w:r w:rsidR="00D27F15" w:rsidRPr="00D27F15">
        <w:rPr>
          <w:rFonts w:ascii="Book Antiqua" w:eastAsia="Book Antiqua" w:hAnsi="Book Antiqua" w:cs="Book Antiqua"/>
          <w:i/>
          <w:color w:val="000000"/>
        </w:rPr>
        <w:t>Firmicutes</w:t>
      </w:r>
      <w:proofErr w:type="spellEnd"/>
      <w:r w:rsidR="00D27F15">
        <w:rPr>
          <w:rFonts w:ascii="Book Antiqua" w:eastAsia="Book Antiqua" w:hAnsi="Book Antiqua" w:cs="Book Antiqua"/>
          <w:color w:val="000000"/>
        </w:rPr>
        <w:t>/</w:t>
      </w:r>
      <w:proofErr w:type="spellStart"/>
      <w:r w:rsidR="00D27F15" w:rsidRPr="00D27F15">
        <w:rPr>
          <w:rFonts w:ascii="Book Antiqua" w:eastAsia="Book Antiqua" w:hAnsi="Book Antiqua" w:cs="Book Antiqua"/>
          <w:i/>
          <w:color w:val="000000"/>
        </w:rPr>
        <w:t>Bacteroidetes</w:t>
      </w:r>
      <w:proofErr w:type="spellEnd"/>
      <w:r w:rsidR="00D27F15" w:rsidRPr="00D27F15">
        <w:rPr>
          <w:rFonts w:ascii="Book Antiqua" w:eastAsia="Book Antiqua" w:hAnsi="Book Antiqua" w:cs="Book Antiqua"/>
          <w:i/>
          <w:color w:val="000000"/>
        </w:rPr>
        <w:t xml:space="preserve"> </w:t>
      </w:r>
      <w:r w:rsidR="00D27F15">
        <w:rPr>
          <w:rFonts w:ascii="Book Antiqua" w:eastAsia="Book Antiqua" w:hAnsi="Book Antiqua" w:cs="Book Antiqua"/>
          <w:color w:val="000000"/>
        </w:rPr>
        <w:t xml:space="preserve">ratio; </w:t>
      </w:r>
      <w:proofErr w:type="spellStart"/>
      <w:r w:rsidR="00D27F15" w:rsidRPr="00D27F15">
        <w:rPr>
          <w:rFonts w:ascii="Book Antiqua" w:eastAsia="Book Antiqua" w:hAnsi="Book Antiqua" w:cs="Book Antiqua"/>
          <w:i/>
          <w:color w:val="000000"/>
        </w:rPr>
        <w:t>Prevotella</w:t>
      </w:r>
      <w:proofErr w:type="spellEnd"/>
      <w:r w:rsidR="00D27F15">
        <w:rPr>
          <w:rFonts w:ascii="Book Antiqua" w:eastAsia="Book Antiqua" w:hAnsi="Book Antiqua" w:cs="Book Antiqua"/>
          <w:color w:val="000000"/>
        </w:rPr>
        <w:t>/</w:t>
      </w:r>
      <w:proofErr w:type="spellStart"/>
      <w:r w:rsidR="00D27F15" w:rsidRPr="00D27F15">
        <w:rPr>
          <w:rFonts w:ascii="Book Antiqua" w:eastAsia="Book Antiqua" w:hAnsi="Book Antiqua" w:cs="Book Antiqua"/>
          <w:i/>
          <w:color w:val="000000"/>
        </w:rPr>
        <w:t>Bacteroides</w:t>
      </w:r>
      <w:proofErr w:type="spellEnd"/>
      <w:r w:rsidR="00D27F15" w:rsidRPr="00D27F15">
        <w:rPr>
          <w:rFonts w:ascii="Book Antiqua" w:eastAsia="Book Antiqua" w:hAnsi="Book Antiqua" w:cs="Book Antiqua"/>
          <w:i/>
          <w:color w:val="000000"/>
        </w:rPr>
        <w:t xml:space="preserve"> </w:t>
      </w:r>
      <w:r w:rsidR="00D27F15">
        <w:rPr>
          <w:rFonts w:ascii="Book Antiqua" w:eastAsia="Book Antiqua" w:hAnsi="Book Antiqua" w:cs="Book Antiqua"/>
          <w:color w:val="000000"/>
        </w:rPr>
        <w:t xml:space="preserve">ratio; </w:t>
      </w:r>
      <w:r>
        <w:rPr>
          <w:rFonts w:ascii="Book Antiqua" w:eastAsia="Book Antiqua" w:hAnsi="Book Antiqua" w:cs="Book Antiqua"/>
          <w:color w:val="000000"/>
        </w:rPr>
        <w:t>Hepatocellular carcinoma; Prognosis</w:t>
      </w:r>
    </w:p>
    <w:p w14:paraId="6DAB051F" w14:textId="77777777" w:rsidR="0025422B" w:rsidRDefault="0025422B" w:rsidP="0025422B">
      <w:pPr>
        <w:spacing w:line="360" w:lineRule="auto"/>
        <w:jc w:val="both"/>
        <w:rPr>
          <w:lang w:eastAsia="zh-CN"/>
        </w:rPr>
      </w:pPr>
    </w:p>
    <w:p w14:paraId="54F05618" w14:textId="77777777" w:rsidR="0025422B" w:rsidRPr="00026CB8" w:rsidRDefault="0025422B" w:rsidP="0025422B">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6477AFC" w14:textId="77777777" w:rsidR="00A77B3E" w:rsidRDefault="00A77B3E">
      <w:pPr>
        <w:spacing w:line="360" w:lineRule="auto"/>
        <w:jc w:val="both"/>
      </w:pPr>
    </w:p>
    <w:p w14:paraId="4687E000" w14:textId="05C300DF" w:rsidR="009A3DCD" w:rsidRDefault="009A3DCD" w:rsidP="0081115E">
      <w:pPr>
        <w:spacing w:line="360" w:lineRule="auto"/>
        <w:jc w:val="both"/>
        <w:rPr>
          <w:rFonts w:ascii="Book Antiqua" w:hAnsi="Book Antiqua" w:cs="Book Antiqua" w:hint="eastAsia"/>
          <w:lang w:eastAsia="zh-CN"/>
        </w:rPr>
      </w:pPr>
      <w:r w:rsidRPr="009A3DCD">
        <w:rPr>
          <w:rFonts w:ascii="Book Antiqua" w:hAnsi="Book Antiqua" w:cs="Book Antiqua" w:hint="eastAsia"/>
          <w:b/>
          <w:color w:val="000000"/>
          <w:lang w:eastAsia="zh-CN"/>
        </w:rPr>
        <w:t xml:space="preserve">Citation: </w:t>
      </w:r>
      <w:r w:rsidR="003E73B5">
        <w:rPr>
          <w:rFonts w:ascii="Book Antiqua" w:eastAsia="Book Antiqua" w:hAnsi="Book Antiqua" w:cs="Book Antiqua"/>
          <w:color w:val="000000"/>
        </w:rPr>
        <w:t xml:space="preserve">Chung MW, Kim MJ, Won EJ, Lee YJ, Yun YW, Cho SB, </w:t>
      </w:r>
      <w:proofErr w:type="spellStart"/>
      <w:r w:rsidR="003E73B5">
        <w:rPr>
          <w:rFonts w:ascii="Book Antiqua" w:eastAsia="Book Antiqua" w:hAnsi="Book Antiqua" w:cs="Book Antiqua"/>
          <w:color w:val="000000"/>
        </w:rPr>
        <w:t>Joo</w:t>
      </w:r>
      <w:proofErr w:type="spellEnd"/>
      <w:r w:rsidR="003E73B5">
        <w:rPr>
          <w:rFonts w:ascii="Book Antiqua" w:eastAsia="Book Antiqua" w:hAnsi="Book Antiqua" w:cs="Book Antiqua"/>
          <w:color w:val="000000"/>
        </w:rPr>
        <w:t xml:space="preserve"> YE, Hwang JE, Bae WK, Chung IJ, Shin MG, Shin JH. Gut microbiome composition can predict the response to nivolumab in advanced hepatocellular carcinoma patients. </w:t>
      </w:r>
      <w:r w:rsidR="003E73B5">
        <w:rPr>
          <w:rFonts w:ascii="Book Antiqua" w:eastAsia="Book Antiqua" w:hAnsi="Book Antiqua" w:cs="Book Antiqua"/>
          <w:i/>
          <w:iCs/>
          <w:color w:val="000000"/>
        </w:rPr>
        <w:t xml:space="preserve">World J </w:t>
      </w:r>
      <w:proofErr w:type="spellStart"/>
      <w:r w:rsidR="003E73B5">
        <w:rPr>
          <w:rFonts w:ascii="Book Antiqua" w:eastAsia="Book Antiqua" w:hAnsi="Book Antiqua" w:cs="Book Antiqua"/>
          <w:i/>
          <w:iCs/>
          <w:color w:val="000000"/>
        </w:rPr>
        <w:t>Gastroenterol</w:t>
      </w:r>
      <w:proofErr w:type="spellEnd"/>
      <w:r w:rsidR="003E73B5">
        <w:rPr>
          <w:rFonts w:ascii="Book Antiqua" w:eastAsia="Book Antiqua" w:hAnsi="Book Antiqua" w:cs="Book Antiqua"/>
          <w:color w:val="000000"/>
        </w:rPr>
        <w:t xml:space="preserve"> </w:t>
      </w:r>
      <w:r w:rsidR="0081115E" w:rsidRPr="0032360E">
        <w:rPr>
          <w:rFonts w:ascii="Book Antiqua" w:eastAsia="Book Antiqua" w:hAnsi="Book Antiqua" w:cs="Book Antiqua"/>
        </w:rPr>
        <w:t>202</w:t>
      </w:r>
      <w:r w:rsidR="0081115E">
        <w:rPr>
          <w:rFonts w:ascii="Book Antiqua" w:hAnsi="Book Antiqua" w:cs="Book Antiqua" w:hint="eastAsia"/>
        </w:rPr>
        <w:t>1</w:t>
      </w:r>
      <w:r w:rsidR="0081115E" w:rsidRPr="0032360E">
        <w:rPr>
          <w:rFonts w:ascii="Book Antiqua" w:eastAsia="Book Antiqua" w:hAnsi="Book Antiqua" w:cs="Book Antiqua"/>
        </w:rPr>
        <w:t>; 2</w:t>
      </w:r>
      <w:r w:rsidR="0081115E">
        <w:rPr>
          <w:rFonts w:ascii="Book Antiqua" w:hAnsi="Book Antiqua" w:cs="Book Antiqua" w:hint="eastAsia"/>
        </w:rPr>
        <w:t>7</w:t>
      </w:r>
      <w:r w:rsidR="0081115E" w:rsidRPr="0032360E">
        <w:rPr>
          <w:rFonts w:ascii="Book Antiqua" w:eastAsia="Book Antiqua" w:hAnsi="Book Antiqua" w:cs="Book Antiqua"/>
        </w:rPr>
        <w:t>(</w:t>
      </w:r>
      <w:r w:rsidR="0081115E">
        <w:rPr>
          <w:rFonts w:ascii="Book Antiqua" w:hAnsi="Book Antiqua" w:cs="Book Antiqua" w:hint="eastAsia"/>
          <w:lang w:eastAsia="zh-CN"/>
        </w:rPr>
        <w:t>42</w:t>
      </w:r>
      <w:r w:rsidR="0081115E" w:rsidRPr="0032360E">
        <w:rPr>
          <w:rFonts w:ascii="Book Antiqua" w:eastAsia="Book Antiqua" w:hAnsi="Book Antiqua" w:cs="Book Antiqua"/>
        </w:rPr>
        <w:t xml:space="preserve">): </w:t>
      </w:r>
      <w:r w:rsidRPr="009A3DCD">
        <w:rPr>
          <w:rFonts w:ascii="Book Antiqua" w:hAnsi="Book Antiqua" w:cs="Book Antiqua"/>
        </w:rPr>
        <w:t>7340-7349</w:t>
      </w:r>
      <w:r w:rsidR="0081115E" w:rsidRPr="0032360E">
        <w:rPr>
          <w:rFonts w:ascii="Book Antiqua" w:eastAsia="Book Antiqua" w:hAnsi="Book Antiqua" w:cs="Book Antiqua"/>
        </w:rPr>
        <w:t xml:space="preserve">  </w:t>
      </w:r>
    </w:p>
    <w:p w14:paraId="28677B6B" w14:textId="77777777" w:rsidR="009A3DCD" w:rsidRDefault="0081115E" w:rsidP="0081115E">
      <w:pPr>
        <w:spacing w:line="360" w:lineRule="auto"/>
        <w:jc w:val="both"/>
        <w:rPr>
          <w:rFonts w:ascii="Book Antiqua" w:hAnsi="Book Antiqua" w:cs="Book Antiqua" w:hint="eastAsia"/>
          <w:lang w:eastAsia="zh-CN"/>
        </w:rPr>
      </w:pPr>
      <w:r w:rsidRPr="009A3DCD">
        <w:rPr>
          <w:rFonts w:ascii="Book Antiqua" w:eastAsia="Book Antiqua" w:hAnsi="Book Antiqua" w:cs="Book Antiqua"/>
          <w:b/>
        </w:rPr>
        <w:t xml:space="preserve">URL: </w:t>
      </w:r>
      <w:r w:rsidRPr="0032360E">
        <w:rPr>
          <w:rFonts w:ascii="Book Antiqua" w:eastAsia="Book Antiqua" w:hAnsi="Book Antiqua" w:cs="Book Antiqua"/>
        </w:rPr>
        <w:t>https://www.wjgnet.com/1007-9327/full/v2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lang w:eastAsia="zh-CN"/>
        </w:rPr>
        <w:t>42</w:t>
      </w:r>
      <w:r w:rsidRPr="0032360E">
        <w:rPr>
          <w:rFonts w:ascii="Book Antiqua" w:eastAsia="Book Antiqua" w:hAnsi="Book Antiqua" w:cs="Book Antiqua"/>
        </w:rPr>
        <w:t>/</w:t>
      </w:r>
      <w:r w:rsidR="009A3DCD" w:rsidRPr="009A3DCD">
        <w:rPr>
          <w:rFonts w:ascii="Book Antiqua" w:hAnsi="Book Antiqua" w:cs="Book Antiqua"/>
        </w:rPr>
        <w:t>7340</w:t>
      </w:r>
      <w:r w:rsidRPr="0032360E">
        <w:rPr>
          <w:rFonts w:ascii="Book Antiqua" w:eastAsia="Book Antiqua" w:hAnsi="Book Antiqua" w:cs="Book Antiqua"/>
        </w:rPr>
        <w:t xml:space="preserve">.htm  </w:t>
      </w:r>
    </w:p>
    <w:p w14:paraId="2E5B7CE5" w14:textId="24F672D7" w:rsidR="00A77B3E" w:rsidRDefault="0081115E" w:rsidP="0081115E">
      <w:pPr>
        <w:spacing w:line="360" w:lineRule="auto"/>
        <w:jc w:val="both"/>
        <w:rPr>
          <w:rFonts w:ascii="Book Antiqua" w:hAnsi="Book Antiqua" w:cs="Book Antiqua"/>
          <w:lang w:eastAsia="zh-CN"/>
        </w:rPr>
      </w:pPr>
      <w:r w:rsidRPr="009A3DCD">
        <w:rPr>
          <w:rFonts w:ascii="Book Antiqua" w:eastAsia="Book Antiqua" w:hAnsi="Book Antiqua" w:cs="Book Antiqua"/>
          <w:b/>
        </w:rPr>
        <w:t xml:space="preserve">DOI: </w:t>
      </w:r>
      <w:r w:rsidRPr="0032360E">
        <w:rPr>
          <w:rFonts w:ascii="Book Antiqua" w:eastAsia="Book Antiqua" w:hAnsi="Book Antiqua" w:cs="Book Antiqua"/>
        </w:rPr>
        <w:t>https://dx.doi.org/10.3748/wjg.v2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lang w:eastAsia="zh-CN"/>
        </w:rPr>
        <w:t>42</w:t>
      </w:r>
      <w:r w:rsidRPr="0032360E">
        <w:rPr>
          <w:rFonts w:ascii="Book Antiqua" w:eastAsia="Book Antiqua" w:hAnsi="Book Antiqua" w:cs="Book Antiqua"/>
        </w:rPr>
        <w:t>.</w:t>
      </w:r>
      <w:r w:rsidR="009A3DCD" w:rsidRPr="009A3DCD">
        <w:rPr>
          <w:rFonts w:ascii="Book Antiqua" w:hAnsi="Book Antiqua" w:cs="Book Antiqua"/>
        </w:rPr>
        <w:t>7340</w:t>
      </w:r>
    </w:p>
    <w:p w14:paraId="556D80BC" w14:textId="77777777" w:rsidR="00AA7AAB" w:rsidRPr="00AA7AAB" w:rsidRDefault="00AA7AAB" w:rsidP="0081115E">
      <w:pPr>
        <w:spacing w:line="360" w:lineRule="auto"/>
        <w:jc w:val="both"/>
        <w:rPr>
          <w:lang w:eastAsia="zh-CN"/>
        </w:rPr>
      </w:pPr>
    </w:p>
    <w:p w14:paraId="06D33037" w14:textId="64F8D1E0" w:rsidR="00A77B3E" w:rsidRDefault="003E73B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Immune check point inhibitors are known to be an effective treatment option for advanced hepatocellular carcinoma</w:t>
      </w:r>
      <w:r w:rsidR="00B07354">
        <w:rPr>
          <w:rFonts w:ascii="Book Antiqua" w:eastAsia="Book Antiqua" w:hAnsi="Book Antiqua" w:cs="Book Antiqua"/>
          <w:color w:val="000000"/>
        </w:rPr>
        <w:t xml:space="preserve"> (HCC)</w:t>
      </w:r>
      <w:r>
        <w:rPr>
          <w:rFonts w:ascii="Book Antiqua" w:eastAsia="Book Antiqua" w:hAnsi="Book Antiqua" w:cs="Book Antiqua"/>
          <w:color w:val="000000"/>
        </w:rPr>
        <w:t xml:space="preserve">, not only for second-line, but also as a first-line treatment. However, there are few predictive or prognostic markers for which patient group will have a good treatment response to immunotherapy or systemic therapy for HCC until now. Our study shows that non-responders to nivolumab in HCC patients have </w:t>
      </w:r>
      <w:proofErr w:type="spellStart"/>
      <w:r>
        <w:rPr>
          <w:rFonts w:ascii="Book Antiqua" w:eastAsia="Book Antiqua" w:hAnsi="Book Antiqua" w:cs="Book Antiqua"/>
          <w:color w:val="000000"/>
        </w:rPr>
        <w:t>dysbiotic</w:t>
      </w:r>
      <w:proofErr w:type="spellEnd"/>
      <w:r>
        <w:rPr>
          <w:rFonts w:ascii="Book Antiqua" w:eastAsia="Book Antiqua" w:hAnsi="Book Antiqua" w:cs="Book Antiqua"/>
          <w:color w:val="000000"/>
        </w:rPr>
        <w:t xml:space="preserve"> fecal composition, whereas a high </w:t>
      </w:r>
      <w:proofErr w:type="spellStart"/>
      <w:r w:rsidRPr="008E2A8B">
        <w:rPr>
          <w:rFonts w:ascii="Book Antiqua" w:eastAsia="Book Antiqua" w:hAnsi="Book Antiqua" w:cs="Book Antiqua"/>
          <w:i/>
          <w:iCs/>
          <w:color w:val="000000"/>
        </w:rPr>
        <w:t>Prevotella</w:t>
      </w:r>
      <w:proofErr w:type="spellEnd"/>
      <w:r w:rsidRPr="008E2A8B">
        <w:rPr>
          <w:rFonts w:ascii="Book Antiqua" w:eastAsia="Book Antiqua" w:hAnsi="Book Antiqua" w:cs="Book Antiqua"/>
          <w:i/>
          <w:iCs/>
          <w:color w:val="000000"/>
        </w:rPr>
        <w:t>/</w:t>
      </w:r>
      <w:proofErr w:type="spellStart"/>
      <w:r w:rsidRPr="008E2A8B">
        <w:rPr>
          <w:rFonts w:ascii="Book Antiqua" w:eastAsia="Book Antiqua" w:hAnsi="Book Antiqua" w:cs="Book Antiqua"/>
          <w:i/>
          <w:iCs/>
          <w:color w:val="000000"/>
        </w:rPr>
        <w:t>Bacteroides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ratio can predict a better response to nivolumab, highlighting a potential role for the gut microbiome as a prognostic marker for the response to nivolumab therapy.</w:t>
      </w:r>
    </w:p>
    <w:p w14:paraId="6EED6B58" w14:textId="77777777" w:rsidR="00A77B3E" w:rsidRDefault="00A77B3E">
      <w:pPr>
        <w:spacing w:line="360" w:lineRule="auto"/>
        <w:jc w:val="both"/>
      </w:pPr>
    </w:p>
    <w:p w14:paraId="253C061B" w14:textId="77777777" w:rsidR="00A77B3E" w:rsidRDefault="003E73B5">
      <w:pPr>
        <w:spacing w:line="360" w:lineRule="auto"/>
        <w:jc w:val="both"/>
      </w:pPr>
      <w:r>
        <w:rPr>
          <w:rFonts w:ascii="Book Antiqua" w:eastAsia="Book Antiqua" w:hAnsi="Book Antiqua" w:cs="Book Antiqua"/>
          <w:b/>
          <w:caps/>
          <w:color w:val="000000"/>
          <w:u w:val="single"/>
        </w:rPr>
        <w:t>INTRODUCTION</w:t>
      </w:r>
    </w:p>
    <w:p w14:paraId="0AC30C75" w14:textId="612ED4E1" w:rsidR="00A77B3E" w:rsidRDefault="003E73B5">
      <w:pPr>
        <w:spacing w:line="360" w:lineRule="auto"/>
        <w:jc w:val="both"/>
      </w:pPr>
      <w:r>
        <w:rPr>
          <w:rFonts w:ascii="Book Antiqua" w:eastAsia="Book Antiqua" w:hAnsi="Book Antiqua" w:cs="Book Antiqua"/>
          <w:color w:val="000000"/>
        </w:rPr>
        <w:t xml:space="preserve">Hepatocellular carcinoma (HCC) is the most frequent primary malignancy of the liver, and it is now the second leading cause of cancer death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Curative HCC treatment is only feasible in the early stages and involves local ablative procedures, surgical resection, or liver transplantation. For patients not amenable to curative therapy and in those with metastatic disease, other systemic treatments, such as sorafenib, are available. Beyond the limits of standard therapies, immunotherapy has been introduced for the oncological treatment of various solid malignancies. Nivolumab, as the first programmed cell death protein-1 (PD-1) agent, has shown great promise in treatment of various cancers, including melanoma and squamous cell carcinoma of the head and </w:t>
      </w:r>
      <w:proofErr w:type="gramStart"/>
      <w:r>
        <w:rPr>
          <w:rFonts w:ascii="Book Antiqua" w:eastAsia="Book Antiqua" w:hAnsi="Book Antiqua" w:cs="Book Antiqua"/>
          <w:color w:val="000000"/>
        </w:rPr>
        <w:t>neck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Recently, it was approved as the second-line agent for advanced HCC patients who have experienced sorafenib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In line with this growing clinical relevance, stratification of patients receiving nivolumab therapy is now required to predict the prognosis and tumor aggressiveness. </w:t>
      </w:r>
    </w:p>
    <w:p w14:paraId="77C1A564" w14:textId="77777777" w:rsidR="00A77B3E" w:rsidRDefault="003E73B5" w:rsidP="00E022FC">
      <w:pPr>
        <w:spacing w:line="360" w:lineRule="auto"/>
        <w:ind w:firstLineChars="200" w:firstLine="480"/>
        <w:jc w:val="both"/>
      </w:pPr>
      <w:r>
        <w:rPr>
          <w:rFonts w:ascii="Book Antiqua" w:eastAsia="Book Antiqua" w:hAnsi="Book Antiqua" w:cs="Book Antiqua"/>
          <w:color w:val="000000"/>
        </w:rPr>
        <w:t xml:space="preserve">There is mounting evidence that the gut microbiota can influence and modulate host immune responses; thus, microbiome profiling has been revealed as a predictor for response to immunotherapy among different groups and in different </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Moreover, some immunostimulatory bacterial species, including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i/>
          <w:iCs/>
          <w:color w:val="000000"/>
        </w:rPr>
        <w:t xml:space="preserve"> </w:t>
      </w:r>
      <w:proofErr w:type="spellStart"/>
      <w:proofErr w:type="gramStart"/>
      <w:r>
        <w:rPr>
          <w:rFonts w:ascii="Book Antiqua" w:eastAsia="Book Antiqua" w:hAnsi="Book Antiqua" w:cs="Book Antiqua"/>
          <w:i/>
          <w:iCs/>
          <w:color w:val="000000"/>
        </w:rPr>
        <w:t>muciniphila</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i/>
          <w:iCs/>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Bifidobacterium </w:t>
      </w:r>
      <w:proofErr w:type="spellStart"/>
      <w:r>
        <w:rPr>
          <w:rFonts w:ascii="Book Antiqua" w:eastAsia="Book Antiqua" w:hAnsi="Book Antiqua" w:cs="Book Antiqua"/>
          <w:i/>
          <w:iCs/>
          <w:color w:val="000000"/>
        </w:rPr>
        <w:t>longum</w:t>
      </w:r>
      <w:proofErr w:type="spell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and </w:t>
      </w:r>
      <w:r>
        <w:rPr>
          <w:rFonts w:ascii="Book Antiqua" w:eastAsia="Book Antiqua" w:hAnsi="Book Antiqua" w:cs="Book Antiqua"/>
          <w:i/>
          <w:iCs/>
          <w:color w:val="000000"/>
        </w:rPr>
        <w:t>Bacteroidetes fragilis</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were reported to elicit systemic immune responses and to reprogram the tumor microenvironment in mouse tumors treated with anti–cytotoxic T-lymphocyte-associated-4 and/or anti–PD-1 antibodies. The human gut microbiota has been shown to be associated with clinical responses to anti-PD-1/programmed death ligand 1 (PD-L1) immunotherapy in melanoma, non-small cell lung cancer, and renal cell carcinoma. However, the association between gut microbiota and response to nivolumab therapy is still not clear. </w:t>
      </w:r>
    </w:p>
    <w:p w14:paraId="5AF2D2B4" w14:textId="77777777" w:rsidR="00A77B3E" w:rsidRDefault="003E73B5" w:rsidP="00505424">
      <w:pPr>
        <w:spacing w:line="360" w:lineRule="auto"/>
        <w:ind w:firstLineChars="200" w:firstLine="480"/>
        <w:jc w:val="both"/>
      </w:pPr>
      <w:r>
        <w:rPr>
          <w:rFonts w:ascii="Book Antiqua" w:eastAsia="Book Antiqua" w:hAnsi="Book Antiqua" w:cs="Book Antiqua"/>
          <w:color w:val="000000"/>
        </w:rPr>
        <w:lastRenderedPageBreak/>
        <w:t>This study aimed to elucidate the impact of the gut microbiota on the prediction of prognosis in advanced HCC patients receiving nivolumab immunotherapy.</w:t>
      </w:r>
    </w:p>
    <w:p w14:paraId="308A3A74" w14:textId="77777777" w:rsidR="00A77B3E" w:rsidRDefault="00A77B3E">
      <w:pPr>
        <w:spacing w:line="360" w:lineRule="auto"/>
        <w:jc w:val="both"/>
      </w:pPr>
    </w:p>
    <w:p w14:paraId="41F13FAB" w14:textId="77777777" w:rsidR="00A77B3E" w:rsidRDefault="003E73B5">
      <w:pPr>
        <w:spacing w:line="360" w:lineRule="auto"/>
        <w:jc w:val="both"/>
      </w:pPr>
      <w:r>
        <w:rPr>
          <w:rFonts w:ascii="Book Antiqua" w:eastAsia="Book Antiqua" w:hAnsi="Book Antiqua" w:cs="Book Antiqua"/>
          <w:b/>
          <w:caps/>
          <w:color w:val="000000"/>
          <w:u w:val="single"/>
        </w:rPr>
        <w:t>MATERIALS AND METHODS</w:t>
      </w:r>
    </w:p>
    <w:p w14:paraId="5F24608E" w14:textId="77777777" w:rsidR="00A77B3E" w:rsidRDefault="003E73B5">
      <w:pPr>
        <w:spacing w:line="360" w:lineRule="auto"/>
        <w:jc w:val="both"/>
      </w:pPr>
      <w:r>
        <w:rPr>
          <w:rFonts w:ascii="Book Antiqua" w:eastAsia="Book Antiqua" w:hAnsi="Book Antiqua" w:cs="Book Antiqua"/>
          <w:b/>
          <w:bCs/>
          <w:i/>
          <w:iCs/>
          <w:color w:val="000000"/>
        </w:rPr>
        <w:t>Study design and patients</w:t>
      </w:r>
    </w:p>
    <w:p w14:paraId="119914D6" w14:textId="77777777" w:rsidR="00A77B3E" w:rsidRDefault="003E73B5">
      <w:pPr>
        <w:spacing w:line="360" w:lineRule="auto"/>
        <w:jc w:val="both"/>
      </w:pPr>
      <w:r>
        <w:rPr>
          <w:rFonts w:ascii="Book Antiqua" w:eastAsia="Book Antiqua" w:hAnsi="Book Antiqua" w:cs="Book Antiqua"/>
          <w:color w:val="000000"/>
        </w:rPr>
        <w:t>A total of 8 patients who received nivolumab (from September 2019 to August 2020) as second- or third-line treatment after sorafenib failure were included in the study. Tumor response was assessed using the Response Evaluation Criteria in Solid Tumors version 1.1</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study was approved by the </w:t>
      </w:r>
      <w:proofErr w:type="spellStart"/>
      <w:r>
        <w:rPr>
          <w:rFonts w:ascii="Book Antiqua" w:eastAsia="Book Antiqua" w:hAnsi="Book Antiqua" w:cs="Book Antiqua"/>
          <w:color w:val="000000"/>
        </w:rPr>
        <w:t>Chonnam</w:t>
      </w:r>
      <w:proofErr w:type="spellEnd"/>
      <w:r>
        <w:rPr>
          <w:rFonts w:ascii="Book Antiqua" w:eastAsia="Book Antiqua" w:hAnsi="Book Antiqua" w:cs="Book Antiqua"/>
          <w:color w:val="000000"/>
        </w:rPr>
        <w:t xml:space="preserve"> National University </w:t>
      </w:r>
      <w:proofErr w:type="spellStart"/>
      <w:r>
        <w:rPr>
          <w:rFonts w:ascii="Book Antiqua" w:eastAsia="Book Antiqua" w:hAnsi="Book Antiqua" w:cs="Book Antiqua"/>
          <w:color w:val="000000"/>
        </w:rPr>
        <w:t>Hwasun</w:t>
      </w:r>
      <w:proofErr w:type="spellEnd"/>
      <w:r>
        <w:rPr>
          <w:rFonts w:ascii="Book Antiqua" w:eastAsia="Book Antiqua" w:hAnsi="Book Antiqua" w:cs="Book Antiqua"/>
          <w:color w:val="000000"/>
        </w:rPr>
        <w:t xml:space="preserve"> Hospital Institutional Review Board (CNUHH-2019-134). All patients signed a written informed consent form based on the principles of the Declaration of Helsinki. Patients were classified based on disease status (absence or progression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initiation of nivolumab therapy) and overall response (complete response, partial response, or stable disease for &gt;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Non-responders were those showing disease progression or stable disease for &lt;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as well as those who died. </w:t>
      </w:r>
    </w:p>
    <w:p w14:paraId="38C102C6" w14:textId="77777777" w:rsidR="00A77B3E" w:rsidRDefault="00A77B3E">
      <w:pPr>
        <w:spacing w:line="360" w:lineRule="auto"/>
        <w:jc w:val="both"/>
      </w:pPr>
    </w:p>
    <w:p w14:paraId="5F944623" w14:textId="77777777" w:rsidR="00A77B3E" w:rsidRDefault="003E73B5">
      <w:pPr>
        <w:spacing w:line="360" w:lineRule="auto"/>
        <w:jc w:val="both"/>
      </w:pPr>
      <w:r>
        <w:rPr>
          <w:rFonts w:ascii="Book Antiqua" w:eastAsia="Book Antiqua" w:hAnsi="Book Antiqua" w:cs="Book Antiqua"/>
          <w:b/>
          <w:bCs/>
          <w:i/>
          <w:iCs/>
          <w:color w:val="000000"/>
        </w:rPr>
        <w:t xml:space="preserve">Collection of fecal samples and microbiome analysis </w:t>
      </w:r>
    </w:p>
    <w:p w14:paraId="56538F3F" w14:textId="0F8C409D" w:rsidR="00A77B3E" w:rsidRDefault="003E73B5">
      <w:pPr>
        <w:spacing w:line="360" w:lineRule="auto"/>
        <w:jc w:val="both"/>
      </w:pPr>
      <w:r>
        <w:rPr>
          <w:rFonts w:ascii="Book Antiqua" w:eastAsia="Book Antiqua" w:hAnsi="Book Antiqua" w:cs="Book Antiqua"/>
          <w:color w:val="000000"/>
        </w:rPr>
        <w:t xml:space="preserve">Fecal samples were collected prospectively, according to International Human Microbiome Standards guidelines (SOP_03_V1) at two time points — before the first nivolumab injection (&lt;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T0) and at the 3-mo follow-up (T1). The samples were immediately transferred on ice to our clinic and immediately stored at </w:t>
      </w:r>
      <w:r w:rsidR="00E022FC">
        <w:rPr>
          <w:rFonts w:ascii="Book Antiqua" w:eastAsia="Book Antiqua" w:hAnsi="Book Antiqua" w:cs="Book Antiqua"/>
          <w:color w:val="000000"/>
        </w:rPr>
        <w:t>-</w:t>
      </w:r>
      <w:r>
        <w:rPr>
          <w:rFonts w:ascii="Book Antiqua" w:eastAsia="Book Antiqua" w:hAnsi="Book Antiqua" w:cs="Book Antiqua"/>
          <w:color w:val="000000"/>
        </w:rPr>
        <w:t xml:space="preserve">80 °C until sample processing. Fecal genomic DNA was extracted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DNA was extracted using the </w:t>
      </w:r>
      <w:proofErr w:type="spellStart"/>
      <w:r>
        <w:rPr>
          <w:rFonts w:ascii="Book Antiqua" w:eastAsia="Book Antiqua" w:hAnsi="Book Antiqua" w:cs="Book Antiqua"/>
          <w:color w:val="000000"/>
        </w:rPr>
        <w:t>Cica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Geneus</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DNA Prep Kit (Kanto Chemical, Tokyo, Japan) following the manufacturer’s instructions. The fecal microbiome was assessed by sequencing various regions (V3</w:t>
      </w:r>
      <w:r w:rsidR="00D94BD7">
        <w:rPr>
          <w:rFonts w:ascii="Book Antiqua" w:eastAsia="Book Antiqua" w:hAnsi="Book Antiqua" w:cs="Book Antiqua"/>
          <w:color w:val="000000"/>
        </w:rPr>
        <w:t>-</w:t>
      </w:r>
      <w:r>
        <w:rPr>
          <w:rFonts w:ascii="Book Antiqua" w:eastAsia="Book Antiqua" w:hAnsi="Book Antiqua" w:cs="Book Antiqua"/>
          <w:color w:val="000000"/>
        </w:rPr>
        <w:t>V4) of the 16S ribosomal RNA bacterial gene at months 0 and 2. Briefly, polymerase chain reaction amplification was performed using 16S universal primers targeting the V3</w:t>
      </w:r>
      <w:r w:rsidR="00D94BD7">
        <w:rPr>
          <w:rFonts w:ascii="Book Antiqua" w:eastAsia="Book Antiqua" w:hAnsi="Book Antiqua" w:cs="Book Antiqua"/>
          <w:color w:val="000000"/>
        </w:rPr>
        <w:t>-</w:t>
      </w:r>
      <w:r>
        <w:rPr>
          <w:rFonts w:ascii="Book Antiqua" w:eastAsia="Book Antiqua" w:hAnsi="Book Antiqua" w:cs="Book Antiqua"/>
          <w:color w:val="000000"/>
        </w:rPr>
        <w:t>V4 region of the bacterial 16S ribosomal gene. The joint pair length was set to encompass 467 base pair amplicons using the 2 </w:t>
      </w:r>
      <w:r w:rsidR="008E2A8B">
        <w:rPr>
          <w:rFonts w:ascii="Book Antiqua" w:eastAsia="Book Antiqua" w:hAnsi="Book Antiqua" w:cs="Book Antiqua"/>
          <w:color w:val="000000"/>
        </w:rPr>
        <w:t>×</w:t>
      </w:r>
      <w:r>
        <w:rPr>
          <w:rFonts w:ascii="Book Antiqua" w:eastAsia="Book Antiqua" w:hAnsi="Book Antiqua" w:cs="Book Antiqua"/>
          <w:color w:val="000000"/>
        </w:rPr>
        <w:t xml:space="preserve"> 300 paired-end </w:t>
      </w:r>
      <w:proofErr w:type="spellStart"/>
      <w:r>
        <w:rPr>
          <w:rFonts w:ascii="Book Antiqua" w:eastAsia="Book Antiqua" w:hAnsi="Book Antiqua" w:cs="Book Antiqua"/>
          <w:color w:val="000000"/>
        </w:rPr>
        <w:t>MiSeq</w:t>
      </w:r>
      <w:proofErr w:type="spellEnd"/>
      <w:r>
        <w:rPr>
          <w:rFonts w:ascii="Book Antiqua" w:eastAsia="Book Antiqua" w:hAnsi="Book Antiqua" w:cs="Book Antiqua"/>
          <w:color w:val="000000"/>
        </w:rPr>
        <w:t xml:space="preserve"> kit (Illumina, San Diego, CA, United States). For each sample, a </w:t>
      </w:r>
      <w:r>
        <w:rPr>
          <w:rFonts w:ascii="Book Antiqua" w:eastAsia="Book Antiqua" w:hAnsi="Book Antiqua" w:cs="Book Antiqua"/>
          <w:color w:val="000000"/>
        </w:rPr>
        <w:lastRenderedPageBreak/>
        <w:t xml:space="preserve">sequencing library was generated by adding sequencing adapters. Detection of the sequencing fragments was performed using </w:t>
      </w:r>
      <w:proofErr w:type="spellStart"/>
      <w:r>
        <w:rPr>
          <w:rFonts w:ascii="Book Antiqua" w:eastAsia="Book Antiqua" w:hAnsi="Book Antiqua" w:cs="Book Antiqua"/>
          <w:color w:val="000000"/>
        </w:rPr>
        <w:t>MiSeq</w:t>
      </w:r>
      <w:proofErr w:type="spellEnd"/>
      <w:r>
        <w:rPr>
          <w:rFonts w:ascii="Book Antiqua" w:eastAsia="Book Antiqua" w:hAnsi="Book Antiqua" w:cs="Book Antiqua"/>
          <w:color w:val="000000"/>
        </w:rPr>
        <w:t xml:space="preserve"> technology by </w:t>
      </w:r>
      <w:proofErr w:type="spellStart"/>
      <w:r>
        <w:rPr>
          <w:rFonts w:ascii="Book Antiqua" w:eastAsia="Book Antiqua" w:hAnsi="Book Antiqua" w:cs="Book Antiqua"/>
          <w:color w:val="000000"/>
        </w:rPr>
        <w:t>Macrogen</w:t>
      </w:r>
      <w:proofErr w:type="spellEnd"/>
      <w:r>
        <w:rPr>
          <w:rFonts w:ascii="Book Antiqua" w:eastAsia="Book Antiqua" w:hAnsi="Book Antiqua" w:cs="Book Antiqua"/>
          <w:color w:val="000000"/>
        </w:rPr>
        <w:t xml:space="preserve"> (Seoul, </w:t>
      </w:r>
      <w:r w:rsidR="008E2A8B">
        <w:rPr>
          <w:rFonts w:ascii="Book Antiqua" w:eastAsia="Book Antiqua" w:hAnsi="Book Antiqua" w:cs="Book Antiqua"/>
          <w:color w:val="000000"/>
        </w:rPr>
        <w:t xml:space="preserve">South </w:t>
      </w:r>
      <w:r>
        <w:rPr>
          <w:rFonts w:ascii="Book Antiqua" w:eastAsia="Book Antiqua" w:hAnsi="Book Antiqua" w:cs="Book Antiqua"/>
          <w:color w:val="000000"/>
        </w:rPr>
        <w:t>Korea).</w:t>
      </w:r>
    </w:p>
    <w:p w14:paraId="5EAB3841" w14:textId="77777777" w:rsidR="00A77B3E" w:rsidRDefault="00A77B3E">
      <w:pPr>
        <w:spacing w:line="360" w:lineRule="auto"/>
        <w:jc w:val="both"/>
      </w:pPr>
    </w:p>
    <w:p w14:paraId="699A03AE" w14:textId="77777777" w:rsidR="00A77B3E" w:rsidRDefault="003E73B5">
      <w:pPr>
        <w:spacing w:line="360" w:lineRule="auto"/>
        <w:jc w:val="both"/>
      </w:pPr>
      <w:r>
        <w:rPr>
          <w:rFonts w:ascii="Book Antiqua" w:eastAsia="Book Antiqua" w:hAnsi="Book Antiqua" w:cs="Book Antiqua"/>
          <w:b/>
          <w:bCs/>
          <w:i/>
          <w:iCs/>
          <w:color w:val="000000"/>
        </w:rPr>
        <w:t xml:space="preserve">Metagenomic and network analysis </w:t>
      </w:r>
    </w:p>
    <w:p w14:paraId="548C23E5" w14:textId="77777777" w:rsidR="00A77B3E" w:rsidRDefault="003E73B5">
      <w:pPr>
        <w:spacing w:line="360" w:lineRule="auto"/>
        <w:jc w:val="both"/>
      </w:pPr>
      <w:r>
        <w:rPr>
          <w:rFonts w:ascii="Book Antiqua" w:eastAsia="Book Antiqua" w:hAnsi="Book Antiqua" w:cs="Book Antiqua"/>
          <w:color w:val="000000"/>
        </w:rPr>
        <w:t xml:space="preserve">The targeted metagenomic sequences from the microbiota were analyzed using the bioinformatics pipeline established by </w:t>
      </w:r>
      <w:proofErr w:type="spellStart"/>
      <w:r>
        <w:rPr>
          <w:rFonts w:ascii="Book Antiqua" w:eastAsia="Book Antiqua" w:hAnsi="Book Antiqua" w:cs="Book Antiqua"/>
          <w:color w:val="000000"/>
        </w:rPr>
        <w:t>Vaiomer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Labège</w:t>
      </w:r>
      <w:proofErr w:type="spellEnd"/>
      <w:r>
        <w:rPr>
          <w:rFonts w:ascii="Book Antiqua" w:eastAsia="Book Antiqua" w:hAnsi="Book Antiqua" w:cs="Book Antiqua"/>
          <w:color w:val="000000"/>
        </w:rPr>
        <w:t xml:space="preserve">, France) using the FROGS guidelines. Low-depth samples (less than 9000 sequences per sample) were removed from the analysis. Sequences were trimmed and merged and then clustered into operational taxonomic units (OTUs) using </w:t>
      </w:r>
      <w:r w:rsidRPr="00D94BD7">
        <w:rPr>
          <w:rFonts w:ascii="Book Antiqua" w:eastAsia="Book Antiqua" w:hAnsi="Book Antiqua" w:cs="Book Antiqua"/>
          <w:color w:val="000000"/>
        </w:rPr>
        <w:t>CLC</w:t>
      </w:r>
      <w:r>
        <w:rPr>
          <w:rFonts w:ascii="Book Antiqua" w:eastAsia="Book Antiqua" w:hAnsi="Book Antiqua" w:cs="Book Antiqua"/>
          <w:color w:val="000000"/>
        </w:rPr>
        <w:t xml:space="preserve"> Genomics Workbench v. 10.1.1 and CLC Microbial Genomics Module v. 2.5 (Qiagen, Hilden, Germany). Taxonomic assignment of these sequences was carried based on the National Center for Biotechnology Information taxonomy database, with an OTU cutoff of 3%. The most abundant sequences were considered representative of each cluster and assigned to a taxonomy level based CLC Microbial Genomics default values. </w:t>
      </w:r>
    </w:p>
    <w:p w14:paraId="1F49E16F" w14:textId="77777777" w:rsidR="00A77B3E" w:rsidRDefault="003E73B5" w:rsidP="00EC53FF">
      <w:pPr>
        <w:spacing w:line="360" w:lineRule="auto"/>
        <w:ind w:firstLineChars="200" w:firstLine="480"/>
        <w:jc w:val="both"/>
      </w:pPr>
      <w:r>
        <w:rPr>
          <w:rFonts w:ascii="Book Antiqua" w:eastAsia="Book Antiqua" w:hAnsi="Book Antiqua" w:cs="Book Antiqua"/>
          <w:color w:val="000000"/>
        </w:rPr>
        <w:t xml:space="preserve">Alpha diversity metrics (richness and Shannon’s index) were calculated using the </w:t>
      </w:r>
      <w:proofErr w:type="spellStart"/>
      <w:r>
        <w:rPr>
          <w:rFonts w:ascii="Book Antiqua" w:eastAsia="Book Antiqua" w:hAnsi="Book Antiqua" w:cs="Book Antiqua"/>
          <w:color w:val="000000"/>
        </w:rPr>
        <w:t>phyloseq</w:t>
      </w:r>
      <w:proofErr w:type="spellEnd"/>
      <w:r>
        <w:rPr>
          <w:rFonts w:ascii="Book Antiqua" w:eastAsia="Book Antiqua" w:hAnsi="Book Antiqua" w:cs="Book Antiqua"/>
          <w:color w:val="000000"/>
        </w:rPr>
        <w:t xml:space="preserve"> R package based on rarefied OTU </w:t>
      </w:r>
      <w:proofErr w:type="gramStart"/>
      <w:r>
        <w:rPr>
          <w:rFonts w:ascii="Book Antiqua" w:eastAsia="Book Antiqua" w:hAnsi="Book Antiqua" w:cs="Book Antiqua"/>
          <w:color w:val="000000"/>
        </w:rPr>
        <w:t>counts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beta diversity index was defined as the difference between the total number of species across the two groups and the number of species common to </w:t>
      </w:r>
      <w:proofErr w:type="gramStart"/>
      <w:r>
        <w:rPr>
          <w:rFonts w:ascii="Book Antiqua" w:eastAsia="Book Antiqua" w:hAnsi="Book Antiqua" w:cs="Book Antiqua"/>
          <w:color w:val="000000"/>
        </w:rPr>
        <w:t>both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Exploratory analysis of beta-diversity (between-sample diversity) was performed based on the Bray-Curtis measure of dissimilarity as a principal coordinate analysis. </w:t>
      </w:r>
    </w:p>
    <w:p w14:paraId="705A1F9C" w14:textId="77777777" w:rsidR="00A77B3E" w:rsidRDefault="003E73B5" w:rsidP="00EC53FF">
      <w:pPr>
        <w:spacing w:line="360" w:lineRule="auto"/>
        <w:ind w:firstLineChars="200" w:firstLine="480"/>
        <w:jc w:val="both"/>
      </w:pPr>
      <w:r>
        <w:rPr>
          <w:rFonts w:ascii="Book Antiqua" w:eastAsia="Book Antiqua" w:hAnsi="Book Antiqua" w:cs="Book Antiqua"/>
          <w:color w:val="000000"/>
        </w:rPr>
        <w:t xml:space="preserve">For the hierarchical cluster analysis, Bray-Curtis metrics and complete linkage clustering were implemented. At deeper taxonomic levels (from the phylum to genus level), we performed linear discriminant analysis (LDA) effect size analysis based on the non-parametric factorial Kruskal-Wallis sum rank test, to detect bacterial taxa with significantly different abundance between responders and non-responders. Then, LDA effect size was used to estimate the size effect of each differentially abundant taxon based on the criteria of LDA ≥ 3.0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Volcano plots showed the estimated log 2-fold difference in OTU abundance between responders and non-responders. </w:t>
      </w:r>
    </w:p>
    <w:p w14:paraId="4C7B9E08" w14:textId="77777777" w:rsidR="00A77B3E" w:rsidRDefault="00A77B3E">
      <w:pPr>
        <w:spacing w:line="360" w:lineRule="auto"/>
        <w:ind w:firstLine="800"/>
        <w:jc w:val="both"/>
      </w:pPr>
    </w:p>
    <w:p w14:paraId="3D6A6436" w14:textId="77777777" w:rsidR="00A77B3E" w:rsidRDefault="003E73B5">
      <w:pPr>
        <w:spacing w:line="360" w:lineRule="auto"/>
        <w:jc w:val="both"/>
      </w:pPr>
      <w:r>
        <w:rPr>
          <w:rFonts w:ascii="Book Antiqua" w:eastAsia="Book Antiqua" w:hAnsi="Book Antiqua" w:cs="Book Antiqua"/>
          <w:b/>
          <w:bCs/>
          <w:i/>
          <w:iCs/>
          <w:color w:val="000000"/>
        </w:rPr>
        <w:t>Statistical analysis</w:t>
      </w:r>
    </w:p>
    <w:p w14:paraId="35933426" w14:textId="4EC77AB0" w:rsidR="00A77B3E" w:rsidRDefault="003E73B5">
      <w:pPr>
        <w:spacing w:line="360" w:lineRule="auto"/>
        <w:jc w:val="both"/>
      </w:pPr>
      <w:r>
        <w:rPr>
          <w:rFonts w:ascii="Book Antiqua" w:eastAsia="Book Antiqua" w:hAnsi="Book Antiqua" w:cs="Book Antiqua"/>
          <w:color w:val="000000"/>
        </w:rPr>
        <w:t xml:space="preserve">Alpha diversity metrics were compared by Mann-Whitney tests; for comparisons involving more than two groups, Bonferroni's correction was applied. The LDA was performed, and the volcano plots generated, at </w:t>
      </w:r>
      <w:r w:rsidR="00B1213B">
        <w:rPr>
          <w:rFonts w:ascii="Book Antiqua" w:eastAsia="Book Antiqua" w:hAnsi="Book Antiqua" w:cs="Book Antiqua"/>
          <w:color w:val="000000"/>
        </w:rPr>
        <w:t xml:space="preserve"> </w:t>
      </w:r>
      <w:hyperlink r:id="rId8" w:history="1">
        <w:r w:rsidR="00657BB6" w:rsidRPr="00A41460">
          <w:rPr>
            <w:rStyle w:val="a9"/>
            <w:rFonts w:ascii="Book Antiqua" w:eastAsia="Book Antiqua" w:hAnsi="Book Antiqua" w:cs="Book Antiqua"/>
          </w:rPr>
          <w:t>http://huttenhower.sph.harvard.edu/galaxy/</w:t>
        </w:r>
      </w:hyperlink>
      <w:r>
        <w:rPr>
          <w:rFonts w:ascii="Book Antiqua" w:eastAsia="Book Antiqua" w:hAnsi="Book Antiqua" w:cs="Book Antiqua"/>
          <w:color w:val="000000"/>
        </w:rPr>
        <w:t>.</w:t>
      </w:r>
      <w:r w:rsidR="00657BB6">
        <w:rPr>
          <w:rFonts w:ascii="Book Antiqua" w:eastAsia="Book Antiqua" w:hAnsi="Book Antiqua" w:cs="Book Antiqua"/>
          <w:color w:val="000000"/>
        </w:rPr>
        <w:t xml:space="preserve"> </w:t>
      </w:r>
      <w:r>
        <w:rPr>
          <w:rFonts w:ascii="Book Antiqua" w:eastAsia="Book Antiqua" w:hAnsi="Book Antiqua" w:cs="Book Antiqua"/>
          <w:color w:val="000000"/>
        </w:rPr>
        <w:t xml:space="preserve">Two-tailed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and the </w:t>
      </w:r>
      <w:r w:rsidRPr="00EC53FF">
        <w:rPr>
          <w:rFonts w:ascii="Book Antiqua" w:eastAsia="Book Antiqua" w:hAnsi="Book Antiqua" w:cs="Book Antiqua"/>
          <w:i/>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were used to test for differences in the phenotypical characteristics of the microbiome using GraphPad Prism software (GraphPad Software Inc., San Diego, CA, United States).</w:t>
      </w:r>
    </w:p>
    <w:p w14:paraId="6B44690C" w14:textId="77777777" w:rsidR="00A77B3E" w:rsidRDefault="00A77B3E">
      <w:pPr>
        <w:spacing w:line="360" w:lineRule="auto"/>
        <w:jc w:val="both"/>
      </w:pPr>
    </w:p>
    <w:p w14:paraId="3A7EE9FF" w14:textId="77777777" w:rsidR="00A77B3E" w:rsidRDefault="003E73B5">
      <w:pPr>
        <w:spacing w:line="360" w:lineRule="auto"/>
        <w:jc w:val="both"/>
      </w:pPr>
      <w:r>
        <w:rPr>
          <w:rFonts w:ascii="Book Antiqua" w:eastAsia="Book Antiqua" w:hAnsi="Book Antiqua" w:cs="Book Antiqua"/>
          <w:b/>
          <w:caps/>
          <w:color w:val="000000"/>
          <w:u w:val="single"/>
        </w:rPr>
        <w:t>RESULTS</w:t>
      </w:r>
    </w:p>
    <w:p w14:paraId="31E3A033" w14:textId="77777777" w:rsidR="00A77B3E" w:rsidRDefault="003E73B5">
      <w:pPr>
        <w:spacing w:line="360" w:lineRule="auto"/>
        <w:jc w:val="both"/>
      </w:pPr>
      <w:r>
        <w:rPr>
          <w:rFonts w:ascii="Book Antiqua" w:eastAsia="Book Antiqua" w:hAnsi="Book Antiqua" w:cs="Book Antiqua"/>
          <w:b/>
          <w:bCs/>
          <w:i/>
          <w:iCs/>
          <w:color w:val="000000"/>
        </w:rPr>
        <w:t xml:space="preserve">Patients and sample </w:t>
      </w:r>
    </w:p>
    <w:p w14:paraId="04857FBA" w14:textId="77777777" w:rsidR="00A77B3E" w:rsidRDefault="003E73B5">
      <w:pPr>
        <w:spacing w:line="360" w:lineRule="auto"/>
        <w:jc w:val="both"/>
      </w:pPr>
      <w:r>
        <w:rPr>
          <w:rFonts w:ascii="Book Antiqua" w:eastAsia="Book Antiqua" w:hAnsi="Book Antiqua" w:cs="Book Antiqua"/>
          <w:color w:val="000000"/>
        </w:rPr>
        <w:t>A single-site correlative study design was used to investigate the effects of gut microbiota on the efficacy of nivolumab in 8 adult HCC patients (Supplementary Table 1). All 8 patients received nivolumab as second- or third-line treatment after sorafenib failure. The median age was 62.5 (interquartile range: 58.0-66.25) years overall, and was not significantly different between the groups. All patients were male. Six patients (75%) were chronically infected with hepatitis B virus (HBV), and four patients (50%) had alcohol-related liver disease. All patients were Barcelona Clinic Liver Cancer stage C and stage IV by the modified Union for International Cancer Control stage system. While all 3 patients of the non-responder group had vascular invasion, only 1 patient (20%) had vascular invasion in the responder group. Presence of biliary invasion was 66.7% (2/3) in the non-responder group and 20% (1/5) in the responder group. The percentage of patients with an alpha-fetoprotein score ≥ 400 ng/mL at baseline was 66.7% (2/3) and 40% (2/5), each. Most patients (87.5%) were Child-Pugh class A, and only 1 patient in the good response group was Child-Pugh class B. All patients received three or more prior therapies before nivolumab.</w:t>
      </w:r>
    </w:p>
    <w:p w14:paraId="1081A2B8" w14:textId="77777777" w:rsidR="00A77B3E" w:rsidRDefault="00A77B3E">
      <w:pPr>
        <w:spacing w:line="360" w:lineRule="auto"/>
        <w:jc w:val="both"/>
      </w:pPr>
    </w:p>
    <w:p w14:paraId="584C1D65" w14:textId="77777777" w:rsidR="00A77B3E" w:rsidRDefault="003E73B5">
      <w:pPr>
        <w:spacing w:line="360" w:lineRule="auto"/>
        <w:jc w:val="both"/>
      </w:pPr>
      <w:r>
        <w:rPr>
          <w:rFonts w:ascii="Book Antiqua" w:eastAsia="Book Antiqua" w:hAnsi="Book Antiqua" w:cs="Book Antiqua"/>
          <w:b/>
          <w:bCs/>
          <w:i/>
          <w:iCs/>
          <w:color w:val="000000"/>
        </w:rPr>
        <w:t>Metagenome analysis</w:t>
      </w:r>
    </w:p>
    <w:p w14:paraId="7B10A080" w14:textId="02E4427D" w:rsidR="00A77B3E" w:rsidRDefault="00F452A9">
      <w:pPr>
        <w:spacing w:line="360" w:lineRule="auto"/>
        <w:jc w:val="both"/>
      </w:pPr>
      <w:r>
        <w:rPr>
          <w:rFonts w:ascii="Book Antiqua" w:eastAsia="Book Antiqua" w:hAnsi="Book Antiqua" w:cs="Book Antiqua"/>
          <w:color w:val="000000"/>
        </w:rPr>
        <w:lastRenderedPageBreak/>
        <w:t>A total of 2027</w:t>
      </w:r>
      <w:r w:rsidR="003E73B5">
        <w:rPr>
          <w:rFonts w:ascii="Book Antiqua" w:eastAsia="Book Antiqua" w:hAnsi="Book Antiqua" w:cs="Book Antiqua"/>
          <w:color w:val="000000"/>
        </w:rPr>
        <w:t>154 good-quality reads with a mean length of 301 base pairs were generated. A higher Shannon index was found in the responders when compared to the non-responders after nivolumab therapy (</w:t>
      </w:r>
      <w:r w:rsidR="003E73B5">
        <w:rPr>
          <w:rFonts w:ascii="Book Antiqua" w:eastAsia="Book Antiqua" w:hAnsi="Book Antiqua" w:cs="Book Antiqua"/>
          <w:i/>
          <w:iCs/>
          <w:color w:val="000000"/>
        </w:rPr>
        <w:t>P</w:t>
      </w:r>
      <w:r w:rsidR="003E73B5">
        <w:rPr>
          <w:rFonts w:ascii="Book Antiqua" w:eastAsia="Book Antiqua" w:hAnsi="Book Antiqua" w:cs="Book Antiqua"/>
          <w:color w:val="000000"/>
        </w:rPr>
        <w:t xml:space="preserve"> = 0.036), reflecting a significantly higher species richness in the former group (Figure 1A</w:t>
      </w:r>
      <w:r>
        <w:rPr>
          <w:rFonts w:ascii="Book Antiqua" w:eastAsia="Book Antiqua" w:hAnsi="Book Antiqua" w:cs="Book Antiqua"/>
          <w:color w:val="000000"/>
        </w:rPr>
        <w:t xml:space="preserve"> and </w:t>
      </w:r>
      <w:r w:rsidR="003E73B5">
        <w:rPr>
          <w:rFonts w:ascii="Book Antiqua" w:eastAsia="Book Antiqua" w:hAnsi="Book Antiqua" w:cs="Book Antiqua"/>
          <w:color w:val="000000"/>
        </w:rPr>
        <w:t xml:space="preserve">B). In contrast, there was no significant difference in alpha diversity within the same patients according to the nivolumab therapy (Figure 1C). The unweighted beta diversity analysis also showed that the overall bacterial community structure and phylogenetic diversity were similar between T0 and T1, but the responders and non-responders were clearly distinguished (Figure 2). </w:t>
      </w:r>
    </w:p>
    <w:p w14:paraId="47EA5585" w14:textId="77777777" w:rsidR="00A77B3E" w:rsidRDefault="003E73B5" w:rsidP="00B66A8F">
      <w:pPr>
        <w:spacing w:line="360" w:lineRule="auto"/>
        <w:ind w:firstLineChars="200" w:firstLine="480"/>
        <w:jc w:val="both"/>
      </w:pPr>
      <w:r>
        <w:rPr>
          <w:rFonts w:ascii="Book Antiqua" w:eastAsia="Book Antiqua" w:hAnsi="Book Antiqua" w:cs="Book Antiqua"/>
          <w:color w:val="000000"/>
        </w:rPr>
        <w:t xml:space="preserve">To identify the bacterial taxa associated with a good prognosis, different taxonomical levels were compared using LDA, and 36 and 4 species were found to be differentially abundant in the responders and non-responders, respectively (Figure 3). Of the bacterial species, </w:t>
      </w:r>
      <w:proofErr w:type="spellStart"/>
      <w:r>
        <w:rPr>
          <w:rFonts w:ascii="Book Antiqua" w:eastAsia="Book Antiqua" w:hAnsi="Book Antiqua" w:cs="Book Antiqua"/>
          <w:i/>
          <w:iCs/>
          <w:color w:val="000000"/>
        </w:rPr>
        <w:t>Ruminococcus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gnavus</w:t>
      </w:r>
      <w:proofErr w:type="spellEnd"/>
      <w:r>
        <w:rPr>
          <w:rFonts w:ascii="Book Antiqua" w:eastAsia="Book Antiqua" w:hAnsi="Book Antiqua" w:cs="Book Antiqua"/>
          <w:color w:val="000000"/>
        </w:rPr>
        <w:t xml:space="preserve"> was abundant in the non-responders, while several bacterial taxa, including </w:t>
      </w:r>
      <w:r>
        <w:rPr>
          <w:rFonts w:ascii="Book Antiqua" w:eastAsia="Book Antiqua" w:hAnsi="Book Antiqua" w:cs="Book Antiqua"/>
          <w:i/>
          <w:iCs/>
          <w:color w:val="000000"/>
        </w:rPr>
        <w:t xml:space="preserve">Clostridia,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i/>
          <w:iCs/>
          <w:color w:val="000000"/>
        </w:rPr>
        <w:t xml:space="preserve"> 9</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Rikenellaceae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Alistipes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i/>
          <w:iCs/>
          <w:color w:val="000000"/>
        </w:rPr>
        <w:t>Christensenellaceae</w:t>
      </w:r>
      <w:proofErr w:type="spellEnd"/>
      <w:r>
        <w:rPr>
          <w:rFonts w:ascii="Book Antiqua" w:eastAsia="Book Antiqua" w:hAnsi="Book Antiqua" w:cs="Book Antiqua"/>
          <w:i/>
          <w:iCs/>
          <w:color w:val="000000"/>
        </w:rPr>
        <w:t xml:space="preserve"> R-7 </w:t>
      </w:r>
      <w:r>
        <w:rPr>
          <w:rFonts w:ascii="Book Antiqua" w:eastAsia="Book Antiqua" w:hAnsi="Book Antiqua" w:cs="Book Antiqua"/>
          <w:color w:val="000000"/>
        </w:rPr>
        <w:t>group</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Dialister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Muribaculaceae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Desulfovibrionales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Deltaproteobacteria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i/>
          <w:iCs/>
          <w:color w:val="000000"/>
        </w:rPr>
        <w:t>Eubacterium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coprostanoligenes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group</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Acidaminococcaceae</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i/>
          <w:iCs/>
          <w:color w:val="000000"/>
        </w:rPr>
        <w:t>Lachnospiraceae</w:t>
      </w:r>
      <w:proofErr w:type="spellEnd"/>
      <w:r>
        <w:rPr>
          <w:rFonts w:ascii="Book Antiqua" w:eastAsia="Book Antiqua" w:hAnsi="Book Antiqua" w:cs="Book Antiqua"/>
          <w:i/>
          <w:iCs/>
          <w:color w:val="000000"/>
        </w:rPr>
        <w:t xml:space="preserve"> NK4A136 </w:t>
      </w:r>
      <w:r>
        <w:rPr>
          <w:rFonts w:ascii="Book Antiqua" w:eastAsia="Book Antiqua" w:hAnsi="Book Antiqua" w:cs="Book Antiqua"/>
          <w:color w:val="000000"/>
        </w:rPr>
        <w:t>group,</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Roseburia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Mitsuokella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Ruminiclostridium</w:t>
      </w:r>
      <w:proofErr w:type="spellEnd"/>
      <w:r>
        <w:rPr>
          <w:rFonts w:ascii="Book Antiqua" w:eastAsia="Book Antiqua" w:hAnsi="Book Antiqua" w:cs="Book Antiqua"/>
          <w:i/>
          <w:iCs/>
          <w:color w:val="000000"/>
        </w:rPr>
        <w:t xml:space="preserve"> 9, </w:t>
      </w:r>
      <w:proofErr w:type="spellStart"/>
      <w:r>
        <w:rPr>
          <w:rFonts w:ascii="Book Antiqua" w:eastAsia="Book Antiqua" w:hAnsi="Book Antiqua" w:cs="Book Antiqua"/>
          <w:i/>
          <w:iCs/>
          <w:color w:val="000000"/>
        </w:rPr>
        <w:t>Marinifilaceae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Lachnospiraceae</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Ruminococcaceae</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groups other than </w:t>
      </w:r>
      <w:proofErr w:type="spellStart"/>
      <w:r>
        <w:rPr>
          <w:rFonts w:ascii="Book Antiqua" w:eastAsia="Book Antiqua" w:hAnsi="Book Antiqua" w:cs="Book Antiqua"/>
          <w:i/>
          <w:iCs/>
          <w:color w:val="000000"/>
        </w:rPr>
        <w:t>Ruminococcus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gnavus</w:t>
      </w:r>
      <w:proofErr w:type="spellEnd"/>
      <w:r>
        <w:rPr>
          <w:rFonts w:ascii="Book Antiqua" w:eastAsia="Book Antiqua" w:hAnsi="Book Antiqua" w:cs="Book Antiqua"/>
          <w:color w:val="000000"/>
        </w:rPr>
        <w:t xml:space="preserve"> were highly enriched in the responders. A volcano plot also showed several bacterial species specifically associated with the prognosis of nivolumab therapy in the HCC patients. </w:t>
      </w:r>
      <w:proofErr w:type="spellStart"/>
      <w:r>
        <w:rPr>
          <w:rFonts w:ascii="Book Antiqua" w:eastAsia="Book Antiqua" w:hAnsi="Book Antiqua" w:cs="Book Antiqua"/>
          <w:i/>
          <w:iCs/>
          <w:color w:val="000000"/>
        </w:rPr>
        <w:t>Dialister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pneumosintes</w:t>
      </w:r>
      <w:proofErr w:type="spellEnd"/>
      <w:r>
        <w:rPr>
          <w:rFonts w:ascii="Book Antiqua" w:eastAsia="Book Antiqua" w:hAnsi="Book Antiqua" w:cs="Book Antiqua"/>
          <w:i/>
          <w:iCs/>
          <w:color w:val="000000"/>
        </w:rPr>
        <w:t xml:space="preserve">, Escherichia coli, Lactobacillus </w:t>
      </w:r>
      <w:proofErr w:type="spellStart"/>
      <w:r>
        <w:rPr>
          <w:rFonts w:ascii="Book Antiqua" w:eastAsia="Book Antiqua" w:hAnsi="Book Antiqua" w:cs="Book Antiqua"/>
          <w:i/>
          <w:iCs/>
          <w:color w:val="000000"/>
        </w:rPr>
        <w:t>reteri</w:t>
      </w:r>
      <w:proofErr w:type="spellEnd"/>
      <w:r>
        <w:rPr>
          <w:rFonts w:ascii="Book Antiqua" w:eastAsia="Book Antiqua" w:hAnsi="Book Antiqua" w:cs="Book Antiqua"/>
          <w:i/>
          <w:iCs/>
          <w:color w:val="000000"/>
        </w:rPr>
        <w:t xml:space="preserve">, Streptococcus </w:t>
      </w:r>
      <w:proofErr w:type="spellStart"/>
      <w:r>
        <w:rPr>
          <w:rFonts w:ascii="Book Antiqua" w:eastAsia="Book Antiqua" w:hAnsi="Book Antiqua" w:cs="Book Antiqua"/>
          <w:i/>
          <w:iCs/>
          <w:color w:val="000000"/>
        </w:rPr>
        <w:t>mutans</w:t>
      </w:r>
      <w:proofErr w:type="spellEnd"/>
      <w:r>
        <w:rPr>
          <w:rFonts w:ascii="Book Antiqua" w:eastAsia="Book Antiqua" w:hAnsi="Book Antiqua" w:cs="Book Antiqua"/>
          <w:i/>
          <w:iCs/>
          <w:color w:val="000000"/>
        </w:rPr>
        <w:t xml:space="preserve">, Enterococcus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i/>
          <w:iCs/>
          <w:color w:val="000000"/>
        </w:rPr>
        <w:t xml:space="preserve">, Streptococcus </w:t>
      </w:r>
      <w:proofErr w:type="spellStart"/>
      <w:r>
        <w:rPr>
          <w:rFonts w:ascii="Book Antiqua" w:eastAsia="Book Antiqua" w:hAnsi="Book Antiqua" w:cs="Book Antiqua"/>
          <w:i/>
          <w:iCs/>
          <w:color w:val="000000"/>
        </w:rPr>
        <w:t>gordonii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Veillonella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atypica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Granulicatella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sp.,</w:t>
      </w:r>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Trchuris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trichiura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were specific to the non-responders, while </w:t>
      </w:r>
      <w:proofErr w:type="spellStart"/>
      <w:r>
        <w:rPr>
          <w:rFonts w:ascii="Book Antiqua" w:eastAsia="Book Antiqua" w:hAnsi="Book Antiqua" w:cs="Book Antiqua"/>
          <w:i/>
          <w:iCs/>
          <w:color w:val="000000"/>
        </w:rPr>
        <w:t>Citrobacter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freundii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Azospirillum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sp.,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Enterococcus </w:t>
      </w:r>
      <w:proofErr w:type="spellStart"/>
      <w:r>
        <w:rPr>
          <w:rFonts w:ascii="Book Antiqua" w:eastAsia="Book Antiqua" w:hAnsi="Book Antiqua" w:cs="Book Antiqua"/>
          <w:i/>
          <w:iCs/>
          <w:color w:val="000000"/>
        </w:rPr>
        <w:t>durans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were specific to the responders. </w:t>
      </w:r>
    </w:p>
    <w:p w14:paraId="03DFB573" w14:textId="77777777" w:rsidR="00A77B3E" w:rsidRDefault="003E73B5" w:rsidP="008E2A8B">
      <w:pPr>
        <w:spacing w:line="360" w:lineRule="auto"/>
        <w:ind w:firstLineChars="200" w:firstLine="480"/>
        <w:jc w:val="both"/>
      </w:pPr>
      <w:r>
        <w:rPr>
          <w:rFonts w:ascii="Book Antiqua" w:eastAsia="Book Antiqua" w:hAnsi="Book Antiqua" w:cs="Book Antiqua"/>
          <w:color w:val="000000"/>
        </w:rPr>
        <w:t xml:space="preserve">The gut microbiota composition in HCC patients was also described at the phylum and genus levels (Figure 4). At the phylum level, a skewed </w:t>
      </w:r>
      <w:r>
        <w:rPr>
          <w:rFonts w:ascii="Book Antiqua" w:eastAsia="Book Antiqua" w:hAnsi="Book Antiqua" w:cs="Book Antiqua"/>
          <w:i/>
          <w:iCs/>
          <w:color w:val="000000"/>
        </w:rPr>
        <w:t>Firmicutes/Bacteroidetes</w:t>
      </w:r>
      <w:r>
        <w:rPr>
          <w:rFonts w:ascii="Book Antiqua" w:eastAsia="Book Antiqua" w:hAnsi="Book Antiqua" w:cs="Book Antiqua"/>
          <w:color w:val="000000"/>
        </w:rPr>
        <w:t xml:space="preserve"> ratio (&lt; 0.5 or &gt; 1.5) was more frequently found in the non-responders than in the responders (66.7% </w:t>
      </w:r>
      <w:r>
        <w:rPr>
          <w:rFonts w:ascii="Book Antiqua" w:eastAsia="Book Antiqua" w:hAnsi="Book Antiqua" w:cs="Book Antiqua"/>
          <w:i/>
          <w:iCs/>
          <w:color w:val="000000"/>
        </w:rPr>
        <w:t>vs</w:t>
      </w:r>
      <w:r>
        <w:rPr>
          <w:rFonts w:ascii="Book Antiqua" w:eastAsia="Book Antiqua" w:hAnsi="Book Antiqua" w:cs="Book Antiqua"/>
          <w:color w:val="000000"/>
        </w:rPr>
        <w:t xml:space="preserve"> 10%,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mean ratio of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species to </w:t>
      </w:r>
      <w:proofErr w:type="spellStart"/>
      <w:r>
        <w:rPr>
          <w:rFonts w:ascii="Book Antiqua" w:eastAsia="Book Antiqua" w:hAnsi="Book Antiqua" w:cs="Book Antiqua"/>
          <w:i/>
          <w:iCs/>
          <w:color w:val="000000"/>
        </w:rPr>
        <w:t>Bacteroides</w:t>
      </w:r>
      <w:proofErr w:type="spellEnd"/>
      <w:r>
        <w:rPr>
          <w:rFonts w:ascii="Book Antiqua" w:eastAsia="Book Antiqua" w:hAnsi="Book Antiqua" w:cs="Book Antiqua"/>
          <w:color w:val="000000"/>
        </w:rPr>
        <w:t xml:space="preserve"> species (P/B ratio) was significantly higher in the responders than in the non-responders (22.99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2.312, </w:t>
      </w:r>
      <w:r>
        <w:rPr>
          <w:rFonts w:ascii="Book Antiqua" w:eastAsia="Book Antiqua" w:hAnsi="Book Antiqua" w:cs="Book Antiqua"/>
          <w:i/>
          <w:iCs/>
          <w:color w:val="000000"/>
        </w:rPr>
        <w:t>P</w:t>
      </w:r>
      <w:r>
        <w:rPr>
          <w:rFonts w:ascii="Book Antiqua" w:eastAsia="Book Antiqua" w:hAnsi="Book Antiqua" w:cs="Book Antiqua"/>
          <w:color w:val="000000"/>
        </w:rPr>
        <w:t xml:space="preserve"> = 0.024). In addition, the presence of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color w:val="000000"/>
        </w:rPr>
        <w:t xml:space="preserve"> species was observed in two responders only, indicating that this could be a useful prognostic marker of the response to nivolumab therapy in advanced HCC patients.</w:t>
      </w:r>
    </w:p>
    <w:p w14:paraId="38409FFF" w14:textId="77777777" w:rsidR="00A77B3E" w:rsidRDefault="00A77B3E">
      <w:pPr>
        <w:spacing w:line="360" w:lineRule="auto"/>
        <w:jc w:val="both"/>
      </w:pPr>
    </w:p>
    <w:p w14:paraId="2246BB5A" w14:textId="77777777" w:rsidR="00A77B3E" w:rsidRDefault="003E73B5">
      <w:pPr>
        <w:spacing w:line="360" w:lineRule="auto"/>
        <w:jc w:val="both"/>
      </w:pPr>
      <w:r>
        <w:rPr>
          <w:rFonts w:ascii="Book Antiqua" w:eastAsia="Book Antiqua" w:hAnsi="Book Antiqua" w:cs="Book Antiqua"/>
          <w:b/>
          <w:caps/>
          <w:color w:val="000000"/>
          <w:u w:val="single"/>
        </w:rPr>
        <w:t>DISCUSSION</w:t>
      </w:r>
    </w:p>
    <w:p w14:paraId="0E8E2AA3" w14:textId="0F572035" w:rsidR="00A77B3E" w:rsidRDefault="003E73B5">
      <w:pPr>
        <w:spacing w:line="360" w:lineRule="auto"/>
        <w:jc w:val="both"/>
      </w:pPr>
      <w:r>
        <w:rPr>
          <w:rFonts w:ascii="Book Antiqua" w:eastAsia="Book Antiqua" w:hAnsi="Book Antiqua" w:cs="Book Antiqua"/>
          <w:color w:val="000000"/>
        </w:rPr>
        <w:t xml:space="preserve">A number of clinical trials investigating the therapeutic potential of manipulation of the gut microbiota in non-HCC cancer patients has already </w:t>
      </w:r>
      <w:proofErr w:type="gramStart"/>
      <w:r>
        <w:rPr>
          <w:rFonts w:ascii="Book Antiqua" w:eastAsia="Book Antiqua" w:hAnsi="Book Antiqua" w:cs="Book Antiqua"/>
          <w:color w:val="000000"/>
        </w:rPr>
        <w:t>begun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6-8,12]</w:t>
      </w:r>
      <w:r>
        <w:rPr>
          <w:rFonts w:ascii="Book Antiqua" w:eastAsia="Book Antiqua" w:hAnsi="Book Antiqua" w:cs="Book Antiqua"/>
          <w:color w:val="000000"/>
        </w:rPr>
        <w:t xml:space="preserve">. Regarding HCC, however, only two Chinese studies have been reported to </w:t>
      </w:r>
      <w:proofErr w:type="gramStart"/>
      <w:r>
        <w:rPr>
          <w:rFonts w:ascii="Book Antiqua" w:eastAsia="Book Antiqua" w:hAnsi="Book Antiqua" w:cs="Book Antiqua"/>
          <w:color w:val="000000"/>
        </w:rPr>
        <w:t>date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Reduced alpha diversity was found in the non-responders in those studies, in line with our data. In addition, we found that several bacterial taxa, such as </w:t>
      </w:r>
      <w:proofErr w:type="spellStart"/>
      <w:r>
        <w:rPr>
          <w:rFonts w:ascii="Book Antiqua" w:eastAsia="Book Antiqua" w:hAnsi="Book Antiqua" w:cs="Book Antiqua"/>
          <w:i/>
          <w:iCs/>
          <w:color w:val="000000"/>
        </w:rPr>
        <w:t>Dialister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pneumosintes</w:t>
      </w:r>
      <w:proofErr w:type="spellEnd"/>
      <w:r>
        <w:rPr>
          <w:rFonts w:ascii="Book Antiqua" w:eastAsia="Book Antiqua" w:hAnsi="Book Antiqua" w:cs="Book Antiqua"/>
          <w:i/>
          <w:iCs/>
          <w:color w:val="000000"/>
        </w:rPr>
        <w:t xml:space="preserve">, Escherichia coli, Lactobacillus </w:t>
      </w:r>
      <w:proofErr w:type="spellStart"/>
      <w:r>
        <w:rPr>
          <w:rFonts w:ascii="Book Antiqua" w:eastAsia="Book Antiqua" w:hAnsi="Book Antiqua" w:cs="Book Antiqua"/>
          <w:i/>
          <w:iCs/>
          <w:color w:val="000000"/>
        </w:rPr>
        <w:t>reteri</w:t>
      </w:r>
      <w:proofErr w:type="spellEnd"/>
      <w:r>
        <w:rPr>
          <w:rFonts w:ascii="Book Antiqua" w:eastAsia="Book Antiqua" w:hAnsi="Book Antiqua" w:cs="Book Antiqua"/>
          <w:i/>
          <w:iCs/>
          <w:color w:val="000000"/>
        </w:rPr>
        <w:t xml:space="preserve">, Streptococcus </w:t>
      </w:r>
      <w:proofErr w:type="spellStart"/>
      <w:r>
        <w:rPr>
          <w:rFonts w:ascii="Book Antiqua" w:eastAsia="Book Antiqua" w:hAnsi="Book Antiqua" w:cs="Book Antiqua"/>
          <w:i/>
          <w:iCs/>
          <w:color w:val="000000"/>
        </w:rPr>
        <w:t>mutans</w:t>
      </w:r>
      <w:proofErr w:type="spellEnd"/>
      <w:r>
        <w:rPr>
          <w:rFonts w:ascii="Book Antiqua" w:eastAsia="Book Antiqua" w:hAnsi="Book Antiqua" w:cs="Book Antiqua"/>
          <w:i/>
          <w:iCs/>
          <w:color w:val="000000"/>
        </w:rPr>
        <w:t xml:space="preserve">, Enterococcus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i/>
          <w:iCs/>
          <w:color w:val="000000"/>
        </w:rPr>
        <w:t xml:space="preserve">, Streptococcus </w:t>
      </w:r>
      <w:proofErr w:type="spellStart"/>
      <w:r>
        <w:rPr>
          <w:rFonts w:ascii="Book Antiqua" w:eastAsia="Book Antiqua" w:hAnsi="Book Antiqua" w:cs="Book Antiqua"/>
          <w:i/>
          <w:iCs/>
          <w:color w:val="000000"/>
        </w:rPr>
        <w:t>gordonii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Veillonella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atypica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Granulicatella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sp.,</w:t>
      </w:r>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Trchuris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trichiura</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were specific to non-responders, while </w:t>
      </w:r>
      <w:proofErr w:type="spellStart"/>
      <w:r>
        <w:rPr>
          <w:rFonts w:ascii="Book Antiqua" w:eastAsia="Book Antiqua" w:hAnsi="Book Antiqua" w:cs="Book Antiqua"/>
          <w:i/>
          <w:iCs/>
          <w:color w:val="000000"/>
        </w:rPr>
        <w:t>Citrobacter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freundii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Azospirillum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sp.,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Enterococcus </w:t>
      </w:r>
      <w:proofErr w:type="spellStart"/>
      <w:r>
        <w:rPr>
          <w:rFonts w:ascii="Book Antiqua" w:eastAsia="Book Antiqua" w:hAnsi="Book Antiqua" w:cs="Book Antiqua"/>
          <w:i/>
          <w:iCs/>
          <w:color w:val="000000"/>
        </w:rPr>
        <w:t>durans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were specific to responders. The gut bacteria associated with the therapeutic response did not overlap with those in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This might be partly due to differences in the techniques used to analyze samples, the reference databases, and geographical or racial/ethnic differences. While this study has not proven the clinical efficacy and benefit of our approach, it is feasible that it could reduce the therapeutic failure rate of nivolumab. Furthermore, it is not clear whether the aforementioned findings regarding the role of the gut microbiome in antitumor immune responses in animal models and patients with other tumor types also apply to patients with HCC. </w:t>
      </w:r>
    </w:p>
    <w:p w14:paraId="7F0678DE" w14:textId="77777777" w:rsidR="00A77B3E" w:rsidRDefault="003E73B5" w:rsidP="00BF1F18">
      <w:pPr>
        <w:spacing w:line="360" w:lineRule="auto"/>
        <w:ind w:firstLineChars="200" w:firstLine="480"/>
        <w:jc w:val="both"/>
      </w:pPr>
      <w:r>
        <w:rPr>
          <w:rFonts w:ascii="Book Antiqua" w:eastAsia="Book Antiqua" w:hAnsi="Book Antiqua" w:cs="Book Antiqua"/>
          <w:color w:val="000000"/>
        </w:rPr>
        <w:t xml:space="preserve">Beyond dysbiosis, we suggested additional potential prognostic markers of the response to nivolumab therapy in HCC patients. We found that in all the responders, the </w:t>
      </w:r>
      <w:r>
        <w:rPr>
          <w:rFonts w:ascii="Book Antiqua" w:eastAsia="Book Antiqua" w:hAnsi="Book Antiqua" w:cs="Book Antiqua"/>
          <w:i/>
          <w:iCs/>
          <w:color w:val="000000"/>
        </w:rPr>
        <w:t>Firmicutes/Bacteroidetes</w:t>
      </w:r>
      <w:r>
        <w:rPr>
          <w:rFonts w:ascii="Book Antiqua" w:eastAsia="Book Antiqua" w:hAnsi="Book Antiqua" w:cs="Book Antiqua"/>
          <w:color w:val="000000"/>
        </w:rPr>
        <w:t xml:space="preserve"> ratio ranged from 0.54 to 1.44 (mean of 0.88), whereas 66.7% of non-responders exhibited a highly skewed ratio (&lt; 0.5 or &gt; 1.5). Previous studies have shown elevated </w:t>
      </w:r>
      <w:r>
        <w:rPr>
          <w:rFonts w:ascii="Book Antiqua" w:eastAsia="Book Antiqua" w:hAnsi="Book Antiqua" w:cs="Book Antiqua"/>
          <w:i/>
          <w:iCs/>
          <w:color w:val="000000"/>
        </w:rPr>
        <w:t>Firmicutes/Bacteroidetes</w:t>
      </w:r>
      <w:r>
        <w:rPr>
          <w:rFonts w:ascii="Book Antiqua" w:eastAsia="Book Antiqua" w:hAnsi="Book Antiqua" w:cs="Book Antiqua"/>
          <w:color w:val="000000"/>
        </w:rPr>
        <w:t xml:space="preserve"> ratio in the gut microbiota to be associated with obesity and older </w:t>
      </w:r>
      <w:proofErr w:type="gramStart"/>
      <w:r>
        <w:rPr>
          <w:rFonts w:ascii="Book Antiqua" w:eastAsia="Book Antiqua" w:hAnsi="Book Antiqua" w:cs="Book Antiqua"/>
          <w:color w:val="000000"/>
        </w:rPr>
        <w: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suggesting that it could be the result of dysbiosis arising from adaptation of individual microbial communities to long-term metabolic dysfunction</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Until recently, few studies have discussed the association between the </w:t>
      </w:r>
      <w:r>
        <w:rPr>
          <w:rFonts w:ascii="Book Antiqua" w:eastAsia="Book Antiqua" w:hAnsi="Book Antiqua" w:cs="Book Antiqua"/>
          <w:i/>
          <w:iCs/>
          <w:color w:val="000000"/>
        </w:rPr>
        <w:lastRenderedPageBreak/>
        <w:t>Firmicutes/Bacteroidetes</w:t>
      </w:r>
      <w:r>
        <w:rPr>
          <w:rFonts w:ascii="Book Antiqua" w:eastAsia="Book Antiqua" w:hAnsi="Book Antiqua" w:cs="Book Antiqua"/>
          <w:color w:val="000000"/>
        </w:rPr>
        <w:t xml:space="preserve"> ratio and gastrointestinal cancer. Yu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reported that, in a rat model, precancerous lesions of gastric cancer had the highest </w:t>
      </w:r>
      <w:r>
        <w:rPr>
          <w:rFonts w:ascii="Book Antiqua" w:eastAsia="Book Antiqua" w:hAnsi="Book Antiqua" w:cs="Book Antiqua"/>
          <w:i/>
          <w:iCs/>
          <w:color w:val="000000"/>
        </w:rPr>
        <w:t>Firmicutes/Bacteroidetes</w:t>
      </w:r>
      <w:r>
        <w:rPr>
          <w:rFonts w:ascii="Book Antiqua" w:eastAsia="Book Antiqua" w:hAnsi="Book Antiqua" w:cs="Book Antiqua"/>
          <w:color w:val="000000"/>
        </w:rPr>
        <w:t xml:space="preserve"> ratio.</w:t>
      </w:r>
      <w:r w:rsidRPr="00C51AA3">
        <w:rPr>
          <w:rFonts w:ascii="Book Antiqua" w:eastAsia="Book Antiqua" w:hAnsi="Book Antiqua" w:cs="Book Antiqua"/>
          <w:iCs/>
          <w:color w:val="000000"/>
        </w:rPr>
        <w:t xml:space="preserve"> A reduced </w:t>
      </w:r>
      <w:r w:rsidRPr="0034380F">
        <w:rPr>
          <w:rFonts w:ascii="Book Antiqua" w:eastAsia="Book Antiqua" w:hAnsi="Book Antiqua" w:cs="Book Antiqua"/>
          <w:i/>
          <w:iCs/>
          <w:color w:val="000000"/>
        </w:rPr>
        <w:t>Firmicutes/Bacteroidetes</w:t>
      </w:r>
      <w:r w:rsidRPr="00C51AA3">
        <w:rPr>
          <w:rFonts w:ascii="Book Antiqua" w:eastAsia="Book Antiqua" w:hAnsi="Book Antiqua" w:cs="Book Antiqua"/>
          <w:iCs/>
          <w:color w:val="000000"/>
        </w:rPr>
        <w:t xml:space="preserve"> ratio was also found to be related to the progression of liver diseases (liver cirrhosis and primary liver cancer</w:t>
      </w:r>
      <w:proofErr w:type="gramStart"/>
      <w:r w:rsidRPr="00C51AA3">
        <w:rPr>
          <w:rFonts w:ascii="Book Antiqua" w:eastAsia="Book Antiqua" w:hAnsi="Book Antiqua" w:cs="Book Antiqua"/>
          <w:iCs/>
          <w:color w:val="000000"/>
        </w:rPr>
        <w:t>)</w:t>
      </w:r>
      <w:r w:rsidRPr="00C51AA3">
        <w:rPr>
          <w:rFonts w:ascii="Book Antiqua" w:eastAsia="Book Antiqua" w:hAnsi="Book Antiqua" w:cs="Book Antiqua"/>
          <w:iCs/>
          <w:color w:val="000000"/>
          <w:szCs w:val="30"/>
          <w:vertAlign w:val="superscript"/>
        </w:rPr>
        <w:t>[</w:t>
      </w:r>
      <w:proofErr w:type="gramEnd"/>
      <w:r w:rsidRPr="00C51AA3">
        <w:rPr>
          <w:rFonts w:ascii="Book Antiqua" w:eastAsia="Book Antiqua" w:hAnsi="Book Antiqua" w:cs="Book Antiqua"/>
          <w:iCs/>
          <w:color w:val="000000"/>
          <w:szCs w:val="30"/>
          <w:vertAlign w:val="superscript"/>
        </w:rPr>
        <w:t>18]</w:t>
      </w:r>
      <w:r w:rsidRPr="00C51AA3">
        <w:rPr>
          <w:rFonts w:ascii="Book Antiqua" w:eastAsia="Book Antiqua" w:hAnsi="Book Antiqua" w:cs="Book Antiqua"/>
          <w:iCs/>
          <w:color w:val="000000"/>
        </w:rPr>
        <w:t xml:space="preserve">. Notably, our data strongly support the notion that a highly skewed </w:t>
      </w:r>
      <w:r w:rsidRPr="00A676DD">
        <w:rPr>
          <w:rFonts w:ascii="Book Antiqua" w:eastAsia="Book Antiqua" w:hAnsi="Book Antiqua" w:cs="Book Antiqua"/>
          <w:i/>
          <w:iCs/>
          <w:color w:val="000000"/>
        </w:rPr>
        <w:t>Firmicutes/Bacteroidetes</w:t>
      </w:r>
      <w:r w:rsidRPr="00C51AA3">
        <w:rPr>
          <w:rFonts w:ascii="Book Antiqua" w:eastAsia="Book Antiqua" w:hAnsi="Book Antiqua" w:cs="Book Antiqua"/>
          <w:iCs/>
          <w:color w:val="000000"/>
        </w:rPr>
        <w:t xml:space="preserve"> ratio can be used to predict a lack of response to nivolumab therapy. This could facilitate the selection of appropriate immunotherapies for advanced HCC patients.</w:t>
      </w:r>
      <w:r>
        <w:rPr>
          <w:rFonts w:ascii="Book Antiqua" w:eastAsia="Book Antiqua" w:hAnsi="Book Antiqua" w:cs="Book Antiqua"/>
          <w:i/>
          <w:iCs/>
          <w:color w:val="000000"/>
        </w:rPr>
        <w:t xml:space="preserve"> </w:t>
      </w:r>
    </w:p>
    <w:p w14:paraId="3657CBB1" w14:textId="77777777" w:rsidR="00A77B3E" w:rsidRDefault="003E73B5" w:rsidP="0053189E">
      <w:pPr>
        <w:spacing w:line="360" w:lineRule="auto"/>
        <w:ind w:firstLineChars="200" w:firstLine="480"/>
        <w:jc w:val="both"/>
      </w:pPr>
      <w:r>
        <w:rPr>
          <w:rFonts w:ascii="Book Antiqua" w:eastAsia="Book Antiqua" w:hAnsi="Book Antiqua" w:cs="Book Antiqua"/>
          <w:color w:val="000000"/>
        </w:rPr>
        <w:t xml:space="preserve">Furthermore, we found that a high P/B ratio was a better prognostic marker of the response to nivolumab therapy outcome in HCC patients. Overall, we found that responders had a significantly higher P/B ratio than non-responders. This observation is partly supported by a recent study reporting an elevated P/B ratio in fecal samples obtained from advanced-stage gastrointestinal cancer patients receiving anti-PD-1/PD-L1 and an improved response to anti-PD-1/PD-L1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In line with previous studies, we also found that the presence of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color w:val="000000"/>
        </w:rPr>
        <w:t xml:space="preserve"> species can serve as a good prognostic marker of the response to nivolumab therapy in advanced HCC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Although we did not analyze the gut microbiome of non-HCC patients, but previous studies have shown that patients with HCC and underlying cirrhosis typically present with profound dysbiosis. Thus, it is tempting to speculate that underlying dysbiosis could contribute to immunotherapy failure in some patients and that gut microbiome modulation may have even more profound effects in HCC than other tumors. </w:t>
      </w:r>
    </w:p>
    <w:p w14:paraId="612E26A2" w14:textId="77777777" w:rsidR="00A77B3E" w:rsidRDefault="003E73B5" w:rsidP="001B1E5F">
      <w:pPr>
        <w:spacing w:line="360" w:lineRule="auto"/>
        <w:ind w:firstLineChars="200" w:firstLine="480"/>
        <w:jc w:val="both"/>
      </w:pPr>
      <w:r>
        <w:rPr>
          <w:rFonts w:ascii="Book Antiqua" w:eastAsia="Book Antiqua" w:hAnsi="Book Antiqua" w:cs="Book Antiqua"/>
          <w:color w:val="000000"/>
          <w:shd w:val="clear" w:color="auto" w:fill="FFFFFF"/>
        </w:rPr>
        <w:t xml:space="preserve">In this study, all 5 responders and 1 of 3 non-responders were infected by HBV. However, this may reflect the relatively higher proportion of HBV-related HCC in the Korean population in general, rather than the positive impact of HBV infection on nivolumab outcome. The association of HBV in nivolumab treatment response is not clear yet. For further consideration, in the </w:t>
      </w:r>
      <w:proofErr w:type="spellStart"/>
      <w:r>
        <w:rPr>
          <w:rFonts w:ascii="Book Antiqua" w:eastAsia="Book Antiqua" w:hAnsi="Book Antiqua" w:cs="Book Antiqua"/>
          <w:color w:val="000000"/>
          <w:shd w:val="clear" w:color="auto" w:fill="FFFFFF"/>
        </w:rPr>
        <w:t>CheckMate</w:t>
      </w:r>
      <w:proofErr w:type="spellEnd"/>
      <w:r>
        <w:rPr>
          <w:rFonts w:ascii="Book Antiqua" w:eastAsia="Book Antiqua" w:hAnsi="Book Antiqua" w:cs="Book Antiqua"/>
          <w:color w:val="000000"/>
          <w:shd w:val="clear" w:color="auto" w:fill="FFFFFF"/>
        </w:rPr>
        <w:t xml:space="preserve"> 040 data, the efficacy and safety of nivolumab treatment in sorafenib-experienced patients with advanced HCC were comparable between the HBV-infected group and the non-infected </w:t>
      </w:r>
      <w:proofErr w:type="gramStart"/>
      <w:r>
        <w:rPr>
          <w:rFonts w:ascii="Book Antiqua" w:eastAsia="Book Antiqua" w:hAnsi="Book Antiqua" w:cs="Book Antiqua"/>
          <w:color w:val="000000"/>
          <w:shd w:val="clear" w:color="auto" w:fill="FFFFFF"/>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428CECD1" w14:textId="77777777" w:rsidR="00A77B3E" w:rsidRDefault="003E73B5" w:rsidP="0099211B">
      <w:pPr>
        <w:spacing w:line="360" w:lineRule="auto"/>
        <w:ind w:firstLineChars="200" w:firstLine="480"/>
        <w:jc w:val="both"/>
      </w:pPr>
      <w:r>
        <w:rPr>
          <w:rFonts w:ascii="Book Antiqua" w:eastAsia="Book Antiqua" w:hAnsi="Book Antiqua" w:cs="Book Antiqua"/>
          <w:color w:val="000000"/>
        </w:rPr>
        <w:t xml:space="preserve">A major limitation of this study is the small size of its cohort, which did not provide sufficient statistical power. This preliminary data should be interpreted with </w:t>
      </w:r>
      <w:r>
        <w:rPr>
          <w:rFonts w:ascii="Book Antiqua" w:eastAsia="Book Antiqua" w:hAnsi="Book Antiqua" w:cs="Book Antiqua"/>
          <w:color w:val="000000"/>
        </w:rPr>
        <w:lastRenderedPageBreak/>
        <w:t>caution and further studies enrolling larger numbers of subjects may, thus, reveal additional microbial patterns. In addition, translation of a prognosis-associated microbial signature may not be straightforward, and thus several inherent variabilities between individuals within each cohort should be also considered as potential confounding factors. Nevertheless, our data highlights the promising possibility that a feasible approach may be to combine several microbial features for prediction of nivolumab treatment.</w:t>
      </w:r>
    </w:p>
    <w:p w14:paraId="3365F135" w14:textId="77777777" w:rsidR="00A77B3E" w:rsidRDefault="00A77B3E">
      <w:pPr>
        <w:spacing w:line="360" w:lineRule="auto"/>
        <w:jc w:val="both"/>
      </w:pPr>
    </w:p>
    <w:p w14:paraId="68E34B94" w14:textId="77777777" w:rsidR="00A77B3E" w:rsidRDefault="003E73B5">
      <w:pPr>
        <w:spacing w:line="360" w:lineRule="auto"/>
        <w:jc w:val="both"/>
      </w:pPr>
      <w:r>
        <w:rPr>
          <w:rFonts w:ascii="Book Antiqua" w:eastAsia="Book Antiqua" w:hAnsi="Book Antiqua" w:cs="Book Antiqua"/>
          <w:b/>
          <w:caps/>
          <w:color w:val="000000"/>
          <w:u w:val="single"/>
        </w:rPr>
        <w:t>CONCLUSION</w:t>
      </w:r>
    </w:p>
    <w:p w14:paraId="72D757FC" w14:textId="77777777" w:rsidR="00A77B3E" w:rsidRDefault="003E73B5">
      <w:pPr>
        <w:spacing w:line="360" w:lineRule="auto"/>
        <w:jc w:val="both"/>
      </w:pPr>
      <w:r>
        <w:rPr>
          <w:rFonts w:ascii="Book Antiqua" w:eastAsia="Book Antiqua" w:hAnsi="Book Antiqua" w:cs="Book Antiqua"/>
          <w:color w:val="000000"/>
        </w:rPr>
        <w:t xml:space="preserve">The current study suggests that non-responders to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have </w:t>
      </w:r>
      <w:proofErr w:type="spellStart"/>
      <w:r>
        <w:rPr>
          <w:rFonts w:ascii="Book Antiqua" w:eastAsia="Book Antiqua" w:hAnsi="Book Antiqua" w:cs="Book Antiqua"/>
          <w:color w:val="000000"/>
        </w:rPr>
        <w:t>dysbiotic</w:t>
      </w:r>
      <w:proofErr w:type="spellEnd"/>
      <w:r>
        <w:rPr>
          <w:rFonts w:ascii="Book Antiqua" w:eastAsia="Book Antiqua" w:hAnsi="Book Antiqua" w:cs="Book Antiqua"/>
          <w:color w:val="000000"/>
        </w:rPr>
        <w:t xml:space="preserve"> fecal composition. Moreover, a high P/B ratio predicted a better response to nivolumab in HCC patients, albeit that cohort was relatively small. Further studies should help define the role of these bacteria and their potential as novel biomarkers. New insights into the pathophysiological relevance of intestinal dysbiosis in the prognosis of HCC may lead to innovative therapeutic solutions, such as supplementation with probiotics, to prevent primary resistance to therapy. </w:t>
      </w:r>
    </w:p>
    <w:p w14:paraId="4A575BFA" w14:textId="77777777" w:rsidR="00A77B3E" w:rsidRDefault="00A77B3E">
      <w:pPr>
        <w:spacing w:line="360" w:lineRule="auto"/>
        <w:jc w:val="both"/>
      </w:pPr>
    </w:p>
    <w:p w14:paraId="1470625C" w14:textId="77777777" w:rsidR="00A77B3E" w:rsidRDefault="003E73B5">
      <w:pPr>
        <w:spacing w:line="360" w:lineRule="auto"/>
        <w:jc w:val="both"/>
      </w:pPr>
      <w:r>
        <w:rPr>
          <w:rFonts w:ascii="Book Antiqua" w:eastAsia="Book Antiqua" w:hAnsi="Book Antiqua" w:cs="Book Antiqua"/>
          <w:b/>
          <w:caps/>
          <w:color w:val="000000"/>
          <w:u w:val="single"/>
        </w:rPr>
        <w:t>ARTICLE HIGHLIGHTS</w:t>
      </w:r>
    </w:p>
    <w:p w14:paraId="367A2369" w14:textId="77777777" w:rsidR="00A77B3E" w:rsidRDefault="003E73B5">
      <w:pPr>
        <w:spacing w:line="360" w:lineRule="auto"/>
        <w:jc w:val="both"/>
      </w:pPr>
      <w:r>
        <w:rPr>
          <w:rFonts w:ascii="Book Antiqua" w:eastAsia="Book Antiqua" w:hAnsi="Book Antiqua" w:cs="Book Antiqua"/>
          <w:b/>
          <w:i/>
          <w:color w:val="000000"/>
        </w:rPr>
        <w:t>Research background</w:t>
      </w:r>
    </w:p>
    <w:p w14:paraId="06AD51A2" w14:textId="77777777" w:rsidR="00A77B3E" w:rsidRDefault="003E73B5">
      <w:pPr>
        <w:spacing w:line="360" w:lineRule="auto"/>
        <w:jc w:val="both"/>
      </w:pPr>
      <w:r>
        <w:rPr>
          <w:rFonts w:ascii="Book Antiqua" w:eastAsia="Book Antiqua" w:hAnsi="Book Antiqua" w:cs="Book Antiqua"/>
          <w:color w:val="000000"/>
        </w:rPr>
        <w:t xml:space="preserve">Systemic chemotherapy for hepatocellular carcinoma (HCC) has an important role, and immunotherapy in HCC is challenging. </w:t>
      </w:r>
    </w:p>
    <w:p w14:paraId="42216933" w14:textId="77777777" w:rsidR="00A77B3E" w:rsidRDefault="00A77B3E">
      <w:pPr>
        <w:spacing w:line="360" w:lineRule="auto"/>
        <w:jc w:val="both"/>
      </w:pPr>
    </w:p>
    <w:p w14:paraId="16CDAFF5" w14:textId="77777777" w:rsidR="00A77B3E" w:rsidRDefault="003E73B5">
      <w:pPr>
        <w:spacing w:line="360" w:lineRule="auto"/>
        <w:jc w:val="both"/>
      </w:pPr>
      <w:r>
        <w:rPr>
          <w:rFonts w:ascii="Book Antiqua" w:eastAsia="Book Antiqua" w:hAnsi="Book Antiqua" w:cs="Book Antiqua"/>
          <w:b/>
          <w:i/>
          <w:color w:val="000000"/>
        </w:rPr>
        <w:t>Research motivation</w:t>
      </w:r>
    </w:p>
    <w:p w14:paraId="6BE40917" w14:textId="77777777" w:rsidR="00A77B3E" w:rsidRDefault="003E73B5">
      <w:pPr>
        <w:spacing w:line="360" w:lineRule="auto"/>
        <w:jc w:val="both"/>
      </w:pPr>
      <w:r>
        <w:rPr>
          <w:rFonts w:ascii="Book Antiqua" w:eastAsia="Book Antiqua" w:hAnsi="Book Antiqua" w:cs="Book Antiqua"/>
          <w:color w:val="000000"/>
        </w:rPr>
        <w:t xml:space="preserve">Predictive or prognostic markers for systemic treatment for HCC have not been elucidated. </w:t>
      </w:r>
    </w:p>
    <w:p w14:paraId="263DB550" w14:textId="77777777" w:rsidR="00A77B3E" w:rsidRDefault="00A77B3E">
      <w:pPr>
        <w:spacing w:line="360" w:lineRule="auto"/>
        <w:jc w:val="both"/>
      </w:pPr>
    </w:p>
    <w:p w14:paraId="28617E94" w14:textId="77777777" w:rsidR="00A77B3E" w:rsidRDefault="003E73B5">
      <w:pPr>
        <w:spacing w:line="360" w:lineRule="auto"/>
        <w:jc w:val="both"/>
      </w:pPr>
      <w:r>
        <w:rPr>
          <w:rFonts w:ascii="Book Antiqua" w:eastAsia="Book Antiqua" w:hAnsi="Book Antiqua" w:cs="Book Antiqua"/>
          <w:b/>
          <w:i/>
          <w:color w:val="000000"/>
        </w:rPr>
        <w:t>Research objectives</w:t>
      </w:r>
    </w:p>
    <w:p w14:paraId="3F41B64D" w14:textId="77777777" w:rsidR="00A77B3E" w:rsidRDefault="003E73B5">
      <w:pPr>
        <w:spacing w:line="360" w:lineRule="auto"/>
        <w:jc w:val="both"/>
      </w:pPr>
      <w:r>
        <w:rPr>
          <w:rFonts w:ascii="Book Antiqua" w:eastAsia="Book Antiqua" w:hAnsi="Book Antiqua" w:cs="Book Antiqua"/>
          <w:color w:val="000000"/>
        </w:rPr>
        <w:t>To investigate the correlation between gut microbiome and treatment response in advanced HCC.</w:t>
      </w:r>
    </w:p>
    <w:p w14:paraId="56FB8D33" w14:textId="77777777" w:rsidR="00A77B3E" w:rsidRDefault="00A77B3E">
      <w:pPr>
        <w:spacing w:line="360" w:lineRule="auto"/>
        <w:jc w:val="both"/>
      </w:pPr>
    </w:p>
    <w:p w14:paraId="0B64C695" w14:textId="77777777" w:rsidR="00A77B3E" w:rsidRDefault="003E73B5">
      <w:pPr>
        <w:spacing w:line="360" w:lineRule="auto"/>
        <w:jc w:val="both"/>
      </w:pPr>
      <w:r>
        <w:rPr>
          <w:rFonts w:ascii="Book Antiqua" w:eastAsia="Book Antiqua" w:hAnsi="Book Antiqua" w:cs="Book Antiqua"/>
          <w:b/>
          <w:i/>
          <w:color w:val="000000"/>
        </w:rPr>
        <w:t>Research methods</w:t>
      </w:r>
    </w:p>
    <w:p w14:paraId="3422E891" w14:textId="77777777" w:rsidR="00A77B3E" w:rsidRDefault="003E73B5">
      <w:pPr>
        <w:spacing w:line="360" w:lineRule="auto"/>
        <w:jc w:val="both"/>
      </w:pPr>
      <w:r>
        <w:rPr>
          <w:rFonts w:ascii="Book Antiqua" w:eastAsia="Book Antiqua" w:hAnsi="Book Antiqua" w:cs="Book Antiqua"/>
          <w:color w:val="000000"/>
        </w:rPr>
        <w:t>Patients who were treated with nivolumab for HCC were identified from one tertiary hospital in South Korea from September 2019 to August 2020. Metagenomic data from 16S ribosomal RNA sequencing were analyzed according to therapeutic response.</w:t>
      </w:r>
    </w:p>
    <w:p w14:paraId="3A40E37C" w14:textId="77777777" w:rsidR="00A77B3E" w:rsidRDefault="00A77B3E">
      <w:pPr>
        <w:spacing w:line="360" w:lineRule="auto"/>
        <w:jc w:val="both"/>
      </w:pPr>
    </w:p>
    <w:p w14:paraId="6663D998" w14:textId="77777777" w:rsidR="00A77B3E" w:rsidRDefault="003E73B5">
      <w:pPr>
        <w:spacing w:line="360" w:lineRule="auto"/>
        <w:jc w:val="both"/>
      </w:pPr>
      <w:r>
        <w:rPr>
          <w:rFonts w:ascii="Book Antiqua" w:eastAsia="Book Antiqua" w:hAnsi="Book Antiqua" w:cs="Book Antiqua"/>
          <w:b/>
          <w:i/>
          <w:color w:val="000000"/>
        </w:rPr>
        <w:t>Research results</w:t>
      </w:r>
    </w:p>
    <w:p w14:paraId="1F9F9C59" w14:textId="77777777" w:rsidR="00A77B3E" w:rsidRDefault="003E73B5">
      <w:pPr>
        <w:spacing w:line="360" w:lineRule="auto"/>
        <w:jc w:val="both"/>
      </w:pPr>
      <w:r>
        <w:rPr>
          <w:rFonts w:ascii="Book Antiqua" w:eastAsia="Book Antiqua" w:hAnsi="Book Antiqua" w:cs="Book Antiqua"/>
          <w:color w:val="000000"/>
        </w:rPr>
        <w:t>A higher Shannon index was found in the responders than in the non-responders after nivolumab therapy (</w:t>
      </w:r>
      <w:r>
        <w:rPr>
          <w:rFonts w:ascii="Book Antiqua" w:eastAsia="Book Antiqua" w:hAnsi="Book Antiqua" w:cs="Book Antiqua"/>
          <w:i/>
          <w:iCs/>
          <w:color w:val="000000"/>
        </w:rPr>
        <w:t>P</w:t>
      </w:r>
      <w:r>
        <w:rPr>
          <w:rFonts w:ascii="Book Antiqua" w:eastAsia="Book Antiqua" w:hAnsi="Book Antiqua" w:cs="Book Antiqua"/>
          <w:color w:val="000000"/>
        </w:rPr>
        <w:t xml:space="preserve"> = 0.036). The unweighted beta diversity analysis also showed that the overall bacterial community structure and phylogenetic diversity were clearly distinguished according to therapeutic response. A skewed </w:t>
      </w:r>
      <w:r>
        <w:rPr>
          <w:rFonts w:ascii="Book Antiqua" w:eastAsia="Book Antiqua" w:hAnsi="Book Antiqua" w:cs="Book Antiqua"/>
          <w:i/>
          <w:iCs/>
          <w:color w:val="000000"/>
        </w:rPr>
        <w:t>Firmicutes/Bacteroidetes</w:t>
      </w:r>
      <w:r>
        <w:rPr>
          <w:rFonts w:ascii="Book Antiqua" w:eastAsia="Book Antiqua" w:hAnsi="Book Antiqua" w:cs="Book Antiqua"/>
          <w:color w:val="000000"/>
        </w:rPr>
        <w:t xml:space="preserve"> ratio and a low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i/>
          <w:iCs/>
          <w:color w:val="000000"/>
        </w:rPr>
        <w:t>/</w:t>
      </w:r>
      <w:proofErr w:type="spellStart"/>
      <w:r>
        <w:rPr>
          <w:rFonts w:ascii="Book Antiqua" w:eastAsia="Book Antiqua" w:hAnsi="Book Antiqua" w:cs="Book Antiqua"/>
          <w:i/>
          <w:iCs/>
          <w:color w:val="000000"/>
        </w:rPr>
        <w:t>Bacteroides</w:t>
      </w:r>
      <w:proofErr w:type="spellEnd"/>
      <w:r>
        <w:rPr>
          <w:rFonts w:ascii="Book Antiqua" w:eastAsia="Book Antiqua" w:hAnsi="Book Antiqua" w:cs="Book Antiqua"/>
          <w:color w:val="000000"/>
        </w:rPr>
        <w:t xml:space="preserve"> ratio can serve as predictive markers of non-response, whereas the presence of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color w:val="000000"/>
        </w:rPr>
        <w:t xml:space="preserve"> species predicts a good response.</w:t>
      </w:r>
    </w:p>
    <w:p w14:paraId="493DCD09" w14:textId="77777777" w:rsidR="00A77B3E" w:rsidRDefault="00A77B3E">
      <w:pPr>
        <w:spacing w:line="360" w:lineRule="auto"/>
        <w:jc w:val="both"/>
      </w:pPr>
    </w:p>
    <w:p w14:paraId="62EFAFC7" w14:textId="77777777" w:rsidR="00A77B3E" w:rsidRDefault="003E73B5">
      <w:pPr>
        <w:spacing w:line="360" w:lineRule="auto"/>
        <w:jc w:val="both"/>
      </w:pPr>
      <w:r>
        <w:rPr>
          <w:rFonts w:ascii="Book Antiqua" w:eastAsia="Book Antiqua" w:hAnsi="Book Antiqua" w:cs="Book Antiqua"/>
          <w:b/>
          <w:i/>
          <w:color w:val="000000"/>
        </w:rPr>
        <w:t>Research conclusions</w:t>
      </w:r>
    </w:p>
    <w:p w14:paraId="20375982" w14:textId="77777777" w:rsidR="00A77B3E" w:rsidRDefault="003E73B5">
      <w:pPr>
        <w:spacing w:line="360" w:lineRule="auto"/>
        <w:jc w:val="both"/>
      </w:pPr>
      <w:r>
        <w:rPr>
          <w:rFonts w:ascii="Book Antiqua" w:eastAsia="Book Antiqua" w:hAnsi="Book Antiqua" w:cs="Book Antiqua"/>
          <w:color w:val="000000"/>
        </w:rPr>
        <w:t>Gut microbiome has a potential role as a prognostic marker for the response to nivolumab in the treatment of HCC patients.</w:t>
      </w:r>
    </w:p>
    <w:p w14:paraId="06719F81" w14:textId="77777777" w:rsidR="00A77B3E" w:rsidRDefault="00A77B3E">
      <w:pPr>
        <w:spacing w:line="360" w:lineRule="auto"/>
        <w:jc w:val="both"/>
      </w:pPr>
    </w:p>
    <w:p w14:paraId="5000D215" w14:textId="77777777" w:rsidR="00A77B3E" w:rsidRDefault="003E73B5">
      <w:pPr>
        <w:spacing w:line="360" w:lineRule="auto"/>
        <w:jc w:val="both"/>
      </w:pPr>
      <w:r>
        <w:rPr>
          <w:rFonts w:ascii="Book Antiqua" w:eastAsia="Book Antiqua" w:hAnsi="Book Antiqua" w:cs="Book Antiqua"/>
          <w:b/>
          <w:i/>
          <w:color w:val="000000"/>
        </w:rPr>
        <w:t>Research perspectives</w:t>
      </w:r>
    </w:p>
    <w:p w14:paraId="4A884EA3" w14:textId="77777777" w:rsidR="00A77B3E" w:rsidRDefault="003E73B5">
      <w:pPr>
        <w:spacing w:line="360" w:lineRule="auto"/>
        <w:jc w:val="both"/>
      </w:pPr>
      <w:r>
        <w:rPr>
          <w:rFonts w:ascii="Book Antiqua" w:eastAsia="Book Antiqua" w:hAnsi="Book Antiqua" w:cs="Book Antiqua"/>
          <w:color w:val="000000"/>
        </w:rPr>
        <w:t>Microbiome study before and/or follow up of treatment with immunotherapy for HCC patients could be a prognostic marker, and it can be a criterion for selecting which systemic treatment should be used for each patient as part of precision medicine.</w:t>
      </w:r>
    </w:p>
    <w:p w14:paraId="6A3DA957" w14:textId="77777777" w:rsidR="00A77B3E" w:rsidRDefault="00A77B3E">
      <w:pPr>
        <w:spacing w:line="360" w:lineRule="auto"/>
        <w:jc w:val="both"/>
      </w:pPr>
    </w:p>
    <w:p w14:paraId="5A965E8C" w14:textId="77777777" w:rsidR="00A77B3E" w:rsidRDefault="003E73B5">
      <w:pPr>
        <w:spacing w:line="360" w:lineRule="auto"/>
        <w:jc w:val="both"/>
      </w:pPr>
      <w:r>
        <w:rPr>
          <w:rFonts w:ascii="Book Antiqua" w:eastAsia="Book Antiqua" w:hAnsi="Book Antiqua" w:cs="Book Antiqua"/>
          <w:b/>
          <w:caps/>
          <w:color w:val="000000"/>
          <w:u w:val="single"/>
        </w:rPr>
        <w:t>ACKNOWLEDGEMENTS</w:t>
      </w:r>
    </w:p>
    <w:p w14:paraId="55B608EF" w14:textId="77777777" w:rsidR="00A77B3E" w:rsidRDefault="003E73B5">
      <w:pPr>
        <w:spacing w:line="360" w:lineRule="auto"/>
        <w:jc w:val="both"/>
      </w:pPr>
      <w:r>
        <w:rPr>
          <w:rFonts w:ascii="Book Antiqua" w:eastAsia="Book Antiqua" w:hAnsi="Book Antiqua" w:cs="Book Antiqua"/>
          <w:color w:val="000000"/>
        </w:rPr>
        <w:t xml:space="preserve">We would like to thank all participants in this study. </w:t>
      </w:r>
    </w:p>
    <w:p w14:paraId="43819E21" w14:textId="77777777" w:rsidR="00A77B3E" w:rsidRDefault="00A77B3E">
      <w:pPr>
        <w:spacing w:line="360" w:lineRule="auto"/>
        <w:jc w:val="both"/>
      </w:pPr>
    </w:p>
    <w:p w14:paraId="5E9C21A4" w14:textId="77777777" w:rsidR="00A77B3E" w:rsidRDefault="003E73B5">
      <w:pPr>
        <w:spacing w:line="360" w:lineRule="auto"/>
        <w:jc w:val="both"/>
      </w:pPr>
      <w:r>
        <w:rPr>
          <w:rFonts w:ascii="Book Antiqua" w:eastAsia="Book Antiqua" w:hAnsi="Book Antiqua" w:cs="Book Antiqua"/>
          <w:b/>
          <w:color w:val="000000"/>
        </w:rPr>
        <w:t>REFERENCES</w:t>
      </w:r>
    </w:p>
    <w:p w14:paraId="26C37FA0" w14:textId="77777777" w:rsidR="00A77B3E" w:rsidRDefault="003E73B5">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Wallace MC</w:t>
      </w:r>
      <w:r>
        <w:rPr>
          <w:rFonts w:ascii="Book Antiqua" w:eastAsia="Book Antiqua" w:hAnsi="Book Antiqua" w:cs="Book Antiqua"/>
          <w:color w:val="000000"/>
        </w:rPr>
        <w:t xml:space="preserve">, Preen D, Jeffrey GP, Adams LA. The evolving epidemiology of hepatocellular carcinoma: a global perspective. </w:t>
      </w:r>
      <w:r>
        <w:rPr>
          <w:rFonts w:ascii="Book Antiqua" w:eastAsia="Book Antiqua" w:hAnsi="Book Antiqua" w:cs="Book Antiqua"/>
          <w:i/>
          <w:iCs/>
          <w:color w:val="000000"/>
        </w:rPr>
        <w:t>Expert Rev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765-779 [PMID: 25827821 DOI: 10.1586/17474124.2015.1028363]</w:t>
      </w:r>
    </w:p>
    <w:p w14:paraId="3503D7F2" w14:textId="77777777" w:rsidR="00A77B3E" w:rsidRDefault="003E73B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Larkin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Chiarion-Sileni</w:t>
      </w:r>
      <w:proofErr w:type="spellEnd"/>
      <w:r>
        <w:rPr>
          <w:rFonts w:ascii="Book Antiqua" w:eastAsia="Book Antiqua" w:hAnsi="Book Antiqua" w:cs="Book Antiqua"/>
          <w:color w:val="000000"/>
        </w:rPr>
        <w:t xml:space="preserve"> V, Gonzalez R, </w:t>
      </w:r>
      <w:proofErr w:type="spellStart"/>
      <w:r>
        <w:rPr>
          <w:rFonts w:ascii="Book Antiqua" w:eastAsia="Book Antiqua" w:hAnsi="Book Antiqua" w:cs="Book Antiqua"/>
          <w:color w:val="000000"/>
        </w:rPr>
        <w:t>Grob</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Cowey</w:t>
      </w:r>
      <w:proofErr w:type="spellEnd"/>
      <w:r>
        <w:rPr>
          <w:rFonts w:ascii="Book Antiqua" w:eastAsia="Book Antiqua" w:hAnsi="Book Antiqua" w:cs="Book Antiqua"/>
          <w:color w:val="000000"/>
        </w:rPr>
        <w:t xml:space="preserve"> CL, Lao CD, </w:t>
      </w:r>
      <w:proofErr w:type="spellStart"/>
      <w:r>
        <w:rPr>
          <w:rFonts w:ascii="Book Antiqua" w:eastAsia="Book Antiqua" w:hAnsi="Book Antiqua" w:cs="Book Antiqua"/>
          <w:color w:val="000000"/>
        </w:rPr>
        <w:t>Schadendorf</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Dummer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Smylie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Rutkowski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Ferrucci</w:t>
      </w:r>
      <w:proofErr w:type="spellEnd"/>
      <w:r>
        <w:rPr>
          <w:rFonts w:ascii="Book Antiqua" w:eastAsia="Book Antiqua" w:hAnsi="Book Antiqua" w:cs="Book Antiqua"/>
          <w:color w:val="000000"/>
        </w:rPr>
        <w:t xml:space="preserve"> PF, Hill A, </w:t>
      </w:r>
      <w:proofErr w:type="spellStart"/>
      <w:r>
        <w:rPr>
          <w:rFonts w:ascii="Book Antiqua" w:eastAsia="Book Antiqua" w:hAnsi="Book Antiqua" w:cs="Book Antiqua"/>
          <w:color w:val="000000"/>
        </w:rPr>
        <w:t>Wagstaff</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Carlino</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Haanen</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Maio</w:t>
      </w:r>
      <w:proofErr w:type="spellEnd"/>
      <w:r>
        <w:rPr>
          <w:rFonts w:ascii="Book Antiqua" w:eastAsia="Book Antiqua" w:hAnsi="Book Antiqua" w:cs="Book Antiqua"/>
          <w:color w:val="000000"/>
        </w:rPr>
        <w:t xml:space="preserve"> M, Marquez-</w:t>
      </w:r>
      <w:proofErr w:type="spellStart"/>
      <w:r>
        <w:rPr>
          <w:rFonts w:ascii="Book Antiqua" w:eastAsia="Book Antiqua" w:hAnsi="Book Antiqua" w:cs="Book Antiqua"/>
          <w:color w:val="000000"/>
        </w:rPr>
        <w:t>Rodas</w:t>
      </w:r>
      <w:proofErr w:type="spellEnd"/>
      <w:r>
        <w:rPr>
          <w:rFonts w:ascii="Book Antiqua" w:eastAsia="Book Antiqua" w:hAnsi="Book Antiqua" w:cs="Book Antiqua"/>
          <w:color w:val="000000"/>
        </w:rPr>
        <w:t xml:space="preserve"> I, McArthur GA, </w:t>
      </w:r>
      <w:proofErr w:type="spellStart"/>
      <w:r>
        <w:rPr>
          <w:rFonts w:ascii="Book Antiqua" w:eastAsia="Book Antiqua" w:hAnsi="Book Antiqua" w:cs="Book Antiqua"/>
          <w:color w:val="000000"/>
        </w:rPr>
        <w:t>Ascierto</w:t>
      </w:r>
      <w:proofErr w:type="spellEnd"/>
      <w:r>
        <w:rPr>
          <w:rFonts w:ascii="Book Antiqua" w:eastAsia="Book Antiqua" w:hAnsi="Book Antiqua" w:cs="Book Antiqua"/>
          <w:color w:val="000000"/>
        </w:rPr>
        <w:t xml:space="preserve"> PA, Long GV, Callahan MK, </w:t>
      </w:r>
      <w:proofErr w:type="spellStart"/>
      <w:r>
        <w:rPr>
          <w:rFonts w:ascii="Book Antiqua" w:eastAsia="Book Antiqua" w:hAnsi="Book Antiqua" w:cs="Book Antiqua"/>
          <w:color w:val="000000"/>
        </w:rPr>
        <w:t>Postow</w:t>
      </w:r>
      <w:proofErr w:type="spellEnd"/>
      <w:r>
        <w:rPr>
          <w:rFonts w:ascii="Book Antiqua" w:eastAsia="Book Antiqua" w:hAnsi="Book Antiqua" w:cs="Book Antiqua"/>
          <w:color w:val="000000"/>
        </w:rPr>
        <w:t xml:space="preserve"> MA, Grossmann K, </w:t>
      </w:r>
      <w:proofErr w:type="spellStart"/>
      <w:r>
        <w:rPr>
          <w:rFonts w:ascii="Book Antiqua" w:eastAsia="Book Antiqua" w:hAnsi="Book Antiqua" w:cs="Book Antiqua"/>
          <w:color w:val="000000"/>
        </w:rPr>
        <w:t>Sznol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Dreno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Bastholt</w:t>
      </w:r>
      <w:proofErr w:type="spellEnd"/>
      <w:r>
        <w:rPr>
          <w:rFonts w:ascii="Book Antiqua" w:eastAsia="Book Antiqua" w:hAnsi="Book Antiqua" w:cs="Book Antiqua"/>
          <w:color w:val="000000"/>
        </w:rPr>
        <w:t xml:space="preserve"> L, Yang A, Rollin LM, </w:t>
      </w:r>
      <w:proofErr w:type="spellStart"/>
      <w:r>
        <w:rPr>
          <w:rFonts w:ascii="Book Antiqua" w:eastAsia="Book Antiqua" w:hAnsi="Book Antiqua" w:cs="Book Antiqua"/>
          <w:color w:val="000000"/>
        </w:rPr>
        <w:t>Horak</w:t>
      </w:r>
      <w:proofErr w:type="spellEnd"/>
      <w:r>
        <w:rPr>
          <w:rFonts w:ascii="Book Antiqua" w:eastAsia="Book Antiqua" w:hAnsi="Book Antiqua" w:cs="Book Antiqua"/>
          <w:color w:val="000000"/>
        </w:rPr>
        <w:t xml:space="preserve"> C, Hodi FS, </w:t>
      </w:r>
      <w:proofErr w:type="spellStart"/>
      <w:r>
        <w:rPr>
          <w:rFonts w:ascii="Book Antiqua" w:eastAsia="Book Antiqua" w:hAnsi="Book Antiqua" w:cs="Book Antiqua"/>
          <w:color w:val="000000"/>
        </w:rPr>
        <w:t>Wolchok</w:t>
      </w:r>
      <w:proofErr w:type="spellEnd"/>
      <w:r>
        <w:rPr>
          <w:rFonts w:ascii="Book Antiqua" w:eastAsia="Book Antiqua" w:hAnsi="Book Antiqua" w:cs="Book Antiqua"/>
          <w:color w:val="000000"/>
        </w:rPr>
        <w:t xml:space="preserve"> JD. Combined Nivolumab and Ipilimumab or Monotherapy in Untreated Melanoma.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373</w:t>
      </w:r>
      <w:r>
        <w:rPr>
          <w:rFonts w:ascii="Book Antiqua" w:eastAsia="Book Antiqua" w:hAnsi="Book Antiqua" w:cs="Book Antiqua"/>
          <w:color w:val="000000"/>
        </w:rPr>
        <w:t>: 23-34 [PMID: 26027431 DOI: 10.1056/NEJMoa1504030]</w:t>
      </w:r>
    </w:p>
    <w:p w14:paraId="6F8028F1" w14:textId="2A622657" w:rsidR="00A77B3E" w:rsidRDefault="003E73B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Harrington KJ</w:t>
      </w:r>
      <w:r>
        <w:rPr>
          <w:rFonts w:ascii="Book Antiqua" w:eastAsia="Book Antiqua" w:hAnsi="Book Antiqua" w:cs="Book Antiqua"/>
          <w:color w:val="000000"/>
        </w:rPr>
        <w:t xml:space="preserve">, Ferris RL, Blumenschein G Jr, </w:t>
      </w:r>
      <w:proofErr w:type="spellStart"/>
      <w:r>
        <w:rPr>
          <w:rFonts w:ascii="Book Antiqua" w:eastAsia="Book Antiqua" w:hAnsi="Book Antiqua" w:cs="Book Antiqua"/>
          <w:color w:val="000000"/>
        </w:rPr>
        <w:t>Colevas</w:t>
      </w:r>
      <w:proofErr w:type="spellEnd"/>
      <w:r>
        <w:rPr>
          <w:rFonts w:ascii="Book Antiqua" w:eastAsia="Book Antiqua" w:hAnsi="Book Antiqua" w:cs="Book Antiqua"/>
          <w:color w:val="000000"/>
        </w:rPr>
        <w:t xml:space="preserve"> AD, Fayette J, </w:t>
      </w:r>
      <w:proofErr w:type="spellStart"/>
      <w:r>
        <w:rPr>
          <w:rFonts w:ascii="Book Antiqua" w:eastAsia="Book Antiqua" w:hAnsi="Book Antiqua" w:cs="Book Antiqua"/>
          <w:color w:val="000000"/>
        </w:rPr>
        <w:t>Licitra</w:t>
      </w:r>
      <w:proofErr w:type="spellEnd"/>
      <w:r>
        <w:rPr>
          <w:rFonts w:ascii="Book Antiqua" w:eastAsia="Book Antiqua" w:hAnsi="Book Antiqua" w:cs="Book Antiqua"/>
          <w:color w:val="000000"/>
        </w:rPr>
        <w:t xml:space="preserve"> L, Kasper S, Even C, </w:t>
      </w:r>
      <w:proofErr w:type="spellStart"/>
      <w:r>
        <w:rPr>
          <w:rFonts w:ascii="Book Antiqua" w:eastAsia="Book Antiqua" w:hAnsi="Book Antiqua" w:cs="Book Antiqua"/>
          <w:color w:val="000000"/>
        </w:rPr>
        <w:t>Vokes</w:t>
      </w:r>
      <w:proofErr w:type="spellEnd"/>
      <w:r>
        <w:rPr>
          <w:rFonts w:ascii="Book Antiqua" w:eastAsia="Book Antiqua" w:hAnsi="Book Antiqua" w:cs="Book Antiqua"/>
          <w:color w:val="000000"/>
        </w:rPr>
        <w:t xml:space="preserve"> EE, Worden F, Saba NF, Kiyota N, Haddad R, </w:t>
      </w:r>
      <w:proofErr w:type="spellStart"/>
      <w:r>
        <w:rPr>
          <w:rFonts w:ascii="Book Antiqua" w:eastAsia="Book Antiqua" w:hAnsi="Book Antiqua" w:cs="Book Antiqua"/>
          <w:color w:val="000000"/>
        </w:rPr>
        <w:t>Tahara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Grünwald</w:t>
      </w:r>
      <w:proofErr w:type="spellEnd"/>
      <w:r>
        <w:rPr>
          <w:rFonts w:ascii="Book Antiqua" w:eastAsia="Book Antiqua" w:hAnsi="Book Antiqua" w:cs="Book Antiqua"/>
          <w:color w:val="000000"/>
        </w:rPr>
        <w:t xml:space="preserve"> V, Shaw JW, Monga M, Lynch M, Taylor F, DeRosa M, Morrissey L, Cocks K, </w:t>
      </w:r>
      <w:proofErr w:type="spellStart"/>
      <w:r>
        <w:rPr>
          <w:rFonts w:ascii="Book Antiqua" w:eastAsia="Book Antiqua" w:hAnsi="Book Antiqua" w:cs="Book Antiqua"/>
          <w:color w:val="000000"/>
        </w:rPr>
        <w:t>Gillison</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Guigay</w:t>
      </w:r>
      <w:proofErr w:type="spellEnd"/>
      <w:r>
        <w:rPr>
          <w:rFonts w:ascii="Book Antiqua" w:eastAsia="Book Antiqua" w:hAnsi="Book Antiqua" w:cs="Book Antiqua"/>
          <w:color w:val="000000"/>
        </w:rPr>
        <w:t xml:space="preserve"> J. Nivolumab </w:t>
      </w:r>
      <w:r>
        <w:rPr>
          <w:rFonts w:ascii="Book Antiqua" w:eastAsia="Book Antiqua" w:hAnsi="Book Antiqua" w:cs="Book Antiqua"/>
          <w:i/>
          <w:iCs/>
          <w:color w:val="000000"/>
        </w:rPr>
        <w:t>v</w:t>
      </w:r>
      <w:r w:rsidR="0099211B">
        <w:rPr>
          <w:rFonts w:ascii="Book Antiqua" w:eastAsia="Book Antiqua" w:hAnsi="Book Antiqua" w:cs="Book Antiqua"/>
          <w:i/>
          <w:iCs/>
          <w:color w:val="000000"/>
        </w:rPr>
        <w:t>er</w:t>
      </w:r>
      <w:r>
        <w:rPr>
          <w:rFonts w:ascii="Book Antiqua" w:eastAsia="Book Antiqua" w:hAnsi="Book Antiqua" w:cs="Book Antiqua"/>
          <w:i/>
          <w:iCs/>
          <w:color w:val="000000"/>
        </w:rPr>
        <w:t>s</w:t>
      </w:r>
      <w:r w:rsidR="0099211B">
        <w:rPr>
          <w:rFonts w:ascii="Book Antiqua" w:eastAsia="Book Antiqua" w:hAnsi="Book Antiqua" w:cs="Book Antiqua"/>
          <w:i/>
          <w:iCs/>
          <w:color w:val="000000"/>
        </w:rPr>
        <w:t>us</w:t>
      </w:r>
      <w:r>
        <w:rPr>
          <w:rFonts w:ascii="Book Antiqua" w:eastAsia="Book Antiqua" w:hAnsi="Book Antiqua" w:cs="Book Antiqua"/>
          <w:color w:val="000000"/>
        </w:rPr>
        <w:t xml:space="preserve"> standard, single-agent therapy of investigator's choice in recurrent or metastatic squamous cell carcinoma of the head and neck (</w:t>
      </w:r>
      <w:proofErr w:type="spellStart"/>
      <w:r>
        <w:rPr>
          <w:rFonts w:ascii="Book Antiqua" w:eastAsia="Book Antiqua" w:hAnsi="Book Antiqua" w:cs="Book Antiqua"/>
          <w:color w:val="000000"/>
        </w:rPr>
        <w:t>CheckMate</w:t>
      </w:r>
      <w:proofErr w:type="spellEnd"/>
      <w:r>
        <w:rPr>
          <w:rFonts w:ascii="Book Antiqua" w:eastAsia="Book Antiqua" w:hAnsi="Book Antiqua" w:cs="Book Antiqua"/>
          <w:color w:val="000000"/>
        </w:rPr>
        <w:t xml:space="preserve"> 141): health-related quality-of-life results from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3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1104-1115 [PMID: 28651929 DOI: 10.1016/S1470-2045(17)30421-7]</w:t>
      </w:r>
    </w:p>
    <w:p w14:paraId="22AF9113" w14:textId="77777777" w:rsidR="00A77B3E" w:rsidRDefault="003E73B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Khoueiry</w:t>
      </w:r>
      <w:proofErr w:type="spellEnd"/>
      <w:r>
        <w:rPr>
          <w:rFonts w:ascii="Book Antiqua" w:eastAsia="Book Antiqua" w:hAnsi="Book Antiqua" w:cs="Book Antiqua"/>
          <w:b/>
          <w:bCs/>
          <w:color w:val="000000"/>
        </w:rPr>
        <w:t xml:space="preserve"> AB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Sangro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Yau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Crocenzi</w:t>
      </w:r>
      <w:proofErr w:type="spellEnd"/>
      <w:r>
        <w:rPr>
          <w:rFonts w:ascii="Book Antiqua" w:eastAsia="Book Antiqua" w:hAnsi="Book Antiqua" w:cs="Book Antiqua"/>
          <w:color w:val="000000"/>
        </w:rPr>
        <w:t xml:space="preserve"> TS, Kudo M, Hsu C, Kim TY, Choo SP, Trojan J, Welling TH Rd, Meyer T, Kang YK, Yeo W, Chopra A, Anderson J, Dela Cruz C, Lang L, Neely J, Tang H, </w:t>
      </w:r>
      <w:proofErr w:type="spellStart"/>
      <w:r>
        <w:rPr>
          <w:rFonts w:ascii="Book Antiqua" w:eastAsia="Book Antiqua" w:hAnsi="Book Antiqua" w:cs="Book Antiqua"/>
          <w:color w:val="000000"/>
        </w:rPr>
        <w:t>Dastani</w:t>
      </w:r>
      <w:proofErr w:type="spellEnd"/>
      <w:r>
        <w:rPr>
          <w:rFonts w:ascii="Book Antiqua" w:eastAsia="Book Antiqua" w:hAnsi="Book Antiqua" w:cs="Book Antiqua"/>
          <w:color w:val="000000"/>
        </w:rPr>
        <w:t xml:space="preserve"> HB, </w:t>
      </w:r>
      <w:proofErr w:type="spellStart"/>
      <w:r>
        <w:rPr>
          <w:rFonts w:ascii="Book Antiqua" w:eastAsia="Book Antiqua" w:hAnsi="Book Antiqua" w:cs="Book Antiqua"/>
          <w:color w:val="000000"/>
        </w:rPr>
        <w:t>Melero</w:t>
      </w:r>
      <w:proofErr w:type="spellEnd"/>
      <w:r>
        <w:rPr>
          <w:rFonts w:ascii="Book Antiqua" w:eastAsia="Book Antiqua" w:hAnsi="Book Antiqua" w:cs="Book Antiqua"/>
          <w:color w:val="000000"/>
        </w:rPr>
        <w:t xml:space="preserve"> I. Nivolumab in patients with advanced hepatocellular carcinoma (</w:t>
      </w:r>
      <w:proofErr w:type="spellStart"/>
      <w:r>
        <w:rPr>
          <w:rFonts w:ascii="Book Antiqua" w:eastAsia="Book Antiqua" w:hAnsi="Book Antiqua" w:cs="Book Antiqua"/>
          <w:color w:val="000000"/>
        </w:rPr>
        <w:t>CheckMate</w:t>
      </w:r>
      <w:proofErr w:type="spellEnd"/>
      <w:r>
        <w:rPr>
          <w:rFonts w:ascii="Book Antiqua" w:eastAsia="Book Antiqua" w:hAnsi="Book Antiqua" w:cs="Book Antiqua"/>
          <w:color w:val="000000"/>
        </w:rPr>
        <w:t xml:space="preserve"> 040): an open-label, non-comparative, phase 1/2 dose escalation and expansion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2492-2502 [PMID: 28434648 DOI: 10.1016/S0140-6736(17)31046-2]</w:t>
      </w:r>
    </w:p>
    <w:p w14:paraId="445D528E" w14:textId="77777777" w:rsidR="00A77B3E" w:rsidRDefault="003E73B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Yau</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Hsu C, Kim TY, Choo SP, Kang YK,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Numata</w:t>
      </w:r>
      <w:proofErr w:type="spellEnd"/>
      <w:r>
        <w:rPr>
          <w:rFonts w:ascii="Book Antiqua" w:eastAsia="Book Antiqua" w:hAnsi="Book Antiqua" w:cs="Book Antiqua"/>
          <w:color w:val="000000"/>
        </w:rPr>
        <w:t xml:space="preserve"> K, Yeo W, Chopra A, Ikeda M, </w:t>
      </w:r>
      <w:proofErr w:type="spellStart"/>
      <w:r>
        <w:rPr>
          <w:rFonts w:ascii="Book Antiqua" w:eastAsia="Book Antiqua" w:hAnsi="Book Antiqua" w:cs="Book Antiqua"/>
          <w:color w:val="000000"/>
        </w:rPr>
        <w:t>Kuromatsu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Moriguchi</w:t>
      </w:r>
      <w:proofErr w:type="spellEnd"/>
      <w:r>
        <w:rPr>
          <w:rFonts w:ascii="Book Antiqua" w:eastAsia="Book Antiqua" w:hAnsi="Book Antiqua" w:cs="Book Antiqua"/>
          <w:color w:val="000000"/>
        </w:rPr>
        <w:t xml:space="preserve"> M, Chao Y, Zhao H, Anderson J, Cruz CD, Kudo M. Nivolumab in advanced hepatocellular carcinoma: Sorafenib-experienced Asian cohort analysis.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543-552 [PMID: 31176752 DOI: 10.1016/j.jhep.2019.05.014]</w:t>
      </w:r>
    </w:p>
    <w:p w14:paraId="4B34E475" w14:textId="77777777" w:rsidR="00A77B3E" w:rsidRDefault="003E73B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Routy</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Le </w:t>
      </w:r>
      <w:proofErr w:type="spellStart"/>
      <w:r>
        <w:rPr>
          <w:rFonts w:ascii="Book Antiqua" w:eastAsia="Book Antiqua" w:hAnsi="Book Antiqua" w:cs="Book Antiqua"/>
          <w:color w:val="000000"/>
        </w:rPr>
        <w:t>Chatelier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Derosa</w:t>
      </w:r>
      <w:proofErr w:type="spellEnd"/>
      <w:r>
        <w:rPr>
          <w:rFonts w:ascii="Book Antiqua" w:eastAsia="Book Antiqua" w:hAnsi="Book Antiqua" w:cs="Book Antiqua"/>
          <w:color w:val="000000"/>
        </w:rPr>
        <w:t xml:space="preserve"> L, Duong CPM, Alou MT, </w:t>
      </w:r>
      <w:proofErr w:type="spellStart"/>
      <w:r>
        <w:rPr>
          <w:rFonts w:ascii="Book Antiqua" w:eastAsia="Book Antiqua" w:hAnsi="Book Antiqua" w:cs="Book Antiqua"/>
          <w:color w:val="000000"/>
        </w:rPr>
        <w:t>Daillère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Fluckiger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Messaoudene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Rauber</w:t>
      </w:r>
      <w:proofErr w:type="spellEnd"/>
      <w:r>
        <w:rPr>
          <w:rFonts w:ascii="Book Antiqua" w:eastAsia="Book Antiqua" w:hAnsi="Book Antiqua" w:cs="Book Antiqua"/>
          <w:color w:val="000000"/>
        </w:rPr>
        <w:t xml:space="preserve"> C, Roberti MP, </w:t>
      </w:r>
      <w:proofErr w:type="spellStart"/>
      <w:r>
        <w:rPr>
          <w:rFonts w:ascii="Book Antiqua" w:eastAsia="Book Antiqua" w:hAnsi="Book Antiqua" w:cs="Book Antiqua"/>
          <w:color w:val="000000"/>
        </w:rPr>
        <w:t>Fidelle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Flament</w:t>
      </w:r>
      <w:proofErr w:type="spellEnd"/>
      <w:r>
        <w:rPr>
          <w:rFonts w:ascii="Book Antiqua" w:eastAsia="Book Antiqua" w:hAnsi="Book Antiqua" w:cs="Book Antiqua"/>
          <w:color w:val="000000"/>
        </w:rPr>
        <w:t xml:space="preserve"> C, Poirier-</w:t>
      </w:r>
      <w:proofErr w:type="spellStart"/>
      <w:r>
        <w:rPr>
          <w:rFonts w:ascii="Book Antiqua" w:eastAsia="Book Antiqua" w:hAnsi="Book Antiqua" w:cs="Book Antiqua"/>
          <w:color w:val="000000"/>
        </w:rPr>
        <w:t>Colame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lastRenderedPageBreak/>
        <w:t>Opolon</w:t>
      </w:r>
      <w:proofErr w:type="spellEnd"/>
      <w:r>
        <w:rPr>
          <w:rFonts w:ascii="Book Antiqua" w:eastAsia="Book Antiqua" w:hAnsi="Book Antiqua" w:cs="Book Antiqua"/>
          <w:color w:val="000000"/>
        </w:rPr>
        <w:t xml:space="preserve"> P, Klein C, </w:t>
      </w:r>
      <w:proofErr w:type="spellStart"/>
      <w:r>
        <w:rPr>
          <w:rFonts w:ascii="Book Antiqua" w:eastAsia="Book Antiqua" w:hAnsi="Book Antiqua" w:cs="Book Antiqua"/>
          <w:color w:val="000000"/>
        </w:rPr>
        <w:t>Iribarren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Mondragón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Jacquelot</w:t>
      </w:r>
      <w:proofErr w:type="spellEnd"/>
      <w:r>
        <w:rPr>
          <w:rFonts w:ascii="Book Antiqua" w:eastAsia="Book Antiqua" w:hAnsi="Book Antiqua" w:cs="Book Antiqua"/>
          <w:color w:val="000000"/>
        </w:rPr>
        <w:t xml:space="preserve"> N, Qu B, </w:t>
      </w:r>
      <w:proofErr w:type="spellStart"/>
      <w:r>
        <w:rPr>
          <w:rFonts w:ascii="Book Antiqua" w:eastAsia="Book Antiqua" w:hAnsi="Book Antiqua" w:cs="Book Antiqua"/>
          <w:color w:val="000000"/>
        </w:rPr>
        <w:t>Ferrere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Clémenson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Mezquita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Masip</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Naltet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Brosseau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Kaderbhai</w:t>
      </w:r>
      <w:proofErr w:type="spellEnd"/>
      <w:r>
        <w:rPr>
          <w:rFonts w:ascii="Book Antiqua" w:eastAsia="Book Antiqua" w:hAnsi="Book Antiqua" w:cs="Book Antiqua"/>
          <w:color w:val="000000"/>
        </w:rPr>
        <w:t xml:space="preserve"> C, Richard C, Rizvi H, </w:t>
      </w:r>
      <w:proofErr w:type="spellStart"/>
      <w:r>
        <w:rPr>
          <w:rFonts w:ascii="Book Antiqua" w:eastAsia="Book Antiqua" w:hAnsi="Book Antiqua" w:cs="Book Antiqua"/>
          <w:color w:val="000000"/>
        </w:rPr>
        <w:t>Levenez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Galleron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Quinquis</w:t>
      </w:r>
      <w:proofErr w:type="spellEnd"/>
      <w:r>
        <w:rPr>
          <w:rFonts w:ascii="Book Antiqua" w:eastAsia="Book Antiqua" w:hAnsi="Book Antiqua" w:cs="Book Antiqua"/>
          <w:color w:val="000000"/>
        </w:rPr>
        <w:t xml:space="preserve"> B, Pons N, </w:t>
      </w:r>
      <w:proofErr w:type="spellStart"/>
      <w:r>
        <w:rPr>
          <w:rFonts w:ascii="Book Antiqua" w:eastAsia="Book Antiqua" w:hAnsi="Book Antiqua" w:cs="Book Antiqua"/>
          <w:color w:val="000000"/>
        </w:rPr>
        <w:t>Ryffel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Minard</w:t>
      </w:r>
      <w:proofErr w:type="spellEnd"/>
      <w:r>
        <w:rPr>
          <w:rFonts w:ascii="Book Antiqua" w:eastAsia="Book Antiqua" w:hAnsi="Book Antiqua" w:cs="Book Antiqua"/>
          <w:color w:val="000000"/>
        </w:rPr>
        <w:t xml:space="preserve">-Colin V, </w:t>
      </w:r>
      <w:proofErr w:type="spellStart"/>
      <w:r>
        <w:rPr>
          <w:rFonts w:ascii="Book Antiqua" w:eastAsia="Book Antiqua" w:hAnsi="Book Antiqua" w:cs="Book Antiqua"/>
          <w:color w:val="000000"/>
        </w:rPr>
        <w:t>Gonin</w:t>
      </w:r>
      <w:proofErr w:type="spellEnd"/>
      <w:r>
        <w:rPr>
          <w:rFonts w:ascii="Book Antiqua" w:eastAsia="Book Antiqua" w:hAnsi="Book Antiqua" w:cs="Book Antiqua"/>
          <w:color w:val="000000"/>
        </w:rPr>
        <w:t xml:space="preserve"> P, Soria JC, Deutsch E, </w:t>
      </w:r>
      <w:proofErr w:type="spellStart"/>
      <w:r>
        <w:rPr>
          <w:rFonts w:ascii="Book Antiqua" w:eastAsia="Book Antiqua" w:hAnsi="Book Antiqua" w:cs="Book Antiqua"/>
          <w:color w:val="000000"/>
        </w:rPr>
        <w:t>Loriot</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Ghiringhelli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Zalcman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Goldwasser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Escudier</w:t>
      </w:r>
      <w:proofErr w:type="spellEnd"/>
      <w:r>
        <w:rPr>
          <w:rFonts w:ascii="Book Antiqua" w:eastAsia="Book Antiqua" w:hAnsi="Book Antiqua" w:cs="Book Antiqua"/>
          <w:color w:val="000000"/>
        </w:rPr>
        <w:t xml:space="preserve"> B, Hellmann MD, </w:t>
      </w:r>
      <w:proofErr w:type="spellStart"/>
      <w:r>
        <w:rPr>
          <w:rFonts w:ascii="Book Antiqua" w:eastAsia="Book Antiqua" w:hAnsi="Book Antiqua" w:cs="Book Antiqua"/>
          <w:color w:val="000000"/>
        </w:rPr>
        <w:t>Eggermont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Raoult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Albiges</w:t>
      </w:r>
      <w:proofErr w:type="spellEnd"/>
      <w:r>
        <w:rPr>
          <w:rFonts w:ascii="Book Antiqua" w:eastAsia="Book Antiqua" w:hAnsi="Book Antiqua" w:cs="Book Antiqua"/>
          <w:color w:val="000000"/>
        </w:rPr>
        <w:t xml:space="preserve"> L, Kroemer G, </w:t>
      </w:r>
      <w:proofErr w:type="spellStart"/>
      <w:r>
        <w:rPr>
          <w:rFonts w:ascii="Book Antiqua" w:eastAsia="Book Antiqua" w:hAnsi="Book Antiqua" w:cs="Book Antiqua"/>
          <w:color w:val="000000"/>
        </w:rPr>
        <w:t>Zitvogel</w:t>
      </w:r>
      <w:proofErr w:type="spellEnd"/>
      <w:r>
        <w:rPr>
          <w:rFonts w:ascii="Book Antiqua" w:eastAsia="Book Antiqua" w:hAnsi="Book Antiqua" w:cs="Book Antiqua"/>
          <w:color w:val="000000"/>
        </w:rPr>
        <w:t xml:space="preserve"> L. Gut microbiome influences efficacy of PD-1-based immunotherapy against epithelial tumors.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2018; </w:t>
      </w:r>
      <w:r>
        <w:rPr>
          <w:rFonts w:ascii="Book Antiqua" w:eastAsia="Book Antiqua" w:hAnsi="Book Antiqua" w:cs="Book Antiqua"/>
          <w:b/>
          <w:bCs/>
          <w:color w:val="000000"/>
        </w:rPr>
        <w:t>359</w:t>
      </w:r>
      <w:r>
        <w:rPr>
          <w:rFonts w:ascii="Book Antiqua" w:eastAsia="Book Antiqua" w:hAnsi="Book Antiqua" w:cs="Book Antiqua"/>
          <w:color w:val="000000"/>
        </w:rPr>
        <w:t>: 91-97 [PMID: 29097494 DOI: 10.1126/science.aan3706]</w:t>
      </w:r>
    </w:p>
    <w:p w14:paraId="472D324C" w14:textId="77777777" w:rsidR="00A77B3E" w:rsidRDefault="003E73B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Sivan A</w:t>
      </w:r>
      <w:r>
        <w:rPr>
          <w:rFonts w:ascii="Book Antiqua" w:eastAsia="Book Antiqua" w:hAnsi="Book Antiqua" w:cs="Book Antiqua"/>
          <w:color w:val="000000"/>
        </w:rPr>
        <w:t xml:space="preserve">, Corrales L, Hubert N, Williams JB, Aquino-Michaels K, </w:t>
      </w:r>
      <w:proofErr w:type="spellStart"/>
      <w:r>
        <w:rPr>
          <w:rFonts w:ascii="Book Antiqua" w:eastAsia="Book Antiqua" w:hAnsi="Book Antiqua" w:cs="Book Antiqua"/>
          <w:color w:val="000000"/>
        </w:rPr>
        <w:t>Earley</w:t>
      </w:r>
      <w:proofErr w:type="spellEnd"/>
      <w:r>
        <w:rPr>
          <w:rFonts w:ascii="Book Antiqua" w:eastAsia="Book Antiqua" w:hAnsi="Book Antiqua" w:cs="Book Antiqua"/>
          <w:color w:val="000000"/>
        </w:rPr>
        <w:t xml:space="preserve"> ZM, Benyamin FW, Lei YM, Jabri B, Alegre ML, Chang EB, </w:t>
      </w:r>
      <w:proofErr w:type="spellStart"/>
      <w:r>
        <w:rPr>
          <w:rFonts w:ascii="Book Antiqua" w:eastAsia="Book Antiqua" w:hAnsi="Book Antiqua" w:cs="Book Antiqua"/>
          <w:color w:val="000000"/>
        </w:rPr>
        <w:t>Gajewski</w:t>
      </w:r>
      <w:proofErr w:type="spellEnd"/>
      <w:r>
        <w:rPr>
          <w:rFonts w:ascii="Book Antiqua" w:eastAsia="Book Antiqua" w:hAnsi="Book Antiqua" w:cs="Book Antiqua"/>
          <w:color w:val="000000"/>
        </w:rPr>
        <w:t xml:space="preserve"> TF. Commensal Bifidobacterium promotes antitumor immunity and facilitates anti-PD-L1 efficacy.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2015; </w:t>
      </w:r>
      <w:r>
        <w:rPr>
          <w:rFonts w:ascii="Book Antiqua" w:eastAsia="Book Antiqua" w:hAnsi="Book Antiqua" w:cs="Book Antiqua"/>
          <w:b/>
          <w:bCs/>
          <w:color w:val="000000"/>
        </w:rPr>
        <w:t>350</w:t>
      </w:r>
      <w:r>
        <w:rPr>
          <w:rFonts w:ascii="Book Antiqua" w:eastAsia="Book Antiqua" w:hAnsi="Book Antiqua" w:cs="Book Antiqua"/>
          <w:color w:val="000000"/>
        </w:rPr>
        <w:t>: 1084-1089 [PMID: 26541606 DOI: 10.1126/science.aac4255]</w:t>
      </w:r>
    </w:p>
    <w:p w14:paraId="2BEF66A0" w14:textId="77777777" w:rsidR="00A77B3E" w:rsidRDefault="003E73B5">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Vétizou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Pitt JM, </w:t>
      </w:r>
      <w:proofErr w:type="spellStart"/>
      <w:r>
        <w:rPr>
          <w:rFonts w:ascii="Book Antiqua" w:eastAsia="Book Antiqua" w:hAnsi="Book Antiqua" w:cs="Book Antiqua"/>
          <w:color w:val="000000"/>
        </w:rPr>
        <w:t>Daillère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Lepage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Waldschmitt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Flament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Rusakiewicz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Routy</w:t>
      </w:r>
      <w:proofErr w:type="spellEnd"/>
      <w:r>
        <w:rPr>
          <w:rFonts w:ascii="Book Antiqua" w:eastAsia="Book Antiqua" w:hAnsi="Book Antiqua" w:cs="Book Antiqua"/>
          <w:color w:val="000000"/>
        </w:rPr>
        <w:t xml:space="preserve"> B, Roberti MP, Duong CP, Poirier-</w:t>
      </w:r>
      <w:proofErr w:type="spellStart"/>
      <w:r>
        <w:rPr>
          <w:rFonts w:ascii="Book Antiqua" w:eastAsia="Book Antiqua" w:hAnsi="Book Antiqua" w:cs="Book Antiqua"/>
          <w:color w:val="000000"/>
        </w:rPr>
        <w:t>Colame</w:t>
      </w:r>
      <w:proofErr w:type="spellEnd"/>
      <w:r>
        <w:rPr>
          <w:rFonts w:ascii="Book Antiqua" w:eastAsia="Book Antiqua" w:hAnsi="Book Antiqua" w:cs="Book Antiqua"/>
          <w:color w:val="000000"/>
        </w:rPr>
        <w:t xml:space="preserve"> V, Roux A, </w:t>
      </w:r>
      <w:proofErr w:type="spellStart"/>
      <w:r>
        <w:rPr>
          <w:rFonts w:ascii="Book Antiqua" w:eastAsia="Book Antiqua" w:hAnsi="Book Antiqua" w:cs="Book Antiqua"/>
          <w:color w:val="000000"/>
        </w:rPr>
        <w:t>Becharef</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Formenti</w:t>
      </w:r>
      <w:proofErr w:type="spellEnd"/>
      <w:r>
        <w:rPr>
          <w:rFonts w:ascii="Book Antiqua" w:eastAsia="Book Antiqua" w:hAnsi="Book Antiqua" w:cs="Book Antiqua"/>
          <w:color w:val="000000"/>
        </w:rPr>
        <w:t xml:space="preserve"> S, Golden E, Cording S, </w:t>
      </w:r>
      <w:proofErr w:type="spellStart"/>
      <w:r>
        <w:rPr>
          <w:rFonts w:ascii="Book Antiqua" w:eastAsia="Book Antiqua" w:hAnsi="Book Antiqua" w:cs="Book Antiqua"/>
          <w:color w:val="000000"/>
        </w:rPr>
        <w:t>Eberl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Schlitzer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Ginhoux</w:t>
      </w:r>
      <w:proofErr w:type="spellEnd"/>
      <w:r>
        <w:rPr>
          <w:rFonts w:ascii="Book Antiqua" w:eastAsia="Book Antiqua" w:hAnsi="Book Antiqua" w:cs="Book Antiqua"/>
          <w:color w:val="000000"/>
        </w:rPr>
        <w:t xml:space="preserve"> F, Mani S, Yamazaki T, </w:t>
      </w:r>
      <w:proofErr w:type="spellStart"/>
      <w:r>
        <w:rPr>
          <w:rFonts w:ascii="Book Antiqua" w:eastAsia="Book Antiqua" w:hAnsi="Book Antiqua" w:cs="Book Antiqua"/>
          <w:color w:val="000000"/>
        </w:rPr>
        <w:t>Jacquelot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Enot</w:t>
      </w:r>
      <w:proofErr w:type="spellEnd"/>
      <w:r>
        <w:rPr>
          <w:rFonts w:ascii="Book Antiqua" w:eastAsia="Book Antiqua" w:hAnsi="Book Antiqua" w:cs="Book Antiqua"/>
          <w:color w:val="000000"/>
        </w:rPr>
        <w:t xml:space="preserve"> DP, </w:t>
      </w:r>
      <w:proofErr w:type="spellStart"/>
      <w:r>
        <w:rPr>
          <w:rFonts w:ascii="Book Antiqua" w:eastAsia="Book Antiqua" w:hAnsi="Book Antiqua" w:cs="Book Antiqua"/>
          <w:color w:val="000000"/>
        </w:rPr>
        <w:t>Bérard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Nigou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Opolon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Eggermont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Woerther</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Chachaty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Chaput</w:t>
      </w:r>
      <w:proofErr w:type="spellEnd"/>
      <w:r>
        <w:rPr>
          <w:rFonts w:ascii="Book Antiqua" w:eastAsia="Book Antiqua" w:hAnsi="Book Antiqua" w:cs="Book Antiqua"/>
          <w:color w:val="000000"/>
        </w:rPr>
        <w:t xml:space="preserve"> N, Robert C, Mateus C, Kroemer G, </w:t>
      </w:r>
      <w:proofErr w:type="spellStart"/>
      <w:r>
        <w:rPr>
          <w:rFonts w:ascii="Book Antiqua" w:eastAsia="Book Antiqua" w:hAnsi="Book Antiqua" w:cs="Book Antiqua"/>
          <w:color w:val="000000"/>
        </w:rPr>
        <w:t>Raoult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Boneca</w:t>
      </w:r>
      <w:proofErr w:type="spellEnd"/>
      <w:r>
        <w:rPr>
          <w:rFonts w:ascii="Book Antiqua" w:eastAsia="Book Antiqua" w:hAnsi="Book Antiqua" w:cs="Book Antiqua"/>
          <w:color w:val="000000"/>
        </w:rPr>
        <w:t xml:space="preserve"> IG, </w:t>
      </w:r>
      <w:proofErr w:type="spellStart"/>
      <w:r>
        <w:rPr>
          <w:rFonts w:ascii="Book Antiqua" w:eastAsia="Book Antiqua" w:hAnsi="Book Antiqua" w:cs="Book Antiqua"/>
          <w:color w:val="000000"/>
        </w:rPr>
        <w:t>Carbonnel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Chamaillard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Zitvogel</w:t>
      </w:r>
      <w:proofErr w:type="spellEnd"/>
      <w:r>
        <w:rPr>
          <w:rFonts w:ascii="Book Antiqua" w:eastAsia="Book Antiqua" w:hAnsi="Book Antiqua" w:cs="Book Antiqua"/>
          <w:color w:val="000000"/>
        </w:rPr>
        <w:t xml:space="preserve"> L. Anticancer immunotherapy by CTLA-4 blockade relies on the gut microbiota.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2015; </w:t>
      </w:r>
      <w:r>
        <w:rPr>
          <w:rFonts w:ascii="Book Antiqua" w:eastAsia="Book Antiqua" w:hAnsi="Book Antiqua" w:cs="Book Antiqua"/>
          <w:b/>
          <w:bCs/>
          <w:color w:val="000000"/>
        </w:rPr>
        <w:t>350</w:t>
      </w:r>
      <w:r>
        <w:rPr>
          <w:rFonts w:ascii="Book Antiqua" w:eastAsia="Book Antiqua" w:hAnsi="Book Antiqua" w:cs="Book Antiqua"/>
          <w:color w:val="000000"/>
        </w:rPr>
        <w:t>: 1079-1084 [PMID: 26541610 DOI: 10.1126/science.aad1329]</w:t>
      </w:r>
    </w:p>
    <w:p w14:paraId="1A40D9E0" w14:textId="77777777" w:rsidR="00A77B3E" w:rsidRDefault="003E73B5">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Eisenhauer</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Therasse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Bogaerts</w:t>
      </w:r>
      <w:proofErr w:type="spellEnd"/>
      <w:r>
        <w:rPr>
          <w:rFonts w:ascii="Book Antiqua" w:eastAsia="Book Antiqua" w:hAnsi="Book Antiqua" w:cs="Book Antiqua"/>
          <w:color w:val="000000"/>
        </w:rPr>
        <w:t xml:space="preserve"> J, Schwartz LH, Sargent D, Ford R, </w:t>
      </w:r>
      <w:proofErr w:type="spellStart"/>
      <w:r>
        <w:rPr>
          <w:rFonts w:ascii="Book Antiqua" w:eastAsia="Book Antiqua" w:hAnsi="Book Antiqua" w:cs="Book Antiqua"/>
          <w:color w:val="000000"/>
        </w:rPr>
        <w:t>Dancey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Arbuck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Gwyther</w:t>
      </w:r>
      <w:proofErr w:type="spellEnd"/>
      <w:r>
        <w:rPr>
          <w:rFonts w:ascii="Book Antiqua" w:eastAsia="Book Antiqua" w:hAnsi="Book Antiqua" w:cs="Book Antiqua"/>
          <w:color w:val="000000"/>
        </w:rPr>
        <w:t xml:space="preserve"> S, Mooney M, Rubinstein L, Shankar L, Dodd L, Kaplan R, Lacombe D, Verweij J. New response evaluation criteria in solid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revised RECIST guideline (version 1.1).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45</w:t>
      </w:r>
      <w:r>
        <w:rPr>
          <w:rFonts w:ascii="Book Antiqua" w:eastAsia="Book Antiqua" w:hAnsi="Book Antiqua" w:cs="Book Antiqua"/>
          <w:color w:val="000000"/>
        </w:rPr>
        <w:t>: 228-247 [PMID: 19097774 DOI: 10.1016/j.ejca.2008.10.026]</w:t>
      </w:r>
    </w:p>
    <w:p w14:paraId="7833F200" w14:textId="217B3834" w:rsidR="00FD2FCE" w:rsidRDefault="003E73B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Magurran</w:t>
      </w:r>
      <w:proofErr w:type="spellEnd"/>
      <w:r>
        <w:rPr>
          <w:rFonts w:ascii="Book Antiqua" w:eastAsia="Book Antiqua" w:hAnsi="Book Antiqua" w:cs="Book Antiqua"/>
          <w:b/>
          <w:bCs/>
          <w:color w:val="000000"/>
        </w:rPr>
        <w:t xml:space="preserve"> AE. </w:t>
      </w:r>
      <w:r w:rsidRPr="0099211B">
        <w:rPr>
          <w:rFonts w:ascii="Book Antiqua" w:eastAsia="Book Antiqua" w:hAnsi="Book Antiqua" w:cs="Book Antiqua"/>
          <w:color w:val="000000"/>
        </w:rPr>
        <w:t xml:space="preserve">An index of diversity. In: Measuring Biological Diversity. </w:t>
      </w:r>
      <w:proofErr w:type="spellStart"/>
      <w:r w:rsidR="00FD2FCE" w:rsidRPr="00FD2FCE">
        <w:rPr>
          <w:rFonts w:ascii="Book Antiqua" w:eastAsia="Book Antiqua" w:hAnsi="Book Antiqua" w:cs="Book Antiqua"/>
          <w:i/>
          <w:iCs/>
          <w:color w:val="000000"/>
        </w:rPr>
        <w:t>Afr</w:t>
      </w:r>
      <w:proofErr w:type="spellEnd"/>
      <w:r w:rsidR="00FD2FCE" w:rsidRPr="00FD2FCE">
        <w:rPr>
          <w:rFonts w:ascii="Book Antiqua" w:eastAsia="Book Antiqua" w:hAnsi="Book Antiqua" w:cs="Book Antiqua"/>
          <w:i/>
          <w:iCs/>
          <w:color w:val="000000"/>
        </w:rPr>
        <w:t xml:space="preserve"> J </w:t>
      </w:r>
      <w:proofErr w:type="spellStart"/>
      <w:r w:rsidR="00FD2FCE" w:rsidRPr="00FD2FCE">
        <w:rPr>
          <w:rFonts w:ascii="Book Antiqua" w:eastAsia="Book Antiqua" w:hAnsi="Book Antiqua" w:cs="Book Antiqua"/>
          <w:i/>
          <w:iCs/>
          <w:color w:val="000000"/>
        </w:rPr>
        <w:t>Aquat</w:t>
      </w:r>
      <w:proofErr w:type="spellEnd"/>
      <w:r w:rsidR="00FD2FCE" w:rsidRPr="00FD2FCE">
        <w:rPr>
          <w:rFonts w:ascii="Book Antiqua" w:eastAsia="Book Antiqua" w:hAnsi="Book Antiqua" w:cs="Book Antiqua"/>
          <w:i/>
          <w:iCs/>
          <w:color w:val="000000"/>
        </w:rPr>
        <w:t xml:space="preserve"> </w:t>
      </w:r>
      <w:proofErr w:type="spellStart"/>
      <w:r w:rsidR="00FD2FCE" w:rsidRPr="00FD2FCE">
        <w:rPr>
          <w:rFonts w:ascii="Book Antiqua" w:eastAsia="Book Antiqua" w:hAnsi="Book Antiqua" w:cs="Book Antiqua"/>
          <w:i/>
          <w:iCs/>
          <w:color w:val="000000"/>
        </w:rPr>
        <w:t>Sci</w:t>
      </w:r>
      <w:proofErr w:type="spellEnd"/>
      <w:r w:rsidR="00FD2FCE" w:rsidRPr="00FD2FCE">
        <w:rPr>
          <w:rFonts w:ascii="Book Antiqua" w:eastAsia="Book Antiqua" w:hAnsi="Book Antiqua" w:cs="Book Antiqua"/>
          <w:color w:val="000000"/>
        </w:rPr>
        <w:t xml:space="preserve"> </w:t>
      </w:r>
      <w:r w:rsidR="00FD2FCE">
        <w:rPr>
          <w:rFonts w:ascii="Book Antiqua" w:eastAsia="Book Antiqua" w:hAnsi="Book Antiqua" w:cs="Book Antiqua"/>
          <w:color w:val="000000"/>
        </w:rPr>
        <w:t xml:space="preserve">2004; </w:t>
      </w:r>
      <w:r w:rsidR="00FD2FCE" w:rsidRPr="00FD2FCE">
        <w:rPr>
          <w:rFonts w:ascii="Book Antiqua" w:eastAsia="Book Antiqua" w:hAnsi="Book Antiqua" w:cs="Book Antiqua"/>
          <w:b/>
          <w:bCs/>
          <w:color w:val="000000"/>
        </w:rPr>
        <w:t>29</w:t>
      </w:r>
      <w:r w:rsidR="00FD2FCE" w:rsidRPr="00FD2FCE">
        <w:rPr>
          <w:rFonts w:ascii="Book Antiqua" w:eastAsia="Book Antiqua" w:hAnsi="Book Antiqua" w:cs="Book Antiqua"/>
          <w:color w:val="000000"/>
        </w:rPr>
        <w:t xml:space="preserve">: 285-286 </w:t>
      </w:r>
      <w:r w:rsidR="00FD2FCE">
        <w:rPr>
          <w:rFonts w:ascii="Book Antiqua" w:eastAsia="Book Antiqua" w:hAnsi="Book Antiqua" w:cs="Book Antiqua"/>
          <w:color w:val="000000"/>
        </w:rPr>
        <w:t>[</w:t>
      </w:r>
      <w:r w:rsidR="00FD2FCE" w:rsidRPr="00FD2FCE">
        <w:rPr>
          <w:rFonts w:ascii="Book Antiqua" w:eastAsia="Book Antiqua" w:hAnsi="Book Antiqua" w:cs="Book Antiqua"/>
          <w:color w:val="000000"/>
        </w:rPr>
        <w:t>DOI: 10.2989/16085910409503825</w:t>
      </w:r>
      <w:r w:rsidR="00FD2FCE">
        <w:rPr>
          <w:rFonts w:ascii="Book Antiqua" w:eastAsia="Book Antiqua" w:hAnsi="Book Antiqua" w:cs="Book Antiqua"/>
          <w:color w:val="000000"/>
        </w:rPr>
        <w:t>]</w:t>
      </w:r>
      <w:r w:rsidR="00FD2FCE" w:rsidRPr="00FD2FCE">
        <w:rPr>
          <w:rFonts w:ascii="Book Antiqua" w:eastAsia="Book Antiqua" w:hAnsi="Book Antiqua" w:cs="Book Antiqua"/>
          <w:color w:val="000000"/>
        </w:rPr>
        <w:t xml:space="preserve"> </w:t>
      </w:r>
    </w:p>
    <w:p w14:paraId="3E2DA69E" w14:textId="735BE08A" w:rsidR="00A77B3E" w:rsidRDefault="003E73B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Veech</w:t>
      </w:r>
      <w:proofErr w:type="spellEnd"/>
      <w:r>
        <w:rPr>
          <w:rFonts w:ascii="Book Antiqua" w:eastAsia="Book Antiqua" w:hAnsi="Book Antiqua" w:cs="Book Antiqua"/>
          <w:b/>
          <w:bCs/>
          <w:color w:val="000000"/>
        </w:rPr>
        <w:t xml:space="preserve"> JA</w:t>
      </w:r>
      <w:r w:rsidR="00B2424C" w:rsidRPr="00B2424C">
        <w:rPr>
          <w:rFonts w:ascii="Book Antiqua" w:eastAsia="Book Antiqua" w:hAnsi="Book Antiqua" w:cs="Book Antiqua"/>
          <w:bCs/>
          <w:color w:val="000000"/>
        </w:rPr>
        <w:t>,</w:t>
      </w:r>
      <w:r w:rsidRPr="00B2424C">
        <w:rPr>
          <w:rFonts w:ascii="Book Antiqua" w:eastAsia="Book Antiqua" w:hAnsi="Book Antiqua" w:cs="Book Antiqua"/>
          <w:bCs/>
          <w:color w:val="000000"/>
        </w:rPr>
        <w:t xml:space="preserve"> </w:t>
      </w:r>
      <w:r w:rsidR="00B2424C" w:rsidRPr="00B2424C">
        <w:rPr>
          <w:rFonts w:ascii="Book Antiqua" w:eastAsia="Book Antiqua" w:hAnsi="Book Antiqua" w:cs="Book Antiqua"/>
          <w:bCs/>
          <w:color w:val="000000"/>
        </w:rPr>
        <w:t>Summerville K</w:t>
      </w:r>
      <w:r w:rsidRPr="00B2424C">
        <w:rPr>
          <w:rFonts w:ascii="Book Antiqua" w:eastAsia="Book Antiqua" w:hAnsi="Book Antiqua" w:cs="Book Antiqua"/>
          <w:bCs/>
          <w:color w:val="000000"/>
        </w:rPr>
        <w:t>S,</w:t>
      </w:r>
      <w:r>
        <w:rPr>
          <w:rFonts w:ascii="Book Antiqua" w:eastAsia="Book Antiqua" w:hAnsi="Book Antiqua" w:cs="Book Antiqua"/>
          <w:color w:val="000000"/>
        </w:rPr>
        <w:t xml:space="preserve"> Crist TO, Gering JC. The additive partitioning of species diversity: recent revival of an old idea. </w:t>
      </w:r>
      <w:r w:rsidRPr="0099211B">
        <w:rPr>
          <w:rFonts w:ascii="Book Antiqua" w:eastAsia="Book Antiqua" w:hAnsi="Book Antiqua" w:cs="Book Antiqua"/>
          <w:i/>
          <w:iCs/>
          <w:color w:val="000000"/>
        </w:rPr>
        <w:t>Oikos</w:t>
      </w:r>
      <w:r>
        <w:rPr>
          <w:rFonts w:ascii="Book Antiqua" w:eastAsia="Book Antiqua" w:hAnsi="Book Antiqua" w:cs="Book Antiqua"/>
          <w:color w:val="000000"/>
        </w:rPr>
        <w:t xml:space="preserve"> 2002</w:t>
      </w:r>
      <w:r w:rsidR="0099211B">
        <w:rPr>
          <w:rFonts w:ascii="Book Antiqua" w:eastAsia="Book Antiqua" w:hAnsi="Book Antiqua" w:cs="Book Antiqua"/>
          <w:color w:val="000000"/>
        </w:rPr>
        <w:t>;</w:t>
      </w:r>
      <w:r>
        <w:rPr>
          <w:rFonts w:ascii="Book Antiqua" w:eastAsia="Book Antiqua" w:hAnsi="Book Antiqua" w:cs="Book Antiqua"/>
          <w:color w:val="000000"/>
        </w:rPr>
        <w:t xml:space="preserve"> </w:t>
      </w:r>
      <w:r w:rsidRPr="0099211B">
        <w:rPr>
          <w:rFonts w:ascii="Book Antiqua" w:eastAsia="Book Antiqua" w:hAnsi="Book Antiqua" w:cs="Book Antiqua"/>
          <w:b/>
          <w:bCs/>
          <w:color w:val="000000"/>
        </w:rPr>
        <w:t>99</w:t>
      </w:r>
      <w:r>
        <w:rPr>
          <w:rFonts w:ascii="Book Antiqua" w:eastAsia="Book Antiqua" w:hAnsi="Book Antiqua" w:cs="Book Antiqua"/>
          <w:color w:val="000000"/>
        </w:rPr>
        <w:t>: 93</w:t>
      </w:r>
      <w:r w:rsidR="00B2424C">
        <w:rPr>
          <w:rFonts w:ascii="Book Antiqua" w:eastAsia="Book Antiqua" w:hAnsi="Book Antiqua" w:cs="Book Antiqua"/>
          <w:color w:val="000000"/>
        </w:rPr>
        <w:t>-</w:t>
      </w:r>
      <w:r>
        <w:rPr>
          <w:rFonts w:ascii="Book Antiqua" w:eastAsia="Book Antiqua" w:hAnsi="Book Antiqua" w:cs="Book Antiqua"/>
          <w:color w:val="000000"/>
        </w:rPr>
        <w:t>99</w:t>
      </w:r>
      <w:r w:rsidR="0099211B" w:rsidRPr="0099211B">
        <w:t xml:space="preserve"> </w:t>
      </w:r>
      <w:r w:rsidR="0099211B">
        <w:rPr>
          <w:rFonts w:ascii="Book Antiqua" w:eastAsia="Book Antiqua" w:hAnsi="Book Antiqua" w:cs="Book Antiqua"/>
          <w:color w:val="000000"/>
        </w:rPr>
        <w:t xml:space="preserve">[DOI: </w:t>
      </w:r>
      <w:r w:rsidR="0099211B" w:rsidRPr="0099211B">
        <w:rPr>
          <w:rFonts w:ascii="Book Antiqua" w:eastAsia="Book Antiqua" w:hAnsi="Book Antiqua" w:cs="Book Antiqua"/>
          <w:color w:val="000000"/>
        </w:rPr>
        <w:t>10.1034/j.1600-0706.</w:t>
      </w:r>
      <w:r w:rsidR="00FD2FCE" w:rsidRPr="0099211B">
        <w:rPr>
          <w:rFonts w:ascii="Book Antiqua" w:eastAsia="Book Antiqua" w:hAnsi="Book Antiqua" w:cs="Book Antiqua"/>
          <w:color w:val="000000"/>
        </w:rPr>
        <w:t>2002. 990101.x</w:t>
      </w:r>
      <w:r w:rsidR="0099211B">
        <w:rPr>
          <w:rFonts w:ascii="Book Antiqua" w:eastAsia="Book Antiqua" w:hAnsi="Book Antiqua" w:cs="Book Antiqua"/>
          <w:color w:val="000000"/>
        </w:rPr>
        <w:t>]</w:t>
      </w:r>
    </w:p>
    <w:p w14:paraId="785DC786" w14:textId="77777777" w:rsidR="00A77B3E" w:rsidRDefault="003E73B5">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Gopalakrishnan</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Helmink</w:t>
      </w:r>
      <w:proofErr w:type="spellEnd"/>
      <w:r>
        <w:rPr>
          <w:rFonts w:ascii="Book Antiqua" w:eastAsia="Book Antiqua" w:hAnsi="Book Antiqua" w:cs="Book Antiqua"/>
          <w:color w:val="000000"/>
        </w:rPr>
        <w:t xml:space="preserve"> BA, Spencer CN, Reuben A, </w:t>
      </w:r>
      <w:proofErr w:type="spellStart"/>
      <w:r>
        <w:rPr>
          <w:rFonts w:ascii="Book Antiqua" w:eastAsia="Book Antiqua" w:hAnsi="Book Antiqua" w:cs="Book Antiqua"/>
          <w:color w:val="000000"/>
        </w:rPr>
        <w:t>Wargo</w:t>
      </w:r>
      <w:proofErr w:type="spellEnd"/>
      <w:r>
        <w:rPr>
          <w:rFonts w:ascii="Book Antiqua" w:eastAsia="Book Antiqua" w:hAnsi="Book Antiqua" w:cs="Book Antiqua"/>
          <w:color w:val="000000"/>
        </w:rPr>
        <w:t xml:space="preserve"> JA. The Influence of the Gut Microbiome on Cancer, Immunity, and Cancer Immunotherapy.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570-580 [PMID: 29634945 DOI: 10.1016/j.ccell.2018.03.015]</w:t>
      </w:r>
    </w:p>
    <w:p w14:paraId="40BC4E80" w14:textId="77777777" w:rsidR="00A77B3E" w:rsidRDefault="003E73B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Zheng Y</w:t>
      </w:r>
      <w:r>
        <w:rPr>
          <w:rFonts w:ascii="Book Antiqua" w:eastAsia="Book Antiqua" w:hAnsi="Book Antiqua" w:cs="Book Antiqua"/>
          <w:color w:val="000000"/>
        </w:rPr>
        <w:t xml:space="preserve">, Wang T, Tu X, Huang Y, Zhang H, Tan D, Jiang W, Cai S, Zhao P, Song R, Li P, Qin N, Fang W. Gut microbiome affects the response to anti-PD-1 immunotherapy in patients with hepatocellular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193 [PMID: 31337439 DOI: 10.1186/s40425-019-0650-9]</w:t>
      </w:r>
    </w:p>
    <w:p w14:paraId="131C50DB" w14:textId="77777777" w:rsidR="00A77B3E" w:rsidRDefault="003E73B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 L</w:t>
      </w:r>
      <w:r>
        <w:rPr>
          <w:rFonts w:ascii="Book Antiqua" w:eastAsia="Book Antiqua" w:hAnsi="Book Antiqua" w:cs="Book Antiqua"/>
          <w:color w:val="000000"/>
        </w:rPr>
        <w:t xml:space="preserve">, Ye J. Characterization of gut microbiota in patients with primary hepatocellular carcinoma received immune checkpoint inhibitors: A Chinese population-based study.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e21788 [PMID: 32925716 DOI: 10.1097/MD.0000000000021788]</w:t>
      </w:r>
    </w:p>
    <w:p w14:paraId="4056988E" w14:textId="77777777" w:rsidR="00A77B3E" w:rsidRDefault="003E73B5">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Grigor'eva</w:t>
      </w:r>
      <w:proofErr w:type="spellEnd"/>
      <w:r>
        <w:rPr>
          <w:rFonts w:ascii="Book Antiqua" w:eastAsia="Book Antiqua" w:hAnsi="Book Antiqua" w:cs="Book Antiqua"/>
          <w:b/>
          <w:bCs/>
          <w:color w:val="000000"/>
        </w:rPr>
        <w:t xml:space="preserve"> IN</w:t>
      </w:r>
      <w:r>
        <w:rPr>
          <w:rFonts w:ascii="Book Antiqua" w:eastAsia="Book Antiqua" w:hAnsi="Book Antiqua" w:cs="Book Antiqua"/>
          <w:color w:val="000000"/>
        </w:rPr>
        <w:t xml:space="preserve">. Gallstone Disease, Obesity and the Firmicutes/Bacteroidetes Ratio as a Possible Biomarker of Gut Dysbiosis. </w:t>
      </w:r>
      <w:r>
        <w:rPr>
          <w:rFonts w:ascii="Book Antiqua" w:eastAsia="Book Antiqua" w:hAnsi="Book Antiqua" w:cs="Book Antiqua"/>
          <w:i/>
          <w:iCs/>
          <w:color w:val="000000"/>
        </w:rPr>
        <w:t>J Pers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33375615 DOI: 10.3390/jpm11010013]</w:t>
      </w:r>
    </w:p>
    <w:p w14:paraId="552765DD" w14:textId="77777777" w:rsidR="00A77B3E" w:rsidRDefault="003E73B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Payne AN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Chassard</w:t>
      </w:r>
      <w:proofErr w:type="spellEnd"/>
      <w:r>
        <w:rPr>
          <w:rFonts w:ascii="Book Antiqua" w:eastAsia="Book Antiqua" w:hAnsi="Book Antiqua" w:cs="Book Antiqua"/>
          <w:color w:val="000000"/>
        </w:rPr>
        <w:t xml:space="preserve"> C, Zimmermann M, Müller P, </w:t>
      </w:r>
      <w:proofErr w:type="spellStart"/>
      <w:r>
        <w:rPr>
          <w:rFonts w:ascii="Book Antiqua" w:eastAsia="Book Antiqua" w:hAnsi="Book Antiqua" w:cs="Book Antiqua"/>
          <w:color w:val="000000"/>
        </w:rPr>
        <w:t>Stinca</w:t>
      </w:r>
      <w:proofErr w:type="spellEnd"/>
      <w:r>
        <w:rPr>
          <w:rFonts w:ascii="Book Antiqua" w:eastAsia="Book Antiqua" w:hAnsi="Book Antiqua" w:cs="Book Antiqua"/>
          <w:color w:val="000000"/>
        </w:rPr>
        <w:t xml:space="preserve"> S, Lacroix C. The metabolic activity of gut microbiota in obese children is increased compared with normal-weight children and exhibits more exhaustive substrate utilization.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Diabetes</w:t>
      </w:r>
      <w:r>
        <w:rPr>
          <w:rFonts w:ascii="Book Antiqua" w:eastAsia="Book Antiqua" w:hAnsi="Book Antiqua" w:cs="Book Antiqua"/>
          <w:color w:val="000000"/>
        </w:rPr>
        <w:t xml:space="preserve"> 2011; </w:t>
      </w:r>
      <w:r>
        <w:rPr>
          <w:rFonts w:ascii="Book Antiqua" w:eastAsia="Book Antiqua" w:hAnsi="Book Antiqua" w:cs="Book Antiqua"/>
          <w:b/>
          <w:bCs/>
          <w:color w:val="000000"/>
        </w:rPr>
        <w:t>1</w:t>
      </w:r>
      <w:r>
        <w:rPr>
          <w:rFonts w:ascii="Book Antiqua" w:eastAsia="Book Antiqua" w:hAnsi="Book Antiqua" w:cs="Book Antiqua"/>
          <w:color w:val="000000"/>
        </w:rPr>
        <w:t>: e12 [PMID: 23154580 DOI: 10.1038/nutd.2011.8]</w:t>
      </w:r>
    </w:p>
    <w:p w14:paraId="637BA6CD" w14:textId="77777777" w:rsidR="00A77B3E" w:rsidRDefault="003E73B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Yu C</w:t>
      </w:r>
      <w:r>
        <w:rPr>
          <w:rFonts w:ascii="Book Antiqua" w:eastAsia="Book Antiqua" w:hAnsi="Book Antiqua" w:cs="Book Antiqua"/>
          <w:color w:val="000000"/>
        </w:rPr>
        <w:t xml:space="preserve">, Su Z, Li Y, Li Y, Liu K, Chu F, Liu T, Chen R, Ding X. Dysbiosis of gut microbiota is associated with gastric carcinogenesis in rats.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126</w:t>
      </w:r>
      <w:r>
        <w:rPr>
          <w:rFonts w:ascii="Book Antiqua" w:eastAsia="Book Antiqua" w:hAnsi="Book Antiqua" w:cs="Book Antiqua"/>
          <w:color w:val="000000"/>
        </w:rPr>
        <w:t>: 110036 [PMID: 32172061 DOI: 10.1016/j.biopha.2020.110036]</w:t>
      </w:r>
    </w:p>
    <w:p w14:paraId="19BAE64F" w14:textId="77777777" w:rsidR="00A77B3E" w:rsidRDefault="003E73B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Wu YN, Chen T, Ren CH, Li X, Liu GX. Relationship between intestinal microbial dysbiosis and primary liver cancer.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149-157 [PMID: 30661942 DOI: 10.1016/j.hbpd.2019.01.002]</w:t>
      </w:r>
    </w:p>
    <w:p w14:paraId="32222464" w14:textId="77777777" w:rsidR="00A77B3E" w:rsidRDefault="003E73B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Peng Z</w:t>
      </w:r>
      <w:r>
        <w:rPr>
          <w:rFonts w:ascii="Book Antiqua" w:eastAsia="Book Antiqua" w:hAnsi="Book Antiqua" w:cs="Book Antiqua"/>
          <w:color w:val="000000"/>
        </w:rPr>
        <w:t xml:space="preserve">, Cheng S, Kou Y, Wang Z,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R, Hu H, Zhang X, Gong JF, Li J, Lu M, Wang X, Zhou J, Lu Z, Zhang Q, Tzeng DTW, Bi D, Tan Y, Shen L. The Gut Microbiome Is Associated with Clinical Response to Anti-PD-1/PD-L1 Immunotherapy in Gastrointestinal Cancer. </w:t>
      </w:r>
      <w:r>
        <w:rPr>
          <w:rFonts w:ascii="Book Antiqua" w:eastAsia="Book Antiqua" w:hAnsi="Book Antiqua" w:cs="Book Antiqua"/>
          <w:i/>
          <w:iCs/>
          <w:color w:val="000000"/>
        </w:rPr>
        <w:t>Cancer Immunol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1251-1261 [PMID: 32855157 DOI: 10.1158/2326-6066.CIR-19-1014]</w:t>
      </w:r>
    </w:p>
    <w:p w14:paraId="62DAD2F0" w14:textId="77777777" w:rsidR="00A77B3E" w:rsidRDefault="00A77B3E">
      <w:pPr>
        <w:spacing w:line="360" w:lineRule="auto"/>
        <w:jc w:val="both"/>
      </w:pPr>
    </w:p>
    <w:p w14:paraId="5D9D5546" w14:textId="77777777" w:rsidR="00362132" w:rsidRDefault="00362132">
      <w:pPr>
        <w:spacing w:line="360" w:lineRule="auto"/>
        <w:jc w:val="both"/>
      </w:pPr>
    </w:p>
    <w:p w14:paraId="7FDB2D61" w14:textId="77777777" w:rsidR="00A77B3E" w:rsidRDefault="003E73B5">
      <w:pPr>
        <w:spacing w:line="360" w:lineRule="auto"/>
        <w:jc w:val="both"/>
      </w:pPr>
      <w:r>
        <w:rPr>
          <w:rFonts w:ascii="Book Antiqua" w:eastAsia="Book Antiqua" w:hAnsi="Book Antiqua" w:cs="Book Antiqua"/>
          <w:b/>
          <w:color w:val="000000"/>
        </w:rPr>
        <w:t>Footnotes</w:t>
      </w:r>
    </w:p>
    <w:p w14:paraId="1668ED88" w14:textId="77777777" w:rsidR="00A77B3E" w:rsidRDefault="003E73B5">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carried out in accordance with all relevant institutional guidelines. The Ethics Committee of </w:t>
      </w:r>
      <w:proofErr w:type="spellStart"/>
      <w:r>
        <w:rPr>
          <w:rFonts w:ascii="Book Antiqua" w:eastAsia="Book Antiqua" w:hAnsi="Book Antiqua" w:cs="Book Antiqua"/>
          <w:color w:val="000000"/>
        </w:rPr>
        <w:t>Chonnam</w:t>
      </w:r>
      <w:proofErr w:type="spellEnd"/>
      <w:r>
        <w:rPr>
          <w:rFonts w:ascii="Book Antiqua" w:eastAsia="Book Antiqua" w:hAnsi="Book Antiqua" w:cs="Book Antiqua"/>
          <w:color w:val="000000"/>
        </w:rPr>
        <w:t xml:space="preserve"> National University </w:t>
      </w:r>
      <w:proofErr w:type="spellStart"/>
      <w:r>
        <w:rPr>
          <w:rFonts w:ascii="Book Antiqua" w:eastAsia="Book Antiqua" w:hAnsi="Book Antiqua" w:cs="Book Antiqua"/>
          <w:color w:val="000000"/>
        </w:rPr>
        <w:t>Hwasun</w:t>
      </w:r>
      <w:proofErr w:type="spellEnd"/>
      <w:r>
        <w:rPr>
          <w:rFonts w:ascii="Book Antiqua" w:eastAsia="Book Antiqua" w:hAnsi="Book Antiqua" w:cs="Book Antiqua"/>
          <w:color w:val="000000"/>
        </w:rPr>
        <w:t xml:space="preserve"> Hospital approved this study (CNUHH-2019-134) and written informed consent was obtained from all subjects.</w:t>
      </w:r>
    </w:p>
    <w:p w14:paraId="526D47A8" w14:textId="77777777" w:rsidR="00A77B3E" w:rsidRDefault="00A77B3E">
      <w:pPr>
        <w:spacing w:line="360" w:lineRule="auto"/>
        <w:jc w:val="both"/>
      </w:pPr>
    </w:p>
    <w:p w14:paraId="4562DC49" w14:textId="77777777" w:rsidR="00A77B3E" w:rsidRDefault="003E73B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All authors declare having no conflicts of interest.</w:t>
      </w:r>
    </w:p>
    <w:p w14:paraId="7CA9B7B4" w14:textId="77777777" w:rsidR="00A77B3E" w:rsidRDefault="00A77B3E">
      <w:pPr>
        <w:spacing w:line="360" w:lineRule="auto"/>
        <w:jc w:val="both"/>
      </w:pPr>
    </w:p>
    <w:p w14:paraId="15F976C5" w14:textId="77777777" w:rsidR="00A77B3E" w:rsidRDefault="003E73B5">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40105873" w14:textId="77777777" w:rsidR="00A77B3E" w:rsidRDefault="00A77B3E">
      <w:pPr>
        <w:spacing w:line="360" w:lineRule="auto"/>
        <w:jc w:val="both"/>
      </w:pPr>
    </w:p>
    <w:p w14:paraId="4E1E0C7E" w14:textId="77777777" w:rsidR="00A77B3E" w:rsidRDefault="003E73B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D21A02" w14:textId="77777777" w:rsidR="00A77B3E" w:rsidRDefault="00A77B3E">
      <w:pPr>
        <w:spacing w:line="360" w:lineRule="auto"/>
        <w:jc w:val="both"/>
      </w:pPr>
    </w:p>
    <w:p w14:paraId="243CAF92" w14:textId="5A9C9CDA" w:rsidR="00A77B3E" w:rsidRDefault="003E73B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17E5A">
        <w:rPr>
          <w:rFonts w:ascii="Book Antiqua" w:eastAsia="Book Antiqua" w:hAnsi="Book Antiqua" w:cs="Book Antiqua"/>
          <w:color w:val="000000"/>
        </w:rPr>
        <w:t>m</w:t>
      </w:r>
      <w:r>
        <w:rPr>
          <w:rFonts w:ascii="Book Antiqua" w:eastAsia="Book Antiqua" w:hAnsi="Book Antiqua" w:cs="Book Antiqua"/>
          <w:color w:val="000000"/>
        </w:rPr>
        <w:t>anuscript</w:t>
      </w:r>
    </w:p>
    <w:p w14:paraId="47283CCB" w14:textId="77777777" w:rsidR="00A77B3E" w:rsidRDefault="00A77B3E">
      <w:pPr>
        <w:spacing w:line="360" w:lineRule="auto"/>
        <w:jc w:val="both"/>
      </w:pPr>
    </w:p>
    <w:p w14:paraId="6DB11FE5" w14:textId="77777777" w:rsidR="00A77B3E" w:rsidRDefault="003E73B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20, 2021</w:t>
      </w:r>
    </w:p>
    <w:p w14:paraId="3F218077" w14:textId="77777777" w:rsidR="00A77B3E" w:rsidRDefault="003E73B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13, 2021</w:t>
      </w:r>
    </w:p>
    <w:p w14:paraId="034A1AD8" w14:textId="7F89A19D" w:rsidR="00A77B3E" w:rsidRDefault="003E73B5">
      <w:pPr>
        <w:spacing w:line="360" w:lineRule="auto"/>
        <w:jc w:val="both"/>
        <w:rPr>
          <w:lang w:eastAsia="zh-CN"/>
        </w:rPr>
      </w:pPr>
      <w:r>
        <w:rPr>
          <w:rFonts w:ascii="Book Antiqua" w:eastAsia="Book Antiqua" w:hAnsi="Book Antiqua" w:cs="Book Antiqua"/>
          <w:b/>
          <w:color w:val="000000"/>
        </w:rPr>
        <w:t xml:space="preserve">Article in press: </w:t>
      </w:r>
      <w:r w:rsidR="009A0ABB" w:rsidRPr="00986B9B">
        <w:rPr>
          <w:rFonts w:ascii="Book Antiqua" w:eastAsia="Book Antiqua" w:hAnsi="Book Antiqua" w:cs="Book Antiqua"/>
          <w:bCs/>
          <w:color w:val="000000"/>
        </w:rPr>
        <w:t>November 3, 2021</w:t>
      </w:r>
    </w:p>
    <w:p w14:paraId="4CF47A21" w14:textId="77777777" w:rsidR="00A77B3E" w:rsidRDefault="00A77B3E">
      <w:pPr>
        <w:spacing w:line="360" w:lineRule="auto"/>
        <w:jc w:val="both"/>
      </w:pPr>
    </w:p>
    <w:p w14:paraId="59FE1D87" w14:textId="64DF7349" w:rsidR="00A77B3E" w:rsidRDefault="003E73B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B17E5A">
        <w:rPr>
          <w:rFonts w:ascii="Book Antiqua" w:eastAsia="Book Antiqua" w:hAnsi="Book Antiqua" w:cs="Book Antiqua"/>
          <w:color w:val="000000"/>
        </w:rPr>
        <w:t>h</w:t>
      </w:r>
      <w:r>
        <w:rPr>
          <w:rFonts w:ascii="Book Antiqua" w:eastAsia="Book Antiqua" w:hAnsi="Book Antiqua" w:cs="Book Antiqua"/>
          <w:color w:val="000000"/>
        </w:rPr>
        <w:t>epatology</w:t>
      </w:r>
    </w:p>
    <w:p w14:paraId="04BFB736" w14:textId="77777777" w:rsidR="00A77B3E" w:rsidRDefault="003E73B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49E44D10" w14:textId="77777777" w:rsidR="00A77B3E" w:rsidRDefault="003E73B5">
      <w:pPr>
        <w:spacing w:line="360" w:lineRule="auto"/>
        <w:jc w:val="both"/>
      </w:pPr>
      <w:r>
        <w:rPr>
          <w:rFonts w:ascii="Book Antiqua" w:eastAsia="Book Antiqua" w:hAnsi="Book Antiqua" w:cs="Book Antiqua"/>
          <w:b/>
          <w:color w:val="000000"/>
        </w:rPr>
        <w:t>Peer-review report’s scientific quality classification</w:t>
      </w:r>
    </w:p>
    <w:p w14:paraId="566D2C5D" w14:textId="77777777" w:rsidR="00A77B3E" w:rsidRDefault="003E73B5">
      <w:pPr>
        <w:spacing w:line="360" w:lineRule="auto"/>
        <w:jc w:val="both"/>
      </w:pPr>
      <w:r>
        <w:rPr>
          <w:rFonts w:ascii="Book Antiqua" w:eastAsia="Book Antiqua" w:hAnsi="Book Antiqua" w:cs="Book Antiqua"/>
          <w:color w:val="000000"/>
        </w:rPr>
        <w:lastRenderedPageBreak/>
        <w:t>Grade A (Excellent): 0</w:t>
      </w:r>
    </w:p>
    <w:p w14:paraId="354BC58D" w14:textId="77777777" w:rsidR="00A77B3E" w:rsidRDefault="003E73B5">
      <w:pPr>
        <w:spacing w:line="360" w:lineRule="auto"/>
        <w:jc w:val="both"/>
      </w:pPr>
      <w:r>
        <w:rPr>
          <w:rFonts w:ascii="Book Antiqua" w:eastAsia="Book Antiqua" w:hAnsi="Book Antiqua" w:cs="Book Antiqua"/>
          <w:color w:val="000000"/>
        </w:rPr>
        <w:t>Grade B (Very good): 0</w:t>
      </w:r>
    </w:p>
    <w:p w14:paraId="36E67CED" w14:textId="77777777" w:rsidR="00A77B3E" w:rsidRDefault="003E73B5">
      <w:pPr>
        <w:spacing w:line="360" w:lineRule="auto"/>
        <w:jc w:val="both"/>
      </w:pPr>
      <w:r>
        <w:rPr>
          <w:rFonts w:ascii="Book Antiqua" w:eastAsia="Book Antiqua" w:hAnsi="Book Antiqua" w:cs="Book Antiqua"/>
          <w:color w:val="000000"/>
        </w:rPr>
        <w:t>Grade C (Good): C</w:t>
      </w:r>
    </w:p>
    <w:p w14:paraId="43536D9C" w14:textId="77777777" w:rsidR="00A77B3E" w:rsidRDefault="003E73B5">
      <w:pPr>
        <w:spacing w:line="360" w:lineRule="auto"/>
        <w:jc w:val="both"/>
      </w:pPr>
      <w:r>
        <w:rPr>
          <w:rFonts w:ascii="Book Antiqua" w:eastAsia="Book Antiqua" w:hAnsi="Book Antiqua" w:cs="Book Antiqua"/>
          <w:color w:val="000000"/>
        </w:rPr>
        <w:t>Grade D (Fair): 0</w:t>
      </w:r>
    </w:p>
    <w:p w14:paraId="72A0C785" w14:textId="77777777" w:rsidR="00A77B3E" w:rsidRDefault="003E73B5">
      <w:pPr>
        <w:spacing w:line="360" w:lineRule="auto"/>
        <w:jc w:val="both"/>
      </w:pPr>
      <w:r>
        <w:rPr>
          <w:rFonts w:ascii="Book Antiqua" w:eastAsia="Book Antiqua" w:hAnsi="Book Antiqua" w:cs="Book Antiqua"/>
          <w:color w:val="000000"/>
        </w:rPr>
        <w:t>Grade E (Poor): 0</w:t>
      </w:r>
    </w:p>
    <w:p w14:paraId="1D132EF5" w14:textId="77777777" w:rsidR="00A77B3E" w:rsidRDefault="00A77B3E">
      <w:pPr>
        <w:spacing w:line="360" w:lineRule="auto"/>
        <w:jc w:val="both"/>
      </w:pPr>
    </w:p>
    <w:p w14:paraId="03FD2761" w14:textId="1DFAADCD" w:rsidR="00A77B3E" w:rsidRDefault="003E73B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Tun HM</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A850D7" w:rsidRPr="00A850D7">
        <w:rPr>
          <w:rFonts w:ascii="Book Antiqua" w:eastAsia="Book Antiqua" w:hAnsi="Book Antiqua" w:cs="Book Antiqua"/>
          <w:color w:val="000000"/>
        </w:rPr>
        <w:t xml:space="preserve">A </w:t>
      </w:r>
      <w:r>
        <w:rPr>
          <w:rFonts w:ascii="Book Antiqua" w:eastAsia="Book Antiqua" w:hAnsi="Book Antiqua" w:cs="Book Antiqua"/>
          <w:b/>
          <w:color w:val="000000"/>
        </w:rPr>
        <w:t>P-Editor:</w:t>
      </w:r>
      <w:r w:rsidR="001E511C">
        <w:rPr>
          <w:rFonts w:ascii="Book Antiqua" w:eastAsia="Book Antiqua" w:hAnsi="Book Antiqua" w:cs="Book Antiqua"/>
          <w:b/>
          <w:color w:val="000000"/>
        </w:rPr>
        <w:t xml:space="preserve"> </w:t>
      </w:r>
      <w:r w:rsidR="00A850D7">
        <w:rPr>
          <w:rFonts w:ascii="Book Antiqua" w:eastAsia="Book Antiqua" w:hAnsi="Book Antiqua" w:cs="Book Antiqua"/>
          <w:color w:val="000000"/>
        </w:rPr>
        <w:t>Gong ZM</w:t>
      </w:r>
    </w:p>
    <w:p w14:paraId="21DC5476" w14:textId="0E561824" w:rsidR="00A77B3E" w:rsidRDefault="003E73B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7E8DFC4" w14:textId="11869B9E" w:rsidR="00BC2AF3" w:rsidRDefault="00BC2AF3">
      <w:pPr>
        <w:spacing w:line="360" w:lineRule="auto"/>
        <w:jc w:val="both"/>
      </w:pPr>
      <w:r>
        <w:rPr>
          <w:noProof/>
          <w:lang w:eastAsia="zh-CN"/>
        </w:rPr>
        <w:drawing>
          <wp:inline distT="0" distB="0" distL="0" distR="0" wp14:anchorId="1633B1A2" wp14:editId="62438E5D">
            <wp:extent cx="7703150" cy="31572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31976" cy="3169083"/>
                    </a:xfrm>
                    <a:prstGeom prst="rect">
                      <a:avLst/>
                    </a:prstGeom>
                    <a:noFill/>
                  </pic:spPr>
                </pic:pic>
              </a:graphicData>
            </a:graphic>
          </wp:inline>
        </w:drawing>
      </w:r>
    </w:p>
    <w:p w14:paraId="1CA0EA64" w14:textId="0A5FA86C" w:rsidR="009227E9" w:rsidRDefault="003E73B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Alpha diversity indices (Shannon index) of hepatocellular carcinoma patients based on treatment and prognosis. </w:t>
      </w:r>
      <w:r>
        <w:rPr>
          <w:rFonts w:ascii="Book Antiqua" w:eastAsia="Book Antiqua" w:hAnsi="Book Antiqua" w:cs="Book Antiqua"/>
          <w:color w:val="000000"/>
        </w:rPr>
        <w:t>A: The Shannon index of the non-responders on admission (T0) was not significantly lower than that of the responders (</w:t>
      </w:r>
      <w:r>
        <w:rPr>
          <w:rFonts w:ascii="Book Antiqua" w:eastAsia="Book Antiqua" w:hAnsi="Book Antiqua" w:cs="Book Antiqua"/>
          <w:i/>
          <w:iCs/>
          <w:color w:val="000000"/>
        </w:rPr>
        <w:t>P</w:t>
      </w:r>
      <w:r>
        <w:rPr>
          <w:rFonts w:ascii="Book Antiqua" w:eastAsia="Book Antiqua" w:hAnsi="Book Antiqua" w:cs="Book Antiqua"/>
          <w:color w:val="000000"/>
        </w:rPr>
        <w:t xml:space="preserve"> = 0.14); B: The Shannon index of the non-responders was significantly lower than that of the responders after nivolumab therapy (T1); C: Nivolumab therapy did not alter the Shannon index. HCC: Hepatocellular carcinoma. </w:t>
      </w:r>
    </w:p>
    <w:p w14:paraId="3BA2A3B9" w14:textId="5A499A4E" w:rsidR="00BC2AF3" w:rsidRDefault="009227E9">
      <w:pPr>
        <w:spacing w:line="360" w:lineRule="auto"/>
        <w:jc w:val="both"/>
      </w:pPr>
      <w:r>
        <w:rPr>
          <w:rFonts w:ascii="Book Antiqua" w:eastAsia="Book Antiqua" w:hAnsi="Book Antiqua" w:cs="Book Antiqua"/>
          <w:color w:val="000000"/>
        </w:rPr>
        <w:br w:type="page"/>
      </w:r>
      <w:r w:rsidR="00BC2AF3">
        <w:rPr>
          <w:noProof/>
          <w:lang w:eastAsia="zh-CN"/>
        </w:rPr>
        <w:lastRenderedPageBreak/>
        <w:drawing>
          <wp:inline distT="0" distB="0" distL="0" distR="0" wp14:anchorId="01D4D275" wp14:editId="0FAF04E5">
            <wp:extent cx="7776466" cy="319177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9058" cy="3201047"/>
                    </a:xfrm>
                    <a:prstGeom prst="rect">
                      <a:avLst/>
                    </a:prstGeom>
                    <a:noFill/>
                  </pic:spPr>
                </pic:pic>
              </a:graphicData>
            </a:graphic>
          </wp:inline>
        </w:drawing>
      </w:r>
    </w:p>
    <w:p w14:paraId="70BAB610" w14:textId="77777777" w:rsidR="00A77B3E" w:rsidRDefault="003E73B5">
      <w:pPr>
        <w:spacing w:line="360" w:lineRule="auto"/>
        <w:jc w:val="both"/>
      </w:pPr>
      <w:r w:rsidRPr="00AB2306">
        <w:rPr>
          <w:rFonts w:ascii="Book Antiqua" w:eastAsia="Book Antiqua" w:hAnsi="Book Antiqua" w:cs="Book Antiqua"/>
          <w:b/>
          <w:bCs/>
          <w:color w:val="000000"/>
        </w:rPr>
        <w:t xml:space="preserve">Figure 2 Composition of the gut microbiome in hepatocellular carcinoma patients is associated with the response to nivolumab. </w:t>
      </w:r>
      <w:r w:rsidRPr="00AB2306">
        <w:rPr>
          <w:rFonts w:ascii="Book Antiqua" w:eastAsia="Book Antiqua" w:hAnsi="Book Antiqua" w:cs="Book Antiqua"/>
          <w:color w:val="000000"/>
        </w:rPr>
        <w:t>A: Heatmap showing the abundance of operational taxonomic units in responders (yellow) and non-responders (blue). The original comprehensive figure, including the names of bacterial taxa, is presented as Supplemental Figure 1; B: Unweighted beta diversity analysis showed that the overall bacterial community structure and phylogenetic diversity at T0 (light yellow and light blue) and T1 (yellow and blue) were similar; distinct clusters were not observed for responders (yellow) and non-responders (blue). Statistical values obtained by the PERMANOVA test are presented in Supplemental Table 2.</w:t>
      </w:r>
    </w:p>
    <w:p w14:paraId="250D8DD6" w14:textId="3DD83092" w:rsidR="00BC2AF3" w:rsidRDefault="009227E9" w:rsidP="009227E9">
      <w:pPr>
        <w:spacing w:line="360" w:lineRule="auto"/>
        <w:jc w:val="both"/>
      </w:pPr>
      <w:r>
        <w:br w:type="page"/>
      </w:r>
    </w:p>
    <w:p w14:paraId="29CC38E4" w14:textId="6B50AEB3" w:rsidR="009E2AA1" w:rsidRDefault="009E2AA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A                                                                                                         B</w:t>
      </w:r>
    </w:p>
    <w:p w14:paraId="5318AE16" w14:textId="384FFC31" w:rsidR="009E2AA1" w:rsidRDefault="009E2AA1">
      <w:pPr>
        <w:spacing w:line="360" w:lineRule="auto"/>
        <w:jc w:val="both"/>
        <w:rPr>
          <w:rFonts w:ascii="Book Antiqua" w:eastAsia="Book Antiqua" w:hAnsi="Book Antiqua" w:cs="Book Antiqua"/>
          <w:b/>
          <w:bCs/>
          <w:color w:val="000000"/>
        </w:rPr>
      </w:pPr>
      <w:r>
        <w:rPr>
          <w:noProof/>
          <w:lang w:eastAsia="zh-CN"/>
        </w:rPr>
        <w:drawing>
          <wp:inline distT="0" distB="0" distL="0" distR="0" wp14:anchorId="492776D4" wp14:editId="323F31F6">
            <wp:extent cx="4217073" cy="4641011"/>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1649" cy="4646047"/>
                    </a:xfrm>
                    <a:prstGeom prst="rect">
                      <a:avLst/>
                    </a:prstGeom>
                  </pic:spPr>
                </pic:pic>
              </a:graphicData>
            </a:graphic>
          </wp:inline>
        </w:drawing>
      </w:r>
      <w:r>
        <w:rPr>
          <w:noProof/>
          <w:lang w:eastAsia="zh-CN"/>
        </w:rPr>
        <w:drawing>
          <wp:inline distT="0" distB="0" distL="0" distR="0" wp14:anchorId="6F8AAD4E" wp14:editId="0F1D0FD1">
            <wp:extent cx="3550002" cy="551227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1518" cy="5514633"/>
                    </a:xfrm>
                    <a:prstGeom prst="rect">
                      <a:avLst/>
                    </a:prstGeom>
                  </pic:spPr>
                </pic:pic>
              </a:graphicData>
            </a:graphic>
          </wp:inline>
        </w:drawing>
      </w:r>
    </w:p>
    <w:p w14:paraId="114B0723" w14:textId="66C700BC" w:rsidR="009E2AA1" w:rsidRDefault="001733DD">
      <w:pPr>
        <w:spacing w:line="360" w:lineRule="auto"/>
        <w:jc w:val="both"/>
        <w:rPr>
          <w:rFonts w:ascii="Book Antiqua" w:eastAsia="Book Antiqua" w:hAnsi="Book Antiqua" w:cs="Book Antiqua"/>
          <w:b/>
          <w:bCs/>
          <w:noProof/>
          <w:color w:val="000000"/>
          <w:lang w:eastAsia="zh-CN"/>
        </w:rPr>
      </w:pPr>
      <w:r>
        <w:rPr>
          <w:rFonts w:ascii="Book Antiqua" w:eastAsia="Book Antiqua" w:hAnsi="Book Antiqua" w:cs="Book Antiqua"/>
          <w:b/>
          <w:bCs/>
          <w:noProof/>
          <w:color w:val="000000"/>
          <w:lang w:eastAsia="zh-CN"/>
        </w:rPr>
        <w:lastRenderedPageBreak/>
        <w:t>C</w:t>
      </w:r>
    </w:p>
    <w:p w14:paraId="7B741618" w14:textId="55974D58" w:rsidR="001733DD" w:rsidRDefault="001733DD">
      <w:pPr>
        <w:spacing w:line="360" w:lineRule="auto"/>
        <w:jc w:val="both"/>
        <w:rPr>
          <w:rFonts w:ascii="Book Antiqua" w:eastAsia="Book Antiqua" w:hAnsi="Book Antiqua" w:cs="Book Antiqua"/>
          <w:b/>
          <w:bCs/>
          <w:color w:val="000000"/>
        </w:rPr>
      </w:pPr>
      <w:r w:rsidRPr="001733DD">
        <w:rPr>
          <w:rFonts w:ascii="Book Antiqua" w:eastAsia="Book Antiqua" w:hAnsi="Book Antiqua" w:cs="Book Antiqua"/>
          <w:b/>
          <w:bCs/>
          <w:noProof/>
          <w:color w:val="000000"/>
          <w:lang w:eastAsia="zh-CN"/>
        </w:rPr>
        <w:drawing>
          <wp:inline distT="0" distB="0" distL="0" distR="0" wp14:anchorId="287F01E9" wp14:editId="23FCCA45">
            <wp:extent cx="7776210" cy="4844415"/>
            <wp:effectExtent l="0" t="0" r="0" b="0"/>
            <wp:docPr id="7" name="图片 7" descr="C:\Users\Admin\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图片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6210" cy="4844415"/>
                    </a:xfrm>
                    <a:prstGeom prst="rect">
                      <a:avLst/>
                    </a:prstGeom>
                    <a:noFill/>
                    <a:ln>
                      <a:noFill/>
                    </a:ln>
                  </pic:spPr>
                </pic:pic>
              </a:graphicData>
            </a:graphic>
          </wp:inline>
        </w:drawing>
      </w:r>
    </w:p>
    <w:p w14:paraId="594B329E" w14:textId="2F9B22FC" w:rsidR="00A77B3E" w:rsidRPr="00645347" w:rsidRDefault="003E73B5">
      <w:pPr>
        <w:spacing w:line="360" w:lineRule="auto"/>
        <w:jc w:val="both"/>
        <w:rPr>
          <w:lang w:eastAsia="zh-CN"/>
        </w:rPr>
      </w:pPr>
      <w:r>
        <w:rPr>
          <w:rFonts w:ascii="Book Antiqua" w:eastAsia="Book Antiqua" w:hAnsi="Book Antiqua" w:cs="Book Antiqua"/>
          <w:b/>
          <w:bCs/>
          <w:color w:val="000000"/>
        </w:rPr>
        <w:t xml:space="preserve">Figure 3 Specific bacterial taxa are associated with the prognosis of nivolumab therapy in hepatocellular carcinoma patients according to linear discriminant analysis effect size analysis. </w:t>
      </w:r>
      <w:r>
        <w:rPr>
          <w:rFonts w:ascii="Book Antiqua" w:eastAsia="Book Antiqua" w:hAnsi="Book Antiqua" w:cs="Book Antiqua"/>
          <w:color w:val="000000"/>
        </w:rPr>
        <w:t xml:space="preserve">A: Taxonomic cladogram based </w:t>
      </w:r>
      <w:r>
        <w:rPr>
          <w:rFonts w:ascii="Book Antiqua" w:eastAsia="Book Antiqua" w:hAnsi="Book Antiqua" w:cs="Book Antiqua"/>
          <w:color w:val="000000"/>
        </w:rPr>
        <w:lastRenderedPageBreak/>
        <w:t>on linear discriminant analysis (LDA) using effect size (</w:t>
      </w:r>
      <w:proofErr w:type="spellStart"/>
      <w:r>
        <w:rPr>
          <w:rFonts w:ascii="Book Antiqua" w:eastAsia="Book Antiqua" w:hAnsi="Book Antiqua" w:cs="Book Antiqua"/>
          <w:color w:val="000000"/>
        </w:rPr>
        <w:t>LEfSe</w:t>
      </w:r>
      <w:proofErr w:type="spellEnd"/>
      <w:r>
        <w:rPr>
          <w:rFonts w:ascii="Book Antiqua" w:eastAsia="Book Antiqua" w:hAnsi="Book Antiqua" w:cs="Book Antiqua"/>
          <w:color w:val="000000"/>
        </w:rPr>
        <w:t xml:space="preserve">) showing differences in fecal taxa. Dot size is proportional to the abundance of the taxon. Letters correspond to the following taxa: (a) </w:t>
      </w:r>
      <w:proofErr w:type="spellStart"/>
      <w:r>
        <w:rPr>
          <w:rFonts w:ascii="Book Antiqua" w:eastAsia="Book Antiqua" w:hAnsi="Book Antiqua" w:cs="Book Antiqua"/>
          <w:i/>
          <w:iCs/>
          <w:color w:val="000000"/>
        </w:rPr>
        <w:t>Marinifilaceae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i/>
          <w:iCs/>
          <w:color w:val="000000"/>
        </w:rPr>
        <w:t>Muribaculaceae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i/>
          <w:iCs/>
          <w:color w:val="000000"/>
        </w:rPr>
        <w:t xml:space="preserve"> 9</w:t>
      </w:r>
      <w:r>
        <w:rPr>
          <w:rFonts w:ascii="Book Antiqua" w:eastAsia="Book Antiqua" w:hAnsi="Book Antiqua" w:cs="Book Antiqua"/>
          <w:color w:val="000000"/>
        </w:rPr>
        <w:t xml:space="preserve">, (d) </w:t>
      </w:r>
      <w:proofErr w:type="spellStart"/>
      <w:r>
        <w:rPr>
          <w:rFonts w:ascii="Book Antiqua" w:eastAsia="Book Antiqua" w:hAnsi="Book Antiqua" w:cs="Book Antiqua"/>
          <w:i/>
          <w:iCs/>
          <w:color w:val="000000"/>
        </w:rPr>
        <w:t>Alistipes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i/>
          <w:iCs/>
          <w:color w:val="000000"/>
        </w:rPr>
        <w:t>Rikenellaceae</w:t>
      </w:r>
      <w:proofErr w:type="spellEnd"/>
      <w:r>
        <w:rPr>
          <w:rFonts w:ascii="Book Antiqua" w:eastAsia="Book Antiqua" w:hAnsi="Book Antiqua" w:cs="Book Antiqua"/>
          <w:color w:val="000000"/>
        </w:rPr>
        <w:t xml:space="preserve">, (f) the </w:t>
      </w:r>
      <w:proofErr w:type="spellStart"/>
      <w:r>
        <w:rPr>
          <w:rFonts w:ascii="Book Antiqua" w:eastAsia="Book Antiqua" w:hAnsi="Book Antiqua" w:cs="Book Antiqua"/>
          <w:i/>
          <w:iCs/>
          <w:color w:val="000000"/>
        </w:rPr>
        <w:t>Lachnospiraceae</w:t>
      </w:r>
      <w:proofErr w:type="spellEnd"/>
      <w:r>
        <w:rPr>
          <w:rFonts w:ascii="Book Antiqua" w:eastAsia="Book Antiqua" w:hAnsi="Book Antiqua" w:cs="Book Antiqua"/>
          <w:i/>
          <w:iCs/>
          <w:color w:val="000000"/>
        </w:rPr>
        <w:t xml:space="preserve"> NK4A136 </w:t>
      </w:r>
      <w:r>
        <w:rPr>
          <w:rFonts w:ascii="Book Antiqua" w:eastAsia="Book Antiqua" w:hAnsi="Book Antiqua" w:cs="Book Antiqua"/>
          <w:color w:val="000000"/>
        </w:rPr>
        <w:t xml:space="preserve">group, (g) </w:t>
      </w:r>
      <w:proofErr w:type="spellStart"/>
      <w:r>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(h) the </w:t>
      </w:r>
      <w:r>
        <w:rPr>
          <w:rFonts w:ascii="Book Antiqua" w:eastAsia="Book Antiqua" w:hAnsi="Book Antiqua" w:cs="Book Antiqua"/>
          <w:i/>
          <w:iCs/>
          <w:color w:val="000000"/>
        </w:rPr>
        <w:t>[</w:t>
      </w:r>
      <w:proofErr w:type="spellStart"/>
      <w:r>
        <w:rPr>
          <w:rFonts w:ascii="Book Antiqua" w:eastAsia="Book Antiqua" w:hAnsi="Book Antiqua" w:cs="Book Antiqua"/>
          <w:i/>
          <w:iCs/>
          <w:color w:val="000000"/>
        </w:rPr>
        <w:t>Ruminococcus</w:t>
      </w:r>
      <w:proofErr w:type="spellEnd"/>
      <w:r>
        <w:rPr>
          <w:rFonts w:ascii="Book Antiqua" w:eastAsia="Book Antiqua" w:hAnsi="Book Antiqua" w:cs="Book Antiqua"/>
          <w:i/>
          <w:iCs/>
          <w:color w:val="000000"/>
        </w:rPr>
        <w:t>]</w:t>
      </w:r>
      <w:proofErr w:type="spellStart"/>
      <w:r>
        <w:rPr>
          <w:rFonts w:ascii="Book Antiqua" w:eastAsia="Book Antiqua" w:hAnsi="Book Antiqua" w:cs="Book Antiqua"/>
          <w:i/>
          <w:iCs/>
          <w:color w:val="000000"/>
        </w:rPr>
        <w:t>gnavus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group,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Ruminiclostridium</w:t>
      </w:r>
      <w:proofErr w:type="spellEnd"/>
      <w:r>
        <w:rPr>
          <w:rFonts w:ascii="Book Antiqua" w:eastAsia="Book Antiqua" w:hAnsi="Book Antiqua" w:cs="Book Antiqua"/>
          <w:i/>
          <w:iCs/>
          <w:color w:val="000000"/>
        </w:rPr>
        <w:t xml:space="preserve"> 9</w:t>
      </w:r>
      <w:r>
        <w:rPr>
          <w:rFonts w:ascii="Book Antiqua" w:eastAsia="Book Antiqua" w:hAnsi="Book Antiqua" w:cs="Book Antiqua"/>
          <w:color w:val="000000"/>
        </w:rPr>
        <w:t xml:space="preserve">, (j) the </w:t>
      </w:r>
      <w:proofErr w:type="spellStart"/>
      <w:r>
        <w:rPr>
          <w:rFonts w:ascii="Book Antiqua" w:eastAsia="Book Antiqua" w:hAnsi="Book Antiqua" w:cs="Book Antiqua"/>
          <w:i/>
          <w:iCs/>
          <w:color w:val="000000"/>
        </w:rPr>
        <w:t>Ruminococcaceae</w:t>
      </w:r>
      <w:proofErr w:type="spellEnd"/>
      <w:r>
        <w:rPr>
          <w:rFonts w:ascii="Book Antiqua" w:eastAsia="Book Antiqua" w:hAnsi="Book Antiqua" w:cs="Book Antiqua"/>
          <w:i/>
          <w:iCs/>
          <w:color w:val="000000"/>
        </w:rPr>
        <w:t xml:space="preserve"> NK4A214 </w:t>
      </w:r>
      <w:r>
        <w:rPr>
          <w:rFonts w:ascii="Book Antiqua" w:eastAsia="Book Antiqua" w:hAnsi="Book Antiqua" w:cs="Book Antiqua"/>
          <w:color w:val="000000"/>
        </w:rPr>
        <w:t xml:space="preserve">group, (k) </w:t>
      </w:r>
      <w:proofErr w:type="spellStart"/>
      <w:r>
        <w:rPr>
          <w:rFonts w:ascii="Book Antiqua" w:eastAsia="Book Antiqua" w:hAnsi="Book Antiqua" w:cs="Book Antiqua"/>
          <w:i/>
          <w:iCs/>
          <w:color w:val="000000"/>
        </w:rPr>
        <w:t>Ruminococcaceae</w:t>
      </w:r>
      <w:proofErr w:type="spellEnd"/>
      <w:r>
        <w:rPr>
          <w:rFonts w:ascii="Book Antiqua" w:eastAsia="Book Antiqua" w:hAnsi="Book Antiqua" w:cs="Book Antiqua"/>
          <w:i/>
          <w:iCs/>
          <w:color w:val="000000"/>
        </w:rPr>
        <w:t xml:space="preserve"> UCG-002</w:t>
      </w:r>
      <w:r>
        <w:rPr>
          <w:rFonts w:ascii="Book Antiqua" w:eastAsia="Book Antiqua" w:hAnsi="Book Antiqua" w:cs="Book Antiqua"/>
          <w:color w:val="000000"/>
        </w:rPr>
        <w:t xml:space="preserve">, (l) </w:t>
      </w:r>
      <w:proofErr w:type="spellStart"/>
      <w:r>
        <w:rPr>
          <w:rFonts w:ascii="Book Antiqua" w:eastAsia="Book Antiqua" w:hAnsi="Book Antiqua" w:cs="Book Antiqua"/>
          <w:i/>
          <w:iCs/>
          <w:color w:val="000000"/>
        </w:rPr>
        <w:t>Ruminococcaceae</w:t>
      </w:r>
      <w:proofErr w:type="spellEnd"/>
      <w:r>
        <w:rPr>
          <w:rFonts w:ascii="Book Antiqua" w:eastAsia="Book Antiqua" w:hAnsi="Book Antiqua" w:cs="Book Antiqua"/>
          <w:i/>
          <w:iCs/>
          <w:color w:val="000000"/>
        </w:rPr>
        <w:t xml:space="preserve"> UCG-003</w:t>
      </w:r>
      <w:r>
        <w:rPr>
          <w:rFonts w:ascii="Book Antiqua" w:eastAsia="Book Antiqua" w:hAnsi="Book Antiqua" w:cs="Book Antiqua"/>
          <w:color w:val="000000"/>
        </w:rPr>
        <w:t xml:space="preserve">, (m) </w:t>
      </w:r>
      <w:proofErr w:type="spellStart"/>
      <w:r>
        <w:rPr>
          <w:rFonts w:ascii="Book Antiqua" w:eastAsia="Book Antiqua" w:hAnsi="Book Antiqua" w:cs="Book Antiqua"/>
          <w:i/>
          <w:iCs/>
          <w:color w:val="000000"/>
        </w:rPr>
        <w:t>Ruminococcaceae</w:t>
      </w:r>
      <w:proofErr w:type="spellEnd"/>
      <w:r>
        <w:rPr>
          <w:rFonts w:ascii="Book Antiqua" w:eastAsia="Book Antiqua" w:hAnsi="Book Antiqua" w:cs="Book Antiqua"/>
          <w:i/>
          <w:iCs/>
          <w:color w:val="000000"/>
        </w:rPr>
        <w:t xml:space="preserve"> UCG-005</w:t>
      </w:r>
      <w:r>
        <w:rPr>
          <w:rFonts w:ascii="Book Antiqua" w:eastAsia="Book Antiqua" w:hAnsi="Book Antiqua" w:cs="Book Antiqua"/>
          <w:color w:val="000000"/>
        </w:rPr>
        <w:t xml:space="preserve">, (n) </w:t>
      </w:r>
      <w:proofErr w:type="spellStart"/>
      <w:r>
        <w:rPr>
          <w:rFonts w:ascii="Book Antiqua" w:eastAsia="Book Antiqua" w:hAnsi="Book Antiqua" w:cs="Book Antiqua"/>
          <w:i/>
          <w:iCs/>
          <w:color w:val="000000"/>
        </w:rPr>
        <w:t>Ruminococcaceae</w:t>
      </w:r>
      <w:proofErr w:type="spellEnd"/>
      <w:r>
        <w:rPr>
          <w:rFonts w:ascii="Book Antiqua" w:eastAsia="Book Antiqua" w:hAnsi="Book Antiqua" w:cs="Book Antiqua"/>
          <w:i/>
          <w:iCs/>
          <w:color w:val="000000"/>
        </w:rPr>
        <w:t xml:space="preserve"> UCG-010</w:t>
      </w:r>
      <w:r>
        <w:rPr>
          <w:rFonts w:ascii="Book Antiqua" w:eastAsia="Book Antiqua" w:hAnsi="Book Antiqua" w:cs="Book Antiqua"/>
          <w:color w:val="000000"/>
        </w:rPr>
        <w:t xml:space="preserve">, (o) </w:t>
      </w:r>
      <w:proofErr w:type="spellStart"/>
      <w:r>
        <w:rPr>
          <w:rFonts w:ascii="Book Antiqua" w:eastAsia="Book Antiqua" w:hAnsi="Book Antiqua" w:cs="Book Antiqua"/>
          <w:i/>
          <w:iCs/>
          <w:color w:val="000000"/>
        </w:rPr>
        <w:t>Ruminococcaceae</w:t>
      </w:r>
      <w:proofErr w:type="spellEnd"/>
      <w:r>
        <w:rPr>
          <w:rFonts w:ascii="Book Antiqua" w:eastAsia="Book Antiqua" w:hAnsi="Book Antiqua" w:cs="Book Antiqua"/>
          <w:i/>
          <w:iCs/>
          <w:color w:val="000000"/>
        </w:rPr>
        <w:t xml:space="preserve"> UCG-014</w:t>
      </w:r>
      <w:r>
        <w:rPr>
          <w:rFonts w:ascii="Book Antiqua" w:eastAsia="Book Antiqua" w:hAnsi="Book Antiqua" w:cs="Book Antiqua"/>
          <w:color w:val="000000"/>
        </w:rPr>
        <w:t xml:space="preserve">, (p) </w:t>
      </w:r>
      <w:proofErr w:type="spellStart"/>
      <w:r>
        <w:rPr>
          <w:rFonts w:ascii="Book Antiqua" w:eastAsia="Book Antiqua" w:hAnsi="Book Antiqua" w:cs="Book Antiqua"/>
          <w:i/>
          <w:iCs/>
          <w:color w:val="000000"/>
        </w:rPr>
        <w:t>Ruminococcus</w:t>
      </w:r>
      <w:proofErr w:type="spellEnd"/>
      <w:r>
        <w:rPr>
          <w:rFonts w:ascii="Book Antiqua" w:eastAsia="Book Antiqua" w:hAnsi="Book Antiqua" w:cs="Book Antiqua"/>
          <w:i/>
          <w:iCs/>
          <w:color w:val="000000"/>
        </w:rPr>
        <w:t xml:space="preserve"> 1</w:t>
      </w:r>
      <w:r>
        <w:rPr>
          <w:rFonts w:ascii="Book Antiqua" w:eastAsia="Book Antiqua" w:hAnsi="Book Antiqua" w:cs="Book Antiqua"/>
          <w:color w:val="000000"/>
        </w:rPr>
        <w:t xml:space="preserve">, the (q) </w:t>
      </w:r>
      <w:r>
        <w:rPr>
          <w:rFonts w:ascii="Book Antiqua" w:eastAsia="Book Antiqua" w:hAnsi="Book Antiqua" w:cs="Book Antiqua"/>
          <w:i/>
          <w:iCs/>
          <w:color w:val="000000"/>
        </w:rPr>
        <w:t>[</w:t>
      </w:r>
      <w:proofErr w:type="spellStart"/>
      <w:r>
        <w:rPr>
          <w:rFonts w:ascii="Book Antiqua" w:eastAsia="Book Antiqua" w:hAnsi="Book Antiqua" w:cs="Book Antiqua"/>
          <w:i/>
          <w:iCs/>
          <w:color w:val="000000"/>
        </w:rPr>
        <w:t>Eubacterium</w:t>
      </w:r>
      <w:proofErr w:type="spellEnd"/>
      <w:r>
        <w:rPr>
          <w:rFonts w:ascii="Book Antiqua" w:eastAsia="Book Antiqua" w:hAnsi="Book Antiqua" w:cs="Book Antiqua"/>
          <w:i/>
          <w:iCs/>
          <w:color w:val="000000"/>
        </w:rPr>
        <w:t>]</w:t>
      </w:r>
      <w:proofErr w:type="spellStart"/>
      <w:r>
        <w:rPr>
          <w:rFonts w:ascii="Book Antiqua" w:eastAsia="Book Antiqua" w:hAnsi="Book Antiqua" w:cs="Book Antiqua"/>
          <w:i/>
          <w:iCs/>
          <w:color w:val="000000"/>
        </w:rPr>
        <w:t>coprostanoligenes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group, (r) </w:t>
      </w:r>
      <w:proofErr w:type="spellStart"/>
      <w:r>
        <w:rPr>
          <w:rFonts w:ascii="Book Antiqua" w:eastAsia="Book Antiqua" w:hAnsi="Book Antiqua" w:cs="Book Antiqua"/>
          <w:i/>
          <w:iCs/>
          <w:color w:val="000000"/>
        </w:rPr>
        <w:t>Dialister</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(s) </w:t>
      </w:r>
      <w:proofErr w:type="spellStart"/>
      <w:r>
        <w:rPr>
          <w:rFonts w:ascii="Book Antiqua" w:eastAsia="Book Antiqua" w:hAnsi="Book Antiqua" w:cs="Book Antiqua"/>
          <w:i/>
          <w:iCs/>
          <w:color w:val="000000"/>
        </w:rPr>
        <w:t>Megamonas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i/>
          <w:iCs/>
          <w:color w:val="000000"/>
        </w:rPr>
        <w:t>Mitsuokella</w:t>
      </w:r>
      <w:proofErr w:type="spellEnd"/>
      <w:r>
        <w:rPr>
          <w:rFonts w:ascii="Book Antiqua" w:eastAsia="Book Antiqua" w:hAnsi="Book Antiqua" w:cs="Book Antiqua"/>
          <w:color w:val="000000"/>
        </w:rPr>
        <w:t xml:space="preserve">, and (u) </w:t>
      </w:r>
      <w:r>
        <w:rPr>
          <w:rFonts w:ascii="Book Antiqua" w:eastAsia="Book Antiqua" w:hAnsi="Book Antiqua" w:cs="Book Antiqua"/>
          <w:i/>
          <w:iCs/>
          <w:color w:val="000000"/>
        </w:rPr>
        <w:t>Salmonella</w:t>
      </w:r>
      <w:r>
        <w:rPr>
          <w:rFonts w:ascii="Book Antiqua" w:eastAsia="Book Antiqua" w:hAnsi="Book Antiqua" w:cs="Book Antiqua"/>
          <w:color w:val="000000"/>
        </w:rPr>
        <w:t xml:space="preserve">; B: LDA scores for the differentially abundant taxa in the fecal microbiome of responders (yellow) and non-responders (blue). The length denotes the effect size for a </w:t>
      </w:r>
      <w:proofErr w:type="spellStart"/>
      <w:r>
        <w:rPr>
          <w:rFonts w:ascii="Book Antiqua" w:eastAsia="Book Antiqua" w:hAnsi="Book Antiqua" w:cs="Book Antiqua"/>
          <w:color w:val="000000"/>
        </w:rPr>
        <w:t>taxon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0.05 for the Kruskal-Wallis test; LDA score &gt; 3; C: Volcano plot showing several bacterial taxa specifically related to the prognosis of nivolumab therapy in hepatocellular carcinoma</w:t>
      </w:r>
      <w:r w:rsidR="00AC41B4">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t>
      </w:r>
      <w:r w:rsidR="00645347">
        <w:rPr>
          <w:rFonts w:ascii="Book Antiqua" w:eastAsia="Book Antiqua" w:hAnsi="Book Antiqua" w:cs="Book Antiqua"/>
          <w:color w:val="000000"/>
        </w:rPr>
        <w:t>LDA</w:t>
      </w:r>
      <w:r w:rsidR="00645347">
        <w:rPr>
          <w:rFonts w:ascii="Book Antiqua" w:hAnsi="Book Antiqua" w:cs="Book Antiqua" w:hint="eastAsia"/>
          <w:color w:val="000000"/>
          <w:lang w:eastAsia="zh-CN"/>
        </w:rPr>
        <w:t>:</w:t>
      </w:r>
      <w:r w:rsidR="00645347">
        <w:rPr>
          <w:rFonts w:ascii="Book Antiqua" w:hAnsi="Book Antiqua" w:cs="Book Antiqua"/>
          <w:color w:val="000000"/>
          <w:lang w:eastAsia="zh-CN"/>
        </w:rPr>
        <w:t xml:space="preserve"> </w:t>
      </w:r>
      <w:r w:rsidR="00645347" w:rsidRPr="00645347">
        <w:rPr>
          <w:rFonts w:ascii="Book Antiqua" w:eastAsia="Book Antiqua" w:hAnsi="Book Antiqua" w:cs="Book Antiqua"/>
          <w:caps/>
          <w:color w:val="000000"/>
        </w:rPr>
        <w:t>l</w:t>
      </w:r>
      <w:r w:rsidR="00645347">
        <w:rPr>
          <w:rFonts w:ascii="Book Antiqua" w:eastAsia="Book Antiqua" w:hAnsi="Book Antiqua" w:cs="Book Antiqua"/>
          <w:color w:val="000000"/>
        </w:rPr>
        <w:t>inear discriminant analysis.</w:t>
      </w:r>
    </w:p>
    <w:p w14:paraId="34E1B12A" w14:textId="0FC136A8" w:rsidR="00A77B3E" w:rsidRDefault="00A77B3E">
      <w:pPr>
        <w:spacing w:line="360" w:lineRule="auto"/>
        <w:jc w:val="both"/>
      </w:pPr>
    </w:p>
    <w:p w14:paraId="025A7751" w14:textId="6E72C092" w:rsidR="00BC2AF3" w:rsidRDefault="00BC2AF3" w:rsidP="001F1B24">
      <w:pPr>
        <w:spacing w:line="360" w:lineRule="auto"/>
      </w:pPr>
      <w:r>
        <w:rPr>
          <w:noProof/>
          <w:lang w:eastAsia="zh-CN"/>
        </w:rPr>
        <w:lastRenderedPageBreak/>
        <w:drawing>
          <wp:inline distT="0" distB="0" distL="0" distR="0" wp14:anchorId="0CBFB79E" wp14:editId="3F415D6A">
            <wp:extent cx="8134426" cy="572794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63436" cy="5748368"/>
                    </a:xfrm>
                    <a:prstGeom prst="rect">
                      <a:avLst/>
                    </a:prstGeom>
                    <a:noFill/>
                  </pic:spPr>
                </pic:pic>
              </a:graphicData>
            </a:graphic>
          </wp:inline>
        </w:drawing>
      </w:r>
    </w:p>
    <w:p w14:paraId="5E6AD386" w14:textId="10469C81" w:rsidR="00485B93" w:rsidRPr="007A3E12" w:rsidRDefault="003E73B5">
      <w:pPr>
        <w:spacing w:line="360" w:lineRule="auto"/>
        <w:jc w:val="both"/>
        <w:rPr>
          <w:rFonts w:ascii="Book Antiqua" w:hAnsi="Book Antiqua" w:cs="Book Antiqua" w:hint="eastAsia"/>
          <w:color w:val="000000"/>
          <w:lang w:eastAsia="zh-CN"/>
        </w:rPr>
        <w:sectPr w:rsidR="00485B93" w:rsidRPr="007A3E12" w:rsidSect="000C20AB">
          <w:pgSz w:w="15840" w:h="12240" w:orient="landscape"/>
          <w:pgMar w:top="1440" w:right="1797" w:bottom="1440" w:left="1797" w:header="720" w:footer="720" w:gutter="0"/>
          <w:cols w:space="720"/>
          <w:docGrid w:linePitch="360"/>
        </w:sectPr>
      </w:pPr>
      <w:r>
        <w:rPr>
          <w:rFonts w:ascii="Book Antiqua" w:eastAsia="Book Antiqua" w:hAnsi="Book Antiqua" w:cs="Book Antiqua"/>
          <w:b/>
          <w:bCs/>
          <w:color w:val="000000"/>
        </w:rPr>
        <w:lastRenderedPageBreak/>
        <w:t xml:space="preserve">Figure 4 Potential prognostic markers of the response to nivolumab therapy in hepatocellular carcinoma patients. </w:t>
      </w:r>
      <w:r>
        <w:rPr>
          <w:rFonts w:ascii="Book Antiqua" w:eastAsia="Book Antiqua" w:hAnsi="Book Antiqua" w:cs="Book Antiqua"/>
          <w:color w:val="000000"/>
        </w:rPr>
        <w:t xml:space="preserve">A and B: At the phylum level, a skewed </w:t>
      </w:r>
      <w:r>
        <w:rPr>
          <w:rFonts w:ascii="Book Antiqua" w:eastAsia="Book Antiqua" w:hAnsi="Book Antiqua" w:cs="Book Antiqua"/>
          <w:i/>
          <w:iCs/>
          <w:color w:val="000000"/>
        </w:rPr>
        <w:t>Firmicutes/Bacteroidetes</w:t>
      </w:r>
      <w:r>
        <w:rPr>
          <w:rFonts w:ascii="Book Antiqua" w:eastAsia="Book Antiqua" w:hAnsi="Book Antiqua" w:cs="Book Antiqua"/>
          <w:color w:val="000000"/>
        </w:rPr>
        <w:t xml:space="preserve"> ratio (&lt; 0.5 or &gt; 1.5) was more frequent in the non-responders than the responders (66.7% </w:t>
      </w:r>
      <w:r>
        <w:rPr>
          <w:rFonts w:ascii="Book Antiqua" w:eastAsia="Book Antiqua" w:hAnsi="Book Antiqua" w:cs="Book Antiqua"/>
          <w:i/>
          <w:iCs/>
          <w:color w:val="000000"/>
        </w:rPr>
        <w:t>vs</w:t>
      </w:r>
      <w:r>
        <w:rPr>
          <w:rFonts w:ascii="Book Antiqua" w:eastAsia="Book Antiqua" w:hAnsi="Book Antiqua" w:cs="Book Antiqua"/>
          <w:color w:val="000000"/>
        </w:rPr>
        <w:t xml:space="preserve"> 10.0%, </w:t>
      </w:r>
      <w:r>
        <w:rPr>
          <w:rFonts w:ascii="Book Antiqua" w:eastAsia="Book Antiqua" w:hAnsi="Book Antiqua" w:cs="Book Antiqua"/>
          <w:i/>
          <w:iCs/>
          <w:color w:val="000000"/>
        </w:rPr>
        <w:t>P</w:t>
      </w:r>
      <w:r>
        <w:rPr>
          <w:rFonts w:ascii="Book Antiqua" w:eastAsia="Book Antiqua" w:hAnsi="Book Antiqua" w:cs="Book Antiqua"/>
          <w:color w:val="000000"/>
        </w:rPr>
        <w:t xml:space="preserve"> = 0.018);</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 At the genus level, the ratio of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species to </w:t>
      </w:r>
      <w:proofErr w:type="spellStart"/>
      <w:r>
        <w:rPr>
          <w:rFonts w:ascii="Book Antiqua" w:eastAsia="Book Antiqua" w:hAnsi="Book Antiqua" w:cs="Book Antiqua"/>
          <w:i/>
          <w:iCs/>
          <w:color w:val="000000"/>
        </w:rPr>
        <w:t>Bacteroides</w:t>
      </w:r>
      <w:proofErr w:type="spellEnd"/>
      <w:r>
        <w:rPr>
          <w:rFonts w:ascii="Book Antiqua" w:eastAsia="Book Antiqua" w:hAnsi="Book Antiqua" w:cs="Book Antiqua"/>
          <w:color w:val="000000"/>
        </w:rPr>
        <w:t xml:space="preserve"> species (P/B ratio) was a prognostic marker of the response to nivolumab in hepatocellular carcinoma patients. The responders showed a significantly higher mean P/B ratio than the non-responders (22.99 </w:t>
      </w:r>
      <w:r>
        <w:rPr>
          <w:rFonts w:ascii="Book Antiqua" w:eastAsia="Book Antiqua" w:hAnsi="Book Antiqua" w:cs="Book Antiqua"/>
          <w:i/>
          <w:iCs/>
          <w:color w:val="000000"/>
        </w:rPr>
        <w:t>vs</w:t>
      </w:r>
      <w:r>
        <w:rPr>
          <w:rFonts w:ascii="Book Antiqua" w:eastAsia="Book Antiqua" w:hAnsi="Book Antiqua" w:cs="Book Antiqua"/>
          <w:color w:val="000000"/>
        </w:rPr>
        <w:t xml:space="preserve"> 2.312, </w:t>
      </w:r>
      <w:r>
        <w:rPr>
          <w:rFonts w:ascii="Book Antiqua" w:eastAsia="Book Antiqua" w:hAnsi="Book Antiqua" w:cs="Book Antiqua"/>
          <w:i/>
          <w:iCs/>
          <w:color w:val="000000"/>
        </w:rPr>
        <w:t>P</w:t>
      </w:r>
      <w:r w:rsidR="004758A6">
        <w:rPr>
          <w:rFonts w:ascii="Book Antiqua" w:eastAsia="Book Antiqua" w:hAnsi="Book Antiqua" w:cs="Book Antiqua"/>
          <w:color w:val="000000"/>
        </w:rPr>
        <w:t xml:space="preserve"> = 0.024). N</w:t>
      </w:r>
      <w:r>
        <w:rPr>
          <w:rFonts w:ascii="Book Antiqua" w:eastAsia="Book Antiqua" w:hAnsi="Book Antiqua" w:cs="Book Antiqua"/>
          <w:color w:val="000000"/>
        </w:rPr>
        <w:t>S</w:t>
      </w:r>
      <w:r w:rsidR="004758A6">
        <w:rPr>
          <w:rFonts w:ascii="Book Antiqua" w:eastAsia="Book Antiqua" w:hAnsi="Book Antiqua" w:cs="Book Antiqua"/>
          <w:color w:val="000000"/>
        </w:rPr>
        <w:t xml:space="preserve">: </w:t>
      </w:r>
      <w:r w:rsidRPr="004758A6">
        <w:rPr>
          <w:rFonts w:ascii="Book Antiqua" w:eastAsia="Book Antiqua" w:hAnsi="Book Antiqua" w:cs="Book Antiqua"/>
          <w:caps/>
          <w:color w:val="000000"/>
        </w:rPr>
        <w:t>s</w:t>
      </w:r>
      <w:r w:rsidR="007A3E12">
        <w:rPr>
          <w:rFonts w:ascii="Book Antiqua" w:eastAsia="Book Antiqua" w:hAnsi="Book Antiqua" w:cs="Book Antiqua"/>
          <w:color w:val="000000"/>
        </w:rPr>
        <w:t>tatistically non-specific</w:t>
      </w:r>
    </w:p>
    <w:p w14:paraId="7C8E2EB8" w14:textId="77777777" w:rsidR="00485B93" w:rsidRDefault="00485B93" w:rsidP="007A3E12">
      <w:pPr>
        <w:rPr>
          <w:rFonts w:ascii="Book Antiqua" w:hAnsi="Book Antiqua"/>
          <w:lang w:eastAsia="zh-CN"/>
        </w:rPr>
      </w:pPr>
      <w:bookmarkStart w:id="0" w:name="OLE_LINK1"/>
      <w:bookmarkStart w:id="1" w:name="OLE_LINK2"/>
    </w:p>
    <w:p w14:paraId="10A9CBFA" w14:textId="77777777" w:rsidR="00485B93" w:rsidRDefault="00485B93" w:rsidP="007A3E12">
      <w:pPr>
        <w:rPr>
          <w:rFonts w:ascii="Book Antiqua" w:hAnsi="Book Antiqua"/>
          <w:lang w:eastAsia="zh-CN"/>
        </w:rPr>
      </w:pPr>
    </w:p>
    <w:p w14:paraId="5D02EDCA" w14:textId="77777777" w:rsidR="00485B93" w:rsidRDefault="00485B93" w:rsidP="00485B93">
      <w:pPr>
        <w:jc w:val="center"/>
        <w:rPr>
          <w:rFonts w:ascii="Book Antiqua" w:hAnsi="Book Antiqua"/>
          <w:lang w:eastAsia="zh-CN"/>
        </w:rPr>
      </w:pPr>
    </w:p>
    <w:p w14:paraId="54695285" w14:textId="77777777" w:rsidR="00485B93" w:rsidRDefault="00485B93" w:rsidP="00485B93">
      <w:pPr>
        <w:jc w:val="center"/>
        <w:rPr>
          <w:rFonts w:ascii="Book Antiqua" w:hAnsi="Book Antiqua"/>
          <w:lang w:eastAsia="zh-CN"/>
        </w:rPr>
      </w:pPr>
      <w:r>
        <w:rPr>
          <w:rFonts w:ascii="Book Antiqua" w:hAnsi="Book Antiqua"/>
          <w:noProof/>
          <w:lang w:eastAsia="zh-CN"/>
        </w:rPr>
        <w:drawing>
          <wp:inline distT="0" distB="0" distL="0" distR="0" wp14:anchorId="33CEE724" wp14:editId="2386152A">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78FA6FC" w14:textId="77777777" w:rsidR="00485B93" w:rsidRDefault="00485B93" w:rsidP="00485B93">
      <w:pPr>
        <w:jc w:val="center"/>
        <w:rPr>
          <w:rFonts w:ascii="Book Antiqua" w:hAnsi="Book Antiqua"/>
          <w:lang w:eastAsia="zh-CN"/>
        </w:rPr>
      </w:pPr>
    </w:p>
    <w:p w14:paraId="0D05F641" w14:textId="77777777" w:rsidR="00485B93" w:rsidRPr="00763D22" w:rsidRDefault="00485B93" w:rsidP="00485B9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8C4D3E3" w14:textId="77777777" w:rsidR="00485B93" w:rsidRPr="00763D22" w:rsidRDefault="00485B93" w:rsidP="00485B9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2016EBF" w14:textId="77777777" w:rsidR="00485B93" w:rsidRPr="00763D22" w:rsidRDefault="00485B93" w:rsidP="00485B9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C0299EF" w14:textId="77777777" w:rsidR="00485B93" w:rsidRPr="00763D22" w:rsidRDefault="00485B93" w:rsidP="00485B9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AD84C1A" w14:textId="77777777" w:rsidR="00485B93" w:rsidRPr="00763D22" w:rsidRDefault="00485B93" w:rsidP="00485B9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6EC58F6" w14:textId="77777777" w:rsidR="00485B93" w:rsidRPr="00763D22" w:rsidRDefault="00485B93" w:rsidP="00485B9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41DB534" w14:textId="77777777" w:rsidR="00485B93" w:rsidRDefault="00485B93" w:rsidP="00485B93">
      <w:pPr>
        <w:jc w:val="center"/>
        <w:rPr>
          <w:rFonts w:ascii="Book Antiqua" w:hAnsi="Book Antiqua"/>
          <w:lang w:eastAsia="zh-CN"/>
        </w:rPr>
      </w:pPr>
    </w:p>
    <w:p w14:paraId="52BD4B94" w14:textId="77777777" w:rsidR="00485B93" w:rsidRDefault="00485B93" w:rsidP="00485B93">
      <w:pPr>
        <w:jc w:val="center"/>
        <w:rPr>
          <w:rFonts w:ascii="Book Antiqua" w:hAnsi="Book Antiqua"/>
          <w:lang w:eastAsia="zh-CN"/>
        </w:rPr>
      </w:pPr>
    </w:p>
    <w:p w14:paraId="430955BE" w14:textId="77777777" w:rsidR="00485B93" w:rsidRDefault="00485B93" w:rsidP="00485B93">
      <w:pPr>
        <w:jc w:val="center"/>
        <w:rPr>
          <w:rFonts w:ascii="Book Antiqua" w:hAnsi="Book Antiqua"/>
          <w:lang w:eastAsia="zh-CN"/>
        </w:rPr>
      </w:pPr>
    </w:p>
    <w:p w14:paraId="582B1FDB" w14:textId="77777777" w:rsidR="00485B93" w:rsidRDefault="00485B93" w:rsidP="00485B93">
      <w:pPr>
        <w:jc w:val="center"/>
        <w:rPr>
          <w:rFonts w:ascii="Book Antiqua" w:hAnsi="Book Antiqua"/>
          <w:lang w:eastAsia="zh-CN"/>
        </w:rPr>
      </w:pPr>
      <w:r>
        <w:rPr>
          <w:rFonts w:ascii="Book Antiqua" w:hAnsi="Book Antiqua"/>
          <w:noProof/>
          <w:lang w:eastAsia="zh-CN"/>
        </w:rPr>
        <w:drawing>
          <wp:inline distT="0" distB="0" distL="0" distR="0" wp14:anchorId="69E6B1DD" wp14:editId="524261AC">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971F97E" w14:textId="77777777" w:rsidR="00485B93" w:rsidRDefault="00485B93" w:rsidP="00485B93">
      <w:pPr>
        <w:jc w:val="center"/>
        <w:rPr>
          <w:rFonts w:ascii="Book Antiqua" w:hAnsi="Book Antiqua"/>
          <w:lang w:eastAsia="zh-CN"/>
        </w:rPr>
      </w:pPr>
    </w:p>
    <w:p w14:paraId="747CFD95" w14:textId="77777777" w:rsidR="00485B93" w:rsidRDefault="00485B93" w:rsidP="00485B93">
      <w:pPr>
        <w:jc w:val="center"/>
        <w:rPr>
          <w:rFonts w:ascii="Book Antiqua" w:hAnsi="Book Antiqua"/>
          <w:lang w:eastAsia="zh-CN"/>
        </w:rPr>
      </w:pPr>
    </w:p>
    <w:p w14:paraId="7A1940C6" w14:textId="77777777" w:rsidR="00485B93" w:rsidRDefault="00485B93" w:rsidP="00485B93">
      <w:pPr>
        <w:jc w:val="center"/>
        <w:rPr>
          <w:rFonts w:ascii="Book Antiqua" w:hAnsi="Book Antiqua"/>
          <w:lang w:eastAsia="zh-CN"/>
        </w:rPr>
      </w:pPr>
    </w:p>
    <w:p w14:paraId="35D6F1AD" w14:textId="77777777" w:rsidR="00485B93" w:rsidRDefault="00485B93" w:rsidP="00485B93">
      <w:pPr>
        <w:jc w:val="center"/>
        <w:rPr>
          <w:rFonts w:ascii="Book Antiqua" w:hAnsi="Book Antiqua"/>
          <w:lang w:eastAsia="zh-CN"/>
        </w:rPr>
      </w:pPr>
    </w:p>
    <w:p w14:paraId="12025C88" w14:textId="77777777" w:rsidR="00485B93" w:rsidRDefault="00485B93" w:rsidP="00485B93">
      <w:pPr>
        <w:jc w:val="center"/>
        <w:rPr>
          <w:rFonts w:ascii="Book Antiqua" w:hAnsi="Book Antiqua"/>
          <w:lang w:eastAsia="zh-CN"/>
        </w:rPr>
      </w:pPr>
    </w:p>
    <w:p w14:paraId="7FA48958" w14:textId="77777777" w:rsidR="00485B93" w:rsidRDefault="00485B93" w:rsidP="00485B93">
      <w:pPr>
        <w:jc w:val="center"/>
        <w:rPr>
          <w:rFonts w:ascii="Book Antiqua" w:hAnsi="Book Antiqua"/>
          <w:lang w:eastAsia="zh-CN"/>
        </w:rPr>
      </w:pPr>
    </w:p>
    <w:p w14:paraId="66360128" w14:textId="77777777" w:rsidR="00485B93" w:rsidRDefault="00485B93" w:rsidP="00485B93">
      <w:pPr>
        <w:jc w:val="center"/>
        <w:rPr>
          <w:rFonts w:ascii="Book Antiqua" w:hAnsi="Book Antiqua"/>
          <w:lang w:eastAsia="zh-CN"/>
        </w:rPr>
      </w:pPr>
    </w:p>
    <w:p w14:paraId="40D7560A" w14:textId="77777777" w:rsidR="00485B93" w:rsidRDefault="00485B93" w:rsidP="00485B93">
      <w:pPr>
        <w:jc w:val="center"/>
        <w:rPr>
          <w:rFonts w:ascii="Book Antiqua" w:hAnsi="Book Antiqua"/>
          <w:lang w:eastAsia="zh-CN"/>
        </w:rPr>
      </w:pPr>
    </w:p>
    <w:p w14:paraId="200C96CD" w14:textId="77777777" w:rsidR="00485B93" w:rsidRDefault="00485B93" w:rsidP="00485B93">
      <w:pPr>
        <w:jc w:val="center"/>
        <w:rPr>
          <w:rFonts w:ascii="Book Antiqua" w:hAnsi="Book Antiqua"/>
          <w:lang w:eastAsia="zh-CN"/>
        </w:rPr>
      </w:pPr>
    </w:p>
    <w:p w14:paraId="1E01EFCC" w14:textId="77777777" w:rsidR="00485B93" w:rsidRPr="00763D22" w:rsidRDefault="00485B93" w:rsidP="00485B93">
      <w:pPr>
        <w:jc w:val="right"/>
        <w:rPr>
          <w:rFonts w:ascii="Book Antiqua" w:hAnsi="Book Antiqua"/>
          <w:color w:val="000000" w:themeColor="text1"/>
          <w:lang w:eastAsia="zh-CN"/>
        </w:rPr>
      </w:pPr>
    </w:p>
    <w:p w14:paraId="7A1F54E0" w14:textId="664417F9" w:rsidR="00A77B3E" w:rsidRPr="007A3E12" w:rsidRDefault="00485B93" w:rsidP="007A3E1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Start w:id="2" w:name="_GoBack"/>
      <w:bookmarkEnd w:id="0"/>
      <w:bookmarkEnd w:id="1"/>
      <w:bookmarkEnd w:id="2"/>
    </w:p>
    <w:sectPr w:rsidR="00A77B3E" w:rsidRPr="007A3E12" w:rsidSect="00485B93">
      <w:pgSz w:w="12240" w:h="15840"/>
      <w:pgMar w:top="1797" w:right="1440" w:bottom="179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DCB2C4" w14:textId="77777777" w:rsidR="00771432" w:rsidRDefault="00771432" w:rsidP="00DF3F85">
      <w:r>
        <w:separator/>
      </w:r>
    </w:p>
  </w:endnote>
  <w:endnote w:type="continuationSeparator" w:id="0">
    <w:p w14:paraId="6BB8383C" w14:textId="77777777" w:rsidR="00771432" w:rsidRDefault="00771432" w:rsidP="00DF3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2842089"/>
      <w:docPartObj>
        <w:docPartGallery w:val="Page Numbers (Bottom of Page)"/>
        <w:docPartUnique/>
      </w:docPartObj>
    </w:sdtPr>
    <w:sdtEndPr/>
    <w:sdtContent>
      <w:sdt>
        <w:sdtPr>
          <w:id w:val="-945383124"/>
          <w:docPartObj>
            <w:docPartGallery w:val="Page Numbers (Top of Page)"/>
            <w:docPartUnique/>
          </w:docPartObj>
        </w:sdtPr>
        <w:sdtEndPr/>
        <w:sdtContent>
          <w:p w14:paraId="0150C85B" w14:textId="34ADF3F9" w:rsidR="00DF3F85" w:rsidRDefault="00DF3F85">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A3E12">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A3E12">
              <w:rPr>
                <w:b/>
                <w:bCs/>
                <w:noProof/>
              </w:rPr>
              <w:t>26</w:t>
            </w:r>
            <w:r>
              <w:rPr>
                <w:b/>
                <w:bCs/>
                <w:sz w:val="24"/>
                <w:szCs w:val="24"/>
              </w:rPr>
              <w:fldChar w:fldCharType="end"/>
            </w:r>
          </w:p>
        </w:sdtContent>
      </w:sdt>
    </w:sdtContent>
  </w:sdt>
  <w:p w14:paraId="6E2E9BA2" w14:textId="77777777" w:rsidR="00DF3F85" w:rsidRDefault="00DF3F8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11DCF" w14:textId="77777777" w:rsidR="00771432" w:rsidRDefault="00771432" w:rsidP="00DF3F85">
      <w:r>
        <w:separator/>
      </w:r>
    </w:p>
  </w:footnote>
  <w:footnote w:type="continuationSeparator" w:id="0">
    <w:p w14:paraId="6EE25CC7" w14:textId="77777777" w:rsidR="00771432" w:rsidRDefault="00771432" w:rsidP="00DF3F8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6A47"/>
    <w:rsid w:val="0009399C"/>
    <w:rsid w:val="00096694"/>
    <w:rsid w:val="00096CB5"/>
    <w:rsid w:val="000B29DB"/>
    <w:rsid w:val="000C20AB"/>
    <w:rsid w:val="000F1AB9"/>
    <w:rsid w:val="0013500D"/>
    <w:rsid w:val="00137800"/>
    <w:rsid w:val="001733DD"/>
    <w:rsid w:val="001A2E78"/>
    <w:rsid w:val="001B1E5F"/>
    <w:rsid w:val="001E511C"/>
    <w:rsid w:val="001F1B24"/>
    <w:rsid w:val="00207B81"/>
    <w:rsid w:val="00223A97"/>
    <w:rsid w:val="0025422B"/>
    <w:rsid w:val="003044C7"/>
    <w:rsid w:val="00327AA6"/>
    <w:rsid w:val="0034380F"/>
    <w:rsid w:val="00354CD2"/>
    <w:rsid w:val="00362132"/>
    <w:rsid w:val="00363E69"/>
    <w:rsid w:val="003E1A68"/>
    <w:rsid w:val="003E73B5"/>
    <w:rsid w:val="003F7CB4"/>
    <w:rsid w:val="004758A6"/>
    <w:rsid w:val="00485B93"/>
    <w:rsid w:val="00505424"/>
    <w:rsid w:val="0053189E"/>
    <w:rsid w:val="005A5BF1"/>
    <w:rsid w:val="005C6F6E"/>
    <w:rsid w:val="005D5B66"/>
    <w:rsid w:val="00645347"/>
    <w:rsid w:val="00646F4D"/>
    <w:rsid w:val="00657BB6"/>
    <w:rsid w:val="00714F27"/>
    <w:rsid w:val="00771432"/>
    <w:rsid w:val="00780AF1"/>
    <w:rsid w:val="007A3E12"/>
    <w:rsid w:val="007B49F1"/>
    <w:rsid w:val="007F25E9"/>
    <w:rsid w:val="0081115E"/>
    <w:rsid w:val="00876F88"/>
    <w:rsid w:val="008E2A8B"/>
    <w:rsid w:val="009227E9"/>
    <w:rsid w:val="00964AEA"/>
    <w:rsid w:val="00982B14"/>
    <w:rsid w:val="00986B9B"/>
    <w:rsid w:val="0099211B"/>
    <w:rsid w:val="009A0ABB"/>
    <w:rsid w:val="009A3DCD"/>
    <w:rsid w:val="009E2AA1"/>
    <w:rsid w:val="00A555E5"/>
    <w:rsid w:val="00A676DD"/>
    <w:rsid w:val="00A77B3E"/>
    <w:rsid w:val="00A850D7"/>
    <w:rsid w:val="00AA7AAB"/>
    <w:rsid w:val="00AB2306"/>
    <w:rsid w:val="00AC41B4"/>
    <w:rsid w:val="00B07354"/>
    <w:rsid w:val="00B1213B"/>
    <w:rsid w:val="00B17E5A"/>
    <w:rsid w:val="00B2424C"/>
    <w:rsid w:val="00B566CE"/>
    <w:rsid w:val="00B5794A"/>
    <w:rsid w:val="00B666AF"/>
    <w:rsid w:val="00B66A8F"/>
    <w:rsid w:val="00B80F42"/>
    <w:rsid w:val="00BA682C"/>
    <w:rsid w:val="00BC2AF3"/>
    <w:rsid w:val="00BE03E8"/>
    <w:rsid w:val="00BF1144"/>
    <w:rsid w:val="00BF1F18"/>
    <w:rsid w:val="00C429CC"/>
    <w:rsid w:val="00C50D45"/>
    <w:rsid w:val="00C51AA3"/>
    <w:rsid w:val="00C608EA"/>
    <w:rsid w:val="00C97404"/>
    <w:rsid w:val="00CA2A55"/>
    <w:rsid w:val="00CC78BF"/>
    <w:rsid w:val="00CE0997"/>
    <w:rsid w:val="00D27F15"/>
    <w:rsid w:val="00D73606"/>
    <w:rsid w:val="00D94BD7"/>
    <w:rsid w:val="00DB0FB3"/>
    <w:rsid w:val="00DF3F85"/>
    <w:rsid w:val="00E022FC"/>
    <w:rsid w:val="00EC53FF"/>
    <w:rsid w:val="00EF015E"/>
    <w:rsid w:val="00EF0F75"/>
    <w:rsid w:val="00F452A9"/>
    <w:rsid w:val="00FD2F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887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8E2A8B"/>
    <w:rPr>
      <w:sz w:val="21"/>
      <w:szCs w:val="21"/>
    </w:rPr>
  </w:style>
  <w:style w:type="paragraph" w:styleId="a4">
    <w:name w:val="annotation text"/>
    <w:basedOn w:val="a"/>
    <w:link w:val="Char"/>
    <w:semiHidden/>
    <w:unhideWhenUsed/>
    <w:rsid w:val="008E2A8B"/>
  </w:style>
  <w:style w:type="character" w:customStyle="1" w:styleId="Char">
    <w:name w:val="批注文字 Char"/>
    <w:basedOn w:val="a0"/>
    <w:link w:val="a4"/>
    <w:semiHidden/>
    <w:rsid w:val="008E2A8B"/>
    <w:rPr>
      <w:sz w:val="24"/>
      <w:szCs w:val="24"/>
    </w:rPr>
  </w:style>
  <w:style w:type="paragraph" w:styleId="a5">
    <w:name w:val="annotation subject"/>
    <w:basedOn w:val="a4"/>
    <w:next w:val="a4"/>
    <w:link w:val="Char0"/>
    <w:semiHidden/>
    <w:unhideWhenUsed/>
    <w:rsid w:val="008E2A8B"/>
    <w:rPr>
      <w:b/>
      <w:bCs/>
    </w:rPr>
  </w:style>
  <w:style w:type="character" w:customStyle="1" w:styleId="Char0">
    <w:name w:val="批注主题 Char"/>
    <w:basedOn w:val="Char"/>
    <w:link w:val="a5"/>
    <w:semiHidden/>
    <w:rsid w:val="008E2A8B"/>
    <w:rPr>
      <w:b/>
      <w:bCs/>
      <w:sz w:val="24"/>
      <w:szCs w:val="24"/>
    </w:rPr>
  </w:style>
  <w:style w:type="paragraph" w:styleId="a6">
    <w:name w:val="header"/>
    <w:basedOn w:val="a"/>
    <w:link w:val="Char1"/>
    <w:unhideWhenUsed/>
    <w:rsid w:val="00DF3F8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DF3F85"/>
    <w:rPr>
      <w:sz w:val="18"/>
      <w:szCs w:val="18"/>
    </w:rPr>
  </w:style>
  <w:style w:type="paragraph" w:styleId="a7">
    <w:name w:val="footer"/>
    <w:basedOn w:val="a"/>
    <w:link w:val="Char2"/>
    <w:uiPriority w:val="99"/>
    <w:unhideWhenUsed/>
    <w:rsid w:val="00DF3F85"/>
    <w:pPr>
      <w:tabs>
        <w:tab w:val="center" w:pos="4153"/>
        <w:tab w:val="right" w:pos="8306"/>
      </w:tabs>
      <w:snapToGrid w:val="0"/>
    </w:pPr>
    <w:rPr>
      <w:sz w:val="18"/>
      <w:szCs w:val="18"/>
    </w:rPr>
  </w:style>
  <w:style w:type="character" w:customStyle="1" w:styleId="Char2">
    <w:name w:val="页脚 Char"/>
    <w:basedOn w:val="a0"/>
    <w:link w:val="a7"/>
    <w:uiPriority w:val="99"/>
    <w:rsid w:val="00DF3F85"/>
    <w:rPr>
      <w:sz w:val="18"/>
      <w:szCs w:val="18"/>
    </w:rPr>
  </w:style>
  <w:style w:type="paragraph" w:styleId="a8">
    <w:name w:val="Balloon Text"/>
    <w:basedOn w:val="a"/>
    <w:link w:val="Char3"/>
    <w:rsid w:val="007B49F1"/>
    <w:rPr>
      <w:sz w:val="18"/>
      <w:szCs w:val="18"/>
    </w:rPr>
  </w:style>
  <w:style w:type="character" w:customStyle="1" w:styleId="Char3">
    <w:name w:val="批注框文本 Char"/>
    <w:basedOn w:val="a0"/>
    <w:link w:val="a8"/>
    <w:rsid w:val="007B49F1"/>
    <w:rPr>
      <w:sz w:val="18"/>
      <w:szCs w:val="18"/>
    </w:rPr>
  </w:style>
  <w:style w:type="character" w:styleId="a9">
    <w:name w:val="Hyperlink"/>
    <w:basedOn w:val="a0"/>
    <w:unhideWhenUsed/>
    <w:rsid w:val="00657BB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8E2A8B"/>
    <w:rPr>
      <w:sz w:val="21"/>
      <w:szCs w:val="21"/>
    </w:rPr>
  </w:style>
  <w:style w:type="paragraph" w:styleId="a4">
    <w:name w:val="annotation text"/>
    <w:basedOn w:val="a"/>
    <w:link w:val="Char"/>
    <w:semiHidden/>
    <w:unhideWhenUsed/>
    <w:rsid w:val="008E2A8B"/>
  </w:style>
  <w:style w:type="character" w:customStyle="1" w:styleId="Char">
    <w:name w:val="批注文字 Char"/>
    <w:basedOn w:val="a0"/>
    <w:link w:val="a4"/>
    <w:semiHidden/>
    <w:rsid w:val="008E2A8B"/>
    <w:rPr>
      <w:sz w:val="24"/>
      <w:szCs w:val="24"/>
    </w:rPr>
  </w:style>
  <w:style w:type="paragraph" w:styleId="a5">
    <w:name w:val="annotation subject"/>
    <w:basedOn w:val="a4"/>
    <w:next w:val="a4"/>
    <w:link w:val="Char0"/>
    <w:semiHidden/>
    <w:unhideWhenUsed/>
    <w:rsid w:val="008E2A8B"/>
    <w:rPr>
      <w:b/>
      <w:bCs/>
    </w:rPr>
  </w:style>
  <w:style w:type="character" w:customStyle="1" w:styleId="Char0">
    <w:name w:val="批注主题 Char"/>
    <w:basedOn w:val="Char"/>
    <w:link w:val="a5"/>
    <w:semiHidden/>
    <w:rsid w:val="008E2A8B"/>
    <w:rPr>
      <w:b/>
      <w:bCs/>
      <w:sz w:val="24"/>
      <w:szCs w:val="24"/>
    </w:rPr>
  </w:style>
  <w:style w:type="paragraph" w:styleId="a6">
    <w:name w:val="header"/>
    <w:basedOn w:val="a"/>
    <w:link w:val="Char1"/>
    <w:unhideWhenUsed/>
    <w:rsid w:val="00DF3F8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DF3F85"/>
    <w:rPr>
      <w:sz w:val="18"/>
      <w:szCs w:val="18"/>
    </w:rPr>
  </w:style>
  <w:style w:type="paragraph" w:styleId="a7">
    <w:name w:val="footer"/>
    <w:basedOn w:val="a"/>
    <w:link w:val="Char2"/>
    <w:uiPriority w:val="99"/>
    <w:unhideWhenUsed/>
    <w:rsid w:val="00DF3F85"/>
    <w:pPr>
      <w:tabs>
        <w:tab w:val="center" w:pos="4153"/>
        <w:tab w:val="right" w:pos="8306"/>
      </w:tabs>
      <w:snapToGrid w:val="0"/>
    </w:pPr>
    <w:rPr>
      <w:sz w:val="18"/>
      <w:szCs w:val="18"/>
    </w:rPr>
  </w:style>
  <w:style w:type="character" w:customStyle="1" w:styleId="Char2">
    <w:name w:val="页脚 Char"/>
    <w:basedOn w:val="a0"/>
    <w:link w:val="a7"/>
    <w:uiPriority w:val="99"/>
    <w:rsid w:val="00DF3F85"/>
    <w:rPr>
      <w:sz w:val="18"/>
      <w:szCs w:val="18"/>
    </w:rPr>
  </w:style>
  <w:style w:type="paragraph" w:styleId="a8">
    <w:name w:val="Balloon Text"/>
    <w:basedOn w:val="a"/>
    <w:link w:val="Char3"/>
    <w:rsid w:val="007B49F1"/>
    <w:rPr>
      <w:sz w:val="18"/>
      <w:szCs w:val="18"/>
    </w:rPr>
  </w:style>
  <w:style w:type="character" w:customStyle="1" w:styleId="Char3">
    <w:name w:val="批注框文本 Char"/>
    <w:basedOn w:val="a0"/>
    <w:link w:val="a8"/>
    <w:rsid w:val="007B49F1"/>
    <w:rPr>
      <w:sz w:val="18"/>
      <w:szCs w:val="18"/>
    </w:rPr>
  </w:style>
  <w:style w:type="character" w:styleId="a9">
    <w:name w:val="Hyperlink"/>
    <w:basedOn w:val="a0"/>
    <w:unhideWhenUsed/>
    <w:rsid w:val="00657B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uttenhower.sph.harvard.edu/galaxy/"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5285</Words>
  <Characters>30127</Characters>
  <Application>Microsoft Office Word</Application>
  <DocSecurity>0</DocSecurity>
  <Lines>251</Lines>
  <Paragraphs>70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liujihong2008@qq.con</cp:lastModifiedBy>
  <cp:revision>11</cp:revision>
  <dcterms:created xsi:type="dcterms:W3CDTF">2021-11-02T23:22:00Z</dcterms:created>
  <dcterms:modified xsi:type="dcterms:W3CDTF">2021-11-09T04:20:00Z</dcterms:modified>
</cp:coreProperties>
</file>