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BE839" w14:textId="77777777" w:rsidR="00A77B3E" w:rsidRDefault="007F2C33" w:rsidP="00B970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F688249" w14:textId="77777777" w:rsidR="00A77B3E" w:rsidRDefault="007F2C33" w:rsidP="00B970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67958</w:t>
      </w:r>
    </w:p>
    <w:p w14:paraId="475B1179" w14:textId="77777777" w:rsidR="00A77B3E" w:rsidRDefault="007F2C33" w:rsidP="00B970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BA1877" w14:textId="77777777" w:rsidR="00A77B3E" w:rsidRDefault="00A77B3E" w:rsidP="00B9705D">
      <w:pPr>
        <w:spacing w:line="360" w:lineRule="auto"/>
        <w:jc w:val="both"/>
      </w:pPr>
    </w:p>
    <w:p w14:paraId="7D4947F9" w14:textId="77777777" w:rsidR="00A77B3E" w:rsidRDefault="007F2C33" w:rsidP="00B9705D">
      <w:pPr>
        <w:spacing w:line="360" w:lineRule="auto"/>
        <w:jc w:val="both"/>
      </w:pPr>
      <w:r>
        <w:rPr>
          <w:rFonts w:ascii="Book Antiqua" w:eastAsia="Book Antiqua" w:hAnsi="Book Antiqua" w:cs="Book Antiqua"/>
          <w:b/>
          <w:i/>
          <w:color w:val="000000"/>
        </w:rPr>
        <w:t>Retrospective Study</w:t>
      </w:r>
    </w:p>
    <w:p w14:paraId="7F5B04E1" w14:textId="77777777" w:rsidR="00A77B3E" w:rsidRDefault="007F2C33" w:rsidP="00B9705D">
      <w:pPr>
        <w:spacing w:line="360" w:lineRule="auto"/>
        <w:jc w:val="both"/>
      </w:pPr>
      <w:bookmarkStart w:id="0" w:name="OLE_LINK709"/>
      <w:bookmarkStart w:id="1" w:name="OLE_LINK710"/>
      <w:r>
        <w:rPr>
          <w:rFonts w:ascii="Book Antiqua" w:eastAsia="Book Antiqua" w:hAnsi="Book Antiqua" w:cs="Book Antiqua"/>
          <w:b/>
          <w:bCs/>
          <w:color w:val="000000"/>
        </w:rPr>
        <w:t>New anti-reflux plastic stent to reduce the risk of stent-related cholangitis in the treatment of biliary strictures</w:t>
      </w:r>
    </w:p>
    <w:bookmarkEnd w:id="0"/>
    <w:bookmarkEnd w:id="1"/>
    <w:p w14:paraId="61D71B74" w14:textId="77777777" w:rsidR="00A77B3E" w:rsidRDefault="00A77B3E" w:rsidP="00B9705D">
      <w:pPr>
        <w:spacing w:line="360" w:lineRule="auto"/>
        <w:jc w:val="both"/>
      </w:pPr>
    </w:p>
    <w:p w14:paraId="14452AC1" w14:textId="77777777" w:rsidR="00A77B3E" w:rsidRDefault="008E64F3" w:rsidP="00B9705D">
      <w:pPr>
        <w:spacing w:line="360" w:lineRule="auto"/>
        <w:jc w:val="both"/>
      </w:pPr>
      <w:r>
        <w:rPr>
          <w:rFonts w:ascii="Book Antiqua" w:eastAsia="Book Antiqua" w:hAnsi="Book Antiqua" w:cs="Book Antiqua"/>
          <w:color w:val="000000"/>
        </w:rPr>
        <w:t xml:space="preserve">Yuan </w:t>
      </w:r>
      <w:r>
        <w:rPr>
          <w:rFonts w:ascii="Book Antiqua" w:hAnsi="Book Antiqua" w:cs="Book Antiqua" w:hint="eastAsia"/>
          <w:color w:val="000000"/>
          <w:lang w:eastAsia="zh-CN"/>
        </w:rPr>
        <w:t xml:space="preserve">XL </w:t>
      </w:r>
      <w:r w:rsidRPr="008E64F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2" w:name="OLE_LINK711"/>
      <w:bookmarkStart w:id="3" w:name="OLE_LINK712"/>
      <w:r w:rsidR="007F2C33">
        <w:rPr>
          <w:rFonts w:ascii="Book Antiqua" w:eastAsia="Book Antiqua" w:hAnsi="Book Antiqua" w:cs="Book Antiqua"/>
          <w:color w:val="000000"/>
        </w:rPr>
        <w:t>New anti-reflux plastic stent</w:t>
      </w:r>
      <w:bookmarkEnd w:id="2"/>
      <w:bookmarkEnd w:id="3"/>
    </w:p>
    <w:p w14:paraId="3C85DA06" w14:textId="77777777" w:rsidR="00A77B3E" w:rsidRDefault="00A77B3E" w:rsidP="00B9705D">
      <w:pPr>
        <w:spacing w:line="360" w:lineRule="auto"/>
        <w:jc w:val="both"/>
      </w:pPr>
    </w:p>
    <w:p w14:paraId="7609DC96" w14:textId="77777777" w:rsidR="00A77B3E" w:rsidRDefault="007F2C33" w:rsidP="00B9705D">
      <w:pPr>
        <w:spacing w:line="360" w:lineRule="auto"/>
        <w:jc w:val="both"/>
      </w:pPr>
      <w:r>
        <w:rPr>
          <w:rFonts w:ascii="Book Antiqua" w:eastAsia="Book Antiqua" w:hAnsi="Book Antiqua" w:cs="Book Antiqua"/>
          <w:color w:val="000000"/>
        </w:rPr>
        <w:t>Xiang-Lei Yuan, Lian-Song Ye, Xian-Hui Zeng, Qing-Hua Tan, Yi Mou, Wei Liu, Chun-Cheng Wu, Hang Yang, Bing Hu</w:t>
      </w:r>
    </w:p>
    <w:p w14:paraId="73606079" w14:textId="77777777" w:rsidR="00A77B3E" w:rsidRDefault="00A77B3E" w:rsidP="00B9705D">
      <w:pPr>
        <w:spacing w:line="360" w:lineRule="auto"/>
        <w:jc w:val="both"/>
      </w:pPr>
    </w:p>
    <w:p w14:paraId="5361F712" w14:textId="77777777" w:rsidR="00A77B3E" w:rsidRDefault="007F2C33" w:rsidP="00B9705D">
      <w:pPr>
        <w:spacing w:line="360" w:lineRule="auto"/>
        <w:jc w:val="both"/>
      </w:pPr>
      <w:r>
        <w:rPr>
          <w:rFonts w:ascii="Book Antiqua" w:eastAsia="Book Antiqua" w:hAnsi="Book Antiqua" w:cs="Book Antiqua"/>
          <w:b/>
          <w:bCs/>
          <w:color w:val="000000"/>
        </w:rPr>
        <w:t xml:space="preserve">Xiang-Lei Yuan, Lian-Song Ye, Xian-Hui Zeng, Qing-Hua Tan, Yi Mou, Wei Liu, Chun-Cheng Wu, Hang Yang, Bing Hu, </w:t>
      </w:r>
      <w:r>
        <w:rPr>
          <w:rFonts w:ascii="Book Antiqua" w:eastAsia="Book Antiqua" w:hAnsi="Book Antiqua" w:cs="Book Antiqua"/>
          <w:color w:val="000000"/>
        </w:rPr>
        <w:t>Department of Gastroenterology, West China Hospital, Sichuan University, Chengdu 610041, Sichuan Province, China</w:t>
      </w:r>
    </w:p>
    <w:p w14:paraId="705043C7" w14:textId="77777777" w:rsidR="00A77B3E" w:rsidRDefault="00A77B3E" w:rsidP="00B9705D">
      <w:pPr>
        <w:spacing w:line="360" w:lineRule="auto"/>
        <w:jc w:val="both"/>
      </w:pPr>
    </w:p>
    <w:p w14:paraId="52452C1E" w14:textId="7B2A974F" w:rsidR="00A77B3E" w:rsidRDefault="007F2C33" w:rsidP="00B9705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Hu B, Yuan XL</w:t>
      </w:r>
      <w:r w:rsidR="0036522C">
        <w:rPr>
          <w:rFonts w:ascii="Book Antiqua" w:eastAsia="Book Antiqua" w:hAnsi="Book Antiqua" w:cs="Book Antiqua"/>
          <w:color w:val="000000"/>
        </w:rPr>
        <w:t>,</w:t>
      </w:r>
      <w:r>
        <w:rPr>
          <w:rFonts w:ascii="Book Antiqua" w:eastAsia="Book Antiqua" w:hAnsi="Book Antiqua" w:cs="Book Antiqua"/>
          <w:color w:val="000000"/>
        </w:rPr>
        <w:t xml:space="preserve"> and Ye LS designed this study; Yuan XL, Ye LS, and Zeng XH analyzed and interpreted the data; Yuan XL, Ye LS, and Zeng XH drafted the manuscript; Hu B, Tan QH, Mou Y, Liu W, Wu CC</w:t>
      </w:r>
      <w:r w:rsidR="0036522C">
        <w:rPr>
          <w:rFonts w:ascii="Book Antiqua" w:eastAsia="Book Antiqua" w:hAnsi="Book Antiqua" w:cs="Book Antiqua"/>
          <w:color w:val="000000"/>
        </w:rPr>
        <w:t>,</w:t>
      </w:r>
      <w:r>
        <w:rPr>
          <w:rFonts w:ascii="Book Antiqua" w:eastAsia="Book Antiqua" w:hAnsi="Book Antiqua" w:cs="Book Antiqua"/>
          <w:color w:val="000000"/>
        </w:rPr>
        <w:t xml:space="preserve"> and Yang H critical</w:t>
      </w:r>
      <w:r w:rsidR="0036522C">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36522C">
        <w:rPr>
          <w:rFonts w:ascii="Book Antiqua" w:eastAsia="Book Antiqua" w:hAnsi="Book Antiqua" w:cs="Book Antiqua"/>
          <w:color w:val="000000"/>
        </w:rPr>
        <w:t>ed</w:t>
      </w:r>
      <w:r>
        <w:rPr>
          <w:rFonts w:ascii="Book Antiqua" w:eastAsia="Book Antiqua" w:hAnsi="Book Antiqua" w:cs="Book Antiqua"/>
          <w:color w:val="000000"/>
        </w:rPr>
        <w:t xml:space="preserve"> the manuscript.</w:t>
      </w:r>
    </w:p>
    <w:p w14:paraId="42BA5A6F" w14:textId="77777777" w:rsidR="00A77B3E" w:rsidRDefault="00A77B3E" w:rsidP="00B9705D">
      <w:pPr>
        <w:spacing w:line="360" w:lineRule="auto"/>
        <w:jc w:val="both"/>
      </w:pPr>
    </w:p>
    <w:p w14:paraId="022C1E82" w14:textId="2D440ACE" w:rsidR="00A77B3E" w:rsidRDefault="007F2C33" w:rsidP="00B9705D">
      <w:pPr>
        <w:spacing w:line="360" w:lineRule="auto"/>
        <w:jc w:val="both"/>
      </w:pPr>
      <w:r>
        <w:rPr>
          <w:rFonts w:ascii="Book Antiqua" w:eastAsia="Book Antiqua" w:hAnsi="Book Antiqua" w:cs="Book Antiqua"/>
          <w:b/>
          <w:bCs/>
          <w:color w:val="000000"/>
        </w:rPr>
        <w:t xml:space="preserve">Corresponding author: Bing Hu, MD, Professor, </w:t>
      </w:r>
      <w:r>
        <w:rPr>
          <w:rFonts w:ascii="Book Antiqua" w:eastAsia="Book Antiqua" w:hAnsi="Book Antiqua" w:cs="Book Antiqua"/>
          <w:color w:val="000000"/>
        </w:rPr>
        <w:t>Department of Gastroenterology, West China Hospital,</w:t>
      </w:r>
      <w:r w:rsidR="00690698">
        <w:rPr>
          <w:rFonts w:ascii="Book Antiqua" w:eastAsia="Book Antiqua" w:hAnsi="Book Antiqua" w:cs="Book Antiqua"/>
          <w:color w:val="000000"/>
        </w:rPr>
        <w:t xml:space="preserve"> Sichuan University, No. 37 Guox</w:t>
      </w:r>
      <w:r>
        <w:rPr>
          <w:rFonts w:ascii="Book Antiqua" w:eastAsia="Book Antiqua" w:hAnsi="Book Antiqua" w:cs="Book Antiqua"/>
          <w:color w:val="000000"/>
        </w:rPr>
        <w:t>ue Alley, Chengdu 610041, Sichuan Province, China. hubingnj@163.com</w:t>
      </w:r>
    </w:p>
    <w:p w14:paraId="719B0DF5" w14:textId="77777777" w:rsidR="00A77B3E" w:rsidRDefault="00A77B3E" w:rsidP="00B9705D">
      <w:pPr>
        <w:spacing w:line="360" w:lineRule="auto"/>
        <w:jc w:val="both"/>
      </w:pPr>
    </w:p>
    <w:p w14:paraId="64735AB4" w14:textId="77777777" w:rsidR="00A77B3E" w:rsidRDefault="007F2C33" w:rsidP="00B970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2021</w:t>
      </w:r>
    </w:p>
    <w:p w14:paraId="386B8F1F" w14:textId="77777777" w:rsidR="00A77B3E" w:rsidRDefault="007F2C33" w:rsidP="00B970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8, 2021</w:t>
      </w:r>
    </w:p>
    <w:p w14:paraId="115E690A" w14:textId="7480C1B6" w:rsidR="00A77B3E" w:rsidRDefault="007F2C33" w:rsidP="00B9705D">
      <w:pPr>
        <w:spacing w:line="360" w:lineRule="auto"/>
        <w:jc w:val="both"/>
      </w:pPr>
      <w:r>
        <w:rPr>
          <w:rFonts w:ascii="Book Antiqua" w:eastAsia="Book Antiqua" w:hAnsi="Book Antiqua" w:cs="Book Antiqua"/>
          <w:b/>
          <w:bCs/>
          <w:color w:val="000000"/>
        </w:rPr>
        <w:t xml:space="preserve">Accepted: </w:t>
      </w:r>
      <w:r w:rsidR="00A94D1B" w:rsidRPr="00A94D1B">
        <w:rPr>
          <w:rFonts w:ascii="Book Antiqua" w:eastAsia="Book Antiqua" w:hAnsi="Book Antiqua" w:cs="Book Antiqua"/>
          <w:bCs/>
          <w:color w:val="000000"/>
        </w:rPr>
        <w:t>July 7, 2021</w:t>
      </w:r>
    </w:p>
    <w:p w14:paraId="6DF050C3" w14:textId="77777777" w:rsidR="00A77B3E" w:rsidRDefault="007F2C33" w:rsidP="00B9705D">
      <w:pPr>
        <w:spacing w:line="360" w:lineRule="auto"/>
        <w:jc w:val="both"/>
      </w:pPr>
      <w:r>
        <w:rPr>
          <w:rFonts w:ascii="Book Antiqua" w:eastAsia="Book Antiqua" w:hAnsi="Book Antiqua" w:cs="Book Antiqua"/>
          <w:b/>
          <w:bCs/>
          <w:color w:val="000000"/>
        </w:rPr>
        <w:t xml:space="preserve">Published online: </w:t>
      </w:r>
    </w:p>
    <w:p w14:paraId="37574885" w14:textId="77777777" w:rsidR="00A77B3E" w:rsidRDefault="00A77B3E" w:rsidP="00B9705D">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A85DD93" w14:textId="77777777" w:rsidR="00A77B3E" w:rsidRDefault="007F2C33" w:rsidP="00B9705D">
      <w:pPr>
        <w:spacing w:line="360" w:lineRule="auto"/>
        <w:jc w:val="both"/>
      </w:pPr>
      <w:r>
        <w:rPr>
          <w:rFonts w:ascii="Book Antiqua" w:eastAsia="Book Antiqua" w:hAnsi="Book Antiqua" w:cs="Book Antiqua"/>
          <w:b/>
          <w:color w:val="000000"/>
        </w:rPr>
        <w:lastRenderedPageBreak/>
        <w:t>Abstract</w:t>
      </w:r>
    </w:p>
    <w:p w14:paraId="6C922046" w14:textId="77777777" w:rsidR="00A77B3E" w:rsidRDefault="007F2C33" w:rsidP="00B9705D">
      <w:pPr>
        <w:spacing w:line="360" w:lineRule="auto"/>
        <w:jc w:val="both"/>
      </w:pPr>
      <w:r>
        <w:rPr>
          <w:rFonts w:ascii="Book Antiqua" w:eastAsia="Book Antiqua" w:hAnsi="Book Antiqua" w:cs="Book Antiqua"/>
          <w:color w:val="000000"/>
        </w:rPr>
        <w:t>BACKGROUND</w:t>
      </w:r>
    </w:p>
    <w:p w14:paraId="3CED0F65" w14:textId="72C4F293" w:rsidR="00A77B3E" w:rsidRDefault="007F2C33" w:rsidP="00B9705D">
      <w:pPr>
        <w:spacing w:line="360" w:lineRule="auto"/>
        <w:jc w:val="both"/>
      </w:pPr>
      <w:r>
        <w:rPr>
          <w:rFonts w:ascii="Book Antiqua" w:eastAsia="Book Antiqua" w:hAnsi="Book Antiqua" w:cs="Book Antiqua"/>
          <w:color w:val="000000"/>
        </w:rPr>
        <w:t xml:space="preserve">There </w:t>
      </w:r>
      <w:r w:rsidR="0036522C">
        <w:rPr>
          <w:rFonts w:ascii="Book Antiqua" w:eastAsia="Book Antiqua" w:hAnsi="Book Antiqua" w:cs="Book Antiqua"/>
          <w:color w:val="000000"/>
        </w:rPr>
        <w:t>is little</w:t>
      </w:r>
      <w:r>
        <w:rPr>
          <w:rFonts w:ascii="Book Antiqua" w:eastAsia="Book Antiqua" w:hAnsi="Book Antiqua" w:cs="Book Antiqua"/>
          <w:color w:val="000000"/>
        </w:rPr>
        <w:t xml:space="preserve"> data</w:t>
      </w:r>
      <w:r w:rsidR="0036522C">
        <w:rPr>
          <w:rFonts w:ascii="Book Antiqua" w:eastAsia="Book Antiqua" w:hAnsi="Book Antiqua" w:cs="Book Antiqua"/>
          <w:color w:val="000000"/>
        </w:rPr>
        <w:t xml:space="preserve"> available</w:t>
      </w:r>
      <w:r>
        <w:rPr>
          <w:rFonts w:ascii="Book Antiqua" w:eastAsia="Book Antiqua" w:hAnsi="Book Antiqua" w:cs="Book Antiqua"/>
          <w:color w:val="000000"/>
        </w:rPr>
        <w:t xml:space="preserve"> on the role of new anti-reflux plastic stents (ARPSs). </w:t>
      </w:r>
    </w:p>
    <w:p w14:paraId="6D747A2B" w14:textId="77777777" w:rsidR="00A77B3E" w:rsidRDefault="00A77B3E" w:rsidP="00B9705D">
      <w:pPr>
        <w:spacing w:line="360" w:lineRule="auto"/>
        <w:jc w:val="both"/>
      </w:pPr>
    </w:p>
    <w:p w14:paraId="287FB3B7" w14:textId="77777777" w:rsidR="00A77B3E" w:rsidRDefault="007F2C33" w:rsidP="00B9705D">
      <w:pPr>
        <w:spacing w:line="360" w:lineRule="auto"/>
        <w:jc w:val="both"/>
      </w:pPr>
      <w:r>
        <w:rPr>
          <w:rFonts w:ascii="Book Antiqua" w:eastAsia="Book Antiqua" w:hAnsi="Book Antiqua" w:cs="Book Antiqua"/>
          <w:color w:val="000000"/>
        </w:rPr>
        <w:t>AIM</w:t>
      </w:r>
    </w:p>
    <w:p w14:paraId="461E4321" w14:textId="77777777" w:rsidR="00A77B3E" w:rsidRDefault="007F2C33" w:rsidP="00B9705D">
      <w:pPr>
        <w:spacing w:line="360" w:lineRule="auto"/>
        <w:jc w:val="both"/>
      </w:pPr>
      <w:r>
        <w:rPr>
          <w:rFonts w:ascii="Book Antiqua" w:eastAsia="Book Antiqua" w:hAnsi="Book Antiqua" w:cs="Book Antiqua"/>
          <w:color w:val="000000"/>
        </w:rPr>
        <w:t>To compare the use of ARPSs with that of traditional plastic stents (TPSs) for patients with biliary strictures.</w:t>
      </w:r>
    </w:p>
    <w:p w14:paraId="1202260D" w14:textId="77777777" w:rsidR="00A77B3E" w:rsidRDefault="00A77B3E" w:rsidP="00B9705D">
      <w:pPr>
        <w:spacing w:line="360" w:lineRule="auto"/>
        <w:jc w:val="both"/>
      </w:pPr>
    </w:p>
    <w:p w14:paraId="777A8B20" w14:textId="77777777" w:rsidR="00A77B3E" w:rsidRDefault="007F2C33" w:rsidP="00B9705D">
      <w:pPr>
        <w:spacing w:line="360" w:lineRule="auto"/>
        <w:jc w:val="both"/>
      </w:pPr>
      <w:r>
        <w:rPr>
          <w:rFonts w:ascii="Book Antiqua" w:eastAsia="Book Antiqua" w:hAnsi="Book Antiqua" w:cs="Book Antiqua"/>
          <w:color w:val="000000"/>
        </w:rPr>
        <w:t>METHODS</w:t>
      </w:r>
    </w:p>
    <w:p w14:paraId="333832A0" w14:textId="70F104CE" w:rsidR="00A77B3E" w:rsidRDefault="007F2C33" w:rsidP="00B9705D">
      <w:pPr>
        <w:spacing w:line="360" w:lineRule="auto"/>
        <w:jc w:val="both"/>
      </w:pPr>
      <w:r>
        <w:rPr>
          <w:rFonts w:ascii="Book Antiqua" w:eastAsia="Book Antiqua" w:hAnsi="Book Antiqua" w:cs="Book Antiqua"/>
          <w:color w:val="000000"/>
        </w:rPr>
        <w:t>Consecutive patients with biliary strictures who underwent first endoscopic biliary stenting between February 2016 and May 2019 were included. The onset of stent-related cholangitis, stent patency, clinical success</w:t>
      </w:r>
      <w:r w:rsidR="0036522C">
        <w:rPr>
          <w:rFonts w:ascii="Book Antiqua" w:eastAsia="Book Antiqua" w:hAnsi="Book Antiqua" w:cs="Book Antiqua"/>
          <w:color w:val="000000"/>
        </w:rPr>
        <w:t>,</w:t>
      </w:r>
      <w:r>
        <w:rPr>
          <w:rFonts w:ascii="Book Antiqua" w:eastAsia="Book Antiqua" w:hAnsi="Book Antiqua" w:cs="Book Antiqua"/>
          <w:color w:val="000000"/>
        </w:rPr>
        <w:t xml:space="preserve"> and other adverse events were evaluated.</w:t>
      </w:r>
    </w:p>
    <w:p w14:paraId="0DFB0277" w14:textId="77777777" w:rsidR="00A77B3E" w:rsidRDefault="00A77B3E" w:rsidP="00B9705D">
      <w:pPr>
        <w:spacing w:line="360" w:lineRule="auto"/>
        <w:jc w:val="both"/>
      </w:pPr>
    </w:p>
    <w:p w14:paraId="719A36A4" w14:textId="77777777" w:rsidR="00A77B3E" w:rsidRDefault="007F2C33" w:rsidP="00B9705D">
      <w:pPr>
        <w:spacing w:line="360" w:lineRule="auto"/>
        <w:jc w:val="both"/>
      </w:pPr>
      <w:r>
        <w:rPr>
          <w:rFonts w:ascii="Book Antiqua" w:eastAsia="Book Antiqua" w:hAnsi="Book Antiqua" w:cs="Book Antiqua"/>
          <w:color w:val="000000"/>
        </w:rPr>
        <w:t>RESULTS</w:t>
      </w:r>
    </w:p>
    <w:p w14:paraId="442F203F" w14:textId="089AE997" w:rsidR="00A77B3E" w:rsidRDefault="007F2C33" w:rsidP="00B9705D">
      <w:pPr>
        <w:spacing w:line="360" w:lineRule="auto"/>
        <w:jc w:val="both"/>
      </w:pPr>
      <w:r>
        <w:rPr>
          <w:rFonts w:ascii="Book Antiqua" w:eastAsia="Book Antiqua" w:hAnsi="Book Antiqua" w:cs="Book Antiqua"/>
          <w:color w:val="000000"/>
        </w:rPr>
        <w:t xml:space="preserve">Sixty-seven patients in the ARPS group and 66 patients in the TPS group were included in the final analyses. Fewer patients experienced stent-related cholangitis in the ARPS group than that in the TPS group (8 </w:t>
      </w:r>
      <w:r w:rsidR="009B5B3A">
        <w:rPr>
          <w:rFonts w:ascii="Book Antiqua" w:eastAsia="Book Antiqua" w:hAnsi="Book Antiqua" w:cs="Book Antiqua"/>
          <w:color w:val="000000"/>
        </w:rPr>
        <w:t>patients</w:t>
      </w:r>
      <w:r w:rsidR="009B5B3A">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18 patients;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The median time till the onset of first stent-related cholangitis was later in the ARPS group than that in the TPS group (128.5 </w:t>
      </w:r>
      <w:r w:rsidR="009B5B3A">
        <w:rPr>
          <w:rFonts w:ascii="Book Antiqua" w:eastAsia="Book Antiqua" w:hAnsi="Book Antiqua" w:cs="Book Antiqua"/>
          <w:color w:val="000000"/>
        </w:rPr>
        <w:t>d</w:t>
      </w:r>
      <w:r w:rsidR="009B5B3A">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76 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0.039). The cumulative median stent patency in the ARPS group was 185 d, which was significantly longer than that in the TPS group (133 d;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The clinical success rates and other adverse events did not significantly differ between both groups.</w:t>
      </w:r>
    </w:p>
    <w:p w14:paraId="5EF4F5AA" w14:textId="77777777" w:rsidR="00A77B3E" w:rsidRDefault="00A77B3E" w:rsidP="00B9705D">
      <w:pPr>
        <w:spacing w:line="360" w:lineRule="auto"/>
        <w:jc w:val="both"/>
      </w:pPr>
    </w:p>
    <w:p w14:paraId="7681605C" w14:textId="77777777" w:rsidR="00A77B3E" w:rsidRDefault="007F2C33" w:rsidP="00B9705D">
      <w:pPr>
        <w:spacing w:line="360" w:lineRule="auto"/>
        <w:jc w:val="both"/>
      </w:pPr>
      <w:r>
        <w:rPr>
          <w:rFonts w:ascii="Book Antiqua" w:eastAsia="Book Antiqua" w:hAnsi="Book Antiqua" w:cs="Book Antiqua"/>
          <w:color w:val="000000"/>
        </w:rPr>
        <w:t>CONCLUSION</w:t>
      </w:r>
    </w:p>
    <w:p w14:paraId="5C5A8EF3" w14:textId="77777777" w:rsidR="00A77B3E" w:rsidRDefault="007F2C33" w:rsidP="00B9705D">
      <w:pPr>
        <w:spacing w:line="360" w:lineRule="auto"/>
        <w:jc w:val="both"/>
      </w:pPr>
      <w:r>
        <w:rPr>
          <w:rFonts w:ascii="Book Antiqua" w:eastAsia="Book Antiqua" w:hAnsi="Book Antiqua" w:cs="Book Antiqua"/>
          <w:color w:val="000000"/>
        </w:rPr>
        <w:t xml:space="preserve">Placement of new ARPS might be a safe and effective optional therapeutic strategy to reduce the risk of stent-related cholangitis and prolong stent patency. </w:t>
      </w:r>
    </w:p>
    <w:p w14:paraId="192ADEEA" w14:textId="77777777" w:rsidR="00A77B3E" w:rsidRDefault="00A77B3E" w:rsidP="00B9705D">
      <w:pPr>
        <w:spacing w:line="360" w:lineRule="auto"/>
        <w:jc w:val="both"/>
      </w:pPr>
    </w:p>
    <w:p w14:paraId="1CB67A4C" w14:textId="77777777" w:rsidR="00A77B3E" w:rsidRDefault="007F2C33" w:rsidP="00B9705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Biliary stricture; Plastic stent; Anti-reflux; Endoscopic retrograde cholangiopancreatography</w:t>
      </w:r>
    </w:p>
    <w:p w14:paraId="1F7E6D6F" w14:textId="77777777" w:rsidR="00A77B3E" w:rsidRDefault="00A77B3E" w:rsidP="00B9705D">
      <w:pPr>
        <w:spacing w:line="360" w:lineRule="auto"/>
        <w:jc w:val="both"/>
      </w:pPr>
    </w:p>
    <w:p w14:paraId="5038FB2A" w14:textId="77777777" w:rsidR="00A77B3E" w:rsidRDefault="007F2C33" w:rsidP="00B9705D">
      <w:pPr>
        <w:spacing w:line="360" w:lineRule="auto"/>
        <w:jc w:val="both"/>
      </w:pPr>
      <w:r>
        <w:rPr>
          <w:rFonts w:ascii="Book Antiqua" w:eastAsia="Book Antiqua" w:hAnsi="Book Antiqua" w:cs="Book Antiqua"/>
          <w:color w:val="000000"/>
        </w:rPr>
        <w:lastRenderedPageBreak/>
        <w:t xml:space="preserve">Yuan XL, Ye LS, Zeng XH, Tan QH, Mou Y, Liu W, Wu CC, Yang H, Hu B. New anti-reflux plastic stent to reduce the risk of stent-related cholangitis in the treatment of biliary strictures .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5084ACF" w14:textId="77777777" w:rsidR="00A77B3E" w:rsidRDefault="00A77B3E" w:rsidP="00B9705D">
      <w:pPr>
        <w:spacing w:line="360" w:lineRule="auto"/>
        <w:jc w:val="both"/>
      </w:pPr>
    </w:p>
    <w:p w14:paraId="1A2AA4CB" w14:textId="3A0006D2" w:rsidR="00A77B3E" w:rsidRDefault="007F2C33" w:rsidP="00B9705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compare the use of new anti-reflux plastic stents (ARPSs) with that of traditional plastic stents (TPSs) for patients with biliary strictures. Fewer patients experienced stent-related cholangitis in the ARPS group than in the TPS group (8 </w:t>
      </w:r>
      <w:r>
        <w:rPr>
          <w:rFonts w:ascii="Book Antiqua" w:eastAsia="Book Antiqua" w:hAnsi="Book Antiqua" w:cs="Book Antiqua"/>
          <w:i/>
          <w:iCs/>
          <w:color w:val="000000"/>
        </w:rPr>
        <w:t>vs</w:t>
      </w:r>
      <w:r>
        <w:rPr>
          <w:rFonts w:ascii="Book Antiqua" w:eastAsia="Book Antiqua" w:hAnsi="Book Antiqua" w:cs="Book Antiqua"/>
          <w:color w:val="000000"/>
        </w:rPr>
        <w:t xml:space="preserve"> 18 patients; </w:t>
      </w:r>
      <w:r>
        <w:rPr>
          <w:rFonts w:ascii="Book Antiqua" w:eastAsia="Book Antiqua" w:hAnsi="Book Antiqua" w:cs="Book Antiqua"/>
          <w:i/>
          <w:iCs/>
          <w:color w:val="000000"/>
        </w:rPr>
        <w:t xml:space="preserve">P </w:t>
      </w:r>
      <w:r>
        <w:rPr>
          <w:rFonts w:ascii="Book Antiqua" w:eastAsia="Book Antiqua" w:hAnsi="Book Antiqua" w:cs="Book Antiqua"/>
          <w:color w:val="000000"/>
        </w:rPr>
        <w:t>= 0.030). The cumulative median stent patency in the ARPS group was 185 d, which was significantly longer than that in the TPS group (133 d).</w:t>
      </w:r>
    </w:p>
    <w:p w14:paraId="7100BF0F" w14:textId="77777777" w:rsidR="00A77B3E" w:rsidRDefault="00A77B3E" w:rsidP="00B9705D">
      <w:pPr>
        <w:spacing w:line="360" w:lineRule="auto"/>
        <w:jc w:val="both"/>
      </w:pPr>
    </w:p>
    <w:p w14:paraId="39F7F0BD" w14:textId="77777777" w:rsidR="0036522C" w:rsidRDefault="0036522C" w:rsidP="00B9705D">
      <w:pPr>
        <w:spacing w:line="360" w:lineRule="auto"/>
        <w:jc w:val="both"/>
        <w:rPr>
          <w:rFonts w:ascii="Book Antiqua" w:eastAsia="Book Antiqua" w:hAnsi="Book Antiqua" w:cs="Book Antiqua"/>
          <w:b/>
          <w:caps/>
          <w:color w:val="000000"/>
          <w:u w:val="single"/>
        </w:rPr>
      </w:pPr>
    </w:p>
    <w:p w14:paraId="335644BF" w14:textId="77777777" w:rsidR="0036522C" w:rsidRDefault="0036522C" w:rsidP="00B9705D">
      <w:pPr>
        <w:spacing w:line="360" w:lineRule="auto"/>
        <w:jc w:val="both"/>
        <w:rPr>
          <w:rFonts w:ascii="Book Antiqua" w:eastAsia="Book Antiqua" w:hAnsi="Book Antiqua" w:cs="Book Antiqua"/>
          <w:b/>
          <w:caps/>
          <w:color w:val="000000"/>
          <w:u w:val="single"/>
        </w:rPr>
      </w:pPr>
    </w:p>
    <w:p w14:paraId="58968393" w14:textId="77777777" w:rsidR="0036522C" w:rsidRDefault="0036522C" w:rsidP="00B9705D">
      <w:pPr>
        <w:spacing w:line="360" w:lineRule="auto"/>
        <w:jc w:val="both"/>
        <w:rPr>
          <w:rFonts w:ascii="Book Antiqua" w:eastAsia="Book Antiqua" w:hAnsi="Book Antiqua" w:cs="Book Antiqua"/>
          <w:b/>
          <w:caps/>
          <w:color w:val="000000"/>
          <w:u w:val="single"/>
        </w:rPr>
      </w:pPr>
    </w:p>
    <w:p w14:paraId="0E78EF49" w14:textId="77777777" w:rsidR="0036522C" w:rsidRDefault="0036522C" w:rsidP="00B9705D">
      <w:pPr>
        <w:spacing w:line="360" w:lineRule="auto"/>
        <w:jc w:val="both"/>
        <w:rPr>
          <w:rFonts w:ascii="Book Antiqua" w:eastAsia="Book Antiqua" w:hAnsi="Book Antiqua" w:cs="Book Antiqua"/>
          <w:b/>
          <w:caps/>
          <w:color w:val="000000"/>
          <w:u w:val="single"/>
        </w:rPr>
      </w:pPr>
    </w:p>
    <w:p w14:paraId="6AD7EC84" w14:textId="77777777" w:rsidR="0036522C" w:rsidRDefault="0036522C" w:rsidP="00B9705D">
      <w:pPr>
        <w:spacing w:line="360" w:lineRule="auto"/>
        <w:jc w:val="both"/>
        <w:rPr>
          <w:rFonts w:ascii="Book Antiqua" w:eastAsia="Book Antiqua" w:hAnsi="Book Antiqua" w:cs="Book Antiqua"/>
          <w:b/>
          <w:caps/>
          <w:color w:val="000000"/>
          <w:u w:val="single"/>
        </w:rPr>
      </w:pPr>
    </w:p>
    <w:p w14:paraId="2F84BCED" w14:textId="77777777" w:rsidR="0036522C" w:rsidRDefault="0036522C" w:rsidP="00B9705D">
      <w:pPr>
        <w:spacing w:line="360" w:lineRule="auto"/>
        <w:jc w:val="both"/>
        <w:rPr>
          <w:rFonts w:ascii="Book Antiqua" w:eastAsia="Book Antiqua" w:hAnsi="Book Antiqua" w:cs="Book Antiqua"/>
          <w:b/>
          <w:caps/>
          <w:color w:val="000000"/>
          <w:u w:val="single"/>
        </w:rPr>
      </w:pPr>
    </w:p>
    <w:p w14:paraId="371C2155" w14:textId="77777777" w:rsidR="0036522C" w:rsidRDefault="0036522C" w:rsidP="00B9705D">
      <w:pPr>
        <w:spacing w:line="360" w:lineRule="auto"/>
        <w:jc w:val="both"/>
        <w:rPr>
          <w:rFonts w:ascii="Book Antiqua" w:eastAsia="Book Antiqua" w:hAnsi="Book Antiqua" w:cs="Book Antiqua"/>
          <w:b/>
          <w:caps/>
          <w:color w:val="000000"/>
          <w:u w:val="single"/>
        </w:rPr>
      </w:pPr>
    </w:p>
    <w:p w14:paraId="66AF5C96" w14:textId="77777777" w:rsidR="0036522C" w:rsidRDefault="0036522C" w:rsidP="00B9705D">
      <w:pPr>
        <w:spacing w:line="360" w:lineRule="auto"/>
        <w:jc w:val="both"/>
        <w:rPr>
          <w:rFonts w:ascii="Book Antiqua" w:eastAsia="Book Antiqua" w:hAnsi="Book Antiqua" w:cs="Book Antiqua"/>
          <w:b/>
          <w:caps/>
          <w:color w:val="000000"/>
          <w:u w:val="single"/>
        </w:rPr>
      </w:pPr>
    </w:p>
    <w:p w14:paraId="07CAB09D" w14:textId="77777777" w:rsidR="0036522C" w:rsidRDefault="0036522C" w:rsidP="00B9705D">
      <w:pPr>
        <w:spacing w:line="360" w:lineRule="auto"/>
        <w:jc w:val="both"/>
        <w:rPr>
          <w:rFonts w:ascii="Book Antiqua" w:eastAsia="Book Antiqua" w:hAnsi="Book Antiqua" w:cs="Book Antiqua"/>
          <w:b/>
          <w:caps/>
          <w:color w:val="000000"/>
          <w:u w:val="single"/>
        </w:rPr>
      </w:pPr>
    </w:p>
    <w:p w14:paraId="680B4B81" w14:textId="77777777" w:rsidR="0036522C" w:rsidRDefault="0036522C" w:rsidP="00B9705D">
      <w:pPr>
        <w:spacing w:line="360" w:lineRule="auto"/>
        <w:jc w:val="both"/>
        <w:rPr>
          <w:rFonts w:ascii="Book Antiqua" w:eastAsia="Book Antiqua" w:hAnsi="Book Antiqua" w:cs="Book Antiqua"/>
          <w:b/>
          <w:caps/>
          <w:color w:val="000000"/>
          <w:u w:val="single"/>
        </w:rPr>
      </w:pPr>
    </w:p>
    <w:p w14:paraId="3B958549" w14:textId="77777777" w:rsidR="0036522C" w:rsidRDefault="0036522C" w:rsidP="00B9705D">
      <w:pPr>
        <w:spacing w:line="360" w:lineRule="auto"/>
        <w:jc w:val="both"/>
        <w:rPr>
          <w:rFonts w:ascii="Book Antiqua" w:eastAsia="Book Antiqua" w:hAnsi="Book Antiqua" w:cs="Book Antiqua"/>
          <w:b/>
          <w:caps/>
          <w:color w:val="000000"/>
          <w:u w:val="single"/>
        </w:rPr>
      </w:pPr>
    </w:p>
    <w:p w14:paraId="5DFE905F" w14:textId="77777777" w:rsidR="0036522C" w:rsidRDefault="0036522C" w:rsidP="00B9705D">
      <w:pPr>
        <w:spacing w:line="360" w:lineRule="auto"/>
        <w:jc w:val="both"/>
        <w:rPr>
          <w:rFonts w:ascii="Book Antiqua" w:eastAsia="Book Antiqua" w:hAnsi="Book Antiqua" w:cs="Book Antiqua"/>
          <w:b/>
          <w:caps/>
          <w:color w:val="000000"/>
          <w:u w:val="single"/>
        </w:rPr>
      </w:pPr>
    </w:p>
    <w:p w14:paraId="2AEDA81F" w14:textId="77777777" w:rsidR="0036522C" w:rsidRDefault="0036522C" w:rsidP="00B9705D">
      <w:pPr>
        <w:spacing w:line="360" w:lineRule="auto"/>
        <w:jc w:val="both"/>
        <w:rPr>
          <w:rFonts w:ascii="Book Antiqua" w:eastAsia="Book Antiqua" w:hAnsi="Book Antiqua" w:cs="Book Antiqua"/>
          <w:b/>
          <w:caps/>
          <w:color w:val="000000"/>
          <w:u w:val="single"/>
        </w:rPr>
      </w:pPr>
    </w:p>
    <w:p w14:paraId="088B1D47" w14:textId="77777777" w:rsidR="0036522C" w:rsidRDefault="0036522C" w:rsidP="00B9705D">
      <w:pPr>
        <w:spacing w:line="360" w:lineRule="auto"/>
        <w:jc w:val="both"/>
        <w:rPr>
          <w:rFonts w:ascii="Book Antiqua" w:eastAsia="Book Antiqua" w:hAnsi="Book Antiqua" w:cs="Book Antiqua"/>
          <w:b/>
          <w:caps/>
          <w:color w:val="000000"/>
          <w:u w:val="single"/>
        </w:rPr>
      </w:pPr>
    </w:p>
    <w:p w14:paraId="79436486" w14:textId="77777777" w:rsidR="0036522C" w:rsidRDefault="0036522C" w:rsidP="00B9705D">
      <w:pPr>
        <w:spacing w:line="360" w:lineRule="auto"/>
        <w:jc w:val="both"/>
        <w:rPr>
          <w:rFonts w:ascii="Book Antiqua" w:eastAsia="Book Antiqua" w:hAnsi="Book Antiqua" w:cs="Book Antiqua"/>
          <w:b/>
          <w:caps/>
          <w:color w:val="000000"/>
          <w:u w:val="single"/>
        </w:rPr>
      </w:pPr>
    </w:p>
    <w:p w14:paraId="71643DCB" w14:textId="77777777" w:rsidR="0036522C" w:rsidRDefault="0036522C" w:rsidP="00B9705D">
      <w:pPr>
        <w:spacing w:line="360" w:lineRule="auto"/>
        <w:jc w:val="both"/>
        <w:rPr>
          <w:rFonts w:ascii="Book Antiqua" w:eastAsia="Book Antiqua" w:hAnsi="Book Antiqua" w:cs="Book Antiqua"/>
          <w:b/>
          <w:caps/>
          <w:color w:val="000000"/>
          <w:u w:val="single"/>
        </w:rPr>
      </w:pPr>
    </w:p>
    <w:p w14:paraId="7839D893" w14:textId="77777777" w:rsidR="0036522C" w:rsidRDefault="0036522C" w:rsidP="00B9705D">
      <w:pPr>
        <w:spacing w:line="360" w:lineRule="auto"/>
        <w:jc w:val="both"/>
        <w:rPr>
          <w:rFonts w:ascii="Book Antiqua" w:eastAsia="Book Antiqua" w:hAnsi="Book Antiqua" w:cs="Book Antiqua"/>
          <w:b/>
          <w:caps/>
          <w:color w:val="000000"/>
          <w:u w:val="single"/>
        </w:rPr>
      </w:pPr>
    </w:p>
    <w:p w14:paraId="6B03D80D" w14:textId="77777777" w:rsidR="0036522C" w:rsidRDefault="0036522C" w:rsidP="00B9705D">
      <w:pPr>
        <w:spacing w:line="360" w:lineRule="auto"/>
        <w:jc w:val="both"/>
        <w:rPr>
          <w:rFonts w:ascii="Book Antiqua" w:eastAsia="Book Antiqua" w:hAnsi="Book Antiqua" w:cs="Book Antiqua"/>
          <w:b/>
          <w:caps/>
          <w:color w:val="000000"/>
          <w:u w:val="single"/>
        </w:rPr>
      </w:pPr>
    </w:p>
    <w:p w14:paraId="2AAB0792" w14:textId="77777777" w:rsidR="0036522C" w:rsidRDefault="0036522C" w:rsidP="00B9705D">
      <w:pPr>
        <w:spacing w:line="360" w:lineRule="auto"/>
        <w:jc w:val="both"/>
        <w:rPr>
          <w:rFonts w:ascii="Book Antiqua" w:eastAsia="Book Antiqua" w:hAnsi="Book Antiqua" w:cs="Book Antiqua"/>
          <w:b/>
          <w:caps/>
          <w:color w:val="000000"/>
          <w:u w:val="single"/>
        </w:rPr>
      </w:pPr>
    </w:p>
    <w:p w14:paraId="44AE8EF2" w14:textId="0D8461DD" w:rsidR="00A77B3E" w:rsidRDefault="007F2C33" w:rsidP="00B9705D">
      <w:pPr>
        <w:spacing w:line="360" w:lineRule="auto"/>
        <w:jc w:val="both"/>
      </w:pPr>
      <w:r>
        <w:rPr>
          <w:rFonts w:ascii="Book Antiqua" w:eastAsia="Book Antiqua" w:hAnsi="Book Antiqua" w:cs="Book Antiqua"/>
          <w:b/>
          <w:caps/>
          <w:color w:val="000000"/>
          <w:u w:val="single"/>
        </w:rPr>
        <w:t>INTRODUCTION</w:t>
      </w:r>
    </w:p>
    <w:p w14:paraId="77AEB459" w14:textId="41AEE6C2" w:rsidR="00A77B3E" w:rsidRDefault="007F2C33" w:rsidP="00B9705D">
      <w:pPr>
        <w:spacing w:line="360" w:lineRule="auto"/>
        <w:jc w:val="both"/>
      </w:pPr>
      <w:r>
        <w:rPr>
          <w:rFonts w:ascii="Book Antiqua" w:eastAsia="Book Antiqua" w:hAnsi="Book Antiqua" w:cs="Book Antiqua"/>
          <w:color w:val="000000"/>
        </w:rPr>
        <w:lastRenderedPageBreak/>
        <w:t xml:space="preserve">Endoscopic biliary stenting is an established procedure for either benign or malignant biliary strictures (BBSs or MBSs) that are not suitable for surgery. There are two stent categories available on the market: </w:t>
      </w:r>
      <w:r w:rsidR="0036522C">
        <w:rPr>
          <w:rFonts w:ascii="Book Antiqua" w:eastAsia="Book Antiqua" w:hAnsi="Book Antiqua" w:cs="Book Antiqua"/>
          <w:color w:val="000000"/>
        </w:rPr>
        <w:t>P</w:t>
      </w:r>
      <w:r>
        <w:rPr>
          <w:rFonts w:ascii="Book Antiqua" w:eastAsia="Book Antiqua" w:hAnsi="Book Antiqua" w:cs="Book Antiqua"/>
          <w:color w:val="000000"/>
        </w:rPr>
        <w:t>lastic and metal stents. Plastic stents (PSs) are widely available, very effective</w:t>
      </w:r>
      <w:r w:rsidR="0036522C">
        <w:rPr>
          <w:rFonts w:ascii="Book Antiqua" w:eastAsia="Book Antiqua" w:hAnsi="Book Antiqua" w:cs="Book Antiqua"/>
          <w:color w:val="000000"/>
        </w:rPr>
        <w:t>,</w:t>
      </w:r>
      <w:r>
        <w:rPr>
          <w:rFonts w:ascii="Book Antiqua" w:eastAsia="Book Antiqua" w:hAnsi="Book Antiqua" w:cs="Book Antiqua"/>
          <w:color w:val="000000"/>
        </w:rPr>
        <w:t xml:space="preserve"> and inexpensive. PSs with a diameter of 10</w:t>
      </w:r>
      <w:r w:rsidR="0036522C">
        <w:rPr>
          <w:rFonts w:ascii="Book Antiqua" w:eastAsia="Book Antiqua" w:hAnsi="Book Antiqua" w:cs="Book Antiqua"/>
          <w:color w:val="000000"/>
        </w:rPr>
        <w:t xml:space="preserve"> </w:t>
      </w:r>
      <w:r>
        <w:rPr>
          <w:rFonts w:ascii="Book Antiqua" w:eastAsia="Book Antiqua" w:hAnsi="Book Antiqua" w:cs="Book Antiqua"/>
          <w:color w:val="000000"/>
        </w:rPr>
        <w:t xml:space="preserve">Fr are usually used. However, the rather short stent patency (approximately 3 to 6 </w:t>
      </w:r>
      <w:proofErr w:type="gramStart"/>
      <w:r>
        <w:rPr>
          <w:rFonts w:ascii="Book Antiqua" w:eastAsia="Book Antiqua" w:hAnsi="Book Antiqua" w:cs="Book Antiqua"/>
          <w:color w:val="000000"/>
        </w:rPr>
        <w:t>mo)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and the relatively high rate of stent-related cholangitis (about 3.5%-48.8%)</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r w:rsidR="0036522C">
        <w:rPr>
          <w:rFonts w:ascii="Book Antiqua" w:eastAsia="Book Antiqua" w:hAnsi="Book Antiqua" w:cs="Book Antiqua"/>
          <w:color w:val="000000"/>
        </w:rPr>
        <w:t xml:space="preserve">represent </w:t>
      </w:r>
      <w:r>
        <w:rPr>
          <w:rFonts w:ascii="Book Antiqua" w:eastAsia="Book Antiqua" w:hAnsi="Book Antiqua" w:cs="Book Antiqua"/>
          <w:color w:val="000000"/>
        </w:rPr>
        <w:t>significant disadvantages. In contrast, self-expandable metal stents (SEMSs) are associated with significantly longer stent patency (approximately 9 to 12 mo)</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compared to</w:t>
      </w:r>
      <w:r w:rsidR="0036522C">
        <w:rPr>
          <w:rFonts w:ascii="Book Antiqua" w:eastAsia="Book Antiqua" w:hAnsi="Book Antiqua" w:cs="Book Antiqua"/>
          <w:color w:val="000000"/>
        </w:rPr>
        <w:t xml:space="preserve"> that of</w:t>
      </w:r>
      <w:r>
        <w:rPr>
          <w:rFonts w:ascii="Book Antiqua" w:eastAsia="Book Antiqua" w:hAnsi="Book Antiqua" w:cs="Book Antiqua"/>
          <w:color w:val="000000"/>
        </w:rPr>
        <w:t xml:space="preserve"> PSs. </w:t>
      </w:r>
      <w:r w:rsidR="0036522C">
        <w:rPr>
          <w:rFonts w:ascii="Book Antiqua" w:eastAsia="Book Antiqua" w:hAnsi="Book Antiqua" w:cs="Book Antiqua"/>
          <w:color w:val="000000"/>
        </w:rPr>
        <w:t>T</w:t>
      </w:r>
      <w:r>
        <w:rPr>
          <w:rFonts w:ascii="Book Antiqua" w:eastAsia="Book Antiqua" w:hAnsi="Book Antiqua" w:cs="Book Antiqua"/>
          <w:color w:val="000000"/>
        </w:rPr>
        <w:t>he rate of stent-related cholangitis</w:t>
      </w:r>
      <w:r w:rsidR="0036522C">
        <w:rPr>
          <w:rFonts w:ascii="Book Antiqua" w:eastAsia="Book Antiqua" w:hAnsi="Book Antiqua" w:cs="Book Antiqua"/>
          <w:color w:val="000000"/>
        </w:rPr>
        <w:t>, however,</w:t>
      </w:r>
      <w:r>
        <w:rPr>
          <w:rFonts w:ascii="Book Antiqua" w:eastAsia="Book Antiqua" w:hAnsi="Book Antiqua" w:cs="Book Antiqua"/>
          <w:color w:val="000000"/>
        </w:rPr>
        <w:t xml:space="preserve"> can reach as high as 45.8% (about 2.1%-45.8</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Most importantly, the higher costs of SEMSs limit their widespread application, especially in developing countries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0449C3C1" w14:textId="77777777" w:rsidR="00A77B3E" w:rsidRDefault="007F2C33" w:rsidP="00B9705D">
      <w:pPr>
        <w:spacing w:line="360" w:lineRule="auto"/>
        <w:ind w:firstLine="480"/>
        <w:jc w:val="both"/>
      </w:pPr>
      <w:r>
        <w:rPr>
          <w:rFonts w:ascii="Book Antiqua" w:eastAsia="Book Antiqua" w:hAnsi="Book Antiqua" w:cs="Book Antiqua"/>
          <w:color w:val="000000"/>
        </w:rPr>
        <w:t>Both stent categories have complications of stent occlusion and stent-related cholangitis after stent placement, which may worsen the quality of patients’ life. Since duodenobiliary reflux has been identified as a major cause of these problems</w:t>
      </w:r>
      <w:r>
        <w:rPr>
          <w:rFonts w:ascii="Book Antiqua" w:eastAsia="Book Antiqua" w:hAnsi="Book Antiqua" w:cs="Book Antiqua"/>
          <w:color w:val="000000"/>
          <w:szCs w:val="20"/>
          <w:vertAlign w:val="superscript"/>
        </w:rPr>
        <w:t>[1,8-10]</w:t>
      </w:r>
      <w:r>
        <w:rPr>
          <w:rFonts w:ascii="Book Antiqua" w:eastAsia="Book Antiqua" w:hAnsi="Book Antiqua" w:cs="Book Antiqua"/>
          <w:color w:val="000000"/>
        </w:rPr>
        <w:t>, the design of biliary stents with an anti-reflux valve at the duodenal end has emerged as a potential solution for reducing duodenobiliary reflux over recent years. Previous studies</w:t>
      </w:r>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xml:space="preserve"> have shown that the use of anti-reflux SEMSs can effectively reduce the risk of stent-related cholangitis and prolong stent patency. Unfortunately, studies on anti-reflux PSs (ARPSs) have not yet yielded convincing results</w:t>
      </w:r>
      <w:r>
        <w:rPr>
          <w:rFonts w:ascii="Book Antiqua" w:eastAsia="Book Antiqua" w:hAnsi="Book Antiqua" w:cs="Book Antiqua"/>
          <w:color w:val="000000"/>
          <w:szCs w:val="20"/>
          <w:vertAlign w:val="superscript"/>
        </w:rPr>
        <w:t>[7,13,14]</w:t>
      </w:r>
      <w:r>
        <w:rPr>
          <w:rFonts w:ascii="Book Antiqua" w:eastAsia="Book Antiqua" w:hAnsi="Book Antiqua" w:cs="Book Antiqua"/>
          <w:color w:val="000000"/>
        </w:rPr>
        <w:t>.</w:t>
      </w:r>
    </w:p>
    <w:p w14:paraId="1CE77BB0" w14:textId="77777777" w:rsidR="00A77B3E" w:rsidRDefault="007F2C33" w:rsidP="00B9705D">
      <w:pPr>
        <w:spacing w:line="360" w:lineRule="auto"/>
        <w:ind w:firstLine="480"/>
        <w:jc w:val="both"/>
      </w:pPr>
      <w:r>
        <w:rPr>
          <w:rFonts w:ascii="Book Antiqua" w:eastAsia="Book Antiqua" w:hAnsi="Book Antiqua" w:cs="Book Antiqua"/>
          <w:color w:val="000000"/>
        </w:rPr>
        <w:t>We designed an ARPS with a “duckbilled” valve attached to the PS. In the prior clinical trial, 19 patients with distal MBSs were successfully inserted with the new ARPSs, and the cumulative median stent patency of the ARPSs was significantly longer than that of traditional PSs (TPSs)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However, the role of this new ARPS in reducing the onset of stent-related cholangitis compared with TPS remains unknown. In the present study, we aimed to determine whether placement of this new ARPS can reduce the risk of stent-related cholangitis in patients with biliary strictures compared to TPS.</w:t>
      </w:r>
    </w:p>
    <w:p w14:paraId="7780C7BB" w14:textId="77777777" w:rsidR="00A77B3E" w:rsidRDefault="00A77B3E" w:rsidP="00B9705D">
      <w:pPr>
        <w:spacing w:line="360" w:lineRule="auto"/>
        <w:ind w:firstLine="480"/>
        <w:jc w:val="both"/>
      </w:pPr>
    </w:p>
    <w:p w14:paraId="227B4500" w14:textId="77777777" w:rsidR="00A77B3E" w:rsidRDefault="007F2C33" w:rsidP="00B9705D">
      <w:pPr>
        <w:spacing w:line="360" w:lineRule="auto"/>
        <w:jc w:val="both"/>
      </w:pPr>
      <w:r>
        <w:rPr>
          <w:rFonts w:ascii="Book Antiqua" w:eastAsia="Book Antiqua" w:hAnsi="Book Antiqua" w:cs="Book Antiqua"/>
          <w:b/>
          <w:caps/>
          <w:color w:val="000000"/>
          <w:u w:val="single"/>
        </w:rPr>
        <w:t>MATERIALS AND METHODS</w:t>
      </w:r>
    </w:p>
    <w:p w14:paraId="6E12D269" w14:textId="77777777" w:rsidR="00A77B3E" w:rsidRDefault="007F2C33" w:rsidP="00B9705D">
      <w:pPr>
        <w:spacing w:line="360" w:lineRule="auto"/>
        <w:jc w:val="both"/>
      </w:pPr>
      <w:r>
        <w:rPr>
          <w:rFonts w:ascii="Book Antiqua" w:eastAsia="Book Antiqua" w:hAnsi="Book Antiqua" w:cs="Book Antiqua"/>
          <w:b/>
          <w:bCs/>
          <w:i/>
          <w:iCs/>
          <w:color w:val="000000"/>
        </w:rPr>
        <w:t>Study design</w:t>
      </w:r>
    </w:p>
    <w:p w14:paraId="631EF5F0" w14:textId="6DD77E82" w:rsidR="00A77B3E" w:rsidRDefault="007F2C33" w:rsidP="00B9705D">
      <w:pPr>
        <w:spacing w:line="360" w:lineRule="auto"/>
        <w:jc w:val="both"/>
      </w:pPr>
      <w:r>
        <w:rPr>
          <w:rFonts w:ascii="Book Antiqua" w:eastAsia="Book Antiqua" w:hAnsi="Book Antiqua" w:cs="Book Antiqua"/>
          <w:color w:val="000000"/>
        </w:rPr>
        <w:lastRenderedPageBreak/>
        <w:t xml:space="preserve">Consecutive patients with biliary strictures who underwent first endoscopic biliary stenting between February 2016 and May 2019 at West China Hospital, Sichuan University were included. We retrospectively reviewed the data of eligible patients from our prospectively collected database. Exclusion criteria were (1) </w:t>
      </w:r>
      <w:r>
        <w:rPr>
          <w:rFonts w:ascii="Book Antiqua" w:eastAsia="Book Antiqua" w:hAnsi="Book Antiqua" w:cs="Book Antiqua"/>
          <w:caps/>
          <w:color w:val="000000"/>
        </w:rPr>
        <w:t>p</w:t>
      </w:r>
      <w:r>
        <w:rPr>
          <w:rFonts w:ascii="Book Antiqua" w:eastAsia="Book Antiqua" w:hAnsi="Book Antiqua" w:cs="Book Antiqua"/>
          <w:color w:val="000000"/>
        </w:rPr>
        <w:t xml:space="preserve">lacement of SEMS; (2) </w:t>
      </w:r>
      <w:r>
        <w:rPr>
          <w:rFonts w:ascii="Book Antiqua" w:eastAsia="Book Antiqua" w:hAnsi="Book Antiqua" w:cs="Book Antiqua"/>
          <w:caps/>
          <w:color w:val="000000"/>
        </w:rPr>
        <w:t>p</w:t>
      </w:r>
      <w:r>
        <w:rPr>
          <w:rFonts w:ascii="Book Antiqua" w:eastAsia="Book Antiqua" w:hAnsi="Book Antiqua" w:cs="Book Antiqua"/>
          <w:color w:val="000000"/>
        </w:rPr>
        <w:t xml:space="preserve">lacement of multiple biliary stents; (3) </w:t>
      </w:r>
      <w:r>
        <w:rPr>
          <w:rFonts w:ascii="Book Antiqua" w:eastAsia="Book Antiqua" w:hAnsi="Book Antiqua" w:cs="Book Antiqua"/>
          <w:caps/>
          <w:color w:val="000000"/>
        </w:rPr>
        <w:t>s</w:t>
      </w:r>
      <w:r>
        <w:rPr>
          <w:rFonts w:ascii="Book Antiqua" w:eastAsia="Book Antiqua" w:hAnsi="Book Antiqua" w:cs="Book Antiqua"/>
          <w:color w:val="000000"/>
        </w:rPr>
        <w:t xml:space="preserve">tents with a diameter other than 10Fr; (4) </w:t>
      </w:r>
      <w:r>
        <w:rPr>
          <w:rFonts w:ascii="Book Antiqua" w:eastAsia="Book Antiqua" w:hAnsi="Book Antiqua" w:cs="Book Antiqua"/>
          <w:caps/>
          <w:color w:val="000000"/>
        </w:rPr>
        <w:t>s</w:t>
      </w:r>
      <w:r>
        <w:rPr>
          <w:rFonts w:ascii="Book Antiqua" w:eastAsia="Book Antiqua" w:hAnsi="Book Antiqua" w:cs="Book Antiqua"/>
          <w:color w:val="000000"/>
        </w:rPr>
        <w:t>imultaneous percutaneous transhepatic cholangial drainage and endoscopic biliary stenting; (5)</w:t>
      </w:r>
      <w:r>
        <w:rPr>
          <w:rFonts w:ascii="Book Antiqua" w:eastAsia="Book Antiqua" w:hAnsi="Book Antiqua" w:cs="Book Antiqua"/>
          <w:caps/>
          <w:color w:val="000000"/>
        </w:rPr>
        <w:t xml:space="preserve"> t</w:t>
      </w:r>
      <w:r>
        <w:rPr>
          <w:rFonts w:ascii="Book Antiqua" w:eastAsia="Book Antiqua" w:hAnsi="Book Antiqua" w:cs="Book Antiqua"/>
          <w:color w:val="000000"/>
        </w:rPr>
        <w:t xml:space="preserve">emporary drainage for resectable MBS; (6) </w:t>
      </w:r>
      <w:r>
        <w:rPr>
          <w:rFonts w:ascii="Book Antiqua" w:eastAsia="Book Antiqua" w:hAnsi="Book Antiqua" w:cs="Book Antiqua"/>
          <w:caps/>
          <w:color w:val="000000"/>
        </w:rPr>
        <w:t>p</w:t>
      </w:r>
      <w:r>
        <w:rPr>
          <w:rFonts w:ascii="Book Antiqua" w:eastAsia="Book Antiqua" w:hAnsi="Book Antiqua" w:cs="Book Antiqua"/>
          <w:color w:val="000000"/>
        </w:rPr>
        <w:t xml:space="preserve">atients died within </w:t>
      </w:r>
      <w:r w:rsidR="0036522C">
        <w:rPr>
          <w:rFonts w:ascii="Book Antiqua" w:eastAsia="Book Antiqua" w:hAnsi="Book Antiqua" w:cs="Book Antiqua"/>
          <w:color w:val="000000"/>
        </w:rPr>
        <w:t xml:space="preserve">1 </w:t>
      </w:r>
      <w:proofErr w:type="spellStart"/>
      <w:r w:rsidR="0036522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stenting; and (7) </w:t>
      </w:r>
      <w:r>
        <w:rPr>
          <w:rFonts w:ascii="Book Antiqua" w:eastAsia="Book Antiqua" w:hAnsi="Book Antiqua" w:cs="Book Antiqua"/>
          <w:caps/>
          <w:color w:val="000000"/>
        </w:rPr>
        <w:t>p</w:t>
      </w:r>
      <w:r>
        <w:rPr>
          <w:rFonts w:ascii="Book Antiqua" w:eastAsia="Book Antiqua" w:hAnsi="Book Antiqua" w:cs="Book Antiqua"/>
          <w:color w:val="000000"/>
        </w:rPr>
        <w:t>atients without available outcome data. Patient characteristics, endoscopic retrograde cholangiopancreatography (ERCP) procedures, stent details, liver function test results, adverse events, and stent patency duration were collected. </w:t>
      </w:r>
    </w:p>
    <w:p w14:paraId="35CDD254" w14:textId="77777777" w:rsidR="00A77B3E" w:rsidRDefault="007F2C33" w:rsidP="00B9705D">
      <w:pPr>
        <w:spacing w:line="360" w:lineRule="auto"/>
        <w:ind w:firstLine="480"/>
        <w:jc w:val="both"/>
      </w:pPr>
      <w:r>
        <w:rPr>
          <w:rFonts w:ascii="Book Antiqua" w:eastAsia="Book Antiqua" w:hAnsi="Book Antiqua" w:cs="Book Antiqua"/>
          <w:color w:val="000000"/>
        </w:rPr>
        <w:t>This study was approved by the Ethics Committee on Biomedical Research, West China Hospital of Sichuan University. Informed consent was waived by the Ethics Committee because of the retrospective nature of this study and anonymous data.</w:t>
      </w:r>
    </w:p>
    <w:p w14:paraId="340AA7B3" w14:textId="77777777" w:rsidR="00A77B3E" w:rsidRDefault="00A77B3E" w:rsidP="00B9705D">
      <w:pPr>
        <w:spacing w:line="360" w:lineRule="auto"/>
        <w:ind w:firstLine="480"/>
        <w:jc w:val="both"/>
      </w:pPr>
    </w:p>
    <w:p w14:paraId="17D046EF" w14:textId="77777777" w:rsidR="00A77B3E" w:rsidRDefault="007F2C33" w:rsidP="00B9705D">
      <w:pPr>
        <w:spacing w:line="360" w:lineRule="auto"/>
        <w:jc w:val="both"/>
      </w:pPr>
      <w:r>
        <w:rPr>
          <w:rFonts w:ascii="Book Antiqua" w:eastAsia="Book Antiqua" w:hAnsi="Book Antiqua" w:cs="Book Antiqua"/>
          <w:b/>
          <w:bCs/>
          <w:i/>
          <w:iCs/>
          <w:color w:val="000000"/>
        </w:rPr>
        <w:t>Plastic stents</w:t>
      </w:r>
    </w:p>
    <w:p w14:paraId="2C3E0E8D" w14:textId="7F1D3FDA" w:rsidR="00A77B3E" w:rsidRDefault="007F2C33" w:rsidP="00B9705D">
      <w:pPr>
        <w:spacing w:line="360" w:lineRule="auto"/>
        <w:jc w:val="both"/>
      </w:pPr>
      <w:r>
        <w:rPr>
          <w:rFonts w:ascii="Book Antiqua" w:eastAsia="Book Antiqua" w:hAnsi="Book Antiqua" w:cs="Book Antiqua"/>
          <w:color w:val="000000"/>
        </w:rPr>
        <w:t>The new ARPS (Tannenbaum design; Micro-Tech (Nanjing) Co. Ltd., Nanjing, China) with a diameter of 10</w:t>
      </w:r>
      <w:r w:rsidR="0036522C">
        <w:rPr>
          <w:rFonts w:ascii="Book Antiqua" w:eastAsia="Book Antiqua" w:hAnsi="Book Antiqua" w:cs="Book Antiqua"/>
          <w:color w:val="000000"/>
        </w:rPr>
        <w:t xml:space="preserve"> </w:t>
      </w:r>
      <w:r>
        <w:rPr>
          <w:rFonts w:ascii="Book Antiqua" w:eastAsia="Book Antiqua" w:hAnsi="Book Antiqua" w:cs="Book Antiqua"/>
          <w:color w:val="000000"/>
        </w:rPr>
        <w:t>Fr was made of polytetrafluoroethylene, without any side holes (Figure 1A). A soft anti-reflux valve with a length of 1.5</w:t>
      </w:r>
      <w:r w:rsidR="008E64F3">
        <w:rPr>
          <w:rFonts w:ascii="Book Antiqua" w:hAnsi="Book Antiqua" w:cs="Book Antiqua" w:hint="eastAsia"/>
          <w:color w:val="000000"/>
          <w:lang w:eastAsia="zh-CN"/>
        </w:rPr>
        <w:t xml:space="preserve"> </w:t>
      </w:r>
      <w:r>
        <w:rPr>
          <w:rFonts w:ascii="Book Antiqua" w:eastAsia="Book Antiqua" w:hAnsi="Book Antiqua" w:cs="Book Antiqua"/>
          <w:color w:val="000000"/>
        </w:rPr>
        <w:t>cm, made of silicone rubber material, was attached to the PS. The antegrade flow of bile kept the valve open, whereas increased intestinal pressure made it close, thereby reducing duodenobiliary reflux. The TPS (Cotton-Leung Biliary Stent; Cook Ireland Ltd., Limerick, Ireland) used in this study was made of polyethylene (Figure 1B). Both types of stents were inserted into the bile duct using the same pull-back delivery system (Oasis; Cook Ireland Ltd.).</w:t>
      </w:r>
    </w:p>
    <w:p w14:paraId="63C0F4E3" w14:textId="77777777" w:rsidR="00A77B3E" w:rsidRDefault="00A77B3E" w:rsidP="00B9705D">
      <w:pPr>
        <w:spacing w:line="360" w:lineRule="auto"/>
        <w:jc w:val="both"/>
      </w:pPr>
    </w:p>
    <w:p w14:paraId="7C7F951C" w14:textId="77777777" w:rsidR="00A77B3E" w:rsidRDefault="007F2C33" w:rsidP="00B9705D">
      <w:pPr>
        <w:spacing w:line="360" w:lineRule="auto"/>
        <w:jc w:val="both"/>
      </w:pPr>
      <w:r>
        <w:rPr>
          <w:rFonts w:ascii="Book Antiqua" w:eastAsia="Book Antiqua" w:hAnsi="Book Antiqua" w:cs="Book Antiqua"/>
          <w:b/>
          <w:bCs/>
          <w:i/>
          <w:iCs/>
          <w:color w:val="000000"/>
        </w:rPr>
        <w:t>Endoscopic biliary stenting</w:t>
      </w:r>
    </w:p>
    <w:p w14:paraId="45883B8C" w14:textId="77777777" w:rsidR="00A77B3E" w:rsidRDefault="007F2C33" w:rsidP="00B9705D">
      <w:pPr>
        <w:spacing w:line="360" w:lineRule="auto"/>
        <w:jc w:val="both"/>
      </w:pPr>
      <w:r>
        <w:rPr>
          <w:rFonts w:ascii="Book Antiqua" w:eastAsia="Book Antiqua" w:hAnsi="Book Antiqua" w:cs="Book Antiqua"/>
          <w:color w:val="000000"/>
        </w:rPr>
        <w:t>Except for patients who were randomly assigned during the previous study period</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other patients were advised to choose ARPSs during preoperative preparation, and TPSs were used for those who refused ARPSs. We did not administer prophylactic antibiotics and nonsteroidal anti-inflammatory drugs prior to ERCP. All ERCPs were performed by experienced endoscopists (experience of ≥ 300 ERCPs per year) using a standard </w:t>
      </w:r>
      <w:r>
        <w:rPr>
          <w:rFonts w:ascii="Book Antiqua" w:eastAsia="Book Antiqua" w:hAnsi="Book Antiqua" w:cs="Book Antiqua"/>
          <w:color w:val="000000"/>
        </w:rPr>
        <w:lastRenderedPageBreak/>
        <w:t>duodenoscope (TJF-260V; Olympus Medical systems Corp., Tokyo, Japan). All patients were placed in the prone position with conscious sedation. After bile duct cannulation, the stricture was visualized by injecting contrast. A sphincterotomy was performed if necessary. Under the guidance of a guidewire (Jagwire; Boston Scientific, Natick, MA. United States), a single ARPS or TPS with an individually determined ideal length was inserted into the bile duct above the proximal end of the stricture for about 1-2 cm, and the distal end of the stent was kept outside of the duodenal papilla for about 1cm. The flow of bile was confirmed before the withdrawal of the duodenoscope (Figure 2). Patients received clinical evaluation and liver function tests within the first week after stent placement. Then, they underwent clinic visits or telephone follow-up every 1-2 mo until stent removal/exchange or death. The follow-up ended in December 2019.</w:t>
      </w:r>
    </w:p>
    <w:p w14:paraId="166144C0" w14:textId="77777777" w:rsidR="00A77B3E" w:rsidRDefault="00A77B3E" w:rsidP="00B9705D">
      <w:pPr>
        <w:spacing w:line="360" w:lineRule="auto"/>
        <w:jc w:val="both"/>
      </w:pPr>
    </w:p>
    <w:p w14:paraId="2C9739E4" w14:textId="77777777" w:rsidR="00A77B3E" w:rsidRDefault="007F2C33" w:rsidP="00B9705D">
      <w:pPr>
        <w:spacing w:line="360" w:lineRule="auto"/>
        <w:jc w:val="both"/>
      </w:pPr>
      <w:r>
        <w:rPr>
          <w:rFonts w:ascii="Book Antiqua" w:eastAsia="Book Antiqua" w:hAnsi="Book Antiqua" w:cs="Book Antiqua"/>
          <w:b/>
          <w:bCs/>
          <w:i/>
          <w:iCs/>
          <w:color w:val="000000"/>
        </w:rPr>
        <w:t>Outcomes</w:t>
      </w:r>
    </w:p>
    <w:p w14:paraId="4094A5E3" w14:textId="286C325B" w:rsidR="00A77B3E" w:rsidRDefault="007F2C33" w:rsidP="00B9705D">
      <w:pPr>
        <w:spacing w:line="360" w:lineRule="auto"/>
        <w:jc w:val="both"/>
      </w:pPr>
      <w:r>
        <w:rPr>
          <w:rFonts w:ascii="Book Antiqua" w:eastAsia="Book Antiqua" w:hAnsi="Book Antiqua" w:cs="Book Antiqua"/>
          <w:color w:val="000000"/>
        </w:rPr>
        <w:t>The primary outcome was the onset of stent-related cholangitis. Stent-related cholangitis, including non-stent dysfunction cholangitis and stent dysfunction cholangitis, was considered if patients developed symptoms of acute cholangitis during the follow-up period and post-ERCP cholangitis was excluded. Non dysfunction cholangitis was diagnosed when acute cholangitis observed and when there was no definite finding of stent occlusion or migration</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Post-ERCP cholangitis was defined as cholangitis that developed within </w:t>
      </w:r>
      <w:r w:rsidR="0036522C">
        <w:rPr>
          <w:rFonts w:ascii="Book Antiqua" w:eastAsia="Book Antiqua" w:hAnsi="Book Antiqua" w:cs="Book Antiqua"/>
          <w:color w:val="000000"/>
        </w:rPr>
        <w:t xml:space="preserve">2 </w:t>
      </w:r>
      <w:proofErr w:type="spellStart"/>
      <w:r w:rsidR="0036522C">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ERCPs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without definite findings of stent dysfunction, related to ERCP procedures,. The diagnostic criteria for acute cholangitis refer to Tokyo Guidelines 2018</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Stent dysfunction was confirmed by subsequent ERCP findings when patients presented with recurrent obstructive jaundice and/or cholangitis symptoms in combination with resolution of these abnormalities after insertion of a new stent.</w:t>
      </w:r>
    </w:p>
    <w:p w14:paraId="21ACC8F0" w14:textId="3A683EE2" w:rsidR="00A77B3E" w:rsidRDefault="007F2C33" w:rsidP="00B9705D">
      <w:pPr>
        <w:spacing w:line="360" w:lineRule="auto"/>
        <w:ind w:firstLine="480"/>
        <w:jc w:val="both"/>
      </w:pPr>
      <w:r>
        <w:rPr>
          <w:rFonts w:ascii="Book Antiqua" w:eastAsia="Book Antiqua" w:hAnsi="Book Antiqua" w:cs="Book Antiqua"/>
          <w:color w:val="000000"/>
        </w:rPr>
        <w:t>Secondary outcomes were stent patency, clinical success</w:t>
      </w:r>
      <w:r w:rsidR="0036522C">
        <w:rPr>
          <w:rFonts w:ascii="Book Antiqua" w:eastAsia="Book Antiqua" w:hAnsi="Book Antiqua" w:cs="Book Antiqua"/>
          <w:color w:val="000000"/>
        </w:rPr>
        <w:t>,</w:t>
      </w:r>
      <w:r>
        <w:rPr>
          <w:rFonts w:ascii="Book Antiqua" w:eastAsia="Book Antiqua" w:hAnsi="Book Antiqua" w:cs="Book Antiqua"/>
          <w:color w:val="000000"/>
        </w:rPr>
        <w:t xml:space="preserve"> and other adverse events. The duration of stent patency was measured as the days from stent insertion until stent dysfunction requiring stent exchange. Clinical success was defined as a decrease in bilirubin levels of at least 50% within the first week after stent placement in patients with jaundice</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Other adverse events were defined according to American Society for Gastrointestinal Endoscopy guidelines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such as post-ERCP pancreatitis and stent </w:t>
      </w:r>
      <w:r>
        <w:rPr>
          <w:rFonts w:ascii="Book Antiqua" w:eastAsia="Book Antiqua" w:hAnsi="Book Antiqua" w:cs="Book Antiqua"/>
          <w:color w:val="000000"/>
        </w:rPr>
        <w:lastRenderedPageBreak/>
        <w:t>migration. Stent migration included proximal and distal migration. Proximal migration was defined if the stent was visible in bile duct on fluoroscopy</w:t>
      </w:r>
      <w:r w:rsidR="0036522C">
        <w:rPr>
          <w:rFonts w:ascii="Book Antiqua" w:eastAsia="Book Antiqua" w:hAnsi="Book Antiqua" w:cs="Book Antiqua"/>
          <w:color w:val="000000"/>
        </w:rPr>
        <w:t>,</w:t>
      </w:r>
      <w:r>
        <w:rPr>
          <w:rFonts w:ascii="Book Antiqua" w:eastAsia="Book Antiqua" w:hAnsi="Book Antiqua" w:cs="Book Antiqua"/>
          <w:color w:val="000000"/>
        </w:rPr>
        <w:t xml:space="preserve"> but the distal end of the stent was not seen at duodenal papilla on endoscopy</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Partial distal migration was defined if the stent location was below the original position on fluoroscopy, and the distal end of the stent was seen at duodenum on endoscopy. Complete distal migration was defined if the stent was not present on fluoroscopy and endoscopy. Proximal biliary stricture was defined as stricture located in the common hepatic duct, while distal stricture was defined as stricture located in the common bile duct.</w:t>
      </w:r>
    </w:p>
    <w:p w14:paraId="7CA55FFF" w14:textId="77777777" w:rsidR="00A77B3E" w:rsidRDefault="00A77B3E" w:rsidP="00B9705D">
      <w:pPr>
        <w:spacing w:line="360" w:lineRule="auto"/>
        <w:ind w:firstLine="480"/>
        <w:jc w:val="both"/>
      </w:pPr>
    </w:p>
    <w:p w14:paraId="6F60BE68" w14:textId="77777777" w:rsidR="00A77B3E" w:rsidRDefault="007F2C33" w:rsidP="00B9705D">
      <w:pPr>
        <w:spacing w:line="360" w:lineRule="auto"/>
        <w:jc w:val="both"/>
      </w:pPr>
      <w:r>
        <w:rPr>
          <w:rFonts w:ascii="Book Antiqua" w:eastAsia="Book Antiqua" w:hAnsi="Book Antiqua" w:cs="Book Antiqua"/>
          <w:b/>
          <w:bCs/>
          <w:i/>
          <w:iCs/>
          <w:color w:val="000000"/>
        </w:rPr>
        <w:t>Statistical analysis</w:t>
      </w:r>
    </w:p>
    <w:p w14:paraId="6D7596E3" w14:textId="59D49224" w:rsidR="00A77B3E" w:rsidRDefault="007F2C33" w:rsidP="00B9705D">
      <w:pPr>
        <w:spacing w:line="360" w:lineRule="auto"/>
        <w:jc w:val="both"/>
      </w:pPr>
      <w:r>
        <w:rPr>
          <w:rFonts w:ascii="Book Antiqua" w:eastAsia="Book Antiqua" w:hAnsi="Book Antiqua" w:cs="Book Antiqua"/>
          <w:color w:val="000000"/>
        </w:rPr>
        <w:t xml:space="preserve">Continuous variables were characterized using mean with standard deviation or median with interquartile range (IQR), while categorical using frequencies or proportions. Exploratory subgroup analyses for MBS and BBS were performed. The differences of parametric variables between the two groups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and nonparametric variables were compared using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est. Chi-squared test or Fisher’s exact test was used for comparison of differences in categorical variables as appropriate. The cumulative onset of stent-related cholangitis and stent patency of the two groups were plotted using the Kaplan-Meier method and were analyzed using Log-rank test. A</w:t>
      </w:r>
      <w:r w:rsidR="008E64F3">
        <w:rPr>
          <w:rFonts w:ascii="Book Antiqua" w:hAnsi="Book Antiqua" w:cs="Book Antiqua" w:hint="eastAsia"/>
          <w:color w:val="000000"/>
          <w:lang w:eastAsia="zh-CN"/>
        </w:rPr>
        <w:t xml:space="preserve"> </w:t>
      </w:r>
      <w:r>
        <w:rPr>
          <w:rFonts w:ascii="Book Antiqua" w:eastAsia="Book Antiqua" w:hAnsi="Book Antiqua" w:cs="Book Antiqua"/>
          <w:i/>
          <w:iCs/>
          <w:color w:val="000000"/>
        </w:rPr>
        <w:t>P</w:t>
      </w:r>
      <w:r w:rsidR="00474388">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value of &lt; 0.05 was considered statistically significant. All analyses were performed using SPSS v. 23.0 (IBM Corp., Armonk, </w:t>
      </w:r>
      <w:r w:rsidR="008E64F3">
        <w:rPr>
          <w:rFonts w:ascii="Book Antiqua" w:hAnsi="Book Antiqua" w:cs="Book Antiqua" w:hint="eastAsia"/>
          <w:color w:val="000000"/>
          <w:lang w:eastAsia="zh-CN"/>
        </w:rPr>
        <w:t>NY</w:t>
      </w:r>
      <w:r>
        <w:rPr>
          <w:rFonts w:ascii="Book Antiqua" w:eastAsia="Book Antiqua" w:hAnsi="Book Antiqua" w:cs="Book Antiqua"/>
          <w:color w:val="000000"/>
        </w:rPr>
        <w:t>, United States).</w:t>
      </w:r>
    </w:p>
    <w:p w14:paraId="532A6D16" w14:textId="77777777" w:rsidR="00A77B3E" w:rsidRDefault="00A77B3E" w:rsidP="00B9705D">
      <w:pPr>
        <w:spacing w:line="360" w:lineRule="auto"/>
        <w:jc w:val="both"/>
      </w:pPr>
    </w:p>
    <w:p w14:paraId="1DA7D11E" w14:textId="77777777" w:rsidR="00A77B3E" w:rsidRDefault="007F2C33" w:rsidP="00B9705D">
      <w:pPr>
        <w:spacing w:line="360" w:lineRule="auto"/>
        <w:jc w:val="both"/>
      </w:pPr>
      <w:r>
        <w:rPr>
          <w:rFonts w:ascii="Book Antiqua" w:eastAsia="Book Antiqua" w:hAnsi="Book Antiqua" w:cs="Book Antiqua"/>
          <w:b/>
          <w:caps/>
          <w:color w:val="000000"/>
          <w:u w:val="single"/>
        </w:rPr>
        <w:t>RESULTS</w:t>
      </w:r>
    </w:p>
    <w:p w14:paraId="4A0E237F" w14:textId="77777777" w:rsidR="00A77B3E" w:rsidRDefault="007F2C33" w:rsidP="00B9705D">
      <w:pPr>
        <w:spacing w:line="360" w:lineRule="auto"/>
        <w:jc w:val="both"/>
      </w:pPr>
      <w:r>
        <w:rPr>
          <w:rFonts w:ascii="Book Antiqua" w:eastAsia="Book Antiqua" w:hAnsi="Book Antiqua" w:cs="Book Antiqua"/>
          <w:b/>
          <w:bCs/>
          <w:i/>
          <w:iCs/>
          <w:color w:val="000000"/>
        </w:rPr>
        <w:t>Patient characteristics and clinical outcomes</w:t>
      </w:r>
    </w:p>
    <w:p w14:paraId="1B749070" w14:textId="77777777" w:rsidR="00A77B3E" w:rsidRDefault="007F2C33" w:rsidP="00B9705D">
      <w:pPr>
        <w:spacing w:line="360" w:lineRule="auto"/>
        <w:jc w:val="both"/>
      </w:pPr>
      <w:r>
        <w:rPr>
          <w:rFonts w:ascii="Book Antiqua" w:eastAsia="Book Antiqua" w:hAnsi="Book Antiqua" w:cs="Book Antiqua"/>
          <w:color w:val="000000"/>
        </w:rPr>
        <w:t>From February 2016 to May 2019, a total of 274 eligible patients who underwent first endoscopic biliary stenting were screened. Among these, 140 patients were excluded due to the presence of exclusion criteria; thus, 133 patients were included in the final analyses, including 67 patients in the ARPS group and 66 patients in the TPS group (Figure 3).</w:t>
      </w:r>
    </w:p>
    <w:p w14:paraId="61D5CF3C" w14:textId="4AF75B0D" w:rsidR="00A77B3E" w:rsidRDefault="007F2C33" w:rsidP="00B9705D">
      <w:pPr>
        <w:spacing w:line="360" w:lineRule="auto"/>
        <w:ind w:firstLine="480"/>
        <w:jc w:val="both"/>
      </w:pPr>
      <w:r>
        <w:rPr>
          <w:rFonts w:ascii="Book Antiqua" w:eastAsia="Book Antiqua" w:hAnsi="Book Antiqua" w:cs="Book Antiqua"/>
          <w:color w:val="000000"/>
        </w:rPr>
        <w:t xml:space="preserve">The baseline demographic data, liver function test results, cholecystectomy history, and comorbidities did not significantly differ between the two groups (Table 1). There were 90 (67.7%) patients of MBSs and 43 (32.3%) patients of BBSs in the two groups. </w:t>
      </w:r>
      <w:r>
        <w:rPr>
          <w:rFonts w:ascii="Book Antiqua" w:eastAsia="Book Antiqua" w:hAnsi="Book Antiqua" w:cs="Book Antiqua"/>
          <w:color w:val="000000"/>
        </w:rPr>
        <w:lastRenderedPageBreak/>
        <w:t>Among patients with MBSs, 44 (48.9%) patients had pathological confirmation of malignancy through brush cytology, transpapillary biopsy, or fine needle aspiration sampling. Also, 46 (51.1%) patients with imaging-evidenced tumors were confirmed by clinical follow-up (Table 2). All ARPSs or TPSs were successful placement in an appropriate position as confirmed by fluoroscopy. Clinical success was achieved in 123 (92.5%) patients, while there was no significant difference between the ARPS (</w:t>
      </w:r>
      <w:r>
        <w:rPr>
          <w:rFonts w:ascii="Book Antiqua" w:eastAsia="Book Antiqua" w:hAnsi="Book Antiqua" w:cs="Book Antiqua"/>
          <w:i/>
          <w:iCs/>
          <w:color w:val="000000"/>
        </w:rPr>
        <w:t>n</w:t>
      </w:r>
      <w:r>
        <w:rPr>
          <w:rFonts w:ascii="Book Antiqua" w:eastAsia="Book Antiqua" w:hAnsi="Book Antiqua" w:cs="Book Antiqua"/>
          <w:color w:val="000000"/>
        </w:rPr>
        <w:t xml:space="preserve"> = 62) and TPS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61) (92.5% </w:t>
      </w:r>
      <w:r>
        <w:rPr>
          <w:rFonts w:ascii="Book Antiqua" w:eastAsia="Book Antiqua" w:hAnsi="Book Antiqua" w:cs="Book Antiqua"/>
          <w:i/>
          <w:iCs/>
          <w:color w:val="000000"/>
        </w:rPr>
        <w:t>vs</w:t>
      </w:r>
      <w:r>
        <w:rPr>
          <w:rFonts w:ascii="Book Antiqua" w:eastAsia="Book Antiqua" w:hAnsi="Book Antiqua" w:cs="Book Antiqua"/>
          <w:color w:val="000000"/>
        </w:rPr>
        <w:t xml:space="preserve"> 92.4%</w:t>
      </w:r>
      <w:r w:rsidR="0067330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1.000).</w:t>
      </w:r>
    </w:p>
    <w:p w14:paraId="627C13A0" w14:textId="77777777" w:rsidR="00A77B3E" w:rsidRDefault="00A77B3E" w:rsidP="00B9705D">
      <w:pPr>
        <w:spacing w:line="360" w:lineRule="auto"/>
        <w:ind w:firstLine="480"/>
        <w:jc w:val="both"/>
      </w:pPr>
    </w:p>
    <w:p w14:paraId="4D09D15E" w14:textId="77777777" w:rsidR="00A77B3E" w:rsidRDefault="007F2C33" w:rsidP="00B9705D">
      <w:pPr>
        <w:spacing w:line="360" w:lineRule="auto"/>
        <w:jc w:val="both"/>
      </w:pPr>
      <w:r>
        <w:rPr>
          <w:rFonts w:ascii="Book Antiqua" w:eastAsia="Book Antiqua" w:hAnsi="Book Antiqua" w:cs="Book Antiqua"/>
          <w:b/>
          <w:bCs/>
          <w:i/>
          <w:iCs/>
          <w:color w:val="000000"/>
        </w:rPr>
        <w:t>Stent-related cholangitis</w:t>
      </w:r>
    </w:p>
    <w:p w14:paraId="0CB1E0BD" w14:textId="7FB765EC" w:rsidR="00A77B3E" w:rsidRDefault="007F2C33" w:rsidP="00B9705D">
      <w:pPr>
        <w:spacing w:line="360" w:lineRule="auto"/>
        <w:jc w:val="both"/>
      </w:pPr>
      <w:r>
        <w:rPr>
          <w:rFonts w:ascii="Book Antiqua" w:eastAsia="Book Antiqua" w:hAnsi="Book Antiqua" w:cs="Book Antiqua"/>
          <w:color w:val="000000"/>
        </w:rPr>
        <w:t>During the follow-up period, 8 (11.9%) patients in the ARPS group and 18 (27.3%) patients in the TPS group developed stent-related cholangitis, and a significant difference was noted (</w:t>
      </w:r>
      <w:r>
        <w:rPr>
          <w:rFonts w:ascii="Book Antiqua" w:eastAsia="Book Antiqua" w:hAnsi="Book Antiqua" w:cs="Book Antiqua"/>
          <w:i/>
          <w:iCs/>
          <w:color w:val="000000"/>
        </w:rPr>
        <w:t xml:space="preserve">P </w:t>
      </w:r>
      <w:r>
        <w:rPr>
          <w:rFonts w:ascii="Book Antiqua" w:eastAsia="Book Antiqua" w:hAnsi="Book Antiqua" w:cs="Book Antiqua"/>
          <w:color w:val="000000"/>
        </w:rPr>
        <w:t>= 0.030). Among 8 patients with stent-related cholangitis in the ARPS group, 2 patients had pre-ERCP cholangitis</w:t>
      </w:r>
      <w:r w:rsidR="005E2B3F">
        <w:rPr>
          <w:rFonts w:ascii="Book Antiqua" w:eastAsia="Book Antiqua" w:hAnsi="Book Antiqua" w:cs="Book Antiqua"/>
          <w:color w:val="000000"/>
        </w:rPr>
        <w:t>,</w:t>
      </w:r>
      <w:r>
        <w:rPr>
          <w:rFonts w:ascii="Book Antiqua" w:eastAsia="Book Antiqua" w:hAnsi="Book Antiqua" w:cs="Book Antiqua"/>
          <w:color w:val="000000"/>
        </w:rPr>
        <w:t xml:space="preserve"> and 2 patients had non-stent dysfunction cholangitis. One patient had proximal stricture</w:t>
      </w:r>
      <w:r w:rsidR="005E2B3F">
        <w:rPr>
          <w:rFonts w:ascii="Book Antiqua" w:eastAsia="Book Antiqua" w:hAnsi="Book Antiqua" w:cs="Book Antiqua"/>
          <w:color w:val="000000"/>
        </w:rPr>
        <w:t>,</w:t>
      </w:r>
      <w:r>
        <w:rPr>
          <w:rFonts w:ascii="Book Antiqua" w:eastAsia="Book Antiqua" w:hAnsi="Book Antiqua" w:cs="Book Antiqua"/>
          <w:color w:val="000000"/>
        </w:rPr>
        <w:t xml:space="preserve"> and 7 patients had distal stricture. While 18 patients in the TPS group, 6 patients had pre-ERCP cholangitis</w:t>
      </w:r>
      <w:r w:rsidR="005E2B3F">
        <w:rPr>
          <w:rFonts w:ascii="Book Antiqua" w:eastAsia="Book Antiqua" w:hAnsi="Book Antiqua" w:cs="Book Antiqua"/>
          <w:color w:val="000000"/>
        </w:rPr>
        <w:t>,</w:t>
      </w:r>
      <w:r>
        <w:rPr>
          <w:rFonts w:ascii="Book Antiqua" w:eastAsia="Book Antiqua" w:hAnsi="Book Antiqua" w:cs="Book Antiqua"/>
          <w:color w:val="000000"/>
        </w:rPr>
        <w:t xml:space="preserve"> and 6 patients had non-stent dysfunction cholangitis. Three patients had proximal stricture</w:t>
      </w:r>
      <w:r w:rsidR="005E2B3F">
        <w:rPr>
          <w:rFonts w:ascii="Book Antiqua" w:eastAsia="Book Antiqua" w:hAnsi="Book Antiqua" w:cs="Book Antiqua"/>
          <w:color w:val="000000"/>
        </w:rPr>
        <w:t>,</w:t>
      </w:r>
      <w:r>
        <w:rPr>
          <w:rFonts w:ascii="Book Antiqua" w:eastAsia="Book Antiqua" w:hAnsi="Book Antiqua" w:cs="Book Antiqua"/>
          <w:color w:val="000000"/>
        </w:rPr>
        <w:t xml:space="preserve"> and 15 patients had distal stricture. The rates of pre-ERCP cholangitis (</w:t>
      </w:r>
      <w:r>
        <w:rPr>
          <w:rFonts w:ascii="Book Antiqua" w:eastAsia="Book Antiqua" w:hAnsi="Book Antiqua" w:cs="Book Antiqua"/>
          <w:i/>
          <w:iCs/>
          <w:color w:val="000000"/>
        </w:rPr>
        <w:t xml:space="preserve">P </w:t>
      </w:r>
      <w:r>
        <w:rPr>
          <w:rFonts w:ascii="Book Antiqua" w:eastAsia="Book Antiqua" w:hAnsi="Book Antiqua" w:cs="Book Antiqua"/>
          <w:color w:val="000000"/>
        </w:rPr>
        <w:t>= 0.657), onset of non-stent dysfunction cholangitis (</w:t>
      </w:r>
      <w:r>
        <w:rPr>
          <w:rFonts w:ascii="Book Antiqua" w:eastAsia="Book Antiqua" w:hAnsi="Book Antiqua" w:cs="Book Antiqua"/>
          <w:i/>
          <w:iCs/>
          <w:color w:val="000000"/>
        </w:rPr>
        <w:t xml:space="preserve">P </w:t>
      </w:r>
      <w:r>
        <w:rPr>
          <w:rFonts w:ascii="Book Antiqua" w:eastAsia="Book Antiqua" w:hAnsi="Book Antiqua" w:cs="Book Antiqua"/>
          <w:color w:val="000000"/>
        </w:rPr>
        <w:t>= 0.165), and distribution of stricture location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1.000) did not significantly differ between both groups. In the MBS or BBS subgroup, no significant difference in the onset of stent-related cholangitis was observed between the two groups. The median time till the onset of first stent-related cholangitis in the ARPS group was later than that in the TPS group (128.5 d, IQR 197.5, range 65-347 d </w:t>
      </w:r>
      <w:r>
        <w:rPr>
          <w:rFonts w:ascii="Book Antiqua" w:eastAsia="Book Antiqua" w:hAnsi="Book Antiqua" w:cs="Book Antiqua"/>
          <w:i/>
          <w:iCs/>
          <w:color w:val="000000"/>
        </w:rPr>
        <w:t>vs</w:t>
      </w:r>
      <w:r>
        <w:rPr>
          <w:rFonts w:ascii="Book Antiqua" w:eastAsia="Book Antiqua" w:hAnsi="Book Antiqua" w:cs="Book Antiqua"/>
          <w:color w:val="000000"/>
        </w:rPr>
        <w:t xml:space="preserve"> 76 d, IQR 72.8, range 5-337;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0.039), and there was also a similar trend in the cumulative median time between the two groups (Figure 4). In the ARPS group, 6 patients had stent-related cholangitis only once, 2 patients had it twice. In the TPS group, 12 patients had it once, 5 patients had it twice, and 1 patient had it </w:t>
      </w:r>
      <w:r w:rsidR="005E2B3F">
        <w:rPr>
          <w:rFonts w:ascii="Book Antiqua" w:eastAsia="Book Antiqua" w:hAnsi="Book Antiqua" w:cs="Book Antiqua"/>
          <w:color w:val="000000"/>
        </w:rPr>
        <w:t>three</w:t>
      </w:r>
      <w:r>
        <w:rPr>
          <w:rFonts w:ascii="Book Antiqua" w:eastAsia="Book Antiqua" w:hAnsi="Book Antiqua" w:cs="Book Antiqua"/>
          <w:color w:val="000000"/>
        </w:rPr>
        <w:t xml:space="preserve"> times. There was no significant difference in the frequency of stent-related cholangitis between the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0.115) (Table 3).</w:t>
      </w:r>
    </w:p>
    <w:p w14:paraId="1F07611E" w14:textId="77777777" w:rsidR="00A77B3E" w:rsidRDefault="00A77B3E" w:rsidP="00B9705D">
      <w:pPr>
        <w:spacing w:line="360" w:lineRule="auto"/>
        <w:jc w:val="both"/>
      </w:pPr>
    </w:p>
    <w:p w14:paraId="7925870C" w14:textId="77777777" w:rsidR="00A77B3E" w:rsidRDefault="007F2C33" w:rsidP="00B9705D">
      <w:pPr>
        <w:spacing w:line="360" w:lineRule="auto"/>
        <w:jc w:val="both"/>
      </w:pPr>
      <w:r>
        <w:rPr>
          <w:rFonts w:ascii="Book Antiqua" w:eastAsia="Book Antiqua" w:hAnsi="Book Antiqua" w:cs="Book Antiqua"/>
          <w:b/>
          <w:bCs/>
          <w:i/>
          <w:iCs/>
          <w:color w:val="000000"/>
        </w:rPr>
        <w:t>Stent patency</w:t>
      </w:r>
    </w:p>
    <w:p w14:paraId="2FBADEAE" w14:textId="77777777" w:rsidR="00A77B3E" w:rsidRDefault="007F2C33" w:rsidP="00B9705D">
      <w:pPr>
        <w:spacing w:line="360" w:lineRule="auto"/>
        <w:jc w:val="both"/>
      </w:pPr>
      <w:r>
        <w:rPr>
          <w:rFonts w:ascii="Book Antiqua" w:eastAsia="Book Antiqua" w:hAnsi="Book Antiqua" w:cs="Book Antiqua"/>
          <w:color w:val="000000"/>
        </w:rPr>
        <w:lastRenderedPageBreak/>
        <w:t>Up till the final follow-up, stent dysfunction was noted in 44 (65.7%) patients in the ARPS group and 52 (78.8%) patients in the TPS group, with median stent patency of 124 d (IQR 139, range 6-474) and 114 d (IQR 76.5, range 4-353), respectively. There were no significant differences in the occurrence of stent dysfunction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0.091) and the median stent patency between the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0.135).</w:t>
      </w:r>
    </w:p>
    <w:p w14:paraId="2EFD94D9" w14:textId="38154849" w:rsidR="00A77B3E" w:rsidRDefault="007F2C33" w:rsidP="00B9705D">
      <w:pPr>
        <w:spacing w:line="360" w:lineRule="auto"/>
        <w:ind w:firstLine="480"/>
        <w:jc w:val="both"/>
      </w:pPr>
      <w:r>
        <w:rPr>
          <w:rFonts w:ascii="Book Antiqua" w:eastAsia="Book Antiqua" w:hAnsi="Book Antiqua" w:cs="Book Antiqua"/>
          <w:color w:val="000000"/>
        </w:rPr>
        <w:t>In the remaining patients, stent patency was maintained until stent removal/exchange or death. The cumulative median stent patencies were 185 d (SE 8.6; 95%CI: 168.2-201.8) in the ARPS group and 133 d (SE 16.9; 95%CI: 99.8-166.2) in the TPS group; the observed difference was statistically significant (</w:t>
      </w:r>
      <w:r>
        <w:rPr>
          <w:rFonts w:ascii="Book Antiqua" w:eastAsia="Book Antiqua" w:hAnsi="Book Antiqua" w:cs="Book Antiqua"/>
          <w:i/>
          <w:iCs/>
          <w:color w:val="000000"/>
        </w:rPr>
        <w:t xml:space="preserve">P = </w:t>
      </w:r>
      <w:r>
        <w:rPr>
          <w:rFonts w:ascii="Book Antiqua" w:eastAsia="Book Antiqua" w:hAnsi="Book Antiqua" w:cs="Book Antiqua"/>
          <w:color w:val="000000"/>
        </w:rPr>
        <w:t>0.001). The cumulative median stent patency was 124 d (SE 26.2; 95%CI: 72.7-175.3) in patients with stent-related cholangitis in the ARPS group, while it was 96 d (SE 22.1; 95%CI: 52.7-139.3) in the TPS group (</w:t>
      </w:r>
      <w:r>
        <w:rPr>
          <w:rFonts w:ascii="Book Antiqua" w:eastAsia="Book Antiqua" w:hAnsi="Book Antiqua" w:cs="Book Antiqua"/>
          <w:i/>
          <w:iCs/>
          <w:color w:val="000000"/>
        </w:rPr>
        <w:t xml:space="preserve">P = </w:t>
      </w:r>
      <w:r>
        <w:rPr>
          <w:rFonts w:ascii="Book Antiqua" w:eastAsia="Book Antiqua" w:hAnsi="Book Antiqua" w:cs="Book Antiqua"/>
          <w:color w:val="000000"/>
        </w:rPr>
        <w:t>0.420). In the MBS subgroup, the cumulative median stent patencies in the ARPS and TPS groups were 173 d (SE 32.0; 95%CI: 110.3-235.7) and 98 d (SE 11.6; 95%CI: 75.3-120.7), respectively; the observed difference was statistically significant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0.008). In the BBS subgroup, the cumulative median stent patency in the ARPS group was significantly longer than that in the TPS group (210 d, SE 23.8, 95%CI: 163.4-256.6 </w:t>
      </w:r>
      <w:r>
        <w:rPr>
          <w:rFonts w:ascii="Book Antiqua" w:eastAsia="Book Antiqua" w:hAnsi="Book Antiqua" w:cs="Book Antiqua"/>
          <w:i/>
          <w:iCs/>
          <w:color w:val="000000"/>
        </w:rPr>
        <w:t>vs</w:t>
      </w:r>
      <w:r>
        <w:rPr>
          <w:rFonts w:ascii="Book Antiqua" w:eastAsia="Book Antiqua" w:hAnsi="Book Antiqua" w:cs="Book Antiqua"/>
          <w:color w:val="000000"/>
        </w:rPr>
        <w:t xml:space="preserve"> 155 d, SE 6.0, 95%CI: 143.3-166.8</w:t>
      </w:r>
      <w:r w:rsidR="0067330E">
        <w:rPr>
          <w:rFonts w:ascii="Book Antiqua" w:eastAsia="Book Antiqua" w:hAnsi="Book Antiqua" w:cs="Book Antiqua"/>
          <w:color w:val="000000"/>
        </w:rPr>
        <w:t>;</w:t>
      </w:r>
      <w:r>
        <w:rPr>
          <w:rFonts w:ascii="Book Antiqua" w:eastAsia="Book Antiqua" w:hAnsi="Book Antiqua" w:cs="Book Antiqua"/>
          <w:color w:val="000000"/>
        </w:rPr>
        <w:t> </w:t>
      </w:r>
      <w:r>
        <w:rPr>
          <w:rFonts w:ascii="Book Antiqua" w:eastAsia="Book Antiqua" w:hAnsi="Book Antiqua" w:cs="Book Antiqua"/>
          <w:i/>
          <w:iCs/>
          <w:color w:val="000000"/>
        </w:rPr>
        <w:t xml:space="preserve">P = </w:t>
      </w:r>
      <w:r>
        <w:rPr>
          <w:rFonts w:ascii="Book Antiqua" w:eastAsia="Book Antiqua" w:hAnsi="Book Antiqua" w:cs="Book Antiqua"/>
          <w:color w:val="000000"/>
        </w:rPr>
        <w:t>0.049) (Table 3, Figure 5). </w:t>
      </w:r>
    </w:p>
    <w:p w14:paraId="5144284A" w14:textId="77777777" w:rsidR="00A77B3E" w:rsidRDefault="00A77B3E" w:rsidP="00B9705D">
      <w:pPr>
        <w:spacing w:line="360" w:lineRule="auto"/>
        <w:ind w:firstLine="480"/>
        <w:jc w:val="both"/>
      </w:pPr>
    </w:p>
    <w:p w14:paraId="3ECA8875" w14:textId="77777777" w:rsidR="00A77B3E" w:rsidRDefault="007F2C33" w:rsidP="00B9705D">
      <w:pPr>
        <w:spacing w:line="360" w:lineRule="auto"/>
        <w:jc w:val="both"/>
      </w:pPr>
      <w:r>
        <w:rPr>
          <w:rFonts w:ascii="Book Antiqua" w:eastAsia="Book Antiqua" w:hAnsi="Book Antiqua" w:cs="Book Antiqua"/>
          <w:b/>
          <w:bCs/>
          <w:i/>
          <w:iCs/>
          <w:color w:val="000000"/>
        </w:rPr>
        <w:t>Other adverse events</w:t>
      </w:r>
    </w:p>
    <w:p w14:paraId="7AE1C7B8" w14:textId="700BD6F0" w:rsidR="00A77B3E" w:rsidRDefault="007F2C33" w:rsidP="00B9705D">
      <w:pPr>
        <w:spacing w:line="360" w:lineRule="auto"/>
        <w:jc w:val="both"/>
      </w:pPr>
      <w:r>
        <w:rPr>
          <w:rFonts w:ascii="Book Antiqua" w:eastAsia="Book Antiqua" w:hAnsi="Book Antiqua" w:cs="Book Antiqua"/>
          <w:color w:val="000000"/>
        </w:rPr>
        <w:t>Post-ERCP pancreatitis occurred in 4 (6.0%) patients and 2 (3.0%) patients in the ARPS and TPS groups, respectively (</w:t>
      </w:r>
      <w:r>
        <w:rPr>
          <w:rFonts w:ascii="Book Antiqua" w:eastAsia="Book Antiqua" w:hAnsi="Book Antiqua" w:cs="Book Antiqua"/>
          <w:i/>
          <w:iCs/>
          <w:color w:val="000000"/>
        </w:rPr>
        <w:t xml:space="preserve">P = </w:t>
      </w:r>
      <w:r>
        <w:rPr>
          <w:rFonts w:ascii="Book Antiqua" w:eastAsia="Book Antiqua" w:hAnsi="Book Antiqua" w:cs="Book Antiqua"/>
          <w:color w:val="000000"/>
        </w:rPr>
        <w:t>1.000), which were mild and improved after conservative treatment. Post-ERCP cholangitis occurred in 1 (1.5%) patient in the ARPS group and 1 (1.5%) patient in the TPS group (</w:t>
      </w:r>
      <w:r>
        <w:rPr>
          <w:rFonts w:ascii="Book Antiqua" w:eastAsia="Book Antiqua" w:hAnsi="Book Antiqua" w:cs="Book Antiqua"/>
          <w:i/>
          <w:iCs/>
          <w:color w:val="000000"/>
        </w:rPr>
        <w:t xml:space="preserve">P = </w:t>
      </w:r>
      <w:r>
        <w:rPr>
          <w:rFonts w:ascii="Book Antiqua" w:eastAsia="Book Antiqua" w:hAnsi="Book Antiqua" w:cs="Book Antiqua"/>
          <w:color w:val="000000"/>
        </w:rPr>
        <w:t>1.000). They were mild and relieved after antibiotic therapy. No stent proximal migration was observed. Stent distal migration was noted in 3 (4.5%) patients in the ARPS group, including 2 patients of partial migration and 1 patient of complete migration. There were 4（6.0%）patients of distal migration in the TPS group, including 2 patients of partial migration and 2 patients of complete migration. No significant difference was noted in the incidence of distal migration between the two groups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0.718). All partial distal migrated stents were retrieved </w:t>
      </w:r>
      <w:r>
        <w:rPr>
          <w:rFonts w:ascii="Book Antiqua" w:eastAsia="Book Antiqua" w:hAnsi="Book Antiqua" w:cs="Book Antiqua"/>
          <w:color w:val="000000"/>
        </w:rPr>
        <w:lastRenderedPageBreak/>
        <w:t>endoscopically, and complete distal migrated stents passed spontaneously. No stent migration-related intestinal injury was observed (Table 3).</w:t>
      </w:r>
    </w:p>
    <w:p w14:paraId="42B7C82B" w14:textId="77777777" w:rsidR="00A77B3E" w:rsidRDefault="00A77B3E" w:rsidP="00B9705D">
      <w:pPr>
        <w:spacing w:line="360" w:lineRule="auto"/>
        <w:jc w:val="both"/>
      </w:pPr>
    </w:p>
    <w:p w14:paraId="1F86E9DF" w14:textId="77777777" w:rsidR="00A77B3E" w:rsidRDefault="007F2C33" w:rsidP="00B9705D">
      <w:pPr>
        <w:spacing w:line="360" w:lineRule="auto"/>
        <w:jc w:val="both"/>
      </w:pPr>
      <w:r>
        <w:rPr>
          <w:rFonts w:ascii="Book Antiqua" w:eastAsia="Book Antiqua" w:hAnsi="Book Antiqua" w:cs="Book Antiqua"/>
          <w:b/>
          <w:caps/>
          <w:color w:val="000000"/>
          <w:u w:val="single"/>
        </w:rPr>
        <w:t>DISCUSSION</w:t>
      </w:r>
    </w:p>
    <w:p w14:paraId="15C6D818" w14:textId="77777777" w:rsidR="00A77B3E" w:rsidRDefault="007F2C33" w:rsidP="00B9705D">
      <w:pPr>
        <w:spacing w:line="360" w:lineRule="auto"/>
        <w:jc w:val="both"/>
      </w:pPr>
      <w:r>
        <w:rPr>
          <w:rFonts w:ascii="Book Antiqua" w:eastAsia="Book Antiqua" w:hAnsi="Book Antiqua" w:cs="Book Antiqua"/>
          <w:color w:val="000000"/>
        </w:rPr>
        <w:t>Our study revealed that placement of new ARPS in patients with biliary strictures could reduce the onset of stent-related cholangitis and prolong stent patency. No serious procedures or stents related adverse events were observed. The use of new ARPS proved to be safe and effective.</w:t>
      </w:r>
    </w:p>
    <w:p w14:paraId="085CE085" w14:textId="548DF6C1" w:rsidR="00A77B3E" w:rsidRDefault="007F2C33" w:rsidP="00B9705D">
      <w:pPr>
        <w:spacing w:line="360" w:lineRule="auto"/>
        <w:ind w:firstLine="480"/>
        <w:jc w:val="both"/>
      </w:pPr>
      <w:r>
        <w:rPr>
          <w:rFonts w:ascii="Book Antiqua" w:eastAsia="Book Antiqua" w:hAnsi="Book Antiqua" w:cs="Book Antiqua"/>
          <w:color w:val="000000"/>
        </w:rPr>
        <w:t>Although placement of SEMS is recommended for patients with unresectable MBS</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many patients in our institution prefer to PSs rather than SEMSs due to the costs, especially those with life expectancy less than 6 mo. Therefore, PSs were used in this study for patients with MBS. Considering the limited patency of PSs, we scheduled routine stent exchange every 3 to 6 mo. However, some patients only underwent stent removal/exchange when cholangitis or stent dysfunction occurred, due to the large number of patients and long waiting time for admission in our institution.</w:t>
      </w:r>
    </w:p>
    <w:p w14:paraId="6E1E12F3" w14:textId="77777777" w:rsidR="00A77B3E" w:rsidRDefault="007F2C33" w:rsidP="00B9705D">
      <w:pPr>
        <w:spacing w:line="360" w:lineRule="auto"/>
        <w:ind w:firstLine="480"/>
        <w:jc w:val="both"/>
      </w:pPr>
      <w:r>
        <w:rPr>
          <w:rFonts w:ascii="Book Antiqua" w:eastAsia="Book Antiqua" w:hAnsi="Book Antiqua" w:cs="Book Antiqua"/>
          <w:color w:val="000000"/>
        </w:rPr>
        <w:t xml:space="preserve">In the present study, the occurrence of stent-related cholangitis in the ARPS group was significantly lower than that in the TPS group. Moreover, the median time and cumulative median time till the onset of first stent-related cholangitis were significantly later than those in the TPS group, which may be attributed to the anti-reflux mechanism. The anti-reflux valve of the new ARPS, designed as “duckbilled”, could simulate the opening and closing function of a duck’s bill. This design allows antegrade bile flow into the duodenum, while it closes immediately when the intestinal pressure increases, thereby reducing the reflux of intestinal contents such as bacteria and food materials. However, the role of new ARPS in reducing the onset of cholangitis was not obvious in the subgroup analyses. The sample size in this study may not be adequate for exploratory subgroup analyses. A small number of patients in both groups experienced 2 to 3 episodes of stent-related cholangitis. These patients usually presented with mild cholangitis symptoms, such as fever (temperature &gt; 38 °C) and chills, accompanied by upper abdominal discomfort, and without obvious signs of stent occlusion, namely non-stent dysfunction cholangitis. In the early stage of stent occlusion, bacteria from the </w:t>
      </w:r>
      <w:r>
        <w:rPr>
          <w:rFonts w:ascii="Book Antiqua" w:eastAsia="Book Antiqua" w:hAnsi="Book Antiqua" w:cs="Book Antiqua"/>
          <w:color w:val="000000"/>
        </w:rPr>
        <w:lastRenderedPageBreak/>
        <w:t>duodenum refluxed into the biliary tract and colonized, thus causing mild cholangitis. Although antibiotics could ameliorate symptoms, mild cholangitis were prone to recur owing to the existence of partial stent occlusion. Therefore, patients with recurrent cholangitis after stent placement should be considered for exchange a new one.</w:t>
      </w:r>
    </w:p>
    <w:p w14:paraId="12C9DCCE" w14:textId="6C702E1E" w:rsidR="00A77B3E" w:rsidRDefault="007F2C33" w:rsidP="00B9705D">
      <w:pPr>
        <w:spacing w:line="360" w:lineRule="auto"/>
        <w:ind w:firstLine="480"/>
        <w:jc w:val="both"/>
      </w:pPr>
      <w:r>
        <w:rPr>
          <w:rFonts w:ascii="Book Antiqua" w:eastAsia="Book Antiqua" w:hAnsi="Book Antiqua" w:cs="Book Antiqua"/>
          <w:color w:val="000000"/>
        </w:rPr>
        <w:t>As the relatively short stent patency has always been an important issue in clinical practice, prolonging stent patency was another focus of this and previous studies. The actual mechanisms of PS occlusion remain unclear. The initial event of PS occlusion is the biofilm formation</w:t>
      </w:r>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 Several previous studies</w:t>
      </w:r>
      <w:r>
        <w:rPr>
          <w:rFonts w:ascii="Book Antiqua" w:eastAsia="Book Antiqua" w:hAnsi="Book Antiqua" w:cs="Book Antiqua"/>
          <w:color w:val="000000"/>
          <w:szCs w:val="20"/>
          <w:vertAlign w:val="superscript"/>
        </w:rPr>
        <w:t>[24-26]</w:t>
      </w:r>
      <w:r>
        <w:rPr>
          <w:rFonts w:ascii="Book Antiqua" w:eastAsia="Book Antiqua" w:hAnsi="Book Antiqua" w:cs="Book Antiqua"/>
          <w:color w:val="000000"/>
        </w:rPr>
        <w:t xml:space="preserve"> have focused on the material of stents or the special coat that prevent bacterial adherence and biofilm formation, revealing somewhat discrepant results between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testing and clinical studies. Food materials refluxed from the duodenum have been observed in occluded PSs, thus suggesting that duodenobiliary reflux may have an important role in stent occlusion</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It could theoretically prolong stent patency if we change the design of stent to eliminate retrograde flow from the intestine. Our study confirmed that new ARPS was superior to TPS in achieving relatively longer stent patency in either BBSs or MBSs. The ARPSs reported in prior studies</w:t>
      </w:r>
      <w:r>
        <w:rPr>
          <w:rFonts w:ascii="Book Antiqua" w:eastAsia="Book Antiqua" w:hAnsi="Book Antiqua" w:cs="Book Antiqua"/>
          <w:color w:val="000000"/>
          <w:szCs w:val="20"/>
          <w:vertAlign w:val="superscript"/>
        </w:rPr>
        <w:t>[7,13,14]</w:t>
      </w:r>
      <w:r>
        <w:rPr>
          <w:rFonts w:ascii="Book Antiqua" w:eastAsia="Book Antiqua" w:hAnsi="Book Antiqua" w:cs="Book Antiqua"/>
          <w:color w:val="000000"/>
        </w:rPr>
        <w:t xml:space="preserve"> had a relatively large anti-reflux valve opening, which may diminish the effect on reducing duodenobiliary reflux. Moreover, the length of the anti-reflux valve was long (about 4cm), and the valve was easy to collapse or fold, resulting in poor bile drainage. Therefore, no ideal results were observed in their clinical trials. In the present study, the anti-reflux valve of the ARPS had a small opening, and its short length (about 1.5 cm) made it relatively hard to collapse or fold. It should be noted that the bile drainage gets blocked in the short term if the anti-reflux valve is not fully deployed during placement. This phenomenon occurred in </w:t>
      </w:r>
      <w:r w:rsidR="007F15C3">
        <w:rPr>
          <w:rFonts w:ascii="Book Antiqua" w:eastAsia="Book Antiqua" w:hAnsi="Book Antiqua" w:cs="Book Antiqua"/>
          <w:color w:val="000000"/>
        </w:rPr>
        <w:t>1</w:t>
      </w:r>
      <w:r>
        <w:rPr>
          <w:rFonts w:ascii="Book Antiqua" w:eastAsia="Book Antiqua" w:hAnsi="Book Antiqua" w:cs="Book Antiqua"/>
          <w:color w:val="000000"/>
        </w:rPr>
        <w:t xml:space="preserve"> patient in our study; thus, complete expansion of the valve and sufficient bile flow are needed to be confirmed before the withdrawal of the duodenoscope.</w:t>
      </w:r>
    </w:p>
    <w:p w14:paraId="65288D4C" w14:textId="4C31332A" w:rsidR="00A77B3E" w:rsidRDefault="007F2C33" w:rsidP="00B9705D">
      <w:pPr>
        <w:spacing w:line="360" w:lineRule="auto"/>
        <w:ind w:firstLine="480"/>
        <w:jc w:val="both"/>
      </w:pPr>
      <w:r>
        <w:rPr>
          <w:rFonts w:ascii="Book Antiqua" w:eastAsia="Book Antiqua" w:hAnsi="Book Antiqua" w:cs="Book Antiqua"/>
          <w:color w:val="000000"/>
        </w:rPr>
        <w:t>Similar delivery systems were used in this study to deploy the investigated ARPS and TPS. Despite the valve, endoscopic placement of the ARPS was not difficult and did not increase the risk of biliary tract infection. The rates of post-ERCP cholangitis in the two groups were comparable to the rate (0.5-5%) previously reported</w:t>
      </w:r>
      <w:r>
        <w:rPr>
          <w:rFonts w:ascii="Book Antiqua" w:eastAsia="Book Antiqua" w:hAnsi="Book Antiqua" w:cs="Book Antiqua"/>
          <w:color w:val="000000"/>
          <w:szCs w:val="20"/>
          <w:vertAlign w:val="superscript"/>
        </w:rPr>
        <w:t>[27-30]</w:t>
      </w:r>
      <w:r>
        <w:rPr>
          <w:rFonts w:ascii="Book Antiqua" w:eastAsia="Book Antiqua" w:hAnsi="Book Antiqua" w:cs="Book Antiqua"/>
          <w:color w:val="000000"/>
        </w:rPr>
        <w:t xml:space="preserve">. European Society of Gastrointestinal Endoscopy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has shown that endoscopic </w:t>
      </w:r>
      <w:r>
        <w:rPr>
          <w:rFonts w:ascii="Book Antiqua" w:eastAsia="Book Antiqua" w:hAnsi="Book Antiqua" w:cs="Book Antiqua"/>
          <w:color w:val="000000"/>
        </w:rPr>
        <w:lastRenderedPageBreak/>
        <w:t xml:space="preserve">sphincterotomy is a risk factor for post-ERCP pancreatitis; thus, </w:t>
      </w:r>
      <w:r w:rsidR="007F15C3">
        <w:rPr>
          <w:rFonts w:ascii="Book Antiqua" w:eastAsia="Book Antiqua" w:hAnsi="Book Antiqua" w:cs="Book Antiqua"/>
          <w:color w:val="000000"/>
        </w:rPr>
        <w:t xml:space="preserve">endoscopic sphincterotomy </w:t>
      </w:r>
      <w:r>
        <w:rPr>
          <w:rFonts w:ascii="Book Antiqua" w:eastAsia="Book Antiqua" w:hAnsi="Book Antiqua" w:cs="Book Antiqua"/>
          <w:color w:val="000000"/>
        </w:rPr>
        <w:t>was not routinely performed in this study. There was no significant difference in the incidence of post-ERCP pancreatitis between the two groups, neither this incidence was higher than the one (9.7%) reported in the latest meta-analysis</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Distal or proximal migration of PSs has been reported in 5</w:t>
      </w:r>
      <w:r w:rsidR="002F2FF8">
        <w:rPr>
          <w:rFonts w:ascii="Book Antiqua" w:hAnsi="Book Antiqua" w:cs="Book Antiqua" w:hint="eastAsia"/>
          <w:color w:val="000000"/>
          <w:lang w:eastAsia="zh-CN"/>
        </w:rPr>
        <w:t>%</w:t>
      </w:r>
      <w:r>
        <w:rPr>
          <w:rFonts w:ascii="Book Antiqua" w:eastAsia="Book Antiqua" w:hAnsi="Book Antiqua" w:cs="Book Antiqua"/>
          <w:color w:val="000000"/>
        </w:rPr>
        <w:t>-10% of cases</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There was no proximal migration in our study. No significant difference was noted in the incidence of distal migration between the two groups, and our results were comparable to previous results (3%-6%)</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Previous studies</w:t>
      </w:r>
      <w:r>
        <w:rPr>
          <w:rFonts w:ascii="Book Antiqua" w:eastAsia="Book Antiqua" w:hAnsi="Book Antiqua" w:cs="Book Antiqua"/>
          <w:color w:val="000000"/>
          <w:szCs w:val="20"/>
          <w:vertAlign w:val="superscript"/>
        </w:rPr>
        <w:t>[21,33]</w:t>
      </w:r>
      <w:r>
        <w:rPr>
          <w:rFonts w:ascii="Book Antiqua" w:eastAsia="Book Antiqua" w:hAnsi="Book Antiqua" w:cs="Book Antiqua"/>
          <w:color w:val="000000"/>
        </w:rPr>
        <w:t xml:space="preserve"> indicated that the most distal migrated stents can be retrieved endoscopically, and less than 1% of cases developed gut perforation caused by stent migration. No gut perforation was observed in our study. Therefore, the use of new ARPS in the treatment of biliary strictures does not increase the difficulty of procedures and the risk of adverse events related to the procedures or stents.</w:t>
      </w:r>
    </w:p>
    <w:p w14:paraId="5FC17ADE" w14:textId="77777777" w:rsidR="00A77B3E" w:rsidRDefault="007F2C33" w:rsidP="00B9705D">
      <w:pPr>
        <w:spacing w:line="360" w:lineRule="auto"/>
        <w:ind w:firstLineChars="200" w:firstLine="480"/>
        <w:jc w:val="both"/>
      </w:pPr>
      <w:r>
        <w:rPr>
          <w:rFonts w:ascii="Book Antiqua" w:eastAsia="Book Antiqua" w:hAnsi="Book Antiqua" w:cs="Book Antiqua"/>
          <w:color w:val="000000"/>
        </w:rPr>
        <w:t>Some limitations of our study have to be mentioned. The first limitation was its retrospective design, but the data collected from a prospectively collected database supported the validity of the present results. The second limitation was that the ARPS and TPS used in this study exhibit different materials and antimigration designs. Previous studies have indicated that there were no significant differences in the rates of cholangitis and stent patency between stents made of different materials or stents with different antimigration designs</w:t>
      </w:r>
      <w:r>
        <w:rPr>
          <w:rFonts w:ascii="Book Antiqua" w:eastAsia="Book Antiqua" w:hAnsi="Book Antiqua" w:cs="Book Antiqua"/>
          <w:color w:val="000000"/>
          <w:vertAlign w:val="superscript"/>
        </w:rPr>
        <w:t>[34-36]</w:t>
      </w:r>
      <w:r>
        <w:rPr>
          <w:rFonts w:ascii="Book Antiqua" w:eastAsia="Book Antiqua" w:hAnsi="Book Antiqua" w:cs="Book Antiqua"/>
          <w:color w:val="000000"/>
        </w:rPr>
        <w:t>. Therefore, in the present study, the differences in the rates of stent-related cholangitis or stent patency between the two groups may not be attributed to those differences. However, further studies are needed to assess this hypothesis by comparing the same PS with or without anti-reflux valve. The third limitation was that macroscopic and microscopic examinations of dysfunctional stents were not performed, and the exact causes of stent dysfunction were unclear. The fourth limitation was the inadequate sample size for exploratory subgroup analyses. Further studies with large samples are needed to evaluate its safety and efficacy. The fifth limitation refer to potential selection bias in the inclusion of patients. Although patients with proximal biliary strictures or with pre-ERCP cholangitis were considered to have a higher risk of cholangitis, the distribution of these patients were comparable between the two groups in terms of baselines or clinical outcomes.</w:t>
      </w:r>
    </w:p>
    <w:p w14:paraId="1C9383D2" w14:textId="77777777" w:rsidR="00A77B3E" w:rsidRDefault="00A77B3E" w:rsidP="00B9705D">
      <w:pPr>
        <w:spacing w:line="360" w:lineRule="auto"/>
        <w:jc w:val="both"/>
      </w:pPr>
    </w:p>
    <w:p w14:paraId="6234DBB7" w14:textId="77777777" w:rsidR="00A77B3E" w:rsidRDefault="007F2C33" w:rsidP="00B9705D">
      <w:pPr>
        <w:spacing w:line="360" w:lineRule="auto"/>
        <w:jc w:val="both"/>
      </w:pPr>
      <w:r>
        <w:rPr>
          <w:rFonts w:ascii="Book Antiqua" w:eastAsia="Book Antiqua" w:hAnsi="Book Antiqua" w:cs="Book Antiqua"/>
          <w:b/>
          <w:caps/>
          <w:color w:val="000000"/>
          <w:u w:val="single"/>
        </w:rPr>
        <w:t>CONCLUSION</w:t>
      </w:r>
    </w:p>
    <w:p w14:paraId="20DDDFD0" w14:textId="1684B205" w:rsidR="00A77B3E" w:rsidRDefault="007F2C33" w:rsidP="00B9705D">
      <w:pPr>
        <w:spacing w:line="360" w:lineRule="auto"/>
        <w:jc w:val="both"/>
      </w:pPr>
      <w:r>
        <w:rPr>
          <w:rFonts w:ascii="Book Antiqua" w:eastAsia="Book Antiqua" w:hAnsi="Book Antiqua" w:cs="Book Antiqua"/>
          <w:color w:val="000000"/>
        </w:rPr>
        <w:t xml:space="preserve">In conclusion, our study suggests that it is safe and effective to use the new ARPS for the treatment of biliary strictures. This ARPS could reduce the risk of stent-related cholangitis and prolong stent patency. However, its role in reducing the onset of stent-related cholangitis is not obvious in the subgroup analyses. Studies with large samples are needed to </w:t>
      </w:r>
      <w:r w:rsidR="007F15C3">
        <w:rPr>
          <w:rFonts w:ascii="Book Antiqua" w:eastAsia="Book Antiqua" w:hAnsi="Book Antiqua" w:cs="Book Antiqua"/>
          <w:color w:val="000000"/>
        </w:rPr>
        <w:t xml:space="preserve">evaluate </w:t>
      </w:r>
      <w:r>
        <w:rPr>
          <w:rFonts w:ascii="Book Antiqua" w:eastAsia="Book Antiqua" w:hAnsi="Book Antiqua" w:cs="Book Antiqua"/>
          <w:color w:val="000000"/>
        </w:rPr>
        <w:t>further its safety and efficacy.</w:t>
      </w:r>
    </w:p>
    <w:p w14:paraId="7ADFEA5A" w14:textId="77777777" w:rsidR="00A77B3E" w:rsidRDefault="00A77B3E" w:rsidP="00B9705D">
      <w:pPr>
        <w:spacing w:line="360" w:lineRule="auto"/>
        <w:jc w:val="both"/>
      </w:pPr>
    </w:p>
    <w:p w14:paraId="7B2E7CF2" w14:textId="77777777" w:rsidR="00A77B3E" w:rsidRDefault="007F2C33" w:rsidP="00B9705D">
      <w:pPr>
        <w:spacing w:line="360" w:lineRule="auto"/>
        <w:jc w:val="both"/>
      </w:pPr>
      <w:r>
        <w:rPr>
          <w:rFonts w:ascii="Book Antiqua" w:eastAsia="Book Antiqua" w:hAnsi="Book Antiqua" w:cs="Book Antiqua"/>
          <w:b/>
          <w:caps/>
          <w:color w:val="000000"/>
          <w:u w:val="single"/>
        </w:rPr>
        <w:t>ARTICLE HIGHLIGHTS</w:t>
      </w:r>
    </w:p>
    <w:p w14:paraId="417C52AA" w14:textId="77777777" w:rsidR="00A77B3E" w:rsidRDefault="007F2C33" w:rsidP="00B9705D">
      <w:pPr>
        <w:spacing w:line="360" w:lineRule="auto"/>
        <w:jc w:val="both"/>
      </w:pPr>
      <w:r>
        <w:rPr>
          <w:rFonts w:ascii="Book Antiqua" w:eastAsia="Book Antiqua" w:hAnsi="Book Antiqua" w:cs="Book Antiqua"/>
          <w:b/>
          <w:i/>
          <w:color w:val="000000"/>
        </w:rPr>
        <w:t>Research background</w:t>
      </w:r>
    </w:p>
    <w:p w14:paraId="597C1C3F" w14:textId="77777777" w:rsidR="00A77B3E" w:rsidRDefault="007F2C33" w:rsidP="00B9705D">
      <w:pPr>
        <w:spacing w:line="360" w:lineRule="auto"/>
        <w:jc w:val="both"/>
      </w:pPr>
      <w:r>
        <w:rPr>
          <w:rFonts w:ascii="Book Antiqua" w:eastAsia="Book Antiqua" w:hAnsi="Book Antiqua" w:cs="Book Antiqua"/>
          <w:color w:val="000000"/>
        </w:rPr>
        <w:t>Endoscopic biliary stenting is an established procedure for patients with biliary strictures. However, complications such as stent occlusion and stent-related cholangitis after stent placement may worsen the quality of patients’ life. Since duodenobiliary reflux is a major cause of those complications, the design of stents with an anti-reflux valve is a potential solution for reducing duodenobiliary reflux.</w:t>
      </w:r>
    </w:p>
    <w:p w14:paraId="09548A96" w14:textId="77777777" w:rsidR="00A77B3E" w:rsidRDefault="00A77B3E" w:rsidP="00B9705D">
      <w:pPr>
        <w:spacing w:line="360" w:lineRule="auto"/>
        <w:jc w:val="both"/>
      </w:pPr>
    </w:p>
    <w:p w14:paraId="0B554CF9" w14:textId="77777777" w:rsidR="00A77B3E" w:rsidRDefault="007F2C33" w:rsidP="00B9705D">
      <w:pPr>
        <w:spacing w:line="360" w:lineRule="auto"/>
        <w:jc w:val="both"/>
      </w:pPr>
      <w:r>
        <w:rPr>
          <w:rFonts w:ascii="Book Antiqua" w:eastAsia="Book Antiqua" w:hAnsi="Book Antiqua" w:cs="Book Antiqua"/>
          <w:b/>
          <w:i/>
          <w:color w:val="000000"/>
        </w:rPr>
        <w:t>Research motivation</w:t>
      </w:r>
    </w:p>
    <w:p w14:paraId="6276B3F0" w14:textId="77777777" w:rsidR="00A77B3E" w:rsidRDefault="007F2C33" w:rsidP="00B9705D">
      <w:pPr>
        <w:spacing w:line="360" w:lineRule="auto"/>
        <w:jc w:val="both"/>
      </w:pPr>
      <w:r>
        <w:rPr>
          <w:rFonts w:ascii="Book Antiqua" w:eastAsia="Book Antiqua" w:hAnsi="Book Antiqua" w:cs="Book Antiqua"/>
          <w:color w:val="000000"/>
        </w:rPr>
        <w:t>The authors have previously developed a new anti-reflux plastic stents (ARPSs) and conducted a clinical trial to compare the patency of ARPSs with that of traditional plastic stents (TPSs), which showed this new ARPS had a significantly longer stent patency. However, the role of this new ARPS in reducing the onset of stent-related cholangitis compared with TPS remains unknown.</w:t>
      </w:r>
    </w:p>
    <w:p w14:paraId="7EE1E2F6" w14:textId="77777777" w:rsidR="00A77B3E" w:rsidRDefault="00A77B3E" w:rsidP="00B9705D">
      <w:pPr>
        <w:spacing w:line="360" w:lineRule="auto"/>
        <w:jc w:val="both"/>
      </w:pPr>
    </w:p>
    <w:p w14:paraId="3ACD0355" w14:textId="77777777" w:rsidR="00A77B3E" w:rsidRDefault="007F2C33" w:rsidP="00B9705D">
      <w:pPr>
        <w:spacing w:line="360" w:lineRule="auto"/>
        <w:jc w:val="both"/>
      </w:pPr>
      <w:r>
        <w:rPr>
          <w:rFonts w:ascii="Book Antiqua" w:eastAsia="Book Antiqua" w:hAnsi="Book Antiqua" w:cs="Book Antiqua"/>
          <w:b/>
          <w:i/>
          <w:color w:val="000000"/>
        </w:rPr>
        <w:t>Research objectives</w:t>
      </w:r>
    </w:p>
    <w:p w14:paraId="6605B968" w14:textId="77777777" w:rsidR="00A77B3E" w:rsidRDefault="007F2C33" w:rsidP="00B9705D">
      <w:pPr>
        <w:spacing w:line="360" w:lineRule="auto"/>
        <w:jc w:val="both"/>
      </w:pPr>
      <w:r>
        <w:rPr>
          <w:rFonts w:ascii="Book Antiqua" w:eastAsia="Book Antiqua" w:hAnsi="Book Antiqua" w:cs="Book Antiqua"/>
          <w:color w:val="000000"/>
        </w:rPr>
        <w:t>In this study, the authors compared this new ARPS with TPS in patients with biliary strictures.</w:t>
      </w:r>
    </w:p>
    <w:p w14:paraId="04A6A958" w14:textId="77777777" w:rsidR="00A77B3E" w:rsidRDefault="00A77B3E" w:rsidP="00B9705D">
      <w:pPr>
        <w:spacing w:line="360" w:lineRule="auto"/>
        <w:jc w:val="both"/>
      </w:pPr>
    </w:p>
    <w:p w14:paraId="08BB514A" w14:textId="77777777" w:rsidR="00A77B3E" w:rsidRDefault="007F2C33" w:rsidP="00B9705D">
      <w:pPr>
        <w:spacing w:line="360" w:lineRule="auto"/>
        <w:jc w:val="both"/>
      </w:pPr>
      <w:r>
        <w:rPr>
          <w:rFonts w:ascii="Book Antiqua" w:eastAsia="Book Antiqua" w:hAnsi="Book Antiqua" w:cs="Book Antiqua"/>
          <w:b/>
          <w:i/>
          <w:color w:val="000000"/>
        </w:rPr>
        <w:t>Research methods</w:t>
      </w:r>
    </w:p>
    <w:p w14:paraId="152A3FD4" w14:textId="69E50748" w:rsidR="00A77B3E" w:rsidRDefault="007F2C33" w:rsidP="00B9705D">
      <w:pPr>
        <w:spacing w:line="360" w:lineRule="auto"/>
        <w:jc w:val="both"/>
      </w:pPr>
      <w:r>
        <w:rPr>
          <w:rFonts w:ascii="Book Antiqua" w:eastAsia="Book Antiqua" w:hAnsi="Book Antiqua" w:cs="Book Antiqua"/>
          <w:color w:val="000000"/>
        </w:rPr>
        <w:t xml:space="preserve">The authors retrospectively reviewed the data of consecutive patients with biliary strictures who underwent first endoscopic biliary stenting between February 2016 and </w:t>
      </w:r>
      <w:r>
        <w:rPr>
          <w:rFonts w:ascii="Book Antiqua" w:eastAsia="Book Antiqua" w:hAnsi="Book Antiqua" w:cs="Book Antiqua"/>
          <w:color w:val="000000"/>
        </w:rPr>
        <w:lastRenderedPageBreak/>
        <w:t>May 2019 at West China Hospital, Sichuan University from our prospectively collected database. According to the inclusion and exclusion criteria, eligible patients were included for analysis. The onset of stent-related cholangitis, stent patency, clinical success</w:t>
      </w:r>
      <w:r w:rsidR="007F15C3">
        <w:rPr>
          <w:rFonts w:ascii="Book Antiqua" w:eastAsia="Book Antiqua" w:hAnsi="Book Antiqua" w:cs="Book Antiqua"/>
          <w:color w:val="000000"/>
        </w:rPr>
        <w:t>,</w:t>
      </w:r>
      <w:r>
        <w:rPr>
          <w:rFonts w:ascii="Book Antiqua" w:eastAsia="Book Antiqua" w:hAnsi="Book Antiqua" w:cs="Book Antiqua"/>
          <w:color w:val="000000"/>
        </w:rPr>
        <w:t xml:space="preserve"> and other adverse events were evaluated.</w:t>
      </w:r>
    </w:p>
    <w:p w14:paraId="10DF677C" w14:textId="77777777" w:rsidR="00A77B3E" w:rsidRDefault="00A77B3E" w:rsidP="00B9705D">
      <w:pPr>
        <w:spacing w:line="360" w:lineRule="auto"/>
        <w:jc w:val="both"/>
      </w:pPr>
    </w:p>
    <w:p w14:paraId="6591ADC0" w14:textId="77777777" w:rsidR="00A77B3E" w:rsidRDefault="007F2C33" w:rsidP="00B9705D">
      <w:pPr>
        <w:spacing w:line="360" w:lineRule="auto"/>
        <w:jc w:val="both"/>
      </w:pPr>
      <w:r>
        <w:rPr>
          <w:rFonts w:ascii="Book Antiqua" w:eastAsia="Book Antiqua" w:hAnsi="Book Antiqua" w:cs="Book Antiqua"/>
          <w:b/>
          <w:i/>
          <w:color w:val="000000"/>
        </w:rPr>
        <w:t>Research results</w:t>
      </w:r>
    </w:p>
    <w:p w14:paraId="20C39750" w14:textId="77777777" w:rsidR="00A77B3E" w:rsidRDefault="007F2C33" w:rsidP="00B9705D">
      <w:pPr>
        <w:spacing w:line="360" w:lineRule="auto"/>
        <w:jc w:val="both"/>
      </w:pPr>
      <w:r>
        <w:rPr>
          <w:rFonts w:ascii="Book Antiqua" w:eastAsia="Book Antiqua" w:hAnsi="Book Antiqua" w:cs="Book Antiqua"/>
          <w:color w:val="000000"/>
        </w:rPr>
        <w:t>During the study period, 67 patients in the ARPS group and 66 patients in the TPS group were included. There was a significant difference when comparing the onset of stent-related cholangitis, which was significantly lower in the ARPS group than in the TPS group. The cumulative median stent patency in the ARPS group was significantly longer than that in the TPS group. No significant differences were noted in the rates of clinical success and other adverse events between both groups.</w:t>
      </w:r>
    </w:p>
    <w:p w14:paraId="0A909582" w14:textId="77777777" w:rsidR="00A77B3E" w:rsidRDefault="00A77B3E" w:rsidP="00B9705D">
      <w:pPr>
        <w:spacing w:line="360" w:lineRule="auto"/>
        <w:jc w:val="both"/>
      </w:pPr>
    </w:p>
    <w:p w14:paraId="67C44D9A" w14:textId="77777777" w:rsidR="00A77B3E" w:rsidRDefault="007F2C33" w:rsidP="00B9705D">
      <w:pPr>
        <w:spacing w:line="360" w:lineRule="auto"/>
        <w:jc w:val="both"/>
      </w:pPr>
      <w:r>
        <w:rPr>
          <w:rFonts w:ascii="Book Antiqua" w:eastAsia="Book Antiqua" w:hAnsi="Book Antiqua" w:cs="Book Antiqua"/>
          <w:b/>
          <w:i/>
          <w:color w:val="000000"/>
        </w:rPr>
        <w:t>Research conclusions</w:t>
      </w:r>
    </w:p>
    <w:p w14:paraId="70E201AE" w14:textId="77777777" w:rsidR="00A77B3E" w:rsidRDefault="007F2C33" w:rsidP="00B9705D">
      <w:pPr>
        <w:spacing w:line="360" w:lineRule="auto"/>
        <w:jc w:val="both"/>
      </w:pPr>
      <w:r>
        <w:rPr>
          <w:rFonts w:ascii="Book Antiqua" w:eastAsia="Book Antiqua" w:hAnsi="Book Antiqua" w:cs="Book Antiqua"/>
          <w:color w:val="000000"/>
        </w:rPr>
        <w:t>This new ARPS results in superior to TPS in reducing the risk of stent-related cholangitis and prolonging stent patency.</w:t>
      </w:r>
    </w:p>
    <w:p w14:paraId="29677044" w14:textId="77777777" w:rsidR="00A77B3E" w:rsidRDefault="00A77B3E" w:rsidP="00B9705D">
      <w:pPr>
        <w:spacing w:line="360" w:lineRule="auto"/>
        <w:jc w:val="both"/>
      </w:pPr>
    </w:p>
    <w:p w14:paraId="004AA484" w14:textId="77777777" w:rsidR="00A77B3E" w:rsidRDefault="007F2C33" w:rsidP="00B9705D">
      <w:pPr>
        <w:spacing w:line="360" w:lineRule="auto"/>
        <w:jc w:val="both"/>
      </w:pPr>
      <w:r>
        <w:rPr>
          <w:rFonts w:ascii="Book Antiqua" w:eastAsia="Book Antiqua" w:hAnsi="Book Antiqua" w:cs="Book Antiqua"/>
          <w:b/>
          <w:i/>
          <w:color w:val="000000"/>
        </w:rPr>
        <w:t>Research perspectives</w:t>
      </w:r>
    </w:p>
    <w:p w14:paraId="4A961E30" w14:textId="7BAE2289" w:rsidR="00A77B3E" w:rsidRDefault="007F2C33" w:rsidP="00B9705D">
      <w:pPr>
        <w:spacing w:line="360" w:lineRule="auto"/>
        <w:jc w:val="both"/>
      </w:pPr>
      <w:r>
        <w:rPr>
          <w:rFonts w:ascii="Book Antiqua" w:eastAsia="Book Antiqua" w:hAnsi="Book Antiqua" w:cs="Book Antiqua"/>
          <w:color w:val="000000"/>
        </w:rPr>
        <w:t>Multicenter studies with large samples are expected to</w:t>
      </w:r>
      <w:r w:rsidR="007F15C3">
        <w:rPr>
          <w:rFonts w:ascii="Book Antiqua" w:eastAsia="Book Antiqua" w:hAnsi="Book Antiqua" w:cs="Book Antiqua"/>
          <w:color w:val="000000"/>
        </w:rPr>
        <w:t xml:space="preserve"> evaluate</w:t>
      </w:r>
      <w:r>
        <w:rPr>
          <w:rFonts w:ascii="Book Antiqua" w:eastAsia="Book Antiqua" w:hAnsi="Book Antiqua" w:cs="Book Antiqua"/>
          <w:color w:val="000000"/>
        </w:rPr>
        <w:t xml:space="preserve"> further the safety and efficacy of this new ARPS.</w:t>
      </w:r>
    </w:p>
    <w:p w14:paraId="7C110727" w14:textId="77777777" w:rsidR="00A77B3E" w:rsidRDefault="00A77B3E" w:rsidP="00B9705D">
      <w:pPr>
        <w:spacing w:line="360" w:lineRule="auto"/>
        <w:jc w:val="both"/>
      </w:pPr>
    </w:p>
    <w:p w14:paraId="344C6B17" w14:textId="77777777" w:rsidR="00A77B3E" w:rsidRDefault="007F2C33" w:rsidP="00B9705D">
      <w:pPr>
        <w:spacing w:line="360" w:lineRule="auto"/>
        <w:jc w:val="both"/>
      </w:pPr>
      <w:r>
        <w:rPr>
          <w:rFonts w:ascii="Book Antiqua" w:eastAsia="Book Antiqua" w:hAnsi="Book Antiqua" w:cs="Book Antiqua"/>
          <w:b/>
          <w:color w:val="000000"/>
        </w:rPr>
        <w:t>REFERENCES</w:t>
      </w:r>
    </w:p>
    <w:p w14:paraId="72B51803" w14:textId="77777777" w:rsidR="00A77B3E" w:rsidRDefault="007F2C33" w:rsidP="00B9705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van Berkel AM</w:t>
      </w:r>
      <w:r>
        <w:rPr>
          <w:rFonts w:ascii="Book Antiqua" w:eastAsia="Book Antiqua" w:hAnsi="Book Antiqua" w:cs="Book Antiqua"/>
          <w:color w:val="000000"/>
        </w:rPr>
        <w:t xml:space="preserve">, van Marle J, Groen AK, Bruno MJ. Mechanisms of biliary stent clogging: confocal laser scanning and scanning electron microscopy.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729-734 [PMID: 16032491 DOI: 10.1055/s-2005-870131]</w:t>
      </w:r>
    </w:p>
    <w:p w14:paraId="28670FF2" w14:textId="77777777" w:rsidR="00A77B3E" w:rsidRDefault="007F2C33" w:rsidP="00B9705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Everett BT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Naud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Zubarik</w:t>
      </w:r>
      <w:proofErr w:type="spellEnd"/>
      <w:r>
        <w:rPr>
          <w:rFonts w:ascii="Book Antiqua" w:eastAsia="Book Antiqua" w:hAnsi="Book Antiqua" w:cs="Book Antiqua"/>
          <w:color w:val="000000"/>
        </w:rPr>
        <w:t xml:space="preserve"> RS. Risk Factors for the Development of Stent-Associated Cholangitis Following Endoscopic Biliary Stent Placement.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2300-2307 [PMID: 30788687 DOI: 10.1007/s10620-019-05533-6]</w:t>
      </w:r>
    </w:p>
    <w:p w14:paraId="14DB7D46" w14:textId="77777777" w:rsidR="00A77B3E" w:rsidRDefault="007F2C33" w:rsidP="00B9705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Budzyńska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Nowakowska-Duława</w:t>
      </w:r>
      <w:proofErr w:type="spellEnd"/>
      <w:r>
        <w:rPr>
          <w:rFonts w:ascii="Book Antiqua" w:eastAsia="Book Antiqua" w:hAnsi="Book Antiqua" w:cs="Book Antiqua"/>
          <w:color w:val="000000"/>
        </w:rPr>
        <w:t xml:space="preserve"> E, Marek T, </w:t>
      </w:r>
      <w:proofErr w:type="spellStart"/>
      <w:r>
        <w:rPr>
          <w:rFonts w:ascii="Book Antiqua" w:eastAsia="Book Antiqua" w:hAnsi="Book Antiqua" w:cs="Book Antiqua"/>
          <w:color w:val="000000"/>
        </w:rPr>
        <w:t>Hartleb</w:t>
      </w:r>
      <w:proofErr w:type="spellEnd"/>
      <w:r>
        <w:rPr>
          <w:rFonts w:ascii="Book Antiqua" w:eastAsia="Book Antiqua" w:hAnsi="Book Antiqua" w:cs="Book Antiqua"/>
          <w:color w:val="000000"/>
        </w:rPr>
        <w:t xml:space="preserve"> M. Comparison of patency and cost-effectiveness of self-expandable metal and plastic stents used for malignant </w:t>
      </w:r>
      <w:r>
        <w:rPr>
          <w:rFonts w:ascii="Book Antiqua" w:eastAsia="Book Antiqua" w:hAnsi="Book Antiqua" w:cs="Book Antiqua"/>
          <w:color w:val="000000"/>
        </w:rPr>
        <w:lastRenderedPageBreak/>
        <w:t xml:space="preserve">biliary strictures: a Polish single-center study.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1223-1228 [PMID: 27455079 DOI: 10.1097/MEG.0000000000000699]</w:t>
      </w:r>
    </w:p>
    <w:p w14:paraId="4361AF69" w14:textId="77777777" w:rsidR="00A77B3E" w:rsidRDefault="007F2C33" w:rsidP="00B9705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Sawas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Halabi</w:t>
      </w:r>
      <w:proofErr w:type="spellEnd"/>
      <w:r>
        <w:rPr>
          <w:rFonts w:ascii="Book Antiqua" w:eastAsia="Book Antiqua" w:hAnsi="Book Antiqua" w:cs="Book Antiqua"/>
          <w:color w:val="000000"/>
        </w:rPr>
        <w:t xml:space="preserve"> S, Parsi MA, Vargo JJ. Self-expandable metal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plastic stents for malignant biliary obstruction: a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256-267.e7 [PMID: 25982849 DOI: 10.1016/j.gie.2015.03.1980]</w:t>
      </w:r>
    </w:p>
    <w:p w14:paraId="159325D7" w14:textId="77777777" w:rsidR="00A77B3E" w:rsidRDefault="007F2C33" w:rsidP="00B9705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Soderlund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Linder S. Covered metal </w:t>
      </w:r>
      <w:r>
        <w:rPr>
          <w:rFonts w:ascii="Book Antiqua" w:eastAsia="Book Antiqua" w:hAnsi="Book Antiqua" w:cs="Book Antiqua"/>
          <w:i/>
          <w:iCs/>
          <w:color w:val="000000"/>
        </w:rPr>
        <w:t>vs</w:t>
      </w:r>
      <w:r>
        <w:rPr>
          <w:rFonts w:ascii="Book Antiqua" w:eastAsia="Book Antiqua" w:hAnsi="Book Antiqua" w:cs="Book Antiqua"/>
          <w:color w:val="000000"/>
        </w:rPr>
        <w:t xml:space="preserve"> plastic stents for malignant common bile duct stenosis: a prospective, randomized, controlled trial.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986-995 [PMID: 16733114 DOI: 10.1016/j.gie.2005.11.052]</w:t>
      </w:r>
    </w:p>
    <w:p w14:paraId="491F62A6" w14:textId="77777777" w:rsidR="00A77B3E" w:rsidRDefault="007F2C33" w:rsidP="00B9705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Raju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Jaganmohan</w:t>
      </w:r>
      <w:proofErr w:type="spellEnd"/>
      <w:r>
        <w:rPr>
          <w:rFonts w:ascii="Book Antiqua" w:eastAsia="Book Antiqua" w:hAnsi="Book Antiqua" w:cs="Book Antiqua"/>
          <w:color w:val="000000"/>
        </w:rPr>
        <w:t xml:space="preserve"> SR, Ross WA, Davila ML,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 Raju GS, Lee JH. Optimum palliation of inoperable hilar cholangiocarcinoma: comparative assessment of the efficacy of plastic and self-expanding metal stents.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56</w:t>
      </w:r>
      <w:r>
        <w:rPr>
          <w:rFonts w:ascii="Book Antiqua" w:eastAsia="Book Antiqua" w:hAnsi="Book Antiqua" w:cs="Book Antiqua"/>
          <w:color w:val="000000"/>
        </w:rPr>
        <w:t>: 1557-1564 [PMID: 21222156 DOI: 10.1007/s10620-010-1550-5]</w:t>
      </w:r>
    </w:p>
    <w:p w14:paraId="54186753" w14:textId="77777777" w:rsidR="00A77B3E" w:rsidRDefault="007F2C33" w:rsidP="00B9705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Leong QW</w:t>
      </w:r>
      <w:r>
        <w:rPr>
          <w:rFonts w:ascii="Book Antiqua" w:eastAsia="Book Antiqua" w:hAnsi="Book Antiqua" w:cs="Book Antiqua"/>
          <w:color w:val="000000"/>
        </w:rPr>
        <w:t xml:space="preserve">, Shen ML, Au KW, Luo D, Lau JY, Wu JC, Chan FK, Sung JJ. A prospective, randomized study of the patency period of the plastic antireflux biliary stent: an interim 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387-393 [PMID: 26024583 DOI: 10.1016/j.gie.2015.04.027]</w:t>
      </w:r>
    </w:p>
    <w:p w14:paraId="4740C001" w14:textId="77777777" w:rsidR="00A77B3E" w:rsidRDefault="007F2C33" w:rsidP="00B9705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Weickert</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Venzke T, König J, Janssen J, </w:t>
      </w:r>
      <w:proofErr w:type="spellStart"/>
      <w:r>
        <w:rPr>
          <w:rFonts w:ascii="Book Antiqua" w:eastAsia="Book Antiqua" w:hAnsi="Book Antiqua" w:cs="Book Antiqua"/>
          <w:color w:val="000000"/>
        </w:rPr>
        <w:t>Remberger</w:t>
      </w:r>
      <w:proofErr w:type="spellEnd"/>
      <w:r>
        <w:rPr>
          <w:rFonts w:ascii="Book Antiqua" w:eastAsia="Book Antiqua" w:hAnsi="Book Antiqua" w:cs="Book Antiqua"/>
          <w:color w:val="000000"/>
        </w:rPr>
        <w:t xml:space="preserve"> K, Greiner L. Why do </w:t>
      </w:r>
      <w:proofErr w:type="spellStart"/>
      <w:r>
        <w:rPr>
          <w:rFonts w:ascii="Book Antiqua" w:eastAsia="Book Antiqua" w:hAnsi="Book Antiqua" w:cs="Book Antiqua"/>
          <w:color w:val="000000"/>
        </w:rPr>
        <w:t>bilioduodenal</w:t>
      </w:r>
      <w:proofErr w:type="spellEnd"/>
      <w:r>
        <w:rPr>
          <w:rFonts w:ascii="Book Antiqua" w:eastAsia="Book Antiqua" w:hAnsi="Book Antiqua" w:cs="Book Antiqua"/>
          <w:color w:val="000000"/>
        </w:rPr>
        <w:t xml:space="preserve"> plastic stents become occluded? A clinical and pathological investigation on 100 consecutive patients.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786-790 [PMID: 11558033 DOI: 10.1055/s-2001-16519]</w:t>
      </w:r>
    </w:p>
    <w:p w14:paraId="1A12D2F0" w14:textId="77777777" w:rsidR="00A77B3E" w:rsidRDefault="007F2C33" w:rsidP="00B9705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Kwon CI</w:t>
      </w:r>
      <w:r>
        <w:rPr>
          <w:rFonts w:ascii="Book Antiqua" w:eastAsia="Book Antiqua" w:hAnsi="Book Antiqua" w:cs="Book Antiqua"/>
          <w:color w:val="000000"/>
        </w:rPr>
        <w:t xml:space="preserve">, Lehman GA. Mechanisms of Biliary Plastic Stent Occlusion and Efforts at Prevention.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139-146 [PMID: 27000422 DOI: 10.5946/ce.2016.024]</w:t>
      </w:r>
    </w:p>
    <w:p w14:paraId="5F32FC3B" w14:textId="77777777" w:rsidR="00A77B3E" w:rsidRDefault="007F2C33" w:rsidP="00B9705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B</w:t>
      </w:r>
      <w:r>
        <w:rPr>
          <w:rFonts w:ascii="Book Antiqua" w:eastAsia="Book Antiqua" w:hAnsi="Book Antiqua" w:cs="Book Antiqua"/>
          <w:color w:val="000000"/>
        </w:rPr>
        <w:t xml:space="preserve">, Wang TT, Shi ZM, Wang SZ, Lu R, Pan YM, Huang H, Wang SP. A novel antireflux metal stent for the palliation of biliary malignancies: a pilot feasibility study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143-148 [PMID: 20970788 DOI: 10.1016/j.gie.2010.08.048]</w:t>
      </w:r>
    </w:p>
    <w:p w14:paraId="4203425E" w14:textId="77777777" w:rsidR="00A77B3E" w:rsidRDefault="007F2C33" w:rsidP="00B9705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 B</w:t>
      </w:r>
      <w:r>
        <w:rPr>
          <w:rFonts w:ascii="Book Antiqua" w:eastAsia="Book Antiqua" w:hAnsi="Book Antiqua" w:cs="Book Antiqua"/>
          <w:color w:val="000000"/>
        </w:rPr>
        <w:t xml:space="preserve">, Wang TT, Wu J, Shi ZM, Gao DJ, Pan YM. Antireflux stents to reduce the risk of cholangitis in patients with malignant biliary strictures: a 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120-126 [PMID: 24477367 DOI: 10.1055/s-0034-1364872]</w:t>
      </w:r>
    </w:p>
    <w:p w14:paraId="1215EF4F" w14:textId="77777777" w:rsidR="00A77B3E" w:rsidRDefault="007F2C33" w:rsidP="00B9705D">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Lee KJ</w:t>
      </w:r>
      <w:r>
        <w:rPr>
          <w:rFonts w:ascii="Book Antiqua" w:eastAsia="Book Antiqua" w:hAnsi="Book Antiqua" w:cs="Book Antiqua"/>
          <w:color w:val="000000"/>
        </w:rPr>
        <w:t xml:space="preserve">, Chung MJ, Park JY, Lee DH, Jung S, Bang BW, Park SW, Chung JB, Song SY, Bang S. Clinical advantages of a metal stent with an S-shaped anti-reflux valve in malignant biliary obstruction.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308-312 [PMID: 23369050 DOI: 10.1111/j.1443-1661.2012.01382.x]</w:t>
      </w:r>
    </w:p>
    <w:p w14:paraId="6E8A7766" w14:textId="77777777" w:rsidR="00A77B3E" w:rsidRDefault="007F2C33" w:rsidP="00B9705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Dua KS</w:t>
      </w:r>
      <w:r>
        <w:rPr>
          <w:rFonts w:ascii="Book Antiqua" w:eastAsia="Book Antiqua" w:hAnsi="Book Antiqua" w:cs="Book Antiqua"/>
          <w:color w:val="000000"/>
        </w:rPr>
        <w:t xml:space="preserve">, Reddy ND, Rao VG, Banerjee R, </w:t>
      </w:r>
      <w:proofErr w:type="spellStart"/>
      <w:r>
        <w:rPr>
          <w:rFonts w:ascii="Book Antiqua" w:eastAsia="Book Antiqua" w:hAnsi="Book Antiqua" w:cs="Book Antiqua"/>
          <w:color w:val="000000"/>
        </w:rPr>
        <w:t>Medda</w:t>
      </w:r>
      <w:proofErr w:type="spellEnd"/>
      <w:r>
        <w:rPr>
          <w:rFonts w:ascii="Book Antiqua" w:eastAsia="Book Antiqua" w:hAnsi="Book Antiqua" w:cs="Book Antiqua"/>
          <w:color w:val="000000"/>
        </w:rPr>
        <w:t xml:space="preserve"> B, Lang I. Impact of reducing duodenobiliary reflux on biliary stent patency: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evaluation and a prospective randomized clinical trial that used a biliary stent with an antireflux valve.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819-828 [PMID: 17383650 DOI: 10.1016/j.gie.2006.09.011]</w:t>
      </w:r>
    </w:p>
    <w:p w14:paraId="51136BC1" w14:textId="77777777" w:rsidR="00A77B3E" w:rsidRDefault="007F2C33" w:rsidP="00B9705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Vihervaara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Grönroos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Hurme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Gullichsen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Salminen</w:t>
      </w:r>
      <w:proofErr w:type="spellEnd"/>
      <w:r>
        <w:rPr>
          <w:rFonts w:ascii="Book Antiqua" w:eastAsia="Book Antiqua" w:hAnsi="Book Antiqua" w:cs="Book Antiqua"/>
          <w:color w:val="000000"/>
        </w:rPr>
        <w:t xml:space="preserve"> P. Antireflux Versus Conventional Plastic Stent in Malignant Biliary Obstruction: A Prospective Randomized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53-57 [PMID: 27754790 DOI: 10.1089/Lap.2016.0178]</w:t>
      </w:r>
    </w:p>
    <w:p w14:paraId="7119B3EF" w14:textId="77777777" w:rsidR="00A77B3E" w:rsidRDefault="007F2C33" w:rsidP="00B9705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Yuan XL</w:t>
      </w:r>
      <w:r>
        <w:rPr>
          <w:rFonts w:ascii="Book Antiqua" w:eastAsia="Book Antiqua" w:hAnsi="Book Antiqua" w:cs="Book Antiqua"/>
          <w:color w:val="000000"/>
        </w:rPr>
        <w:t xml:space="preserve">, Wei B, Ye LS, Wu CC, Tan QH, Yao MH, Zhang YH, Zeng XH, Li Y, Zhang YY, Hu B. New antireflux plastic stent for patients with distal malignant biliary obstruction.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2373-2382 [PMID: 31148908 DOI: 10.3748/wjg.v25.i19.2373]</w:t>
      </w:r>
    </w:p>
    <w:p w14:paraId="0218DC74" w14:textId="77777777" w:rsidR="00A77B3E" w:rsidRDefault="007F2C33" w:rsidP="00B9705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Isayama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Hamada T, Yasuda I,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Ryozawa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Koike K. TOKYO criteria 2014 for transpapillary biliary stenting.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259-264 [PMID: 25209944 DOI: 10.1111/den.12379]</w:t>
      </w:r>
    </w:p>
    <w:p w14:paraId="0ECDEEBD" w14:textId="77777777" w:rsidR="00A77B3E" w:rsidRDefault="007F2C33" w:rsidP="00B9705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Eisen GM, </w:t>
      </w:r>
      <w:proofErr w:type="spellStart"/>
      <w:r>
        <w:rPr>
          <w:rFonts w:ascii="Book Antiqua" w:eastAsia="Book Antiqua" w:hAnsi="Book Antiqua" w:cs="Book Antiqua"/>
          <w:color w:val="000000"/>
        </w:rPr>
        <w:t>Aabakken</w:t>
      </w:r>
      <w:proofErr w:type="spellEnd"/>
      <w:r>
        <w:rPr>
          <w:rFonts w:ascii="Book Antiqua" w:eastAsia="Book Antiqua" w:hAnsi="Book Antiqua" w:cs="Book Antiqua"/>
          <w:color w:val="000000"/>
        </w:rPr>
        <w:t xml:space="preserve"> L, Baron TH, </w:t>
      </w:r>
      <w:proofErr w:type="spellStart"/>
      <w:r>
        <w:rPr>
          <w:rFonts w:ascii="Book Antiqua" w:eastAsia="Book Antiqua" w:hAnsi="Book Antiqua" w:cs="Book Antiqua"/>
          <w:color w:val="000000"/>
        </w:rPr>
        <w:t>Hutter</w:t>
      </w:r>
      <w:proofErr w:type="spellEnd"/>
      <w:r>
        <w:rPr>
          <w:rFonts w:ascii="Book Antiqua" w:eastAsia="Book Antiqua" w:hAnsi="Book Antiqua" w:cs="Book Antiqua"/>
          <w:color w:val="000000"/>
        </w:rPr>
        <w:t xml:space="preserve"> MM, Jacobson BC, </w:t>
      </w:r>
      <w:proofErr w:type="spellStart"/>
      <w:r>
        <w:rPr>
          <w:rFonts w:ascii="Book Antiqua" w:eastAsia="Book Antiqua" w:hAnsi="Book Antiqua" w:cs="Book Antiqua"/>
          <w:color w:val="000000"/>
        </w:rPr>
        <w:t>Mergener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Nemcek</w:t>
      </w:r>
      <w:proofErr w:type="spellEnd"/>
      <w:r>
        <w:rPr>
          <w:rFonts w:ascii="Book Antiqua" w:eastAsia="Book Antiqua" w:hAnsi="Book Antiqua" w:cs="Book Antiqua"/>
          <w:color w:val="000000"/>
        </w:rPr>
        <w:t xml:space="preserve"> A Jr, Petersen BT, </w:t>
      </w:r>
      <w:proofErr w:type="spellStart"/>
      <w:r>
        <w:rPr>
          <w:rFonts w:ascii="Book Antiqua" w:eastAsia="Book Antiqua" w:hAnsi="Book Antiqua" w:cs="Book Antiqua"/>
          <w:color w:val="000000"/>
        </w:rPr>
        <w:t>Petrini</w:t>
      </w:r>
      <w:proofErr w:type="spellEnd"/>
      <w:r>
        <w:rPr>
          <w:rFonts w:ascii="Book Antiqua" w:eastAsia="Book Antiqua" w:hAnsi="Book Antiqua" w:cs="Book Antiqua"/>
          <w:color w:val="000000"/>
        </w:rPr>
        <w:t xml:space="preserve"> JL, Pike IM, </w:t>
      </w:r>
      <w:proofErr w:type="spellStart"/>
      <w:r>
        <w:rPr>
          <w:rFonts w:ascii="Book Antiqua" w:eastAsia="Book Antiqua" w:hAnsi="Book Antiqua" w:cs="Book Antiqua"/>
          <w:color w:val="000000"/>
        </w:rPr>
        <w:t>Rabeneck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Romagnuolo</w:t>
      </w:r>
      <w:proofErr w:type="spellEnd"/>
      <w:r>
        <w:rPr>
          <w:rFonts w:ascii="Book Antiqua" w:eastAsia="Book Antiqua" w:hAnsi="Book Antiqua" w:cs="Book Antiqua"/>
          <w:color w:val="000000"/>
        </w:rPr>
        <w:t xml:space="preserve"> J, Vargo JJ. A lexicon for endoscopic adverse events: report of an ASGE workshop.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446-454 [PMID: 20189503 DOI: 10.1016/j.gie.2009.10.027]</w:t>
      </w:r>
    </w:p>
    <w:p w14:paraId="0D4C7CAB" w14:textId="77777777" w:rsidR="00A77B3E" w:rsidRDefault="007F2C33" w:rsidP="00B9705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Miura F</w:t>
      </w:r>
      <w:r>
        <w:rPr>
          <w:rFonts w:ascii="Book Antiqua" w:eastAsia="Book Antiqua" w:hAnsi="Book Antiqua" w:cs="Book Antiqua"/>
          <w:color w:val="000000"/>
        </w:rPr>
        <w:t xml:space="preserve">, Okamoto K, Takada T, Strasberg SM, </w:t>
      </w:r>
      <w:proofErr w:type="spellStart"/>
      <w:r>
        <w:rPr>
          <w:rFonts w:ascii="Book Antiqua" w:eastAsia="Book Antiqua" w:hAnsi="Book Antiqua" w:cs="Book Antiqua"/>
          <w:color w:val="000000"/>
        </w:rPr>
        <w:t>Asbun</w:t>
      </w:r>
      <w:proofErr w:type="spellEnd"/>
      <w:r>
        <w:rPr>
          <w:rFonts w:ascii="Book Antiqua" w:eastAsia="Book Antiqua" w:hAnsi="Book Antiqua" w:cs="Book Antiqua"/>
          <w:color w:val="000000"/>
        </w:rPr>
        <w:t xml:space="preserve"> HJ, Pitt HA, </w:t>
      </w:r>
      <w:proofErr w:type="spellStart"/>
      <w:r>
        <w:rPr>
          <w:rFonts w:ascii="Book Antiqua" w:eastAsia="Book Antiqua" w:hAnsi="Book Antiqua" w:cs="Book Antiqua"/>
          <w:color w:val="000000"/>
        </w:rPr>
        <w:t>Gomi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Solomkin</w:t>
      </w:r>
      <w:proofErr w:type="spellEnd"/>
      <w:r>
        <w:rPr>
          <w:rFonts w:ascii="Book Antiqua" w:eastAsia="Book Antiqua" w:hAnsi="Book Antiqua" w:cs="Book Antiqua"/>
          <w:color w:val="000000"/>
        </w:rPr>
        <w:t xml:space="preserve"> JS, Schlossberg D, Han HS, Kim MH, Hwang TL, Chen MF, Huang WS,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Garden OJ, Liau KH, Horiguchi A, Liu KH,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Belli G,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Jagannath P, Chan ACW, Lau WY, Endo I, Suzuki K, Yoon YS, de </w:t>
      </w:r>
      <w:proofErr w:type="spellStart"/>
      <w:r>
        <w:rPr>
          <w:rFonts w:ascii="Book Antiqua" w:eastAsia="Book Antiqua" w:hAnsi="Book Antiqua" w:cs="Book Antiqua"/>
          <w:color w:val="000000"/>
        </w:rPr>
        <w:t>Santibañes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Giménez</w:t>
      </w:r>
      <w:proofErr w:type="spellEnd"/>
      <w:r>
        <w:rPr>
          <w:rFonts w:ascii="Book Antiqua" w:eastAsia="Book Antiqua" w:hAnsi="Book Antiqua" w:cs="Book Antiqua"/>
          <w:color w:val="000000"/>
        </w:rPr>
        <w:t xml:space="preserve"> ME, Jonas E, Singh H, Honda G,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K, Mori Y, Wada K, Higuchi R, Watanabe M, </w:t>
      </w:r>
      <w:proofErr w:type="spellStart"/>
      <w:r>
        <w:rPr>
          <w:rFonts w:ascii="Book Antiqua" w:eastAsia="Book Antiqua" w:hAnsi="Book Antiqua" w:cs="Book Antiqua"/>
          <w:color w:val="000000"/>
        </w:rPr>
        <w:t>Rikiyama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N, Kano N,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A, Mukai S, </w:t>
      </w:r>
      <w:proofErr w:type="spellStart"/>
      <w:r>
        <w:rPr>
          <w:rFonts w:ascii="Book Antiqua" w:eastAsia="Book Antiqua" w:hAnsi="Book Antiqua" w:cs="Book Antiqua"/>
          <w:color w:val="000000"/>
        </w:rPr>
        <w:t>Tokumura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Kozaka</w:t>
      </w:r>
      <w:proofErr w:type="spellEnd"/>
      <w:r>
        <w:rPr>
          <w:rFonts w:ascii="Book Antiqua" w:eastAsia="Book Antiqua" w:hAnsi="Book Antiqua" w:cs="Book Antiqua"/>
          <w:color w:val="000000"/>
        </w:rPr>
        <w:t xml:space="preserve"> K, Iwashita Y,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Yokoe</w:t>
      </w:r>
      <w:proofErr w:type="spellEnd"/>
      <w:r>
        <w:rPr>
          <w:rFonts w:ascii="Book Antiqua" w:eastAsia="Book Antiqua" w:hAnsi="Book Antiqua" w:cs="Book Antiqua"/>
          <w:color w:val="000000"/>
        </w:rPr>
        <w:t xml:space="preserve"> M, Kimura T, Kitano S, Inomata M, Hirata K, </w:t>
      </w:r>
      <w:proofErr w:type="spellStart"/>
      <w:r>
        <w:rPr>
          <w:rFonts w:ascii="Book Antiqua" w:eastAsia="Book Antiqua" w:hAnsi="Book Antiqua" w:cs="Book Antiqua"/>
          <w:color w:val="000000"/>
        </w:rPr>
        <w:t>Sumiyama</w:t>
      </w:r>
      <w:proofErr w:type="spellEnd"/>
      <w:r>
        <w:rPr>
          <w:rFonts w:ascii="Book Antiqua" w:eastAsia="Book Antiqua" w:hAnsi="Book Antiqua" w:cs="Book Antiqua"/>
          <w:color w:val="000000"/>
        </w:rPr>
        <w:t xml:space="preserve"> Y, Inui </w:t>
      </w:r>
      <w:r>
        <w:rPr>
          <w:rFonts w:ascii="Book Antiqua" w:eastAsia="Book Antiqua" w:hAnsi="Book Antiqua" w:cs="Book Antiqua"/>
          <w:color w:val="000000"/>
        </w:rPr>
        <w:lastRenderedPageBreak/>
        <w:t xml:space="preserve">K, Yamamoto M. Tokyo Guidelines 2018: initial management of acute biliary infection and flowchart for acute cholangitis.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31-40 [PMID: 28941329 DOI: 10.1002/jhbp.509]</w:t>
      </w:r>
    </w:p>
    <w:p w14:paraId="4A57527C" w14:textId="77777777" w:rsidR="00A77B3E" w:rsidRDefault="007F2C33" w:rsidP="00B9705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YN</w:t>
      </w:r>
      <w:r>
        <w:rPr>
          <w:rFonts w:ascii="Book Antiqua" w:eastAsia="Book Antiqua" w:hAnsi="Book Antiqua" w:cs="Book Antiqua"/>
          <w:color w:val="000000"/>
        </w:rPr>
        <w:t xml:space="preserve">, Moon JH, Choi HJ, Choi MH, Lee TH, Cha SW, Cho YD, Choi SY, Lee HK, Park SH. Effectiveness of a newly designed antireflux valve metal stent to reduce duodenobiliary reflux in patients with unresectable distal malignant biliary obstruction: a randomized, controlled pilot study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404-412 [PMID: 26385187 DOI: 10.1016/j.gie.2015.08.084]</w:t>
      </w:r>
    </w:p>
    <w:p w14:paraId="130438E4" w14:textId="63729D55" w:rsidR="00A77B3E" w:rsidRDefault="007F2C33" w:rsidP="00B9705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Chandrasekhara V,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Muthusamy VR, Acosta RD, Agrawal D,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Eloubeidi</w:t>
      </w:r>
      <w:proofErr w:type="spellEnd"/>
      <w:r>
        <w:rPr>
          <w:rFonts w:ascii="Book Antiqua" w:eastAsia="Book Antiqua" w:hAnsi="Book Antiqua" w:cs="Book Antiqua"/>
          <w:color w:val="000000"/>
        </w:rPr>
        <w:t xml:space="preserve"> MA, Fanelli RD, </w:t>
      </w:r>
      <w:proofErr w:type="spellStart"/>
      <w:r>
        <w:rPr>
          <w:rFonts w:ascii="Book Antiqua" w:eastAsia="Book Antiqua" w:hAnsi="Book Antiqua" w:cs="Book Antiqua"/>
          <w:color w:val="000000"/>
        </w:rPr>
        <w:t>Faulx</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Gurudu</w:t>
      </w:r>
      <w:proofErr w:type="spellEnd"/>
      <w:r>
        <w:rPr>
          <w:rFonts w:ascii="Book Antiqua" w:eastAsia="Book Antiqua" w:hAnsi="Book Antiqua" w:cs="Book Antiqua"/>
          <w:color w:val="000000"/>
        </w:rPr>
        <w:t xml:space="preserve"> SR, Kothari S,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Qumseya</w:t>
      </w:r>
      <w:proofErr w:type="spellEnd"/>
      <w:r>
        <w:rPr>
          <w:rFonts w:ascii="Book Antiqua" w:eastAsia="Book Antiqua" w:hAnsi="Book Antiqua" w:cs="Book Antiqua"/>
          <w:color w:val="000000"/>
        </w:rPr>
        <w:t xml:space="preserve"> BJ, Shaukat A, Wang A, Wani SB, Yang J, DeWitt JM. Adverse events associated with ERCP.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32-47 [PMID: 27546389 DOI: 10.1016/j.gie.2016.06.051]</w:t>
      </w:r>
    </w:p>
    <w:p w14:paraId="24072E24" w14:textId="77777777" w:rsidR="00A77B3E" w:rsidRDefault="007F2C33" w:rsidP="00B9705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Yuan XL</w:t>
      </w:r>
      <w:r>
        <w:rPr>
          <w:rFonts w:ascii="Book Antiqua" w:eastAsia="Book Antiqua" w:hAnsi="Book Antiqua" w:cs="Book Antiqua"/>
          <w:color w:val="000000"/>
        </w:rPr>
        <w:t xml:space="preserve">, Ye LS, Liu Q, Wu CC, Liu W, Zeng XH, Zhang YH, Guo LJ, Zhang YY, Li Y, Zhou XY, Hu B. Risk factors for distal migration of biliary plastic stents and related duodenal injury.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1722-1728 [PMID: 31321537 DOI: 10.1007/s00464-019-06957-x]</w:t>
      </w:r>
    </w:p>
    <w:p w14:paraId="4281CE1B" w14:textId="77777777" w:rsidR="00A77B3E" w:rsidRDefault="007F2C33" w:rsidP="00B9705D">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Tringali</w:t>
      </w:r>
      <w:proofErr w:type="spellEnd"/>
      <w:r>
        <w:rPr>
          <w:rFonts w:ascii="Book Antiqua" w:eastAsia="Book Antiqua" w:hAnsi="Book Antiqua" w:cs="Book Antiqua"/>
          <w:color w:val="000000"/>
        </w:rPr>
        <w:t xml:space="preserve"> A, Papanikolaou IS, </w:t>
      </w:r>
      <w:proofErr w:type="spellStart"/>
      <w:r>
        <w:rPr>
          <w:rFonts w:ascii="Book Antiqua" w:eastAsia="Book Antiqua" w:hAnsi="Book Antiqua" w:cs="Book Antiqua"/>
          <w:color w:val="000000"/>
        </w:rPr>
        <w:t>Blero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Mangiavillano</w:t>
      </w:r>
      <w:proofErr w:type="spellEnd"/>
      <w:r>
        <w:rPr>
          <w:rFonts w:ascii="Book Antiqua" w:eastAsia="Book Antiqua" w:hAnsi="Book Antiqua" w:cs="Book Antiqua"/>
          <w:color w:val="000000"/>
        </w:rPr>
        <w:t xml:space="preserve"> B, Schmidt A,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Devière</w:t>
      </w:r>
      <w:proofErr w:type="spellEnd"/>
      <w:r>
        <w:rPr>
          <w:rFonts w:ascii="Book Antiqua" w:eastAsia="Book Antiqua" w:hAnsi="Book Antiqua" w:cs="Book Antiqua"/>
          <w:color w:val="000000"/>
        </w:rPr>
        <w:t xml:space="preserve"> J, García-Cano J, </w:t>
      </w:r>
      <w:proofErr w:type="spellStart"/>
      <w:r>
        <w:rPr>
          <w:rFonts w:ascii="Book Antiqua" w:eastAsia="Book Antiqua" w:hAnsi="Book Antiqua" w:cs="Book Antiqua"/>
          <w:color w:val="000000"/>
        </w:rPr>
        <w:t>Gyökeres</w:t>
      </w:r>
      <w:proofErr w:type="spellEnd"/>
      <w:r>
        <w:rPr>
          <w:rFonts w:ascii="Book Antiqua" w:eastAsia="Book Antiqua" w:hAnsi="Book Antiqua" w:cs="Book Antiqua"/>
          <w:color w:val="000000"/>
        </w:rPr>
        <w:t xml:space="preserve"> T, Hassan C, Prat F,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Endoscopic biliary stenting: indications, choice of stents, and results: European Society of Gastrointestinal Endoscopy (ESGE) Clinical Guideline - Updated October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910-930 [PMID: 30086596 DOI: 10.1055/a-0659-9864]</w:t>
      </w:r>
    </w:p>
    <w:p w14:paraId="08CCB00A" w14:textId="77777777" w:rsidR="00A77B3E" w:rsidRDefault="007F2C33" w:rsidP="00B9705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Kwon CI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Gromski</w:t>
      </w:r>
      <w:proofErr w:type="spellEnd"/>
      <w:r>
        <w:rPr>
          <w:rFonts w:ascii="Book Antiqua" w:eastAsia="Book Antiqua" w:hAnsi="Book Antiqua" w:cs="Book Antiqua"/>
          <w:color w:val="000000"/>
        </w:rPr>
        <w:t xml:space="preserve"> MA, Sherman S, Easler JJ, El Hajj II, Watkins J, Fogel EL, McHenry L, Lehman GA. Time Sequence Evaluation of Biliary Stent Occlusion by Dissection Analysis of Retrieved Stents.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2426-2435 [PMID: 27154511 DOI: 10.1007/s10620-016-4135-0]</w:t>
      </w:r>
    </w:p>
    <w:p w14:paraId="2F8A1506" w14:textId="77777777" w:rsidR="00A77B3E" w:rsidRDefault="007F2C33" w:rsidP="00B9705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van Berkel AM</w:t>
      </w:r>
      <w:r>
        <w:rPr>
          <w:rFonts w:ascii="Book Antiqua" w:eastAsia="Book Antiqua" w:hAnsi="Book Antiqua" w:cs="Book Antiqua"/>
          <w:color w:val="000000"/>
        </w:rPr>
        <w:t xml:space="preserve">, Bruno MJ, Bergman JJ, van Deventer SJ, </w:t>
      </w:r>
      <w:proofErr w:type="spellStart"/>
      <w:r>
        <w:rPr>
          <w:rFonts w:ascii="Book Antiqua" w:eastAsia="Book Antiqua" w:hAnsi="Book Antiqua" w:cs="Book Antiqua"/>
          <w:color w:val="000000"/>
        </w:rPr>
        <w:t>Tytgat</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Huibregtse</w:t>
      </w:r>
      <w:proofErr w:type="spellEnd"/>
      <w:r>
        <w:rPr>
          <w:rFonts w:ascii="Book Antiqua" w:eastAsia="Book Antiqua" w:hAnsi="Book Antiqua" w:cs="Book Antiqua"/>
          <w:color w:val="000000"/>
        </w:rPr>
        <w:t xml:space="preserve"> K. A prospective randomized study of hydrophilic polymer-coated polyurethane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polyethylene stents in distal malignant biliary obstruction.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2003; </w:t>
      </w:r>
      <w:r>
        <w:rPr>
          <w:rFonts w:ascii="Book Antiqua" w:eastAsia="Book Antiqua" w:hAnsi="Book Antiqua" w:cs="Book Antiqua"/>
          <w:b/>
          <w:bCs/>
          <w:color w:val="000000"/>
        </w:rPr>
        <w:t>35</w:t>
      </w:r>
      <w:r>
        <w:rPr>
          <w:rFonts w:ascii="Book Antiqua" w:eastAsia="Book Antiqua" w:hAnsi="Book Antiqua" w:cs="Book Antiqua"/>
          <w:color w:val="000000"/>
        </w:rPr>
        <w:t>: 478-482 [PMID: 12783344 DOI: 10.1055/s-2003-39666]</w:t>
      </w:r>
    </w:p>
    <w:p w14:paraId="5F555328" w14:textId="77777777" w:rsidR="00A77B3E" w:rsidRDefault="007F2C33" w:rsidP="00B9705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Costamagna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Mutignani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Rotondano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Cipolletta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Ghezzo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Zambelli</w:t>
      </w:r>
      <w:proofErr w:type="spellEnd"/>
      <w:r>
        <w:rPr>
          <w:rFonts w:ascii="Book Antiqua" w:eastAsia="Book Antiqua" w:hAnsi="Book Antiqua" w:cs="Book Antiqua"/>
          <w:color w:val="000000"/>
        </w:rPr>
        <w:t xml:space="preserve"> A. Hydrophilic </w:t>
      </w:r>
      <w:proofErr w:type="spellStart"/>
      <w:r>
        <w:rPr>
          <w:rFonts w:ascii="Book Antiqua" w:eastAsia="Book Antiqua" w:hAnsi="Book Antiqua" w:cs="Book Antiqua"/>
          <w:color w:val="000000"/>
        </w:rPr>
        <w:t>hydromer</w:t>
      </w:r>
      <w:proofErr w:type="spellEnd"/>
      <w:r>
        <w:rPr>
          <w:rFonts w:ascii="Book Antiqua" w:eastAsia="Book Antiqua" w:hAnsi="Book Antiqua" w:cs="Book Antiqua"/>
          <w:color w:val="000000"/>
        </w:rPr>
        <w:t xml:space="preserve">-coated polyurethane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uncoated stents in malignant biliary obstruction: a randomized trial.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8-11 [PMID: 10625787 DOI: 10.1016/s0016-5107(00)70378-6]</w:t>
      </w:r>
    </w:p>
    <w:p w14:paraId="67640669" w14:textId="77777777" w:rsidR="00A77B3E" w:rsidRDefault="007F2C33" w:rsidP="00B9705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Yamabe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Wada I, </w:t>
      </w:r>
      <w:proofErr w:type="spellStart"/>
      <w:r>
        <w:rPr>
          <w:rFonts w:ascii="Book Antiqua" w:eastAsia="Book Antiqua" w:hAnsi="Book Antiqua" w:cs="Book Antiqua"/>
          <w:color w:val="000000"/>
        </w:rPr>
        <w:t>Shibukawa</w:t>
      </w:r>
      <w:proofErr w:type="spellEnd"/>
      <w:r>
        <w:rPr>
          <w:rFonts w:ascii="Book Antiqua" w:eastAsia="Book Antiqua" w:hAnsi="Book Antiqua" w:cs="Book Antiqua"/>
          <w:color w:val="000000"/>
        </w:rPr>
        <w:t xml:space="preserve"> G, Fujisawa M, Sato A, Igarashi R, Maki T, Hoshi K. Application of a silver coating on plastic biliary stents to prevent biofilm formation: an experimental study using electron microscopy.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E1090-E1095 [PMID: 27747284 DOI: 10.1055/s-0042-115173]</w:t>
      </w:r>
    </w:p>
    <w:p w14:paraId="0356E508" w14:textId="77777777" w:rsidR="00A77B3E" w:rsidRDefault="007F2C33" w:rsidP="00B9705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Kimura Y</w:t>
      </w:r>
      <w:r>
        <w:rPr>
          <w:rFonts w:ascii="Book Antiqua" w:eastAsia="Book Antiqua" w:hAnsi="Book Antiqua" w:cs="Book Antiqua"/>
          <w:color w:val="000000"/>
        </w:rPr>
        <w:t xml:space="preserve">, Takada T, Strasberg SM, Pitt HA,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Garden OJ,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Windsor JA, Mayumi T, Yoshida M, Miura F, Higuchi R,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Lau WY, Belli G, Kim MH, </w:t>
      </w:r>
      <w:proofErr w:type="spellStart"/>
      <w:r>
        <w:rPr>
          <w:rFonts w:ascii="Book Antiqua" w:eastAsia="Book Antiqua" w:hAnsi="Book Antiqua" w:cs="Book Antiqua"/>
          <w:color w:val="000000"/>
        </w:rPr>
        <w:t>Hilvano</w:t>
      </w:r>
      <w:proofErr w:type="spellEnd"/>
      <w:r>
        <w:rPr>
          <w:rFonts w:ascii="Book Antiqua" w:eastAsia="Book Antiqua" w:hAnsi="Book Antiqua" w:cs="Book Antiqua"/>
          <w:color w:val="000000"/>
        </w:rPr>
        <w:t xml:space="preserve"> SC, Yamashita Y. TG13 current terminology, etiology, and epidemiology of acute cholangitis and cholecystitis.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8-23 [PMID: 23307004 DOI: 10.1007/s00534-012-0564-0]</w:t>
      </w:r>
    </w:p>
    <w:p w14:paraId="379D1330" w14:textId="77777777" w:rsidR="00A77B3E" w:rsidRDefault="007F2C33" w:rsidP="00B9705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Christensen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Matzen</w:t>
      </w:r>
      <w:proofErr w:type="spellEnd"/>
      <w:r>
        <w:rPr>
          <w:rFonts w:ascii="Book Antiqua" w:eastAsia="Book Antiqua" w:hAnsi="Book Antiqua" w:cs="Book Antiqua"/>
          <w:color w:val="000000"/>
        </w:rPr>
        <w:t xml:space="preserve"> P, Schulze S, Rosenberg J. Complications of ERCP: a prospective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721-731 [PMID: 15557948 DOI: 10.1016/s0016-5107(04)02169-8]</w:t>
      </w:r>
    </w:p>
    <w:p w14:paraId="1FF5E385" w14:textId="77777777" w:rsidR="00A77B3E" w:rsidRDefault="007F2C33" w:rsidP="00B9705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Colton JB</w:t>
      </w:r>
      <w:r>
        <w:rPr>
          <w:rFonts w:ascii="Book Antiqua" w:eastAsia="Book Antiqua" w:hAnsi="Book Antiqua" w:cs="Book Antiqua"/>
          <w:color w:val="000000"/>
        </w:rPr>
        <w:t xml:space="preserve">, Curran CC. Quality indicators, including complications, of ERCP in a community setting: a prospective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457-467 [PMID: 19482278 DOI: 10.1016/j.gie.2008.11.022]</w:t>
      </w:r>
    </w:p>
    <w:p w14:paraId="372618F1" w14:textId="77777777" w:rsidR="00A77B3E" w:rsidRDefault="007F2C33" w:rsidP="00B9705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Andriulli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Loperfido</w:t>
      </w:r>
      <w:proofErr w:type="spellEnd"/>
      <w:r>
        <w:rPr>
          <w:rFonts w:ascii="Book Antiqua" w:eastAsia="Book Antiqua" w:hAnsi="Book Antiqua" w:cs="Book Antiqua"/>
          <w:color w:val="000000"/>
        </w:rPr>
        <w:t xml:space="preserve"> S, Napolitano G, Niro G, Valvano MR, Spirito F, </w:t>
      </w:r>
      <w:proofErr w:type="spellStart"/>
      <w:r>
        <w:rPr>
          <w:rFonts w:ascii="Book Antiqua" w:eastAsia="Book Antiqua" w:hAnsi="Book Antiqua" w:cs="Book Antiqua"/>
          <w:color w:val="000000"/>
        </w:rPr>
        <w:t>Pilotto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Forlano</w:t>
      </w:r>
      <w:proofErr w:type="spellEnd"/>
      <w:r>
        <w:rPr>
          <w:rFonts w:ascii="Book Antiqua" w:eastAsia="Book Antiqua" w:hAnsi="Book Antiqua" w:cs="Book Antiqua"/>
          <w:color w:val="000000"/>
        </w:rPr>
        <w:t xml:space="preserve"> R. Incidence rates of post-ERCP complications: a systematic survey of prospective studies.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1781-1788 [PMID: 17509029 DOI: 10.1111/j.1572-0241.2007.01279.x]</w:t>
      </w:r>
    </w:p>
    <w:p w14:paraId="4B97B529" w14:textId="77777777" w:rsidR="00A77B3E" w:rsidRDefault="007F2C33" w:rsidP="00B9705D">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Andriulli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Meister T, </w:t>
      </w:r>
      <w:proofErr w:type="spellStart"/>
      <w:r>
        <w:rPr>
          <w:rFonts w:ascii="Book Antiqua" w:eastAsia="Book Antiqua" w:hAnsi="Book Antiqua" w:cs="Book Antiqua"/>
          <w:color w:val="000000"/>
        </w:rPr>
        <w:t>Deviere</w:t>
      </w:r>
      <w:proofErr w:type="spellEnd"/>
      <w:r>
        <w:rPr>
          <w:rFonts w:ascii="Book Antiqua" w:eastAsia="Book Antiqua" w:hAnsi="Book Antiqua" w:cs="Book Antiqua"/>
          <w:color w:val="000000"/>
        </w:rPr>
        <w:t xml:space="preserve"> J, Marek T, Baron TH, Hassan C,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Kapral</w:t>
      </w:r>
      <w:proofErr w:type="spellEnd"/>
      <w:r>
        <w:rPr>
          <w:rFonts w:ascii="Book Antiqua" w:eastAsia="Book Antiqua" w:hAnsi="Book Antiqua" w:cs="Book Antiqua"/>
          <w:color w:val="000000"/>
        </w:rPr>
        <w:t xml:space="preserve"> C; European Society of Gastrointestinal Endoscopy. Prophylaxis of post-ERCP pancreatitis: European Society of Gastrointestinal </w:t>
      </w:r>
      <w:r>
        <w:rPr>
          <w:rFonts w:ascii="Book Antiqua" w:eastAsia="Book Antiqua" w:hAnsi="Book Antiqua" w:cs="Book Antiqua"/>
          <w:color w:val="000000"/>
        </w:rPr>
        <w:lastRenderedPageBreak/>
        <w:t xml:space="preserve">Endoscopy (ESGE) Guideline - updated June 2014.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799-815 [PMID: 25148137 DOI: 10.1055/s-0034-1377875]</w:t>
      </w:r>
    </w:p>
    <w:p w14:paraId="160DB70B" w14:textId="77777777" w:rsidR="00A77B3E" w:rsidRDefault="007F2C33" w:rsidP="00B9705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Kochar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Akshintala</w:t>
      </w:r>
      <w:proofErr w:type="spellEnd"/>
      <w:r>
        <w:rPr>
          <w:rFonts w:ascii="Book Antiqua" w:eastAsia="Book Antiqua" w:hAnsi="Book Antiqua" w:cs="Book Antiqua"/>
          <w:color w:val="000000"/>
        </w:rPr>
        <w:t xml:space="preserve"> VS, Afghani E,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Kim KJ, Lennon AM,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Singh VK. Incidence, severity, and mortality of post-ERCP pancreatitis: a systematic review by using randomized, controlled trials.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143-149.e9 [PMID: 25088919 DOI: 10.1016/j.gie.2014.06.045]</w:t>
      </w:r>
    </w:p>
    <w:p w14:paraId="2733EFF9" w14:textId="77777777" w:rsidR="00A77B3E" w:rsidRDefault="007F2C33" w:rsidP="00B9705D">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Saranga</w:t>
      </w:r>
      <w:proofErr w:type="spellEnd"/>
      <w:r>
        <w:rPr>
          <w:rFonts w:ascii="Book Antiqua" w:eastAsia="Book Antiqua" w:hAnsi="Book Antiqua" w:cs="Book Antiqua"/>
          <w:b/>
          <w:bCs/>
          <w:color w:val="000000"/>
        </w:rPr>
        <w:t xml:space="preserve"> Bharathi R</w:t>
      </w:r>
      <w:r>
        <w:rPr>
          <w:rFonts w:ascii="Book Antiqua" w:eastAsia="Book Antiqua" w:hAnsi="Book Antiqua" w:cs="Book Antiqua"/>
          <w:color w:val="000000"/>
        </w:rPr>
        <w:t xml:space="preserve">, Rao P, Ghosh K. Iatrogenic duodenal perforations caused by endoscopic biliary stenting and stent migration: an update.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1271-1274 [PMID: 17163332 DOI: 10.1055/s-2006-944960]</w:t>
      </w:r>
    </w:p>
    <w:p w14:paraId="0E89E82B" w14:textId="77777777" w:rsidR="00A77B3E" w:rsidRDefault="007F2C33" w:rsidP="00B9705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Berkel</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Huibregtse</w:t>
      </w:r>
      <w:proofErr w:type="spellEnd"/>
      <w:r>
        <w:rPr>
          <w:rFonts w:ascii="Book Antiqua" w:eastAsia="Book Antiqua" w:hAnsi="Book Antiqua" w:cs="Book Antiqua"/>
          <w:color w:val="000000"/>
        </w:rPr>
        <w:t xml:space="preserve"> IL, Bergman JJ, </w:t>
      </w:r>
      <w:proofErr w:type="spellStart"/>
      <w:r>
        <w:rPr>
          <w:rFonts w:ascii="Book Antiqua" w:eastAsia="Book Antiqua" w:hAnsi="Book Antiqua" w:cs="Book Antiqua"/>
          <w:color w:val="000000"/>
        </w:rPr>
        <w:t>Rauws</w:t>
      </w:r>
      <w:proofErr w:type="spellEnd"/>
      <w:r>
        <w:rPr>
          <w:rFonts w:ascii="Book Antiqua" w:eastAsia="Book Antiqua" w:hAnsi="Book Antiqua" w:cs="Book Antiqua"/>
          <w:color w:val="000000"/>
        </w:rPr>
        <w:t xml:space="preserve"> EA, Bruno MJ, </w:t>
      </w:r>
      <w:proofErr w:type="spellStart"/>
      <w:r>
        <w:rPr>
          <w:rFonts w:ascii="Book Antiqua" w:eastAsia="Book Antiqua" w:hAnsi="Book Antiqua" w:cs="Book Antiqua"/>
          <w:color w:val="000000"/>
        </w:rPr>
        <w:t>Huibregtse</w:t>
      </w:r>
      <w:proofErr w:type="spellEnd"/>
      <w:r>
        <w:rPr>
          <w:rFonts w:ascii="Book Antiqua" w:eastAsia="Book Antiqua" w:hAnsi="Book Antiqua" w:cs="Book Antiqua"/>
          <w:color w:val="000000"/>
        </w:rPr>
        <w:t xml:space="preserve"> K. A prospective randomized trial of Tannenbaum-type Teflon-coated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polyethylene stents for distal malignant biliary obstruction.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213-217 [PMID: 15075997 DOI: 10.1097/00042737-200402000-00015]</w:t>
      </w:r>
    </w:p>
    <w:p w14:paraId="5B9C82C0" w14:textId="77777777" w:rsidR="00A77B3E" w:rsidRDefault="007F2C33" w:rsidP="00B9705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England RE</w:t>
      </w:r>
      <w:r>
        <w:rPr>
          <w:rFonts w:ascii="Book Antiqua" w:eastAsia="Book Antiqua" w:hAnsi="Book Antiqua" w:cs="Book Antiqua"/>
          <w:color w:val="000000"/>
        </w:rPr>
        <w:t xml:space="preserve">, Martin DF, Morris J, Sheridan MB, Frost R, Freeman A, Lawrie B, Deakin M, Fraser I, Smith K.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comparing 10 Fr Teflon Tannenbaum stents with 10 Fr polyethylene Cotton-Leung stents in patients with malignant common duct strictures.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46</w:t>
      </w:r>
      <w:r>
        <w:rPr>
          <w:rFonts w:ascii="Book Antiqua" w:eastAsia="Book Antiqua" w:hAnsi="Book Antiqua" w:cs="Book Antiqua"/>
          <w:color w:val="000000"/>
        </w:rPr>
        <w:t>: 395-400 [PMID: 10673303 DOI: 10.1136/gut.46.3.395]</w:t>
      </w:r>
    </w:p>
    <w:p w14:paraId="1E50E462" w14:textId="77777777" w:rsidR="00A77B3E" w:rsidRDefault="007F2C33" w:rsidP="00B9705D">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Terruzzi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Comin U, De Grazia F, </w:t>
      </w:r>
      <w:proofErr w:type="spellStart"/>
      <w:r>
        <w:rPr>
          <w:rFonts w:ascii="Book Antiqua" w:eastAsia="Book Antiqua" w:hAnsi="Book Antiqua" w:cs="Book Antiqua"/>
          <w:color w:val="000000"/>
        </w:rPr>
        <w:t>Toti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Zambelli</w:t>
      </w:r>
      <w:proofErr w:type="spellEnd"/>
      <w:r>
        <w:rPr>
          <w:rFonts w:ascii="Book Antiqua" w:eastAsia="Book Antiqua" w:hAnsi="Book Antiqua" w:cs="Book Antiqua"/>
          <w:color w:val="000000"/>
        </w:rPr>
        <w:t xml:space="preserve"> A, Beretta S, </w:t>
      </w:r>
      <w:proofErr w:type="spellStart"/>
      <w:r>
        <w:rPr>
          <w:rFonts w:ascii="Book Antiqua" w:eastAsia="Book Antiqua" w:hAnsi="Book Antiqua" w:cs="Book Antiqua"/>
          <w:color w:val="000000"/>
        </w:rPr>
        <w:t>Minoli</w:t>
      </w:r>
      <w:proofErr w:type="spellEnd"/>
      <w:r>
        <w:rPr>
          <w:rFonts w:ascii="Book Antiqua" w:eastAsia="Book Antiqua" w:hAnsi="Book Antiqua" w:cs="Book Antiqua"/>
          <w:color w:val="000000"/>
        </w:rPr>
        <w:t xml:space="preserve"> G. Prospective randomized trial comparing Tannenbaum Teflon and standard polyethylene stents in distal malignant biliary stenosis.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23-27 [PMID: 10625790 DOI: 10.1016/s0016-5107(00)70381-6]</w:t>
      </w:r>
    </w:p>
    <w:p w14:paraId="205634E8" w14:textId="77777777" w:rsidR="00A77B3E" w:rsidRDefault="00A77B3E" w:rsidP="00B9705D">
      <w:pPr>
        <w:spacing w:line="360" w:lineRule="auto"/>
        <w:jc w:val="both"/>
        <w:sectPr w:rsidR="00A77B3E">
          <w:pgSz w:w="12240" w:h="15840"/>
          <w:pgMar w:top="1440" w:right="1440" w:bottom="1440" w:left="1440" w:header="720" w:footer="720" w:gutter="0"/>
          <w:cols w:space="720"/>
          <w:docGrid w:linePitch="360"/>
        </w:sectPr>
      </w:pPr>
    </w:p>
    <w:p w14:paraId="26386FB1" w14:textId="77777777" w:rsidR="00A77B3E" w:rsidRDefault="007F2C33" w:rsidP="00B9705D">
      <w:pPr>
        <w:spacing w:line="360" w:lineRule="auto"/>
        <w:jc w:val="both"/>
      </w:pPr>
      <w:r>
        <w:rPr>
          <w:rFonts w:ascii="Book Antiqua" w:eastAsia="Book Antiqua" w:hAnsi="Book Antiqua" w:cs="Book Antiqua"/>
          <w:b/>
          <w:color w:val="000000"/>
        </w:rPr>
        <w:lastRenderedPageBreak/>
        <w:t>Footnotes</w:t>
      </w:r>
    </w:p>
    <w:p w14:paraId="5E2190BF" w14:textId="77777777" w:rsidR="00A77B3E" w:rsidRDefault="007F2C33" w:rsidP="00B9705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protocol was approved by the Ethics Committee on Biomedical Research, West China Hospital of Sichuan University. </w:t>
      </w:r>
    </w:p>
    <w:p w14:paraId="48BAD91C" w14:textId="77777777" w:rsidR="00A77B3E" w:rsidRDefault="00A77B3E" w:rsidP="00B9705D">
      <w:pPr>
        <w:spacing w:line="360" w:lineRule="auto"/>
        <w:jc w:val="both"/>
      </w:pPr>
    </w:p>
    <w:p w14:paraId="4327EC53" w14:textId="77777777" w:rsidR="00A77B3E" w:rsidRDefault="007F2C33" w:rsidP="00B9705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waived by the Ethics Committee because of the retrospective nature of this study and anonymous data.</w:t>
      </w:r>
    </w:p>
    <w:p w14:paraId="6DA20E3B" w14:textId="77777777" w:rsidR="00A77B3E" w:rsidRDefault="00A77B3E" w:rsidP="00B9705D">
      <w:pPr>
        <w:spacing w:line="360" w:lineRule="auto"/>
        <w:jc w:val="both"/>
      </w:pPr>
    </w:p>
    <w:p w14:paraId="7D08E4B7" w14:textId="77777777" w:rsidR="00A77B3E" w:rsidRDefault="007F2C33" w:rsidP="00B9705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Prof. Bing Hu is one of the inventors of the antireflux plastic stent. He has worked in collaboration with Micro-Tech (Nanjing) Co. Ltd., Nanjing, China, to develop the stent. No free device was offered for this study. Authors disclosed no conflicts of interests.</w:t>
      </w:r>
    </w:p>
    <w:p w14:paraId="593B4746" w14:textId="77777777" w:rsidR="00A77B3E" w:rsidRDefault="00A77B3E" w:rsidP="00B9705D">
      <w:pPr>
        <w:spacing w:line="360" w:lineRule="auto"/>
        <w:jc w:val="both"/>
      </w:pPr>
    </w:p>
    <w:p w14:paraId="522A3FF1" w14:textId="77777777" w:rsidR="00A77B3E" w:rsidRDefault="007F2C33" w:rsidP="00B9705D">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unpublished data are available.</w:t>
      </w:r>
    </w:p>
    <w:p w14:paraId="39E3CF87" w14:textId="77777777" w:rsidR="00A77B3E" w:rsidRDefault="00A77B3E" w:rsidP="00B9705D">
      <w:pPr>
        <w:spacing w:line="360" w:lineRule="auto"/>
        <w:jc w:val="both"/>
      </w:pPr>
    </w:p>
    <w:p w14:paraId="739D32C0" w14:textId="77777777" w:rsidR="00A77B3E" w:rsidRDefault="007F2C33" w:rsidP="00B9705D">
      <w:pPr>
        <w:spacing w:line="360" w:lineRule="auto"/>
        <w:jc w:val="both"/>
      </w:pPr>
      <w:r>
        <w:rPr>
          <w:rFonts w:ascii="Book Antiqua" w:eastAsia="Book Antiqua" w:hAnsi="Book Antiqua" w:cs="Book Antiqua"/>
          <w:b/>
          <w:bCs/>
          <w:color w:val="000000"/>
        </w:rPr>
        <w:t xml:space="preserve">Open-Access: </w:t>
      </w:r>
      <w:bookmarkStart w:id="4" w:name="OLE_LINK713"/>
      <w:bookmarkStart w:id="5" w:name="OLE_LINK714"/>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14:paraId="70B0DF3E" w14:textId="77777777" w:rsidR="00A77B3E" w:rsidRDefault="00A77B3E" w:rsidP="00B9705D">
      <w:pPr>
        <w:spacing w:line="360" w:lineRule="auto"/>
        <w:jc w:val="both"/>
      </w:pPr>
    </w:p>
    <w:p w14:paraId="4C713227" w14:textId="3089FB4A" w:rsidR="00A77B3E" w:rsidRDefault="007F2C33" w:rsidP="00B970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E7CB2">
        <w:rPr>
          <w:rFonts w:ascii="Book Antiqua" w:eastAsia="Book Antiqua" w:hAnsi="Book Antiqua" w:cs="Book Antiqua"/>
          <w:color w:val="000000"/>
        </w:rPr>
        <w:t>m</w:t>
      </w:r>
      <w:r>
        <w:rPr>
          <w:rFonts w:ascii="Book Antiqua" w:eastAsia="Book Antiqua" w:hAnsi="Book Antiqua" w:cs="Book Antiqua"/>
          <w:color w:val="000000"/>
        </w:rPr>
        <w:t>anuscript</w:t>
      </w:r>
    </w:p>
    <w:p w14:paraId="1BBD8E06" w14:textId="77777777" w:rsidR="00A77B3E" w:rsidRDefault="00A77B3E" w:rsidP="00B9705D">
      <w:pPr>
        <w:spacing w:line="360" w:lineRule="auto"/>
        <w:jc w:val="both"/>
      </w:pPr>
    </w:p>
    <w:p w14:paraId="51FE2F81" w14:textId="77777777" w:rsidR="00A77B3E" w:rsidRDefault="007F2C33" w:rsidP="00B970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2021</w:t>
      </w:r>
    </w:p>
    <w:p w14:paraId="1F7151F7" w14:textId="77777777" w:rsidR="00A77B3E" w:rsidRDefault="007F2C33" w:rsidP="00B970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59622BFF" w14:textId="77777777" w:rsidR="00A77B3E" w:rsidRDefault="007F2C33" w:rsidP="00B9705D">
      <w:pPr>
        <w:spacing w:line="360" w:lineRule="auto"/>
        <w:jc w:val="both"/>
      </w:pPr>
      <w:r>
        <w:rPr>
          <w:rFonts w:ascii="Book Antiqua" w:eastAsia="Book Antiqua" w:hAnsi="Book Antiqua" w:cs="Book Antiqua"/>
          <w:b/>
          <w:color w:val="000000"/>
        </w:rPr>
        <w:t xml:space="preserve">Article in press: </w:t>
      </w:r>
    </w:p>
    <w:p w14:paraId="263EC97A" w14:textId="77777777" w:rsidR="00A77B3E" w:rsidRDefault="00A77B3E" w:rsidP="00B9705D">
      <w:pPr>
        <w:spacing w:line="360" w:lineRule="auto"/>
        <w:jc w:val="both"/>
      </w:pPr>
    </w:p>
    <w:p w14:paraId="51C4201E" w14:textId="1E6D75F4" w:rsidR="00A77B3E" w:rsidRDefault="007F2C33" w:rsidP="00B970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1F5356">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6C10EDB8" w14:textId="77777777" w:rsidR="00A77B3E" w:rsidRDefault="007F2C33" w:rsidP="00B970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7CAF57" w14:textId="77777777" w:rsidR="00A77B3E" w:rsidRDefault="007F2C33" w:rsidP="00B9705D">
      <w:pPr>
        <w:spacing w:line="360" w:lineRule="auto"/>
        <w:jc w:val="both"/>
      </w:pPr>
      <w:r>
        <w:rPr>
          <w:rFonts w:ascii="Book Antiqua" w:eastAsia="Book Antiqua" w:hAnsi="Book Antiqua" w:cs="Book Antiqua"/>
          <w:b/>
          <w:color w:val="000000"/>
        </w:rPr>
        <w:t>Peer-review report’s scientific quality classification</w:t>
      </w:r>
    </w:p>
    <w:p w14:paraId="2A5F946B" w14:textId="77777777" w:rsidR="00A77B3E" w:rsidRDefault="007F2C33" w:rsidP="00B9705D">
      <w:pPr>
        <w:spacing w:line="360" w:lineRule="auto"/>
        <w:jc w:val="both"/>
      </w:pPr>
      <w:r>
        <w:rPr>
          <w:rFonts w:ascii="Book Antiqua" w:eastAsia="Book Antiqua" w:hAnsi="Book Antiqua" w:cs="Book Antiqua"/>
          <w:color w:val="000000"/>
        </w:rPr>
        <w:lastRenderedPageBreak/>
        <w:t>Grade A (Excellent): 0</w:t>
      </w:r>
    </w:p>
    <w:p w14:paraId="2FCD915B" w14:textId="77777777" w:rsidR="00A77B3E" w:rsidRDefault="007F2C33" w:rsidP="00B9705D">
      <w:pPr>
        <w:spacing w:line="360" w:lineRule="auto"/>
        <w:jc w:val="both"/>
      </w:pPr>
      <w:r>
        <w:rPr>
          <w:rFonts w:ascii="Book Antiqua" w:eastAsia="Book Antiqua" w:hAnsi="Book Antiqua" w:cs="Book Antiqua"/>
          <w:color w:val="000000"/>
        </w:rPr>
        <w:t>Grade B (Very good): B, B</w:t>
      </w:r>
    </w:p>
    <w:p w14:paraId="7C4E2AA5" w14:textId="77777777" w:rsidR="00A77B3E" w:rsidRDefault="007F2C33" w:rsidP="00B9705D">
      <w:pPr>
        <w:spacing w:line="360" w:lineRule="auto"/>
        <w:jc w:val="both"/>
      </w:pPr>
      <w:r>
        <w:rPr>
          <w:rFonts w:ascii="Book Antiqua" w:eastAsia="Book Antiqua" w:hAnsi="Book Antiqua" w:cs="Book Antiqua"/>
          <w:color w:val="000000"/>
        </w:rPr>
        <w:t>Grade C (Good): C</w:t>
      </w:r>
    </w:p>
    <w:p w14:paraId="5DC6ECEF" w14:textId="77777777" w:rsidR="00A77B3E" w:rsidRDefault="007F2C33" w:rsidP="00B9705D">
      <w:pPr>
        <w:spacing w:line="360" w:lineRule="auto"/>
        <w:jc w:val="both"/>
      </w:pPr>
      <w:r>
        <w:rPr>
          <w:rFonts w:ascii="Book Antiqua" w:eastAsia="Book Antiqua" w:hAnsi="Book Antiqua" w:cs="Book Antiqua"/>
          <w:color w:val="000000"/>
        </w:rPr>
        <w:t>Grade D (Fair): D</w:t>
      </w:r>
    </w:p>
    <w:p w14:paraId="337C635E" w14:textId="77777777" w:rsidR="00A77B3E" w:rsidRDefault="007F2C33" w:rsidP="00B9705D">
      <w:pPr>
        <w:spacing w:line="360" w:lineRule="auto"/>
        <w:jc w:val="both"/>
      </w:pPr>
      <w:r>
        <w:rPr>
          <w:rFonts w:ascii="Book Antiqua" w:eastAsia="Book Antiqua" w:hAnsi="Book Antiqua" w:cs="Book Antiqua"/>
          <w:color w:val="000000"/>
        </w:rPr>
        <w:t>Grade E (Poor): 0</w:t>
      </w:r>
    </w:p>
    <w:p w14:paraId="45FCDF1F" w14:textId="77777777" w:rsidR="00A77B3E" w:rsidRDefault="00A77B3E" w:rsidP="00B9705D">
      <w:pPr>
        <w:spacing w:line="360" w:lineRule="auto"/>
        <w:jc w:val="both"/>
      </w:pPr>
    </w:p>
    <w:p w14:paraId="1108772A" w14:textId="765FE01B" w:rsidR="00A77B3E" w:rsidRDefault="007F2C33" w:rsidP="00B9705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Chow WK, Kawashima H, Nakai Y</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345C5D" w:rsidRPr="00C8136F">
        <w:rPr>
          <w:rFonts w:ascii="Book Antiqua" w:eastAsia="Book Antiqua" w:hAnsi="Book Antiqua" w:cs="Book Antiqua"/>
          <w:bCs/>
          <w:color w:val="000000"/>
        </w:rPr>
        <w:t>Filipodia</w:t>
      </w:r>
      <w:r w:rsidR="00345C5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CD04401" w14:textId="77777777" w:rsidR="00A77B3E" w:rsidRDefault="007F2C33" w:rsidP="00B9705D">
      <w:pPr>
        <w:spacing w:line="360" w:lineRule="auto"/>
        <w:jc w:val="both"/>
      </w:pPr>
      <w:r>
        <w:rPr>
          <w:rFonts w:ascii="Book Antiqua" w:eastAsia="Book Antiqua" w:hAnsi="Book Antiqua" w:cs="Book Antiqua"/>
          <w:b/>
          <w:color w:val="000000"/>
        </w:rPr>
        <w:lastRenderedPageBreak/>
        <w:t>Figure Legends</w:t>
      </w:r>
    </w:p>
    <w:p w14:paraId="2CCD8141" w14:textId="77777777" w:rsidR="00954B1D" w:rsidRDefault="00954B1D" w:rsidP="00B9705D">
      <w:pPr>
        <w:spacing w:line="360" w:lineRule="auto"/>
        <w:jc w:val="both"/>
        <w:rPr>
          <w:rFonts w:ascii="Book Antiqua" w:hAnsi="Book Antiqua" w:cs="Book Antiqua"/>
          <w:b/>
          <w:bCs/>
          <w:color w:val="000000"/>
          <w:lang w:eastAsia="zh-CN"/>
        </w:rPr>
      </w:pPr>
      <w:r>
        <w:rPr>
          <w:noProof/>
          <w:lang w:eastAsia="zh-CN"/>
        </w:rPr>
        <w:drawing>
          <wp:inline distT="0" distB="0" distL="0" distR="0" wp14:anchorId="51AEE6C1" wp14:editId="3DD74A23">
            <wp:extent cx="4813547" cy="334027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13547" cy="3340272"/>
                    </a:xfrm>
                    <a:prstGeom prst="rect">
                      <a:avLst/>
                    </a:prstGeom>
                  </pic:spPr>
                </pic:pic>
              </a:graphicData>
            </a:graphic>
          </wp:inline>
        </w:drawing>
      </w:r>
    </w:p>
    <w:p w14:paraId="62E45881" w14:textId="77777777" w:rsidR="00A77B3E" w:rsidRDefault="007F2C33" w:rsidP="00B9705D">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w:t>
      </w:r>
      <w:r>
        <w:rPr>
          <w:rFonts w:ascii="Book Antiqua" w:eastAsia="Book Antiqua" w:hAnsi="Book Antiqua" w:cs="Book Antiqua"/>
          <w:b/>
          <w:bCs/>
          <w:color w:val="000000"/>
        </w:rPr>
        <w:t>Biliary stents used in this study.</w:t>
      </w:r>
      <w:r>
        <w:rPr>
          <w:rFonts w:ascii="Book Antiqua" w:eastAsia="Book Antiqua" w:hAnsi="Book Antiqua" w:cs="Book Antiqua"/>
          <w:color w:val="000000"/>
        </w:rPr>
        <w:t xml:space="preserve"> A: The new anti-reflux plastic stent; B: The traditional plastic stent.</w:t>
      </w:r>
    </w:p>
    <w:p w14:paraId="6D24280C" w14:textId="77777777" w:rsidR="00A77B3E" w:rsidRDefault="00954B1D" w:rsidP="00B9705D">
      <w:pPr>
        <w:spacing w:line="360" w:lineRule="auto"/>
        <w:jc w:val="both"/>
      </w:pPr>
      <w:r>
        <w:br w:type="page"/>
      </w:r>
      <w:r>
        <w:rPr>
          <w:noProof/>
          <w:lang w:eastAsia="zh-CN"/>
        </w:rPr>
        <w:lastRenderedPageBreak/>
        <w:drawing>
          <wp:inline distT="0" distB="0" distL="0" distR="0" wp14:anchorId="0743FA42" wp14:editId="55E46BC6">
            <wp:extent cx="4743694" cy="4476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43694" cy="4476980"/>
                    </a:xfrm>
                    <a:prstGeom prst="rect">
                      <a:avLst/>
                    </a:prstGeom>
                  </pic:spPr>
                </pic:pic>
              </a:graphicData>
            </a:graphic>
          </wp:inline>
        </w:drawing>
      </w:r>
    </w:p>
    <w:p w14:paraId="1F2156BD" w14:textId="450E82F4" w:rsidR="00A77B3E" w:rsidRDefault="007F2C33" w:rsidP="00B9705D">
      <w:pPr>
        <w:spacing w:line="360" w:lineRule="auto"/>
        <w:jc w:val="both"/>
      </w:pPr>
      <w:r>
        <w:rPr>
          <w:rFonts w:ascii="Book Antiqua" w:eastAsia="Book Antiqua" w:hAnsi="Book Antiqua" w:cs="Book Antiqua"/>
          <w:b/>
          <w:bCs/>
          <w:color w:val="000000"/>
        </w:rPr>
        <w:t>Figure 2 Successful endoscopic placement of an anti-reflux plastic stent or a traditional plastic stent.</w:t>
      </w:r>
      <w:r>
        <w:rPr>
          <w:rFonts w:ascii="Book Antiqua" w:eastAsia="Book Antiqua" w:hAnsi="Book Antiqua" w:cs="Book Antiqua"/>
          <w:color w:val="000000"/>
        </w:rPr>
        <w:t xml:space="preserve"> A1</w:t>
      </w:r>
      <w:r w:rsidR="00D12EA6">
        <w:rPr>
          <w:rFonts w:ascii="Book Antiqua" w:eastAsia="Book Antiqua" w:hAnsi="Book Antiqua" w:cs="Book Antiqua"/>
          <w:color w:val="000000"/>
        </w:rPr>
        <w:t xml:space="preserve"> and </w:t>
      </w:r>
      <w:r>
        <w:rPr>
          <w:rFonts w:ascii="Book Antiqua" w:eastAsia="Book Antiqua" w:hAnsi="Book Antiqua" w:cs="Book Antiqua"/>
          <w:color w:val="000000"/>
        </w:rPr>
        <w:t>A2: Endoscopic and fluoroscopic images of an anti-reflux plastic stent; B1</w:t>
      </w:r>
      <w:r w:rsidR="00D12EA6">
        <w:rPr>
          <w:rFonts w:ascii="Book Antiqua" w:eastAsia="Book Antiqua" w:hAnsi="Book Antiqua" w:cs="Book Antiqua"/>
          <w:color w:val="000000"/>
        </w:rPr>
        <w:t xml:space="preserve"> and </w:t>
      </w:r>
      <w:r>
        <w:rPr>
          <w:rFonts w:ascii="Book Antiqua" w:eastAsia="Book Antiqua" w:hAnsi="Book Antiqua" w:cs="Book Antiqua"/>
          <w:color w:val="000000"/>
        </w:rPr>
        <w:t>B2: Endoscopic and fluoroscopic images of a traditional plastic stent.</w:t>
      </w:r>
    </w:p>
    <w:p w14:paraId="5D09463C" w14:textId="77777777" w:rsidR="00A77B3E" w:rsidRDefault="00954B1D" w:rsidP="00B9705D">
      <w:pPr>
        <w:spacing w:line="360" w:lineRule="auto"/>
        <w:jc w:val="both"/>
      </w:pPr>
      <w:r>
        <w:br w:type="page"/>
      </w:r>
      <w:r>
        <w:rPr>
          <w:noProof/>
          <w:lang w:eastAsia="zh-CN"/>
        </w:rPr>
        <w:lastRenderedPageBreak/>
        <w:drawing>
          <wp:inline distT="0" distB="0" distL="0" distR="0" wp14:anchorId="370774CE" wp14:editId="3418CF90">
            <wp:extent cx="5454930" cy="3245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54930" cy="3245017"/>
                    </a:xfrm>
                    <a:prstGeom prst="rect">
                      <a:avLst/>
                    </a:prstGeom>
                  </pic:spPr>
                </pic:pic>
              </a:graphicData>
            </a:graphic>
          </wp:inline>
        </w:drawing>
      </w:r>
    </w:p>
    <w:p w14:paraId="47D840C4" w14:textId="77777777" w:rsidR="00A77B3E" w:rsidRDefault="007F2C33" w:rsidP="00B9705D">
      <w:pPr>
        <w:spacing w:line="360" w:lineRule="auto"/>
        <w:jc w:val="both"/>
      </w:pPr>
      <w:r>
        <w:rPr>
          <w:rFonts w:ascii="Book Antiqua" w:eastAsia="Book Antiqua" w:hAnsi="Book Antiqua" w:cs="Book Antiqua"/>
          <w:b/>
          <w:bCs/>
          <w:color w:val="000000"/>
        </w:rPr>
        <w:t>Figure 3 Flowchart.</w:t>
      </w:r>
      <w:r>
        <w:rPr>
          <w:rFonts w:ascii="Book Antiqua" w:eastAsia="Book Antiqua" w:hAnsi="Book Antiqua" w:cs="Book Antiqua"/>
          <w:color w:val="000000"/>
        </w:rPr>
        <w:t xml:space="preserve"> PTCD</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2FF8">
        <w:rPr>
          <w:rFonts w:ascii="Book Antiqua" w:eastAsia="Book Antiqua" w:hAnsi="Book Antiqua" w:cs="Book Antiqua"/>
          <w:color w:val="000000"/>
        </w:rPr>
        <w:t>Pe</w:t>
      </w:r>
      <w:r>
        <w:rPr>
          <w:rFonts w:ascii="Book Antiqua" w:eastAsia="Book Antiqua" w:hAnsi="Book Antiqua" w:cs="Book Antiqua"/>
          <w:color w:val="000000"/>
        </w:rPr>
        <w:t xml:space="preserve">rcutaneous transhepatic cholangial drainage; </w:t>
      </w:r>
      <w:r w:rsidR="002F2FF8">
        <w:rPr>
          <w:rFonts w:ascii="Book Antiqua" w:eastAsia="Book Antiqua" w:hAnsi="Book Antiqua" w:cs="Book Antiqua"/>
          <w:color w:val="000000"/>
        </w:rPr>
        <w:t>SEMS: Self-expandable metal stents;</w:t>
      </w:r>
      <w:r w:rsidR="002F2FF8">
        <w:rPr>
          <w:rFonts w:ascii="Book Antiqua" w:hAnsi="Book Antiqua" w:cs="Book Antiqua" w:hint="eastAsia"/>
          <w:color w:val="000000"/>
          <w:lang w:eastAsia="zh-CN"/>
        </w:rPr>
        <w:t xml:space="preserve"> </w:t>
      </w:r>
      <w:r w:rsidR="002F2FF8">
        <w:rPr>
          <w:rFonts w:ascii="Book Antiqua" w:eastAsia="Book Antiqua" w:hAnsi="Book Antiqua" w:cs="Book Antiqua"/>
          <w:color w:val="000000"/>
        </w:rPr>
        <w:t>ARPS</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2FF8">
        <w:rPr>
          <w:rFonts w:ascii="Book Antiqua" w:eastAsia="Book Antiqua" w:hAnsi="Book Antiqua" w:cs="Book Antiqua"/>
          <w:color w:val="000000"/>
        </w:rPr>
        <w:t>An</w:t>
      </w:r>
      <w:r>
        <w:rPr>
          <w:rFonts w:ascii="Book Antiqua" w:eastAsia="Book Antiqua" w:hAnsi="Book Antiqua" w:cs="Book Antiqua"/>
          <w:color w:val="000000"/>
        </w:rPr>
        <w:t>ti-reflux plastic stent; TPS</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2FF8">
        <w:rPr>
          <w:rFonts w:ascii="Book Antiqua" w:eastAsia="Book Antiqua" w:hAnsi="Book Antiqua" w:cs="Book Antiqua"/>
          <w:color w:val="000000"/>
        </w:rPr>
        <w:t>Tr</w:t>
      </w:r>
      <w:r>
        <w:rPr>
          <w:rFonts w:ascii="Book Antiqua" w:eastAsia="Book Antiqua" w:hAnsi="Book Antiqua" w:cs="Book Antiqua"/>
          <w:color w:val="000000"/>
        </w:rPr>
        <w:t>aditional plastic stent. MBS</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2FF8">
        <w:rPr>
          <w:rFonts w:ascii="Book Antiqua" w:eastAsia="Book Antiqua" w:hAnsi="Book Antiqua" w:cs="Book Antiqua"/>
          <w:color w:val="000000"/>
        </w:rPr>
        <w:t>Ma</w:t>
      </w:r>
      <w:r>
        <w:rPr>
          <w:rFonts w:ascii="Book Antiqua" w:eastAsia="Book Antiqua" w:hAnsi="Book Antiqua" w:cs="Book Antiqua"/>
          <w:color w:val="000000"/>
        </w:rPr>
        <w:t>lignant biliary stricture; BBS</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2FF8">
        <w:rPr>
          <w:rFonts w:ascii="Book Antiqua" w:eastAsia="Book Antiqua" w:hAnsi="Book Antiqua" w:cs="Book Antiqua"/>
          <w:color w:val="000000"/>
        </w:rPr>
        <w:t>B</w:t>
      </w:r>
      <w:r>
        <w:rPr>
          <w:rFonts w:ascii="Book Antiqua" w:eastAsia="Book Antiqua" w:hAnsi="Book Antiqua" w:cs="Book Antiqua"/>
          <w:color w:val="000000"/>
        </w:rPr>
        <w:t>enign biliary stricture.</w:t>
      </w:r>
    </w:p>
    <w:p w14:paraId="2C60F845" w14:textId="098D1734" w:rsidR="00780A72" w:rsidRDefault="00954B1D" w:rsidP="00B9705D">
      <w:pPr>
        <w:spacing w:line="360" w:lineRule="auto"/>
        <w:jc w:val="both"/>
        <w:rPr>
          <w:noProof/>
          <w:lang w:eastAsia="zh-CN"/>
        </w:rPr>
      </w:pPr>
      <w:r>
        <w:br w:type="page"/>
      </w:r>
      <w:r w:rsidR="00780A72" w:rsidRPr="00780A72">
        <w:rPr>
          <w:noProof/>
          <w:lang w:eastAsia="zh-CN"/>
        </w:rPr>
        <w:lastRenderedPageBreak/>
        <w:t xml:space="preserve"> </w:t>
      </w:r>
      <w:r w:rsidR="00780A72">
        <w:rPr>
          <w:noProof/>
          <w:lang w:eastAsia="zh-CN"/>
        </w:rPr>
        <w:drawing>
          <wp:inline distT="0" distB="0" distL="0" distR="0" wp14:anchorId="4C2BADBF" wp14:editId="17CD3D4C">
            <wp:extent cx="1836090" cy="152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5044" cy="1523132"/>
                    </a:xfrm>
                    <a:prstGeom prst="rect">
                      <a:avLst/>
                    </a:prstGeom>
                  </pic:spPr>
                </pic:pic>
              </a:graphicData>
            </a:graphic>
          </wp:inline>
        </w:drawing>
      </w:r>
      <w:r w:rsidR="00780A72" w:rsidRPr="00780A72">
        <w:rPr>
          <w:noProof/>
          <w:lang w:eastAsia="zh-CN"/>
        </w:rPr>
        <w:t xml:space="preserve"> </w:t>
      </w:r>
      <w:r w:rsidR="00780A72">
        <w:rPr>
          <w:noProof/>
          <w:lang w:eastAsia="zh-CN"/>
        </w:rPr>
        <w:drawing>
          <wp:inline distT="0" distB="0" distL="0" distR="0" wp14:anchorId="18E269FC" wp14:editId="51B259CB">
            <wp:extent cx="1909010" cy="15420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0730" cy="1543460"/>
                    </a:xfrm>
                    <a:prstGeom prst="rect">
                      <a:avLst/>
                    </a:prstGeom>
                  </pic:spPr>
                </pic:pic>
              </a:graphicData>
            </a:graphic>
          </wp:inline>
        </w:drawing>
      </w:r>
      <w:r w:rsidR="00780A72" w:rsidRPr="00780A72">
        <w:rPr>
          <w:noProof/>
          <w:lang w:eastAsia="zh-CN"/>
        </w:rPr>
        <w:t xml:space="preserve"> </w:t>
      </w:r>
      <w:r w:rsidR="00780A72">
        <w:rPr>
          <w:noProof/>
          <w:lang w:eastAsia="zh-CN"/>
        </w:rPr>
        <w:drawing>
          <wp:inline distT="0" distB="0" distL="0" distR="0" wp14:anchorId="21E1DF21" wp14:editId="21515613">
            <wp:extent cx="1807411" cy="15476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8632" cy="1548654"/>
                    </a:xfrm>
                    <a:prstGeom prst="rect">
                      <a:avLst/>
                    </a:prstGeom>
                  </pic:spPr>
                </pic:pic>
              </a:graphicData>
            </a:graphic>
          </wp:inline>
        </w:drawing>
      </w:r>
    </w:p>
    <w:p w14:paraId="0DC8ADF7" w14:textId="38326439" w:rsidR="00A77B3E" w:rsidRPr="00954B1D" w:rsidRDefault="007F2C33" w:rsidP="00B9705D">
      <w:pPr>
        <w:spacing w:line="360" w:lineRule="auto"/>
        <w:jc w:val="both"/>
        <w:rPr>
          <w:lang w:eastAsia="zh-CN"/>
        </w:rPr>
      </w:pPr>
      <w:r>
        <w:rPr>
          <w:rFonts w:ascii="Book Antiqua" w:eastAsia="Book Antiqua" w:hAnsi="Book Antiqua" w:cs="Book Antiqua"/>
          <w:b/>
          <w:bCs/>
          <w:color w:val="000000"/>
        </w:rPr>
        <w:t>Figure 4 Kaplan-Meier curves of onset of stent-related cholangitis of anti-reflux plastic stent and traditional plastic stent</w:t>
      </w:r>
      <w:r w:rsidR="001547A7">
        <w:rPr>
          <w:rFonts w:ascii="Book Antiqua" w:hAnsi="Book Antiqua" w:cs="Book Antiqua" w:hint="eastAsia"/>
          <w:b/>
          <w:bCs/>
          <w:color w:val="000000"/>
          <w:lang w:eastAsia="zh-CN"/>
        </w:rPr>
        <w:t xml:space="preserve"> </w:t>
      </w:r>
      <w:r w:rsidR="001547A7" w:rsidRPr="001547A7">
        <w:rPr>
          <w:rFonts w:ascii="Book Antiqua" w:hAnsi="Book Antiqua" w:cs="Book Antiqua"/>
          <w:b/>
          <w:bCs/>
          <w:color w:val="000000"/>
          <w:lang w:eastAsia="zh-CN"/>
        </w:rPr>
        <w:t>(Log-rank test)</w:t>
      </w:r>
      <w:r>
        <w:rPr>
          <w:rFonts w:ascii="Book Antiqua" w:eastAsia="Book Antiqua" w:hAnsi="Book Antiqua" w:cs="Book Antiqua"/>
          <w:b/>
          <w:bCs/>
          <w:color w:val="000000"/>
        </w:rPr>
        <w:t xml:space="preserve">. </w:t>
      </w:r>
      <w:r>
        <w:rPr>
          <w:rFonts w:ascii="Book Antiqua" w:eastAsia="Book Antiqua" w:hAnsi="Book Antiqua" w:cs="Book Antiqua"/>
          <w:color w:val="000000"/>
        </w:rPr>
        <w:t>MBS</w:t>
      </w:r>
      <w:r w:rsidR="00954B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4B1D">
        <w:rPr>
          <w:rFonts w:ascii="Book Antiqua" w:eastAsia="Book Antiqua" w:hAnsi="Book Antiqua" w:cs="Book Antiqua"/>
          <w:color w:val="000000"/>
        </w:rPr>
        <w:t xml:space="preserve">Malignant </w:t>
      </w:r>
      <w:r>
        <w:rPr>
          <w:rFonts w:ascii="Book Antiqua" w:eastAsia="Book Antiqua" w:hAnsi="Book Antiqua" w:cs="Book Antiqua"/>
          <w:color w:val="000000"/>
        </w:rPr>
        <w:t>biliary stricture; BBS</w:t>
      </w:r>
      <w:r w:rsidR="00954B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4B1D">
        <w:rPr>
          <w:rFonts w:ascii="Book Antiqua" w:eastAsia="Book Antiqua" w:hAnsi="Book Antiqua" w:cs="Book Antiqua"/>
          <w:color w:val="000000"/>
        </w:rPr>
        <w:t xml:space="preserve">Benign </w:t>
      </w:r>
      <w:r>
        <w:rPr>
          <w:rFonts w:ascii="Book Antiqua" w:eastAsia="Book Antiqua" w:hAnsi="Book Antiqua" w:cs="Book Antiqua"/>
          <w:color w:val="000000"/>
        </w:rPr>
        <w:t>biliary stricture; Pts</w:t>
      </w:r>
      <w:r w:rsidR="00954B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4B1D">
        <w:rPr>
          <w:rFonts w:ascii="Book Antiqua" w:eastAsia="Book Antiqua" w:hAnsi="Book Antiqua" w:cs="Book Antiqua"/>
          <w:color w:val="000000"/>
        </w:rPr>
        <w:t>Patients</w:t>
      </w:r>
      <w:r w:rsidR="00954B1D">
        <w:rPr>
          <w:rFonts w:ascii="Book Antiqua" w:hAnsi="Book Antiqua" w:cs="Book Antiqua" w:hint="eastAsia"/>
          <w:color w:val="000000"/>
          <w:lang w:eastAsia="zh-CN"/>
        </w:rPr>
        <w:t xml:space="preserve">; </w:t>
      </w:r>
      <w:r w:rsidR="00954B1D">
        <w:rPr>
          <w:rFonts w:ascii="Book Antiqua" w:eastAsia="Book Antiqua" w:hAnsi="Book Antiqua" w:cs="Book Antiqua"/>
          <w:color w:val="000000"/>
        </w:rPr>
        <w:t>ARPS</w:t>
      </w:r>
      <w:r w:rsidR="00954B1D">
        <w:rPr>
          <w:rFonts w:ascii="Book Antiqua" w:hAnsi="Book Antiqua" w:cs="Book Antiqua" w:hint="eastAsia"/>
          <w:color w:val="000000"/>
          <w:lang w:eastAsia="zh-CN"/>
        </w:rPr>
        <w:t>:</w:t>
      </w:r>
      <w:r w:rsidR="00954B1D">
        <w:rPr>
          <w:rFonts w:ascii="Book Antiqua" w:eastAsia="Book Antiqua" w:hAnsi="Book Antiqua" w:cs="Book Antiqua"/>
          <w:color w:val="000000"/>
        </w:rPr>
        <w:t xml:space="preserve"> </w:t>
      </w:r>
      <w:r w:rsidR="00954B1D" w:rsidRPr="00954B1D">
        <w:rPr>
          <w:rFonts w:ascii="Book Antiqua" w:eastAsia="Book Antiqua" w:hAnsi="Book Antiqua" w:cs="Book Antiqua"/>
          <w:caps/>
          <w:color w:val="000000"/>
        </w:rPr>
        <w:t>a</w:t>
      </w:r>
      <w:r w:rsidR="00954B1D">
        <w:rPr>
          <w:rFonts w:ascii="Book Antiqua" w:eastAsia="Book Antiqua" w:hAnsi="Book Antiqua" w:cs="Book Antiqua"/>
          <w:color w:val="000000"/>
        </w:rPr>
        <w:t>nti-reflux plastic stent; TPS</w:t>
      </w:r>
      <w:r w:rsidR="00954B1D">
        <w:rPr>
          <w:rFonts w:ascii="Book Antiqua" w:hAnsi="Book Antiqua" w:cs="Book Antiqua" w:hint="eastAsia"/>
          <w:color w:val="000000"/>
          <w:lang w:eastAsia="zh-CN"/>
        </w:rPr>
        <w:t>:</w:t>
      </w:r>
      <w:r w:rsidR="00954B1D">
        <w:rPr>
          <w:rFonts w:ascii="Book Antiqua" w:eastAsia="Book Antiqua" w:hAnsi="Book Antiqua" w:cs="Book Antiqua"/>
          <w:color w:val="000000"/>
        </w:rPr>
        <w:t xml:space="preserve"> </w:t>
      </w:r>
      <w:r w:rsidR="00954B1D" w:rsidRPr="00954B1D">
        <w:rPr>
          <w:rFonts w:ascii="Book Antiqua" w:eastAsia="Book Antiqua" w:hAnsi="Book Antiqua" w:cs="Book Antiqua"/>
          <w:caps/>
          <w:color w:val="000000"/>
        </w:rPr>
        <w:t>t</w:t>
      </w:r>
      <w:r w:rsidR="00954B1D">
        <w:rPr>
          <w:rFonts w:ascii="Book Antiqua" w:eastAsia="Book Antiqua" w:hAnsi="Book Antiqua" w:cs="Book Antiqua"/>
          <w:color w:val="000000"/>
        </w:rPr>
        <w:t>raditional plastic stent</w:t>
      </w:r>
      <w:r w:rsidR="00954B1D">
        <w:rPr>
          <w:rFonts w:ascii="Book Antiqua" w:hAnsi="Book Antiqua" w:cs="Book Antiqua" w:hint="eastAsia"/>
          <w:color w:val="000000"/>
          <w:lang w:eastAsia="zh-CN"/>
        </w:rPr>
        <w:t>.</w:t>
      </w:r>
    </w:p>
    <w:p w14:paraId="66C6929A" w14:textId="001E1466" w:rsidR="00A77B3E" w:rsidRDefault="00954B1D" w:rsidP="00B9705D">
      <w:pPr>
        <w:spacing w:line="360" w:lineRule="auto"/>
        <w:jc w:val="both"/>
      </w:pPr>
      <w:r>
        <w:br w:type="page"/>
      </w:r>
      <w:r w:rsidR="00780A72" w:rsidRPr="00780A72">
        <w:rPr>
          <w:noProof/>
          <w:lang w:eastAsia="zh-CN"/>
        </w:rPr>
        <w:lastRenderedPageBreak/>
        <w:t xml:space="preserve"> </w:t>
      </w:r>
      <w:r w:rsidR="00780A72">
        <w:rPr>
          <w:noProof/>
          <w:lang w:eastAsia="zh-CN"/>
        </w:rPr>
        <w:drawing>
          <wp:inline distT="0" distB="0" distL="0" distR="0" wp14:anchorId="3F6576D9" wp14:editId="70BA25EA">
            <wp:extent cx="1829960" cy="150261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292" cy="1478251"/>
                    </a:xfrm>
                    <a:prstGeom prst="rect">
                      <a:avLst/>
                    </a:prstGeom>
                  </pic:spPr>
                </pic:pic>
              </a:graphicData>
            </a:graphic>
          </wp:inline>
        </w:drawing>
      </w:r>
      <w:r w:rsidR="00780A72">
        <w:rPr>
          <w:rFonts w:hint="eastAsia"/>
          <w:noProof/>
          <w:lang w:eastAsia="zh-CN"/>
        </w:rPr>
        <w:t xml:space="preserve"> </w:t>
      </w:r>
      <w:r w:rsidR="00780A72">
        <w:rPr>
          <w:noProof/>
          <w:lang w:eastAsia="zh-CN"/>
        </w:rPr>
        <w:drawing>
          <wp:inline distT="0" distB="0" distL="0" distR="0" wp14:anchorId="3FB45549" wp14:editId="528F088F">
            <wp:extent cx="1836081" cy="1513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4587" cy="1512074"/>
                    </a:xfrm>
                    <a:prstGeom prst="rect">
                      <a:avLst/>
                    </a:prstGeom>
                  </pic:spPr>
                </pic:pic>
              </a:graphicData>
            </a:graphic>
          </wp:inline>
        </w:drawing>
      </w:r>
      <w:r w:rsidR="00780A72" w:rsidRPr="00780A72">
        <w:rPr>
          <w:noProof/>
          <w:lang w:eastAsia="zh-CN"/>
        </w:rPr>
        <w:t xml:space="preserve"> </w:t>
      </w:r>
      <w:r w:rsidR="00780A72">
        <w:rPr>
          <w:noProof/>
          <w:lang w:eastAsia="zh-CN"/>
        </w:rPr>
        <w:drawing>
          <wp:inline distT="0" distB="0" distL="0" distR="0" wp14:anchorId="253D39CD" wp14:editId="25F4011C">
            <wp:extent cx="1726660" cy="147587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30817" cy="1479428"/>
                    </a:xfrm>
                    <a:prstGeom prst="rect">
                      <a:avLst/>
                    </a:prstGeom>
                  </pic:spPr>
                </pic:pic>
              </a:graphicData>
            </a:graphic>
          </wp:inline>
        </w:drawing>
      </w:r>
    </w:p>
    <w:p w14:paraId="6AF30EC9" w14:textId="3EBD9871" w:rsidR="00A77B3E" w:rsidRDefault="007F2C33" w:rsidP="00B9705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Kaplan-Meier curves of cumulative patency of anti-reflux plastic stent and traditional plastic stent</w:t>
      </w:r>
      <w:r w:rsidR="001547A7">
        <w:rPr>
          <w:rFonts w:ascii="Book Antiqua" w:hAnsi="Book Antiqua" w:cs="Book Antiqua" w:hint="eastAsia"/>
          <w:b/>
          <w:bCs/>
          <w:color w:val="000000"/>
          <w:lang w:eastAsia="zh-CN"/>
        </w:rPr>
        <w:t xml:space="preserve"> </w:t>
      </w:r>
      <w:r w:rsidR="001547A7" w:rsidRPr="001547A7">
        <w:rPr>
          <w:rFonts w:ascii="Book Antiqua" w:eastAsia="Book Antiqua" w:hAnsi="Book Antiqua" w:cs="Book Antiqua"/>
          <w:b/>
          <w:color w:val="000000"/>
        </w:rPr>
        <w:t>(Log-rank test)</w:t>
      </w:r>
      <w:r w:rsidRPr="001547A7">
        <w:rPr>
          <w:rFonts w:ascii="Book Antiqua" w:eastAsia="Book Antiqua" w:hAnsi="Book Antiqua" w:cs="Book Antiqua"/>
          <w:b/>
          <w:bCs/>
          <w:color w:val="000000"/>
        </w:rPr>
        <w:t xml:space="preserve">. </w:t>
      </w:r>
      <w:r>
        <w:rPr>
          <w:rFonts w:ascii="Book Antiqua" w:eastAsia="Book Antiqua" w:hAnsi="Book Antiqua" w:cs="Book Antiqua"/>
          <w:color w:val="000000"/>
        </w:rPr>
        <w:t>MBS</w:t>
      </w:r>
      <w:r w:rsidR="002F2F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F2FF8">
        <w:rPr>
          <w:rFonts w:ascii="Book Antiqua" w:eastAsia="Book Antiqua" w:hAnsi="Book Antiqua" w:cs="Book Antiqua"/>
          <w:caps/>
          <w:color w:val="000000"/>
        </w:rPr>
        <w:t>m</w:t>
      </w:r>
      <w:r>
        <w:rPr>
          <w:rFonts w:ascii="Book Antiqua" w:eastAsia="Book Antiqua" w:hAnsi="Book Antiqua" w:cs="Book Antiqua"/>
          <w:color w:val="000000"/>
        </w:rPr>
        <w:t>alignant biliary stricture; Pts</w:t>
      </w:r>
      <w:r w:rsidR="00954B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F2FF8">
        <w:rPr>
          <w:rFonts w:ascii="Book Antiqua" w:eastAsia="Book Antiqua" w:hAnsi="Book Antiqua" w:cs="Book Antiqua"/>
          <w:caps/>
          <w:color w:val="000000"/>
        </w:rPr>
        <w:t>p</w:t>
      </w:r>
      <w:r>
        <w:rPr>
          <w:rFonts w:ascii="Book Antiqua" w:eastAsia="Book Antiqua" w:hAnsi="Book Antiqua" w:cs="Book Antiqua"/>
          <w:color w:val="000000"/>
        </w:rPr>
        <w:t>atients</w:t>
      </w:r>
      <w:r w:rsidR="002F2FF8">
        <w:rPr>
          <w:rFonts w:ascii="Book Antiqua" w:hAnsi="Book Antiqua" w:cs="Book Antiqua" w:hint="eastAsia"/>
          <w:color w:val="000000"/>
          <w:lang w:eastAsia="zh-CN"/>
        </w:rPr>
        <w:t xml:space="preserve">; </w:t>
      </w:r>
      <w:r w:rsidR="002F2FF8">
        <w:rPr>
          <w:rFonts w:ascii="Book Antiqua" w:eastAsia="Book Antiqua" w:hAnsi="Book Antiqua" w:cs="Book Antiqua"/>
          <w:color w:val="000000"/>
        </w:rPr>
        <w:t>ARPS</w:t>
      </w:r>
      <w:r w:rsidR="002F2FF8">
        <w:rPr>
          <w:rFonts w:ascii="Book Antiqua" w:hAnsi="Book Antiqua" w:cs="Book Antiqua" w:hint="eastAsia"/>
          <w:color w:val="000000"/>
          <w:lang w:eastAsia="zh-CN"/>
        </w:rPr>
        <w:t>:</w:t>
      </w:r>
      <w:r w:rsidR="002F2FF8">
        <w:rPr>
          <w:rFonts w:ascii="Book Antiqua" w:eastAsia="Book Antiqua" w:hAnsi="Book Antiqua" w:cs="Book Antiqua"/>
          <w:color w:val="000000"/>
        </w:rPr>
        <w:t xml:space="preserve"> </w:t>
      </w:r>
      <w:r w:rsidR="002F2FF8" w:rsidRPr="00954B1D">
        <w:rPr>
          <w:rFonts w:ascii="Book Antiqua" w:eastAsia="Book Antiqua" w:hAnsi="Book Antiqua" w:cs="Book Antiqua"/>
          <w:caps/>
          <w:color w:val="000000"/>
        </w:rPr>
        <w:t>a</w:t>
      </w:r>
      <w:r w:rsidR="002F2FF8">
        <w:rPr>
          <w:rFonts w:ascii="Book Antiqua" w:eastAsia="Book Antiqua" w:hAnsi="Book Antiqua" w:cs="Book Antiqua"/>
          <w:color w:val="000000"/>
        </w:rPr>
        <w:t>nti-reflux plastic stent; TPS</w:t>
      </w:r>
      <w:r w:rsidR="002F2FF8">
        <w:rPr>
          <w:rFonts w:ascii="Book Antiqua" w:hAnsi="Book Antiqua" w:cs="Book Antiqua" w:hint="eastAsia"/>
          <w:color w:val="000000"/>
          <w:lang w:eastAsia="zh-CN"/>
        </w:rPr>
        <w:t>:</w:t>
      </w:r>
      <w:r w:rsidR="002F2FF8">
        <w:rPr>
          <w:rFonts w:ascii="Book Antiqua" w:eastAsia="Book Antiqua" w:hAnsi="Book Antiqua" w:cs="Book Antiqua"/>
          <w:color w:val="000000"/>
        </w:rPr>
        <w:t xml:space="preserve"> </w:t>
      </w:r>
      <w:r w:rsidR="002F2FF8" w:rsidRPr="00954B1D">
        <w:rPr>
          <w:rFonts w:ascii="Book Antiqua" w:eastAsia="Book Antiqua" w:hAnsi="Book Antiqua" w:cs="Book Antiqua"/>
          <w:caps/>
          <w:color w:val="000000"/>
        </w:rPr>
        <w:t>t</w:t>
      </w:r>
      <w:r w:rsidR="002F2FF8">
        <w:rPr>
          <w:rFonts w:ascii="Book Antiqua" w:eastAsia="Book Antiqua" w:hAnsi="Book Antiqua" w:cs="Book Antiqua"/>
          <w:color w:val="000000"/>
        </w:rPr>
        <w:t>raditional plastic stent</w:t>
      </w:r>
      <w:r w:rsidR="00954B1D">
        <w:rPr>
          <w:rFonts w:ascii="Book Antiqua" w:hAnsi="Book Antiqua" w:cs="Book Antiqua" w:hint="eastAsia"/>
          <w:color w:val="000000"/>
          <w:lang w:eastAsia="zh-CN"/>
        </w:rPr>
        <w:t>.</w:t>
      </w:r>
    </w:p>
    <w:p w14:paraId="098B23FE" w14:textId="77777777" w:rsidR="00B9705D" w:rsidRPr="00364241" w:rsidRDefault="002F2FF8" w:rsidP="00B9705D">
      <w:pPr>
        <w:spacing w:line="360" w:lineRule="auto"/>
        <w:rPr>
          <w:rFonts w:ascii="Book Antiqua" w:hAnsi="Book Antiqua"/>
          <w:b/>
          <w:bCs/>
          <w:color w:val="000000" w:themeColor="text1"/>
        </w:rPr>
      </w:pPr>
      <w:r>
        <w:rPr>
          <w:lang w:eastAsia="zh-CN"/>
        </w:rPr>
        <w:br w:type="page"/>
      </w:r>
      <w:r w:rsidR="00B9705D" w:rsidRPr="00364241">
        <w:rPr>
          <w:rFonts w:ascii="Book Antiqua" w:hAnsi="Book Antiqua"/>
          <w:b/>
          <w:bCs/>
          <w:color w:val="000000" w:themeColor="text1"/>
        </w:rPr>
        <w:lastRenderedPageBreak/>
        <w:t>Table 1 Detailed characteristics of patients in the anti-reflux plastic stent group and traditional plastic stent group</w:t>
      </w:r>
    </w:p>
    <w:tbl>
      <w:tblPr>
        <w:tblStyle w:val="TableGrid"/>
        <w:tblW w:w="5209" w:type="pct"/>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1919"/>
        <w:gridCol w:w="1763"/>
        <w:gridCol w:w="1273"/>
      </w:tblGrid>
      <w:tr w:rsidR="00B9705D" w:rsidRPr="00364241" w14:paraId="0ED0D1AA" w14:textId="77777777" w:rsidTr="00FC3C4F">
        <w:tc>
          <w:tcPr>
            <w:tcW w:w="2459" w:type="pct"/>
            <w:tcBorders>
              <w:top w:val="single" w:sz="4" w:space="0" w:color="auto"/>
              <w:bottom w:val="single" w:sz="4" w:space="0" w:color="auto"/>
            </w:tcBorders>
          </w:tcPr>
          <w:p w14:paraId="39F07B33" w14:textId="77777777" w:rsidR="00B9705D" w:rsidRPr="00364241" w:rsidRDefault="00B9705D" w:rsidP="00B9705D">
            <w:pPr>
              <w:spacing w:line="360" w:lineRule="auto"/>
              <w:jc w:val="left"/>
              <w:rPr>
                <w:rFonts w:ascii="Book Antiqua" w:hAnsi="Book Antiqua"/>
                <w:color w:val="000000" w:themeColor="text1"/>
              </w:rPr>
            </w:pPr>
          </w:p>
        </w:tc>
        <w:tc>
          <w:tcPr>
            <w:tcW w:w="984" w:type="pct"/>
            <w:tcBorders>
              <w:top w:val="single" w:sz="4" w:space="0" w:color="auto"/>
              <w:bottom w:val="single" w:sz="4" w:space="0" w:color="auto"/>
            </w:tcBorders>
          </w:tcPr>
          <w:p w14:paraId="59B328A5" w14:textId="77777777" w:rsidR="00B9705D" w:rsidRPr="00364241" w:rsidRDefault="00B9705D" w:rsidP="00B9705D">
            <w:pPr>
              <w:spacing w:line="360" w:lineRule="auto"/>
              <w:jc w:val="left"/>
              <w:rPr>
                <w:rFonts w:ascii="Book Antiqua" w:hAnsi="Book Antiqua"/>
                <w:b/>
                <w:bCs/>
                <w:color w:val="000000" w:themeColor="text1"/>
              </w:rPr>
            </w:pPr>
            <w:r w:rsidRPr="00364241">
              <w:rPr>
                <w:rFonts w:ascii="Book Antiqua" w:hAnsi="Book Antiqua"/>
                <w:b/>
                <w:bCs/>
                <w:color w:val="000000" w:themeColor="text1"/>
              </w:rPr>
              <w:t>ARPS group</w:t>
            </w:r>
          </w:p>
        </w:tc>
        <w:tc>
          <w:tcPr>
            <w:tcW w:w="904" w:type="pct"/>
            <w:tcBorders>
              <w:top w:val="single" w:sz="4" w:space="0" w:color="auto"/>
              <w:bottom w:val="single" w:sz="4" w:space="0" w:color="auto"/>
            </w:tcBorders>
          </w:tcPr>
          <w:p w14:paraId="492B28F8" w14:textId="77777777" w:rsidR="00B9705D" w:rsidRPr="00364241" w:rsidRDefault="00B9705D" w:rsidP="00B9705D">
            <w:pPr>
              <w:spacing w:line="360" w:lineRule="auto"/>
              <w:jc w:val="left"/>
              <w:rPr>
                <w:rFonts w:ascii="Book Antiqua" w:hAnsi="Book Antiqua"/>
                <w:b/>
                <w:bCs/>
                <w:color w:val="000000" w:themeColor="text1"/>
              </w:rPr>
            </w:pPr>
            <w:r w:rsidRPr="00364241">
              <w:rPr>
                <w:rFonts w:ascii="Book Antiqua" w:hAnsi="Book Antiqua"/>
                <w:b/>
                <w:bCs/>
                <w:color w:val="000000" w:themeColor="text1"/>
              </w:rPr>
              <w:t>TPS group</w:t>
            </w:r>
          </w:p>
        </w:tc>
        <w:tc>
          <w:tcPr>
            <w:tcW w:w="653" w:type="pct"/>
            <w:tcBorders>
              <w:top w:val="single" w:sz="4" w:space="0" w:color="auto"/>
              <w:bottom w:val="single" w:sz="4" w:space="0" w:color="auto"/>
            </w:tcBorders>
          </w:tcPr>
          <w:p w14:paraId="17CF8292" w14:textId="77777777" w:rsidR="00B9705D" w:rsidRPr="00364241" w:rsidRDefault="00B9705D" w:rsidP="00B9705D">
            <w:pPr>
              <w:spacing w:line="360" w:lineRule="auto"/>
              <w:jc w:val="left"/>
              <w:rPr>
                <w:rFonts w:ascii="Book Antiqua" w:hAnsi="Book Antiqua"/>
                <w:b/>
                <w:bCs/>
                <w:color w:val="000000" w:themeColor="text1"/>
              </w:rPr>
            </w:pPr>
            <w:r w:rsidRPr="00364241">
              <w:rPr>
                <w:rFonts w:ascii="Book Antiqua" w:hAnsi="Book Antiqua"/>
                <w:b/>
                <w:bCs/>
                <w:i/>
                <w:iCs/>
                <w:color w:val="000000" w:themeColor="text1"/>
              </w:rPr>
              <w:t xml:space="preserve">P </w:t>
            </w:r>
            <w:r w:rsidRPr="00364241">
              <w:rPr>
                <w:rFonts w:ascii="Book Antiqua" w:hAnsi="Book Antiqua"/>
                <w:b/>
                <w:bCs/>
                <w:color w:val="000000" w:themeColor="text1"/>
              </w:rPr>
              <w:t>value</w:t>
            </w:r>
          </w:p>
        </w:tc>
      </w:tr>
      <w:tr w:rsidR="00B9705D" w:rsidRPr="00364241" w14:paraId="1D19792C" w14:textId="77777777" w:rsidTr="00FC3C4F">
        <w:tc>
          <w:tcPr>
            <w:tcW w:w="2459" w:type="pct"/>
            <w:tcBorders>
              <w:top w:val="single" w:sz="4" w:space="0" w:color="auto"/>
            </w:tcBorders>
          </w:tcPr>
          <w:p w14:paraId="7C082A31"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Patients, </w:t>
            </w:r>
            <w:r w:rsidRPr="00364241">
              <w:rPr>
                <w:rFonts w:ascii="Book Antiqua" w:hAnsi="Book Antiqua"/>
                <w:i/>
                <w:color w:val="000000" w:themeColor="text1"/>
              </w:rPr>
              <w:t>n</w:t>
            </w:r>
          </w:p>
        </w:tc>
        <w:tc>
          <w:tcPr>
            <w:tcW w:w="984" w:type="pct"/>
            <w:tcBorders>
              <w:top w:val="single" w:sz="4" w:space="0" w:color="auto"/>
            </w:tcBorders>
          </w:tcPr>
          <w:p w14:paraId="604785E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67</w:t>
            </w:r>
          </w:p>
        </w:tc>
        <w:tc>
          <w:tcPr>
            <w:tcW w:w="904" w:type="pct"/>
            <w:tcBorders>
              <w:top w:val="single" w:sz="4" w:space="0" w:color="auto"/>
            </w:tcBorders>
          </w:tcPr>
          <w:p w14:paraId="32E98CC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66</w:t>
            </w:r>
          </w:p>
        </w:tc>
        <w:tc>
          <w:tcPr>
            <w:tcW w:w="653" w:type="pct"/>
            <w:tcBorders>
              <w:top w:val="single" w:sz="4" w:space="0" w:color="auto"/>
            </w:tcBorders>
          </w:tcPr>
          <w:p w14:paraId="44CA39D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w:t>
            </w:r>
          </w:p>
        </w:tc>
      </w:tr>
      <w:tr w:rsidR="00B9705D" w:rsidRPr="00364241" w14:paraId="4671FC33" w14:textId="77777777" w:rsidTr="00FC3C4F">
        <w:tc>
          <w:tcPr>
            <w:tcW w:w="2459" w:type="pct"/>
            <w:vAlign w:val="center"/>
          </w:tcPr>
          <w:p w14:paraId="754A49D3"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Sex, male/female</w:t>
            </w:r>
          </w:p>
        </w:tc>
        <w:tc>
          <w:tcPr>
            <w:tcW w:w="984" w:type="pct"/>
          </w:tcPr>
          <w:p w14:paraId="3DFF106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39/28</w:t>
            </w:r>
          </w:p>
        </w:tc>
        <w:tc>
          <w:tcPr>
            <w:tcW w:w="904" w:type="pct"/>
          </w:tcPr>
          <w:p w14:paraId="7D23FBE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37/29</w:t>
            </w:r>
          </w:p>
        </w:tc>
        <w:tc>
          <w:tcPr>
            <w:tcW w:w="653" w:type="pct"/>
          </w:tcPr>
          <w:p w14:paraId="6884B71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0.802</w:t>
            </w:r>
            <w:r>
              <w:rPr>
                <w:rFonts w:ascii="Book Antiqua" w:hAnsi="Book Antiqua" w:hint="eastAsia"/>
                <w:color w:val="000000" w:themeColor="text1"/>
                <w:vertAlign w:val="superscript"/>
              </w:rPr>
              <w:t>3</w:t>
            </w:r>
          </w:p>
        </w:tc>
      </w:tr>
      <w:tr w:rsidR="00B9705D" w:rsidRPr="00364241" w14:paraId="2877EB26" w14:textId="77777777" w:rsidTr="00FC3C4F">
        <w:tc>
          <w:tcPr>
            <w:tcW w:w="2459" w:type="pct"/>
          </w:tcPr>
          <w:p w14:paraId="1DE50580" w14:textId="77777777" w:rsidR="00B9705D" w:rsidRPr="00364241" w:rsidRDefault="00B9705D" w:rsidP="00B9705D">
            <w:pPr>
              <w:spacing w:line="360" w:lineRule="auto"/>
              <w:jc w:val="left"/>
              <w:rPr>
                <w:rFonts w:ascii="Book Antiqua" w:hAnsi="Book Antiqua"/>
                <w:color w:val="000000" w:themeColor="text1"/>
              </w:rPr>
            </w:pPr>
            <w:r>
              <w:rPr>
                <w:rFonts w:ascii="Book Antiqua" w:hAnsi="Book Antiqua"/>
                <w:color w:val="000000" w:themeColor="text1"/>
              </w:rPr>
              <w:t>Age, yr</w:t>
            </w:r>
            <w:r w:rsidRPr="00364241">
              <w:rPr>
                <w:rFonts w:ascii="Book Antiqua" w:hAnsi="Book Antiqua"/>
                <w:color w:val="000000" w:themeColor="text1"/>
                <w:vertAlign w:val="superscript"/>
              </w:rPr>
              <w:t>1</w:t>
            </w:r>
          </w:p>
        </w:tc>
        <w:tc>
          <w:tcPr>
            <w:tcW w:w="984" w:type="pct"/>
          </w:tcPr>
          <w:p w14:paraId="7610B23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63.4(16.6)</w:t>
            </w:r>
          </w:p>
          <w:p w14:paraId="799233C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[24-99]</w:t>
            </w:r>
          </w:p>
        </w:tc>
        <w:tc>
          <w:tcPr>
            <w:tcW w:w="904" w:type="pct"/>
          </w:tcPr>
          <w:p w14:paraId="78D9824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65.4 (14.7)</w:t>
            </w:r>
          </w:p>
          <w:p w14:paraId="4B66E88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[31-93]</w:t>
            </w:r>
          </w:p>
        </w:tc>
        <w:tc>
          <w:tcPr>
            <w:tcW w:w="653" w:type="pct"/>
          </w:tcPr>
          <w:p w14:paraId="45F3790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0.225</w:t>
            </w:r>
            <w:r>
              <w:rPr>
                <w:rFonts w:ascii="Book Antiqua" w:hAnsi="Book Antiqua" w:hint="eastAsia"/>
                <w:color w:val="000000" w:themeColor="text1"/>
                <w:vertAlign w:val="superscript"/>
              </w:rPr>
              <w:t>4</w:t>
            </w:r>
          </w:p>
        </w:tc>
      </w:tr>
      <w:tr w:rsidR="00B9705D" w:rsidRPr="00364241" w14:paraId="5BF2F464" w14:textId="77777777" w:rsidTr="00FC3C4F">
        <w:tc>
          <w:tcPr>
            <w:tcW w:w="2459" w:type="pct"/>
          </w:tcPr>
          <w:p w14:paraId="1B84DB36"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Etiologies</w:t>
            </w:r>
          </w:p>
        </w:tc>
        <w:tc>
          <w:tcPr>
            <w:tcW w:w="984" w:type="pct"/>
          </w:tcPr>
          <w:p w14:paraId="52DA6841" w14:textId="77777777" w:rsidR="00B9705D" w:rsidRPr="00364241" w:rsidRDefault="00B9705D" w:rsidP="00B9705D">
            <w:pPr>
              <w:spacing w:line="360" w:lineRule="auto"/>
              <w:jc w:val="center"/>
              <w:rPr>
                <w:rFonts w:ascii="Book Antiqua" w:hAnsi="Book Antiqua"/>
                <w:color w:val="000000" w:themeColor="text1"/>
              </w:rPr>
            </w:pPr>
          </w:p>
        </w:tc>
        <w:tc>
          <w:tcPr>
            <w:tcW w:w="904" w:type="pct"/>
          </w:tcPr>
          <w:p w14:paraId="1FDE63F3" w14:textId="77777777" w:rsidR="00B9705D" w:rsidRPr="00364241" w:rsidRDefault="00B9705D" w:rsidP="00B9705D">
            <w:pPr>
              <w:spacing w:line="360" w:lineRule="auto"/>
              <w:jc w:val="center"/>
              <w:rPr>
                <w:rFonts w:ascii="Book Antiqua" w:hAnsi="Book Antiqua"/>
                <w:color w:val="000000" w:themeColor="text1"/>
              </w:rPr>
            </w:pPr>
          </w:p>
        </w:tc>
        <w:tc>
          <w:tcPr>
            <w:tcW w:w="653" w:type="pct"/>
            <w:vMerge w:val="restart"/>
          </w:tcPr>
          <w:p w14:paraId="31AD2F0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0.324</w:t>
            </w:r>
            <w:r>
              <w:rPr>
                <w:rFonts w:ascii="Book Antiqua" w:hAnsi="Book Antiqua" w:hint="eastAsia"/>
                <w:color w:val="000000" w:themeColor="text1"/>
                <w:vertAlign w:val="superscript"/>
              </w:rPr>
              <w:t>3</w:t>
            </w:r>
          </w:p>
        </w:tc>
      </w:tr>
      <w:tr w:rsidR="00B9705D" w:rsidRPr="00364241" w14:paraId="7C4F5561" w14:textId="77777777" w:rsidTr="00FC3C4F">
        <w:tc>
          <w:tcPr>
            <w:tcW w:w="2459" w:type="pct"/>
          </w:tcPr>
          <w:p w14:paraId="12968509"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  MBS</w:t>
            </w:r>
          </w:p>
        </w:tc>
        <w:tc>
          <w:tcPr>
            <w:tcW w:w="984" w:type="pct"/>
          </w:tcPr>
          <w:p w14:paraId="337A628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48</w:t>
            </w:r>
          </w:p>
        </w:tc>
        <w:tc>
          <w:tcPr>
            <w:tcW w:w="904" w:type="pct"/>
          </w:tcPr>
          <w:p w14:paraId="792331C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42</w:t>
            </w:r>
          </w:p>
        </w:tc>
        <w:tc>
          <w:tcPr>
            <w:tcW w:w="653" w:type="pct"/>
            <w:vMerge/>
          </w:tcPr>
          <w:p w14:paraId="5639A3D7"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251F9784" w14:textId="77777777" w:rsidTr="00FC3C4F">
        <w:tc>
          <w:tcPr>
            <w:tcW w:w="2459" w:type="pct"/>
          </w:tcPr>
          <w:p w14:paraId="0A8B681F"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  BBS</w:t>
            </w:r>
          </w:p>
        </w:tc>
        <w:tc>
          <w:tcPr>
            <w:tcW w:w="984" w:type="pct"/>
          </w:tcPr>
          <w:p w14:paraId="212626B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19</w:t>
            </w:r>
          </w:p>
        </w:tc>
        <w:tc>
          <w:tcPr>
            <w:tcW w:w="904" w:type="pct"/>
          </w:tcPr>
          <w:p w14:paraId="4FA8B9F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24</w:t>
            </w:r>
          </w:p>
        </w:tc>
        <w:tc>
          <w:tcPr>
            <w:tcW w:w="653" w:type="pct"/>
            <w:vMerge/>
          </w:tcPr>
          <w:p w14:paraId="16F3E186"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5464830F" w14:textId="77777777" w:rsidTr="00FC3C4F">
        <w:tc>
          <w:tcPr>
            <w:tcW w:w="2459" w:type="pct"/>
          </w:tcPr>
          <w:p w14:paraId="48046185"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Preoperative liver function test results</w:t>
            </w:r>
            <w:r w:rsidRPr="00364241">
              <w:rPr>
                <w:rFonts w:ascii="Book Antiqua" w:hAnsi="Book Antiqua"/>
                <w:color w:val="000000" w:themeColor="text1"/>
                <w:vertAlign w:val="superscript"/>
              </w:rPr>
              <w:t>2</w:t>
            </w:r>
          </w:p>
        </w:tc>
        <w:tc>
          <w:tcPr>
            <w:tcW w:w="984" w:type="pct"/>
          </w:tcPr>
          <w:p w14:paraId="6B1DF87E" w14:textId="77777777" w:rsidR="00B9705D" w:rsidRPr="00364241" w:rsidRDefault="00B9705D" w:rsidP="00B9705D">
            <w:pPr>
              <w:spacing w:line="360" w:lineRule="auto"/>
              <w:jc w:val="center"/>
              <w:rPr>
                <w:rFonts w:ascii="Book Antiqua" w:hAnsi="Book Antiqua"/>
                <w:color w:val="000000" w:themeColor="text1"/>
              </w:rPr>
            </w:pPr>
          </w:p>
        </w:tc>
        <w:tc>
          <w:tcPr>
            <w:tcW w:w="904" w:type="pct"/>
          </w:tcPr>
          <w:p w14:paraId="77D2D70E" w14:textId="77777777" w:rsidR="00B9705D" w:rsidRPr="00364241" w:rsidRDefault="00B9705D" w:rsidP="00B9705D">
            <w:pPr>
              <w:spacing w:line="360" w:lineRule="auto"/>
              <w:jc w:val="center"/>
              <w:rPr>
                <w:rFonts w:ascii="Book Antiqua" w:hAnsi="Book Antiqua"/>
                <w:color w:val="000000" w:themeColor="text1"/>
              </w:rPr>
            </w:pPr>
          </w:p>
        </w:tc>
        <w:tc>
          <w:tcPr>
            <w:tcW w:w="653" w:type="pct"/>
          </w:tcPr>
          <w:p w14:paraId="6E9139D5"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7033F114" w14:textId="77777777" w:rsidTr="00FC3C4F">
        <w:tc>
          <w:tcPr>
            <w:tcW w:w="2459" w:type="pct"/>
          </w:tcPr>
          <w:p w14:paraId="2F04B8D5"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  Total bilirubin, </w:t>
            </w:r>
            <w:r w:rsidRPr="00364241">
              <w:rPr>
                <w:rFonts w:ascii="Symbol" w:hAnsi="Symbol"/>
                <w:color w:val="000000" w:themeColor="text1"/>
              </w:rPr>
              <w:t></w:t>
            </w:r>
            <w:r w:rsidRPr="00364241">
              <w:rPr>
                <w:rFonts w:ascii="Book Antiqua" w:hAnsi="Book Antiqua"/>
                <w:color w:val="000000" w:themeColor="text1"/>
              </w:rPr>
              <w:t>mol/L</w:t>
            </w:r>
          </w:p>
        </w:tc>
        <w:tc>
          <w:tcPr>
            <w:tcW w:w="984" w:type="pct"/>
          </w:tcPr>
          <w:p w14:paraId="633389C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126.0 (196.9)</w:t>
            </w:r>
          </w:p>
          <w:p w14:paraId="4B3AC08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[7.2-523.3]</w:t>
            </w:r>
          </w:p>
        </w:tc>
        <w:tc>
          <w:tcPr>
            <w:tcW w:w="904" w:type="pct"/>
          </w:tcPr>
          <w:p w14:paraId="27F8342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156.1 (224.3)</w:t>
            </w:r>
          </w:p>
          <w:p w14:paraId="77F5E92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[6.8-536.5]</w:t>
            </w:r>
          </w:p>
        </w:tc>
        <w:tc>
          <w:tcPr>
            <w:tcW w:w="653" w:type="pct"/>
          </w:tcPr>
          <w:p w14:paraId="2FFF4CD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0.787</w:t>
            </w:r>
            <w:r>
              <w:rPr>
                <w:rFonts w:ascii="Book Antiqua" w:hAnsi="Book Antiqua" w:hint="eastAsia"/>
                <w:color w:val="000000" w:themeColor="text1"/>
                <w:vertAlign w:val="superscript"/>
              </w:rPr>
              <w:t>5</w:t>
            </w:r>
          </w:p>
        </w:tc>
      </w:tr>
      <w:tr w:rsidR="00B9705D" w:rsidRPr="00364241" w14:paraId="0384E12D" w14:textId="77777777" w:rsidTr="00FC3C4F">
        <w:tc>
          <w:tcPr>
            <w:tcW w:w="2459" w:type="pct"/>
          </w:tcPr>
          <w:p w14:paraId="13B47AB7"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  Direct bilirubin, </w:t>
            </w:r>
            <w:r w:rsidRPr="00364241">
              <w:rPr>
                <w:rFonts w:ascii="Symbol" w:hAnsi="Symbol"/>
                <w:color w:val="000000" w:themeColor="text1"/>
              </w:rPr>
              <w:t></w:t>
            </w:r>
            <w:r w:rsidRPr="00364241">
              <w:rPr>
                <w:rFonts w:ascii="Book Antiqua" w:hAnsi="Book Antiqua"/>
                <w:color w:val="000000" w:themeColor="text1"/>
              </w:rPr>
              <w:t>mol/L</w:t>
            </w:r>
          </w:p>
        </w:tc>
        <w:tc>
          <w:tcPr>
            <w:tcW w:w="984" w:type="pct"/>
          </w:tcPr>
          <w:p w14:paraId="0DD4681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117.3 (163.5)</w:t>
            </w:r>
          </w:p>
          <w:p w14:paraId="28A926C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[2.1-417.7]</w:t>
            </w:r>
          </w:p>
        </w:tc>
        <w:tc>
          <w:tcPr>
            <w:tcW w:w="904" w:type="pct"/>
          </w:tcPr>
          <w:p w14:paraId="7C404DA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136.1 (217.9)</w:t>
            </w:r>
          </w:p>
          <w:p w14:paraId="49F0829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[2.3-456.3]</w:t>
            </w:r>
          </w:p>
        </w:tc>
        <w:tc>
          <w:tcPr>
            <w:tcW w:w="653" w:type="pct"/>
          </w:tcPr>
          <w:p w14:paraId="2ACFDE0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0.822</w:t>
            </w:r>
            <w:r>
              <w:rPr>
                <w:rFonts w:ascii="Book Antiqua" w:hAnsi="Book Antiqua" w:hint="eastAsia"/>
                <w:color w:val="000000" w:themeColor="text1"/>
                <w:vertAlign w:val="superscript"/>
              </w:rPr>
              <w:t>5</w:t>
            </w:r>
          </w:p>
        </w:tc>
      </w:tr>
      <w:tr w:rsidR="00B9705D" w:rsidRPr="00364241" w14:paraId="424F5606" w14:textId="77777777" w:rsidTr="00FC3C4F">
        <w:tc>
          <w:tcPr>
            <w:tcW w:w="2459" w:type="pct"/>
          </w:tcPr>
          <w:p w14:paraId="1BBF24C9"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  Alkaline phosphatase, IU/L</w:t>
            </w:r>
          </w:p>
        </w:tc>
        <w:tc>
          <w:tcPr>
            <w:tcW w:w="984" w:type="pct"/>
          </w:tcPr>
          <w:p w14:paraId="0EF2F7A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401.0 (456.0)</w:t>
            </w:r>
          </w:p>
          <w:p w14:paraId="1A13AA3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[75.0-2240.0]</w:t>
            </w:r>
          </w:p>
        </w:tc>
        <w:tc>
          <w:tcPr>
            <w:tcW w:w="904" w:type="pct"/>
          </w:tcPr>
          <w:p w14:paraId="7F75028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408.0 (400.7)</w:t>
            </w:r>
          </w:p>
          <w:p w14:paraId="46EFB28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[77.0-1928.0]</w:t>
            </w:r>
          </w:p>
        </w:tc>
        <w:tc>
          <w:tcPr>
            <w:tcW w:w="653" w:type="pct"/>
          </w:tcPr>
          <w:p w14:paraId="74A03CF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0.302</w:t>
            </w:r>
            <w:r>
              <w:rPr>
                <w:rFonts w:ascii="Book Antiqua" w:hAnsi="Book Antiqua" w:hint="eastAsia"/>
                <w:color w:val="000000" w:themeColor="text1"/>
                <w:vertAlign w:val="superscript"/>
              </w:rPr>
              <w:t>5</w:t>
            </w:r>
          </w:p>
        </w:tc>
      </w:tr>
      <w:tr w:rsidR="00B9705D" w:rsidRPr="00364241" w14:paraId="2AC8A9DD" w14:textId="77777777" w:rsidTr="00FC3C4F">
        <w:tc>
          <w:tcPr>
            <w:tcW w:w="2459" w:type="pct"/>
          </w:tcPr>
          <w:p w14:paraId="78A407E8" w14:textId="77777777" w:rsidR="00B9705D" w:rsidRPr="00364241" w:rsidRDefault="00B9705D" w:rsidP="00B9705D">
            <w:pPr>
              <w:spacing w:line="360" w:lineRule="auto"/>
              <w:ind w:firstLineChars="100" w:firstLine="240"/>
              <w:jc w:val="left"/>
              <w:rPr>
                <w:rFonts w:ascii="Book Antiqua" w:hAnsi="Book Antiqua"/>
                <w:color w:val="000000" w:themeColor="text1"/>
              </w:rPr>
            </w:pPr>
            <w:r w:rsidRPr="00364241">
              <w:rPr>
                <w:rFonts w:ascii="Book Antiqua" w:hAnsi="Book Antiqua"/>
                <w:color w:val="000000" w:themeColor="text1"/>
              </w:rPr>
              <w:t>Glutamyl-transpeptidase, IU/L</w:t>
            </w:r>
          </w:p>
        </w:tc>
        <w:tc>
          <w:tcPr>
            <w:tcW w:w="984" w:type="pct"/>
          </w:tcPr>
          <w:p w14:paraId="47D0466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558.0 (543.0)</w:t>
            </w:r>
          </w:p>
          <w:p w14:paraId="1C2A498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[25.0-2067.0]</w:t>
            </w:r>
          </w:p>
        </w:tc>
        <w:tc>
          <w:tcPr>
            <w:tcW w:w="904" w:type="pct"/>
          </w:tcPr>
          <w:p w14:paraId="1D53343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421.0 (546.7)</w:t>
            </w:r>
          </w:p>
          <w:p w14:paraId="1C06944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[19.0-2488.0]</w:t>
            </w:r>
          </w:p>
        </w:tc>
        <w:tc>
          <w:tcPr>
            <w:tcW w:w="653" w:type="pct"/>
          </w:tcPr>
          <w:p w14:paraId="4372EBB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0.091</w:t>
            </w:r>
            <w:r>
              <w:rPr>
                <w:rFonts w:ascii="Book Antiqua" w:hAnsi="Book Antiqua" w:hint="eastAsia"/>
                <w:color w:val="000000" w:themeColor="text1"/>
                <w:vertAlign w:val="superscript"/>
              </w:rPr>
              <w:t>5</w:t>
            </w:r>
          </w:p>
        </w:tc>
      </w:tr>
      <w:tr w:rsidR="00B9705D" w:rsidRPr="00364241" w14:paraId="10DF89CC" w14:textId="77777777" w:rsidTr="00FC3C4F">
        <w:tc>
          <w:tcPr>
            <w:tcW w:w="2459" w:type="pct"/>
          </w:tcPr>
          <w:p w14:paraId="6F293E7A"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Cholecystectomy history</w:t>
            </w:r>
          </w:p>
        </w:tc>
        <w:tc>
          <w:tcPr>
            <w:tcW w:w="984" w:type="pct"/>
          </w:tcPr>
          <w:p w14:paraId="1C4EBB3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14 (20.9%)</w:t>
            </w:r>
          </w:p>
        </w:tc>
        <w:tc>
          <w:tcPr>
            <w:tcW w:w="904" w:type="pct"/>
          </w:tcPr>
          <w:p w14:paraId="13701DC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22 (33.3%)</w:t>
            </w:r>
          </w:p>
        </w:tc>
        <w:tc>
          <w:tcPr>
            <w:tcW w:w="653" w:type="pct"/>
          </w:tcPr>
          <w:p w14:paraId="4F33CA2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0.106</w:t>
            </w:r>
            <w:r>
              <w:rPr>
                <w:rFonts w:ascii="Book Antiqua" w:hAnsi="Book Antiqua" w:hint="eastAsia"/>
                <w:color w:val="000000" w:themeColor="text1"/>
                <w:vertAlign w:val="superscript"/>
              </w:rPr>
              <w:t>3</w:t>
            </w:r>
          </w:p>
        </w:tc>
      </w:tr>
      <w:tr w:rsidR="00B9705D" w:rsidRPr="00364241" w14:paraId="7DE1CBC7" w14:textId="77777777" w:rsidTr="00FC3C4F">
        <w:tc>
          <w:tcPr>
            <w:tcW w:w="2459" w:type="pct"/>
          </w:tcPr>
          <w:p w14:paraId="6AB61719"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Cholangitis prior to ERCP</w:t>
            </w:r>
          </w:p>
        </w:tc>
        <w:tc>
          <w:tcPr>
            <w:tcW w:w="984" w:type="pct"/>
          </w:tcPr>
          <w:p w14:paraId="66A0F89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8 (11.9%)</w:t>
            </w:r>
          </w:p>
        </w:tc>
        <w:tc>
          <w:tcPr>
            <w:tcW w:w="904" w:type="pct"/>
          </w:tcPr>
          <w:p w14:paraId="486CAE6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15 (22.7%)</w:t>
            </w:r>
          </w:p>
        </w:tc>
        <w:tc>
          <w:tcPr>
            <w:tcW w:w="653" w:type="pct"/>
          </w:tcPr>
          <w:p w14:paraId="0C6AF26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0.100</w:t>
            </w:r>
            <w:r>
              <w:rPr>
                <w:rFonts w:ascii="Book Antiqua" w:hAnsi="Book Antiqua" w:hint="eastAsia"/>
                <w:color w:val="000000" w:themeColor="text1"/>
                <w:vertAlign w:val="superscript"/>
              </w:rPr>
              <w:t>3</w:t>
            </w:r>
          </w:p>
        </w:tc>
      </w:tr>
      <w:tr w:rsidR="00B9705D" w:rsidRPr="00364241" w14:paraId="11EB4384" w14:textId="77777777" w:rsidTr="00FC3C4F">
        <w:tc>
          <w:tcPr>
            <w:tcW w:w="2459" w:type="pct"/>
          </w:tcPr>
          <w:p w14:paraId="5A538F3F"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Cholelithiasis</w:t>
            </w:r>
          </w:p>
        </w:tc>
        <w:tc>
          <w:tcPr>
            <w:tcW w:w="984" w:type="pct"/>
          </w:tcPr>
          <w:p w14:paraId="52AB4AC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 (16.4%)</w:t>
            </w:r>
          </w:p>
        </w:tc>
        <w:tc>
          <w:tcPr>
            <w:tcW w:w="904" w:type="pct"/>
          </w:tcPr>
          <w:p w14:paraId="106003B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16 (24.2%)</w:t>
            </w:r>
          </w:p>
        </w:tc>
        <w:tc>
          <w:tcPr>
            <w:tcW w:w="653" w:type="pct"/>
          </w:tcPr>
          <w:p w14:paraId="4E7C4EE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0.262</w:t>
            </w:r>
            <w:r>
              <w:rPr>
                <w:rFonts w:ascii="Book Antiqua" w:hAnsi="Book Antiqua" w:hint="eastAsia"/>
                <w:color w:val="000000" w:themeColor="text1"/>
                <w:vertAlign w:val="superscript"/>
              </w:rPr>
              <w:t>3</w:t>
            </w:r>
          </w:p>
        </w:tc>
      </w:tr>
      <w:tr w:rsidR="00B9705D" w:rsidRPr="00364241" w14:paraId="729FB738" w14:textId="77777777" w:rsidTr="00FC3C4F">
        <w:tc>
          <w:tcPr>
            <w:tcW w:w="2459" w:type="pct"/>
          </w:tcPr>
          <w:p w14:paraId="0989EBC2"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Duodenal parapapillary diverticulum</w:t>
            </w:r>
          </w:p>
        </w:tc>
        <w:tc>
          <w:tcPr>
            <w:tcW w:w="984" w:type="pct"/>
          </w:tcPr>
          <w:p w14:paraId="0B262BE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 (6.0%)</w:t>
            </w:r>
          </w:p>
        </w:tc>
        <w:tc>
          <w:tcPr>
            <w:tcW w:w="904" w:type="pct"/>
          </w:tcPr>
          <w:p w14:paraId="526FCA4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 (6.1%)</w:t>
            </w:r>
          </w:p>
        </w:tc>
        <w:tc>
          <w:tcPr>
            <w:tcW w:w="653" w:type="pct"/>
          </w:tcPr>
          <w:p w14:paraId="25B02C4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1.000</w:t>
            </w:r>
            <w:r>
              <w:rPr>
                <w:rFonts w:ascii="Book Antiqua" w:hAnsi="Book Antiqua" w:hint="eastAsia"/>
                <w:color w:val="000000" w:themeColor="text1"/>
                <w:vertAlign w:val="superscript"/>
              </w:rPr>
              <w:t>6</w:t>
            </w:r>
          </w:p>
        </w:tc>
      </w:tr>
      <w:tr w:rsidR="00B9705D" w:rsidRPr="00364241" w14:paraId="4D0FC6F7" w14:textId="77777777" w:rsidTr="00FC3C4F">
        <w:tc>
          <w:tcPr>
            <w:tcW w:w="2459" w:type="pct"/>
          </w:tcPr>
          <w:p w14:paraId="7444E337"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Endoscopic sphincterotomy</w:t>
            </w:r>
          </w:p>
        </w:tc>
        <w:tc>
          <w:tcPr>
            <w:tcW w:w="984" w:type="pct"/>
          </w:tcPr>
          <w:p w14:paraId="11CDA93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42 (62.7%)</w:t>
            </w:r>
          </w:p>
        </w:tc>
        <w:tc>
          <w:tcPr>
            <w:tcW w:w="904" w:type="pct"/>
          </w:tcPr>
          <w:p w14:paraId="19E0B28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38 (57.6%)</w:t>
            </w:r>
          </w:p>
        </w:tc>
        <w:tc>
          <w:tcPr>
            <w:tcW w:w="653" w:type="pct"/>
          </w:tcPr>
          <w:p w14:paraId="5C2D332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0.547</w:t>
            </w:r>
            <w:r>
              <w:rPr>
                <w:rFonts w:ascii="Book Antiqua" w:hAnsi="Book Antiqua" w:hint="eastAsia"/>
                <w:color w:val="000000" w:themeColor="text1"/>
                <w:vertAlign w:val="superscript"/>
              </w:rPr>
              <w:t>3</w:t>
            </w:r>
          </w:p>
        </w:tc>
      </w:tr>
      <w:tr w:rsidR="00B9705D" w:rsidRPr="00364241" w14:paraId="5EE6D64B" w14:textId="77777777" w:rsidTr="00FC3C4F">
        <w:tc>
          <w:tcPr>
            <w:tcW w:w="2459" w:type="pct"/>
          </w:tcPr>
          <w:p w14:paraId="7150D83B"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Stricture location, proximal/distal</w:t>
            </w:r>
          </w:p>
        </w:tc>
        <w:tc>
          <w:tcPr>
            <w:tcW w:w="984" w:type="pct"/>
          </w:tcPr>
          <w:p w14:paraId="45843BD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12/55</w:t>
            </w:r>
          </w:p>
        </w:tc>
        <w:tc>
          <w:tcPr>
            <w:tcW w:w="904" w:type="pct"/>
          </w:tcPr>
          <w:p w14:paraId="7CF9141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11/55</w:t>
            </w:r>
          </w:p>
        </w:tc>
        <w:tc>
          <w:tcPr>
            <w:tcW w:w="653" w:type="pct"/>
          </w:tcPr>
          <w:p w14:paraId="7A85179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0.850</w:t>
            </w:r>
            <w:r>
              <w:rPr>
                <w:rFonts w:ascii="Book Antiqua" w:hAnsi="Book Antiqua" w:hint="eastAsia"/>
                <w:color w:val="000000" w:themeColor="text1"/>
                <w:vertAlign w:val="superscript"/>
              </w:rPr>
              <w:t>3</w:t>
            </w:r>
          </w:p>
        </w:tc>
      </w:tr>
      <w:tr w:rsidR="00B9705D" w:rsidRPr="00364241" w14:paraId="0D66AA7F" w14:textId="77777777" w:rsidTr="00FC3C4F">
        <w:tc>
          <w:tcPr>
            <w:tcW w:w="2459" w:type="pct"/>
          </w:tcPr>
          <w:p w14:paraId="58B7DE60"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Stent length, cm</w:t>
            </w:r>
            <w:r w:rsidRPr="00364241">
              <w:rPr>
                <w:rFonts w:ascii="Book Antiqua" w:hAnsi="Book Antiqua"/>
                <w:color w:val="000000" w:themeColor="text1"/>
                <w:vertAlign w:val="superscript"/>
              </w:rPr>
              <w:t>2</w:t>
            </w:r>
          </w:p>
        </w:tc>
        <w:tc>
          <w:tcPr>
            <w:tcW w:w="984" w:type="pct"/>
          </w:tcPr>
          <w:p w14:paraId="20DAEEA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7.0 (3.0)</w:t>
            </w:r>
          </w:p>
          <w:p w14:paraId="0A01639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[5.0-12.0]</w:t>
            </w:r>
          </w:p>
        </w:tc>
        <w:tc>
          <w:tcPr>
            <w:tcW w:w="904" w:type="pct"/>
          </w:tcPr>
          <w:p w14:paraId="72566E2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7.0 (4.0)</w:t>
            </w:r>
          </w:p>
          <w:p w14:paraId="78CD716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[5.0-14.0]</w:t>
            </w:r>
          </w:p>
        </w:tc>
        <w:tc>
          <w:tcPr>
            <w:tcW w:w="653" w:type="pct"/>
          </w:tcPr>
          <w:p w14:paraId="7C84CAD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0.692</w:t>
            </w:r>
            <w:r>
              <w:rPr>
                <w:rFonts w:ascii="Book Antiqua" w:hAnsi="Book Antiqua" w:hint="eastAsia"/>
                <w:color w:val="000000" w:themeColor="text1"/>
                <w:vertAlign w:val="superscript"/>
              </w:rPr>
              <w:t>5</w:t>
            </w:r>
          </w:p>
        </w:tc>
      </w:tr>
    </w:tbl>
    <w:p w14:paraId="36A77E83" w14:textId="1A00DD0D" w:rsidR="00B9705D" w:rsidRDefault="00B9705D" w:rsidP="00AE0984">
      <w:pPr>
        <w:spacing w:line="360" w:lineRule="auto"/>
        <w:jc w:val="both"/>
        <w:rPr>
          <w:rFonts w:ascii="Book Antiqua" w:hAnsi="Book Antiqua"/>
          <w:color w:val="000000" w:themeColor="text1"/>
          <w:lang w:eastAsia="zh-CN"/>
        </w:rPr>
      </w:pPr>
      <w:r w:rsidRPr="00364241">
        <w:rPr>
          <w:rFonts w:ascii="Book Antiqua" w:hAnsi="Book Antiqua"/>
          <w:color w:val="000000" w:themeColor="text1"/>
          <w:vertAlign w:val="superscript"/>
        </w:rPr>
        <w:t>1</w:t>
      </w:r>
      <w:r w:rsidRPr="00364241">
        <w:rPr>
          <w:rFonts w:ascii="Book Antiqua" w:hAnsi="Book Antiqua"/>
          <w:color w:val="000000" w:themeColor="text1"/>
        </w:rPr>
        <w:t>Me</w:t>
      </w:r>
      <w:r>
        <w:rPr>
          <w:rFonts w:ascii="Book Antiqua" w:hAnsi="Book Antiqua"/>
          <w:color w:val="000000" w:themeColor="text1"/>
        </w:rPr>
        <w:t>an (standard deviation) [range]</w:t>
      </w:r>
      <w:r w:rsidR="0067330E">
        <w:rPr>
          <w:rFonts w:ascii="Book Antiqua" w:hAnsi="Book Antiqua"/>
          <w:color w:val="000000" w:themeColor="text1"/>
        </w:rPr>
        <w:t>;</w:t>
      </w:r>
      <w:r>
        <w:rPr>
          <w:rFonts w:ascii="Book Antiqua" w:hAnsi="Book Antiqua" w:hint="eastAsia"/>
          <w:color w:val="000000" w:themeColor="text1"/>
        </w:rPr>
        <w:t xml:space="preserve"> </w:t>
      </w:r>
      <w:r w:rsidRPr="00364241">
        <w:rPr>
          <w:rFonts w:ascii="Book Antiqua" w:hAnsi="Book Antiqua"/>
          <w:color w:val="000000" w:themeColor="text1"/>
          <w:vertAlign w:val="superscript"/>
        </w:rPr>
        <w:t>2</w:t>
      </w:r>
      <w:r w:rsidRPr="00364241">
        <w:rPr>
          <w:rFonts w:ascii="Book Antiqua" w:hAnsi="Book Antiqua"/>
          <w:color w:val="000000" w:themeColor="text1"/>
        </w:rPr>
        <w:t>Median (interquartile range) [range]</w:t>
      </w:r>
      <w:r w:rsidR="0067330E">
        <w:rPr>
          <w:rFonts w:ascii="Book Antiqua" w:hAnsi="Book Antiqua"/>
          <w:color w:val="000000" w:themeColor="text1"/>
        </w:rPr>
        <w:t>;</w:t>
      </w:r>
      <w:r>
        <w:rPr>
          <w:rFonts w:ascii="Book Antiqua" w:hAnsi="Book Antiqua" w:hint="eastAsia"/>
          <w:color w:val="000000" w:themeColor="text1"/>
        </w:rPr>
        <w:t xml:space="preserve"> </w:t>
      </w:r>
      <w:r>
        <w:rPr>
          <w:rFonts w:ascii="Book Antiqua" w:hAnsi="Book Antiqua" w:hint="eastAsia"/>
          <w:color w:val="000000" w:themeColor="text1"/>
          <w:vertAlign w:val="superscript"/>
        </w:rPr>
        <w:t>3</w:t>
      </w:r>
      <w:r w:rsidRPr="00364241">
        <w:rPr>
          <w:rFonts w:ascii="Book Antiqua" w:hAnsi="Book Antiqua"/>
          <w:color w:val="000000" w:themeColor="text1"/>
        </w:rPr>
        <w:t>Chi-squared te</w:t>
      </w:r>
      <w:r w:rsidR="0067330E">
        <w:rPr>
          <w:rFonts w:ascii="Book Antiqua" w:hAnsi="Book Antiqua"/>
          <w:color w:val="000000" w:themeColor="text1"/>
        </w:rPr>
        <w:t>st;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4</w:t>
      </w:r>
      <w:r w:rsidRPr="00364241">
        <w:rPr>
          <w:rFonts w:ascii="Book Antiqua" w:hAnsi="Book Antiqua"/>
          <w:color w:val="000000" w:themeColor="text1"/>
        </w:rPr>
        <w:t>Student’s</w:t>
      </w:r>
      <w:r w:rsidRPr="00364241">
        <w:rPr>
          <w:rFonts w:ascii="Book Antiqua" w:hAnsi="Book Antiqua"/>
          <w:i/>
          <w:color w:val="000000" w:themeColor="text1"/>
        </w:rPr>
        <w:t xml:space="preserve"> t</w:t>
      </w:r>
      <w:r w:rsidRPr="00364241">
        <w:rPr>
          <w:rFonts w:ascii="Book Antiqua" w:hAnsi="Book Antiqua"/>
          <w:color w:val="000000" w:themeColor="text1"/>
        </w:rPr>
        <w:t xml:space="preserve"> test</w:t>
      </w:r>
      <w:r w:rsidR="0067330E">
        <w:rPr>
          <w:rFonts w:ascii="Book Antiqua" w:hAnsi="Book Antiqua"/>
          <w:color w:val="000000" w:themeColor="text1"/>
        </w:rPr>
        <w: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5</w:t>
      </w:r>
      <w:r w:rsidRPr="00364241">
        <w:rPr>
          <w:rFonts w:ascii="Book Antiqua" w:hAnsi="Book Antiqua"/>
          <w:color w:val="000000" w:themeColor="text1"/>
        </w:rPr>
        <w:t xml:space="preserve">Mann-Whitney </w:t>
      </w:r>
      <w:r w:rsidRPr="00364241">
        <w:rPr>
          <w:rFonts w:ascii="Book Antiqua" w:hAnsi="Book Antiqua"/>
          <w:i/>
          <w:color w:val="000000" w:themeColor="text1"/>
        </w:rPr>
        <w:t>U</w:t>
      </w:r>
      <w:r w:rsidRPr="00364241">
        <w:rPr>
          <w:rFonts w:ascii="Book Antiqua" w:hAnsi="Book Antiqua"/>
          <w:color w:val="000000" w:themeColor="text1"/>
        </w:rPr>
        <w:t xml:space="preserve"> test</w:t>
      </w:r>
      <w:r w:rsidR="0067330E">
        <w:rPr>
          <w:rFonts w:ascii="Book Antiqua" w:hAnsi="Book Antiqua"/>
          <w:color w:val="000000" w:themeColor="text1"/>
        </w:rPr>
        <w: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6</w:t>
      </w:r>
      <w:r w:rsidRPr="00364241">
        <w:rPr>
          <w:rFonts w:ascii="Book Antiqua" w:hAnsi="Book Antiqua"/>
          <w:color w:val="000000" w:themeColor="text1"/>
        </w:rPr>
        <w:t>Fisher’s exact test.</w:t>
      </w:r>
      <w:r>
        <w:rPr>
          <w:rFonts w:ascii="Book Antiqua" w:hAnsi="Book Antiqua" w:hint="eastAsia"/>
          <w:color w:val="000000" w:themeColor="text1"/>
        </w:rPr>
        <w:t xml:space="preserve"> </w:t>
      </w:r>
      <w:r w:rsidRPr="00364241">
        <w:rPr>
          <w:rFonts w:ascii="Book Antiqua" w:hAnsi="Book Antiqua"/>
          <w:color w:val="000000" w:themeColor="text1"/>
        </w:rPr>
        <w:t>ARPS</w:t>
      </w:r>
      <w:r>
        <w:rPr>
          <w:rFonts w:ascii="Book Antiqua" w:hAnsi="Book Antiqua" w:hint="eastAsia"/>
          <w:color w:val="000000" w:themeColor="text1"/>
        </w:rPr>
        <w:t>:</w:t>
      </w:r>
      <w:r w:rsidRPr="00364241">
        <w:rPr>
          <w:rFonts w:ascii="Book Antiqua" w:hAnsi="Book Antiqua"/>
          <w:color w:val="000000" w:themeColor="text1"/>
        </w:rPr>
        <w:t xml:space="preserve"> Anti-reflux plastic stent; TPS</w:t>
      </w:r>
      <w:r>
        <w:rPr>
          <w:rFonts w:ascii="Book Antiqua" w:hAnsi="Book Antiqua" w:hint="eastAsia"/>
          <w:color w:val="000000" w:themeColor="text1"/>
        </w:rPr>
        <w:t>:</w:t>
      </w:r>
      <w:r w:rsidRPr="00364241">
        <w:rPr>
          <w:rFonts w:ascii="Book Antiqua" w:hAnsi="Book Antiqua"/>
          <w:color w:val="000000" w:themeColor="text1"/>
        </w:rPr>
        <w:t xml:space="preserve"> Traditional plastic stent; ERCP</w:t>
      </w:r>
      <w:r>
        <w:rPr>
          <w:rFonts w:ascii="Book Antiqua" w:hAnsi="Book Antiqua" w:hint="eastAsia"/>
          <w:color w:val="000000" w:themeColor="text1"/>
        </w:rPr>
        <w:t>:</w:t>
      </w:r>
      <w:r w:rsidRPr="00364241">
        <w:rPr>
          <w:rFonts w:ascii="Book Antiqua" w:hAnsi="Book Antiqua"/>
          <w:color w:val="000000" w:themeColor="text1"/>
        </w:rPr>
        <w:t xml:space="preserve"> Endoscopic retrograde </w:t>
      </w:r>
      <w:r w:rsidRPr="00364241">
        <w:rPr>
          <w:rFonts w:ascii="Book Antiqua" w:hAnsi="Book Antiqua"/>
          <w:color w:val="000000" w:themeColor="text1"/>
        </w:rPr>
        <w:lastRenderedPageBreak/>
        <w:t>cholangiopancreatography; MBS</w:t>
      </w:r>
      <w:r>
        <w:rPr>
          <w:rFonts w:ascii="Book Antiqua" w:hAnsi="Book Antiqua" w:hint="eastAsia"/>
          <w:color w:val="000000" w:themeColor="text1"/>
        </w:rPr>
        <w:t>:</w:t>
      </w:r>
      <w:r w:rsidRPr="00364241">
        <w:rPr>
          <w:rFonts w:ascii="Book Antiqua" w:hAnsi="Book Antiqua"/>
          <w:color w:val="000000" w:themeColor="text1"/>
        </w:rPr>
        <w:t xml:space="preserve"> Malignant biliary stricture; BBS</w:t>
      </w:r>
      <w:r>
        <w:rPr>
          <w:rFonts w:ascii="Book Antiqua" w:hAnsi="Book Antiqua" w:hint="eastAsia"/>
          <w:color w:val="000000" w:themeColor="text1"/>
        </w:rPr>
        <w:t>:</w:t>
      </w:r>
      <w:r w:rsidRPr="00364241">
        <w:rPr>
          <w:rFonts w:ascii="Book Antiqua" w:hAnsi="Book Antiqua"/>
          <w:color w:val="000000" w:themeColor="text1"/>
        </w:rPr>
        <w:t xml:space="preserve"> Benign biliary stricture.</w:t>
      </w:r>
    </w:p>
    <w:p w14:paraId="52AD4027" w14:textId="77777777" w:rsidR="00B9705D" w:rsidRPr="00364241" w:rsidRDefault="00B9705D" w:rsidP="00B9705D">
      <w:pPr>
        <w:spacing w:line="360" w:lineRule="auto"/>
        <w:rPr>
          <w:rFonts w:ascii="Book Antiqua" w:hAnsi="Book Antiqua"/>
          <w:color w:val="000000" w:themeColor="text1"/>
          <w:lang w:eastAsia="zh-CN"/>
        </w:rPr>
      </w:pPr>
    </w:p>
    <w:p w14:paraId="5B830CD4" w14:textId="77777777" w:rsidR="00B9705D" w:rsidRPr="00B9705D" w:rsidRDefault="00B9705D" w:rsidP="00B9705D">
      <w:pPr>
        <w:spacing w:line="360" w:lineRule="auto"/>
        <w:rPr>
          <w:rFonts w:ascii="Book Antiqua" w:hAnsi="Book Antiqua"/>
          <w:color w:val="000000" w:themeColor="text1"/>
        </w:rPr>
      </w:pPr>
      <w:r>
        <w:rPr>
          <w:rFonts w:ascii="Book Antiqua" w:hAnsi="Book Antiqua"/>
          <w:color w:val="000000" w:themeColor="text1"/>
        </w:rPr>
        <w:br w:type="page"/>
      </w:r>
      <w:r w:rsidRPr="00364241">
        <w:rPr>
          <w:rFonts w:ascii="Book Antiqua" w:hAnsi="Book Antiqua"/>
          <w:b/>
          <w:bCs/>
          <w:color w:val="000000" w:themeColor="text1"/>
        </w:rPr>
        <w:lastRenderedPageBreak/>
        <w:t>Table 2 Etiologies of strictures in the anti-reflux plastic stent group and traditional plastic stent group</w:t>
      </w:r>
    </w:p>
    <w:tbl>
      <w:tblPr>
        <w:tblStyle w:val="TableGrid"/>
        <w:tblW w:w="9390" w:type="dxa"/>
        <w:tblInd w:w="-142" w:type="dxa"/>
        <w:tblLayout w:type="fixed"/>
        <w:tblLook w:val="04A0" w:firstRow="1" w:lastRow="0" w:firstColumn="1" w:lastColumn="0" w:noHBand="0" w:noVBand="1"/>
      </w:tblPr>
      <w:tblGrid>
        <w:gridCol w:w="939"/>
        <w:gridCol w:w="2937"/>
        <w:gridCol w:w="1602"/>
        <w:gridCol w:w="1564"/>
        <w:gridCol w:w="1252"/>
        <w:gridCol w:w="1096"/>
      </w:tblGrid>
      <w:tr w:rsidR="00B9705D" w:rsidRPr="00364241" w14:paraId="6A34E340" w14:textId="77777777" w:rsidTr="00601C3C">
        <w:trPr>
          <w:trHeight w:val="257"/>
        </w:trPr>
        <w:tc>
          <w:tcPr>
            <w:tcW w:w="939" w:type="dxa"/>
            <w:tcBorders>
              <w:top w:val="single" w:sz="4" w:space="0" w:color="auto"/>
              <w:left w:val="nil"/>
              <w:bottom w:val="single" w:sz="4" w:space="0" w:color="auto"/>
              <w:right w:val="nil"/>
            </w:tcBorders>
          </w:tcPr>
          <w:p w14:paraId="4D901A19" w14:textId="77777777" w:rsidR="00B9705D" w:rsidRPr="00364241" w:rsidRDefault="00B9705D" w:rsidP="00B9705D">
            <w:pPr>
              <w:spacing w:line="360" w:lineRule="auto"/>
              <w:rPr>
                <w:rFonts w:ascii="Book Antiqua" w:hAnsi="Book Antiqua"/>
                <w:b/>
                <w:bCs/>
                <w:color w:val="000000" w:themeColor="text1"/>
              </w:rPr>
            </w:pPr>
          </w:p>
        </w:tc>
        <w:tc>
          <w:tcPr>
            <w:tcW w:w="2937" w:type="dxa"/>
            <w:tcBorders>
              <w:top w:val="single" w:sz="4" w:space="0" w:color="auto"/>
              <w:left w:val="nil"/>
              <w:bottom w:val="single" w:sz="4" w:space="0" w:color="auto"/>
              <w:right w:val="nil"/>
            </w:tcBorders>
          </w:tcPr>
          <w:p w14:paraId="2C461F4E" w14:textId="77777777" w:rsidR="00B9705D" w:rsidRPr="00364241" w:rsidRDefault="00B9705D" w:rsidP="00B9705D">
            <w:pPr>
              <w:spacing w:line="360" w:lineRule="auto"/>
              <w:rPr>
                <w:rFonts w:ascii="Book Antiqua" w:hAnsi="Book Antiqua"/>
                <w:b/>
                <w:bCs/>
                <w:color w:val="000000" w:themeColor="text1"/>
              </w:rPr>
            </w:pPr>
            <w:r w:rsidRPr="00364241">
              <w:rPr>
                <w:rFonts w:ascii="Book Antiqua" w:hAnsi="Book Antiqua"/>
                <w:b/>
                <w:bCs/>
                <w:color w:val="000000" w:themeColor="text1"/>
              </w:rPr>
              <w:t>Etiologies</w:t>
            </w:r>
          </w:p>
        </w:tc>
        <w:tc>
          <w:tcPr>
            <w:tcW w:w="1602" w:type="dxa"/>
            <w:tcBorders>
              <w:top w:val="single" w:sz="4" w:space="0" w:color="auto"/>
              <w:left w:val="nil"/>
              <w:bottom w:val="single" w:sz="4" w:space="0" w:color="auto"/>
              <w:right w:val="nil"/>
            </w:tcBorders>
          </w:tcPr>
          <w:p w14:paraId="192BAE3B" w14:textId="0FE3A68B"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color w:val="000000" w:themeColor="text1"/>
              </w:rPr>
              <w:t>ARPS group</w:t>
            </w:r>
            <w:r w:rsidR="009E7A19">
              <w:rPr>
                <w:rFonts w:ascii="Book Antiqua" w:hAnsi="Book Antiqua"/>
                <w:b/>
                <w:bCs/>
                <w:color w:val="000000" w:themeColor="text1"/>
              </w:rPr>
              <w:t>,</w:t>
            </w:r>
            <w:r w:rsidRPr="00364241">
              <w:rPr>
                <w:rFonts w:ascii="Book Antiqua" w:hAnsi="Book Antiqua"/>
                <w:b/>
                <w:bCs/>
                <w:color w:val="000000" w:themeColor="text1"/>
              </w:rPr>
              <w:t xml:space="preserve"> </w:t>
            </w:r>
            <w:r w:rsidRPr="00364241">
              <w:rPr>
                <w:rFonts w:ascii="Book Antiqua" w:hAnsi="Book Antiqua"/>
                <w:b/>
                <w:bCs/>
                <w:i/>
                <w:color w:val="000000" w:themeColor="text1"/>
              </w:rPr>
              <w:t xml:space="preserve">n = </w:t>
            </w:r>
            <w:r w:rsidRPr="00364241">
              <w:rPr>
                <w:rFonts w:ascii="Book Antiqua" w:hAnsi="Book Antiqua"/>
                <w:b/>
                <w:bCs/>
                <w:color w:val="000000" w:themeColor="text1"/>
              </w:rPr>
              <w:t>67</w:t>
            </w:r>
          </w:p>
        </w:tc>
        <w:tc>
          <w:tcPr>
            <w:tcW w:w="1564" w:type="dxa"/>
            <w:tcBorders>
              <w:top w:val="single" w:sz="4" w:space="0" w:color="auto"/>
              <w:left w:val="nil"/>
              <w:bottom w:val="single" w:sz="4" w:space="0" w:color="auto"/>
              <w:right w:val="nil"/>
            </w:tcBorders>
          </w:tcPr>
          <w:p w14:paraId="3BC7DE6F" w14:textId="56DAB5F0"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color w:val="000000" w:themeColor="text1"/>
              </w:rPr>
              <w:t>TPS group</w:t>
            </w:r>
            <w:r w:rsidR="009E7A19">
              <w:rPr>
                <w:rFonts w:ascii="Book Antiqua" w:hAnsi="Book Antiqua"/>
                <w:b/>
                <w:bCs/>
                <w:color w:val="000000" w:themeColor="text1"/>
              </w:rPr>
              <w:t>,</w:t>
            </w:r>
            <w:r w:rsidRPr="00364241">
              <w:rPr>
                <w:rFonts w:ascii="Book Antiqua" w:hAnsi="Book Antiqua"/>
                <w:b/>
                <w:bCs/>
                <w:color w:val="000000" w:themeColor="text1"/>
              </w:rPr>
              <w:t xml:space="preserve"> </w:t>
            </w:r>
            <w:r w:rsidRPr="00364241">
              <w:rPr>
                <w:rFonts w:ascii="Book Antiqua" w:hAnsi="Book Antiqua"/>
                <w:b/>
                <w:bCs/>
                <w:i/>
                <w:color w:val="000000" w:themeColor="text1"/>
              </w:rPr>
              <w:t xml:space="preserve">n = </w:t>
            </w:r>
            <w:r w:rsidRPr="00364241">
              <w:rPr>
                <w:rFonts w:ascii="Book Antiqua" w:hAnsi="Book Antiqua"/>
                <w:b/>
                <w:bCs/>
                <w:color w:val="000000" w:themeColor="text1"/>
              </w:rPr>
              <w:t>66</w:t>
            </w:r>
          </w:p>
        </w:tc>
        <w:tc>
          <w:tcPr>
            <w:tcW w:w="1252" w:type="dxa"/>
            <w:tcBorders>
              <w:top w:val="single" w:sz="4" w:space="0" w:color="auto"/>
              <w:left w:val="nil"/>
              <w:bottom w:val="single" w:sz="4" w:space="0" w:color="auto"/>
              <w:right w:val="nil"/>
            </w:tcBorders>
          </w:tcPr>
          <w:p w14:paraId="724D01BC" w14:textId="6F56E625" w:rsidR="00B9705D" w:rsidRPr="00364241" w:rsidRDefault="00B9705D" w:rsidP="00AE00B0">
            <w:pPr>
              <w:spacing w:line="360" w:lineRule="auto"/>
              <w:jc w:val="center"/>
              <w:rPr>
                <w:rFonts w:ascii="Book Antiqua" w:hAnsi="Book Antiqua"/>
                <w:b/>
                <w:bCs/>
                <w:color w:val="000000" w:themeColor="text1"/>
              </w:rPr>
            </w:pPr>
            <w:r w:rsidRPr="00364241">
              <w:rPr>
                <w:rFonts w:ascii="Book Antiqua" w:hAnsi="Book Antiqua"/>
                <w:b/>
                <w:bCs/>
                <w:color w:val="000000" w:themeColor="text1"/>
              </w:rPr>
              <w:t>Total</w:t>
            </w:r>
            <w:r w:rsidR="009E7A19">
              <w:rPr>
                <w:rFonts w:ascii="Book Antiqua" w:hAnsi="Book Antiqua"/>
                <w:b/>
                <w:bCs/>
                <w:color w:val="000000" w:themeColor="text1"/>
              </w:rPr>
              <w:t>,</w:t>
            </w:r>
            <w:r w:rsidR="00AE00B0">
              <w:rPr>
                <w:rFonts w:ascii="Book Antiqua" w:hAnsi="Book Antiqua" w:hint="eastAsia"/>
                <w:b/>
                <w:bCs/>
                <w:color w:val="000000" w:themeColor="text1"/>
              </w:rPr>
              <w:t xml:space="preserve"> </w:t>
            </w:r>
            <w:r w:rsidRPr="00364241">
              <w:rPr>
                <w:rFonts w:ascii="Book Antiqua" w:hAnsi="Book Antiqua"/>
                <w:b/>
                <w:bCs/>
                <w:i/>
                <w:color w:val="000000" w:themeColor="text1"/>
              </w:rPr>
              <w:t xml:space="preserve">n = </w:t>
            </w:r>
            <w:r w:rsidRPr="00364241">
              <w:rPr>
                <w:rFonts w:ascii="Book Antiqua" w:hAnsi="Book Antiqua"/>
                <w:b/>
                <w:bCs/>
                <w:color w:val="000000" w:themeColor="text1"/>
              </w:rPr>
              <w:t>133</w:t>
            </w:r>
          </w:p>
        </w:tc>
        <w:tc>
          <w:tcPr>
            <w:tcW w:w="1096" w:type="dxa"/>
            <w:tcBorders>
              <w:top w:val="single" w:sz="4" w:space="0" w:color="auto"/>
              <w:left w:val="nil"/>
              <w:bottom w:val="single" w:sz="4" w:space="0" w:color="auto"/>
              <w:right w:val="nil"/>
            </w:tcBorders>
          </w:tcPr>
          <w:p w14:paraId="0F48781E" w14:textId="77777777"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i/>
                <w:iCs/>
                <w:color w:val="000000" w:themeColor="text1"/>
              </w:rPr>
              <w:t>P</w:t>
            </w:r>
            <w:r w:rsidRPr="00364241">
              <w:rPr>
                <w:rFonts w:ascii="Book Antiqua" w:hAnsi="Book Antiqua"/>
                <w:b/>
                <w:bCs/>
                <w:color w:val="000000" w:themeColor="text1"/>
              </w:rPr>
              <w:t xml:space="preserve"> value</w:t>
            </w:r>
          </w:p>
        </w:tc>
      </w:tr>
      <w:tr w:rsidR="00B9705D" w:rsidRPr="00364241" w14:paraId="430CA9C0" w14:textId="77777777" w:rsidTr="000A1713">
        <w:trPr>
          <w:trHeight w:val="442"/>
        </w:trPr>
        <w:tc>
          <w:tcPr>
            <w:tcW w:w="939" w:type="dxa"/>
            <w:tcBorders>
              <w:top w:val="single" w:sz="4" w:space="0" w:color="auto"/>
              <w:left w:val="nil"/>
              <w:bottom w:val="nil"/>
              <w:right w:val="nil"/>
            </w:tcBorders>
          </w:tcPr>
          <w:p w14:paraId="09FEEB9D"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MBS</w:t>
            </w:r>
          </w:p>
        </w:tc>
        <w:tc>
          <w:tcPr>
            <w:tcW w:w="2937" w:type="dxa"/>
            <w:tcBorders>
              <w:top w:val="single" w:sz="4" w:space="0" w:color="auto"/>
              <w:left w:val="nil"/>
              <w:bottom w:val="nil"/>
              <w:right w:val="nil"/>
            </w:tcBorders>
          </w:tcPr>
          <w:p w14:paraId="13A1A5F4" w14:textId="77777777" w:rsidR="00B9705D" w:rsidRPr="00364241" w:rsidRDefault="00B9705D" w:rsidP="00B9705D">
            <w:pPr>
              <w:spacing w:line="360" w:lineRule="auto"/>
              <w:rPr>
                <w:rFonts w:ascii="Book Antiqua" w:hAnsi="Book Antiqua"/>
                <w:color w:val="000000" w:themeColor="text1"/>
              </w:rPr>
            </w:pPr>
          </w:p>
        </w:tc>
        <w:tc>
          <w:tcPr>
            <w:tcW w:w="1602" w:type="dxa"/>
            <w:tcBorders>
              <w:top w:val="single" w:sz="4" w:space="0" w:color="auto"/>
              <w:left w:val="nil"/>
              <w:bottom w:val="nil"/>
              <w:right w:val="nil"/>
            </w:tcBorders>
          </w:tcPr>
          <w:p w14:paraId="3B6832C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48</w:t>
            </w:r>
          </w:p>
        </w:tc>
        <w:tc>
          <w:tcPr>
            <w:tcW w:w="1564" w:type="dxa"/>
            <w:tcBorders>
              <w:top w:val="single" w:sz="4" w:space="0" w:color="auto"/>
              <w:left w:val="nil"/>
              <w:bottom w:val="nil"/>
              <w:right w:val="nil"/>
            </w:tcBorders>
          </w:tcPr>
          <w:p w14:paraId="2771759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42</w:t>
            </w:r>
          </w:p>
        </w:tc>
        <w:tc>
          <w:tcPr>
            <w:tcW w:w="1252" w:type="dxa"/>
            <w:tcBorders>
              <w:top w:val="single" w:sz="4" w:space="0" w:color="auto"/>
              <w:left w:val="nil"/>
              <w:bottom w:val="nil"/>
              <w:right w:val="nil"/>
            </w:tcBorders>
          </w:tcPr>
          <w:p w14:paraId="46B894D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90</w:t>
            </w:r>
          </w:p>
        </w:tc>
        <w:tc>
          <w:tcPr>
            <w:tcW w:w="1096" w:type="dxa"/>
            <w:tcBorders>
              <w:top w:val="single" w:sz="4" w:space="0" w:color="auto"/>
              <w:left w:val="nil"/>
              <w:bottom w:val="nil"/>
              <w:right w:val="nil"/>
            </w:tcBorders>
          </w:tcPr>
          <w:p w14:paraId="3231FEE7"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723141D9" w14:textId="77777777" w:rsidTr="000A1713">
        <w:trPr>
          <w:trHeight w:val="453"/>
        </w:trPr>
        <w:tc>
          <w:tcPr>
            <w:tcW w:w="939" w:type="dxa"/>
            <w:tcBorders>
              <w:top w:val="nil"/>
              <w:left w:val="nil"/>
              <w:bottom w:val="nil"/>
              <w:right w:val="nil"/>
            </w:tcBorders>
          </w:tcPr>
          <w:p w14:paraId="57D90FAD"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3D3B5363"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Pancreatic carcinoma</w:t>
            </w:r>
          </w:p>
        </w:tc>
        <w:tc>
          <w:tcPr>
            <w:tcW w:w="1602" w:type="dxa"/>
            <w:tcBorders>
              <w:top w:val="nil"/>
              <w:left w:val="nil"/>
              <w:bottom w:val="nil"/>
              <w:right w:val="nil"/>
            </w:tcBorders>
          </w:tcPr>
          <w:p w14:paraId="27FADA4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19</w:t>
            </w:r>
          </w:p>
        </w:tc>
        <w:tc>
          <w:tcPr>
            <w:tcW w:w="1564" w:type="dxa"/>
            <w:tcBorders>
              <w:top w:val="nil"/>
              <w:left w:val="nil"/>
              <w:bottom w:val="nil"/>
              <w:right w:val="nil"/>
            </w:tcBorders>
          </w:tcPr>
          <w:p w14:paraId="5D93A88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w:t>
            </w:r>
          </w:p>
        </w:tc>
        <w:tc>
          <w:tcPr>
            <w:tcW w:w="1252" w:type="dxa"/>
            <w:tcBorders>
              <w:top w:val="nil"/>
              <w:left w:val="nil"/>
              <w:bottom w:val="nil"/>
              <w:right w:val="nil"/>
            </w:tcBorders>
          </w:tcPr>
          <w:p w14:paraId="04B6519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32</w:t>
            </w:r>
          </w:p>
        </w:tc>
        <w:tc>
          <w:tcPr>
            <w:tcW w:w="1096" w:type="dxa"/>
            <w:tcBorders>
              <w:top w:val="nil"/>
              <w:left w:val="nil"/>
              <w:bottom w:val="nil"/>
              <w:right w:val="nil"/>
            </w:tcBorders>
          </w:tcPr>
          <w:p w14:paraId="6164C6F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0.565</w:t>
            </w:r>
            <w:r>
              <w:rPr>
                <w:rFonts w:ascii="Book Antiqua" w:hAnsi="Book Antiqua" w:hint="eastAsia"/>
                <w:color w:val="000000" w:themeColor="text1"/>
                <w:vertAlign w:val="superscript"/>
              </w:rPr>
              <w:t>1</w:t>
            </w:r>
          </w:p>
        </w:tc>
      </w:tr>
      <w:tr w:rsidR="00B9705D" w:rsidRPr="00364241" w14:paraId="4492CF9C" w14:textId="77777777" w:rsidTr="000A1713">
        <w:trPr>
          <w:trHeight w:val="453"/>
        </w:trPr>
        <w:tc>
          <w:tcPr>
            <w:tcW w:w="939" w:type="dxa"/>
            <w:tcBorders>
              <w:top w:val="nil"/>
              <w:left w:val="nil"/>
              <w:bottom w:val="nil"/>
              <w:right w:val="nil"/>
            </w:tcBorders>
          </w:tcPr>
          <w:p w14:paraId="66B81F69"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4099E978"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Cholangiocarcinoma</w:t>
            </w:r>
          </w:p>
        </w:tc>
        <w:tc>
          <w:tcPr>
            <w:tcW w:w="1602" w:type="dxa"/>
            <w:tcBorders>
              <w:top w:val="nil"/>
              <w:left w:val="nil"/>
              <w:bottom w:val="nil"/>
              <w:right w:val="nil"/>
            </w:tcBorders>
          </w:tcPr>
          <w:p w14:paraId="6B9E70C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w:t>
            </w:r>
          </w:p>
        </w:tc>
        <w:tc>
          <w:tcPr>
            <w:tcW w:w="1564" w:type="dxa"/>
            <w:tcBorders>
              <w:top w:val="nil"/>
              <w:left w:val="nil"/>
              <w:bottom w:val="nil"/>
              <w:right w:val="nil"/>
            </w:tcBorders>
          </w:tcPr>
          <w:p w14:paraId="3858F6A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9</w:t>
            </w:r>
          </w:p>
        </w:tc>
        <w:tc>
          <w:tcPr>
            <w:tcW w:w="1252" w:type="dxa"/>
            <w:tcBorders>
              <w:top w:val="nil"/>
              <w:left w:val="nil"/>
              <w:bottom w:val="nil"/>
              <w:right w:val="nil"/>
            </w:tcBorders>
          </w:tcPr>
          <w:p w14:paraId="47FC453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16</w:t>
            </w:r>
          </w:p>
        </w:tc>
        <w:tc>
          <w:tcPr>
            <w:tcW w:w="1096" w:type="dxa"/>
            <w:tcBorders>
              <w:top w:val="nil"/>
              <w:left w:val="nil"/>
              <w:bottom w:val="nil"/>
              <w:right w:val="nil"/>
            </w:tcBorders>
          </w:tcPr>
          <w:p w14:paraId="33F7CD7C"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4CDD9426" w14:textId="77777777" w:rsidTr="000A1713">
        <w:trPr>
          <w:trHeight w:val="453"/>
        </w:trPr>
        <w:tc>
          <w:tcPr>
            <w:tcW w:w="939" w:type="dxa"/>
            <w:tcBorders>
              <w:top w:val="nil"/>
              <w:left w:val="nil"/>
              <w:bottom w:val="nil"/>
              <w:right w:val="nil"/>
            </w:tcBorders>
          </w:tcPr>
          <w:p w14:paraId="4F336B0A"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029E3089"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Ampullary carcinoma</w:t>
            </w:r>
          </w:p>
        </w:tc>
        <w:tc>
          <w:tcPr>
            <w:tcW w:w="1602" w:type="dxa"/>
            <w:tcBorders>
              <w:top w:val="nil"/>
              <w:left w:val="nil"/>
              <w:bottom w:val="nil"/>
              <w:right w:val="nil"/>
            </w:tcBorders>
          </w:tcPr>
          <w:p w14:paraId="09B8995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8</w:t>
            </w:r>
          </w:p>
        </w:tc>
        <w:tc>
          <w:tcPr>
            <w:tcW w:w="1564" w:type="dxa"/>
            <w:tcBorders>
              <w:top w:val="nil"/>
              <w:left w:val="nil"/>
              <w:bottom w:val="nil"/>
              <w:right w:val="nil"/>
            </w:tcBorders>
          </w:tcPr>
          <w:p w14:paraId="09DF607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w:t>
            </w:r>
          </w:p>
        </w:tc>
        <w:tc>
          <w:tcPr>
            <w:tcW w:w="1252" w:type="dxa"/>
            <w:tcBorders>
              <w:top w:val="nil"/>
              <w:left w:val="nil"/>
              <w:bottom w:val="nil"/>
              <w:right w:val="nil"/>
            </w:tcBorders>
          </w:tcPr>
          <w:p w14:paraId="5984BF7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w:t>
            </w:r>
          </w:p>
        </w:tc>
        <w:tc>
          <w:tcPr>
            <w:tcW w:w="1096" w:type="dxa"/>
            <w:tcBorders>
              <w:top w:val="nil"/>
              <w:left w:val="nil"/>
              <w:bottom w:val="nil"/>
              <w:right w:val="nil"/>
            </w:tcBorders>
          </w:tcPr>
          <w:p w14:paraId="54B207AE"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0FA03783" w14:textId="77777777" w:rsidTr="000A1713">
        <w:trPr>
          <w:trHeight w:val="896"/>
        </w:trPr>
        <w:tc>
          <w:tcPr>
            <w:tcW w:w="939" w:type="dxa"/>
            <w:tcBorders>
              <w:top w:val="nil"/>
              <w:left w:val="nil"/>
              <w:bottom w:val="nil"/>
              <w:right w:val="nil"/>
            </w:tcBorders>
          </w:tcPr>
          <w:p w14:paraId="6B894BE5"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0D318515"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Duodenal papilla carcinoma</w:t>
            </w:r>
          </w:p>
        </w:tc>
        <w:tc>
          <w:tcPr>
            <w:tcW w:w="1602" w:type="dxa"/>
            <w:tcBorders>
              <w:top w:val="nil"/>
              <w:left w:val="nil"/>
              <w:bottom w:val="nil"/>
              <w:right w:val="nil"/>
            </w:tcBorders>
          </w:tcPr>
          <w:p w14:paraId="3FCB37E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w:t>
            </w:r>
          </w:p>
        </w:tc>
        <w:tc>
          <w:tcPr>
            <w:tcW w:w="1564" w:type="dxa"/>
            <w:tcBorders>
              <w:top w:val="nil"/>
              <w:left w:val="nil"/>
              <w:bottom w:val="nil"/>
              <w:right w:val="nil"/>
            </w:tcBorders>
          </w:tcPr>
          <w:p w14:paraId="722C07A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w:t>
            </w:r>
          </w:p>
        </w:tc>
        <w:tc>
          <w:tcPr>
            <w:tcW w:w="1252" w:type="dxa"/>
            <w:tcBorders>
              <w:top w:val="nil"/>
              <w:left w:val="nil"/>
              <w:bottom w:val="nil"/>
              <w:right w:val="nil"/>
            </w:tcBorders>
          </w:tcPr>
          <w:p w14:paraId="1E2FA6F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14</w:t>
            </w:r>
          </w:p>
        </w:tc>
        <w:tc>
          <w:tcPr>
            <w:tcW w:w="1096" w:type="dxa"/>
            <w:tcBorders>
              <w:top w:val="nil"/>
              <w:left w:val="nil"/>
              <w:bottom w:val="nil"/>
              <w:right w:val="nil"/>
            </w:tcBorders>
          </w:tcPr>
          <w:p w14:paraId="2524CB83"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79B9926D" w14:textId="77777777" w:rsidTr="000A1713">
        <w:trPr>
          <w:trHeight w:val="453"/>
        </w:trPr>
        <w:tc>
          <w:tcPr>
            <w:tcW w:w="939" w:type="dxa"/>
            <w:tcBorders>
              <w:top w:val="nil"/>
              <w:left w:val="nil"/>
              <w:bottom w:val="nil"/>
              <w:right w:val="nil"/>
            </w:tcBorders>
          </w:tcPr>
          <w:p w14:paraId="107E44AE"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571D8181"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Metastatic carcinoma</w:t>
            </w:r>
          </w:p>
        </w:tc>
        <w:tc>
          <w:tcPr>
            <w:tcW w:w="1602" w:type="dxa"/>
            <w:tcBorders>
              <w:top w:val="nil"/>
              <w:left w:val="nil"/>
              <w:bottom w:val="nil"/>
              <w:right w:val="nil"/>
            </w:tcBorders>
          </w:tcPr>
          <w:p w14:paraId="21FE17D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w:t>
            </w:r>
          </w:p>
        </w:tc>
        <w:tc>
          <w:tcPr>
            <w:tcW w:w="1564" w:type="dxa"/>
            <w:tcBorders>
              <w:top w:val="nil"/>
              <w:left w:val="nil"/>
              <w:bottom w:val="nil"/>
              <w:right w:val="nil"/>
            </w:tcBorders>
          </w:tcPr>
          <w:p w14:paraId="2BE5751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8</w:t>
            </w:r>
          </w:p>
        </w:tc>
        <w:tc>
          <w:tcPr>
            <w:tcW w:w="1252" w:type="dxa"/>
            <w:tcBorders>
              <w:top w:val="nil"/>
              <w:left w:val="nil"/>
              <w:bottom w:val="nil"/>
              <w:right w:val="nil"/>
            </w:tcBorders>
          </w:tcPr>
          <w:p w14:paraId="1CCAA37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w:t>
            </w:r>
          </w:p>
        </w:tc>
        <w:tc>
          <w:tcPr>
            <w:tcW w:w="1096" w:type="dxa"/>
            <w:tcBorders>
              <w:top w:val="nil"/>
              <w:left w:val="nil"/>
              <w:bottom w:val="nil"/>
              <w:right w:val="nil"/>
            </w:tcBorders>
          </w:tcPr>
          <w:p w14:paraId="24EED6F7"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02B395C5" w14:textId="77777777" w:rsidTr="000A1713">
        <w:trPr>
          <w:trHeight w:val="453"/>
        </w:trPr>
        <w:tc>
          <w:tcPr>
            <w:tcW w:w="939" w:type="dxa"/>
            <w:tcBorders>
              <w:top w:val="nil"/>
              <w:left w:val="nil"/>
              <w:bottom w:val="nil"/>
              <w:right w:val="nil"/>
            </w:tcBorders>
          </w:tcPr>
          <w:p w14:paraId="5F33517D"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4ECA05D8"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Gallbladder carcinoma</w:t>
            </w:r>
          </w:p>
        </w:tc>
        <w:tc>
          <w:tcPr>
            <w:tcW w:w="1602" w:type="dxa"/>
            <w:tcBorders>
              <w:top w:val="nil"/>
              <w:left w:val="nil"/>
              <w:bottom w:val="nil"/>
              <w:right w:val="nil"/>
            </w:tcBorders>
          </w:tcPr>
          <w:p w14:paraId="374F1CB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w:t>
            </w:r>
          </w:p>
        </w:tc>
        <w:tc>
          <w:tcPr>
            <w:tcW w:w="1564" w:type="dxa"/>
            <w:tcBorders>
              <w:top w:val="nil"/>
              <w:left w:val="nil"/>
              <w:bottom w:val="nil"/>
              <w:right w:val="nil"/>
            </w:tcBorders>
          </w:tcPr>
          <w:p w14:paraId="710D6BD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w:t>
            </w:r>
          </w:p>
        </w:tc>
        <w:tc>
          <w:tcPr>
            <w:tcW w:w="1252" w:type="dxa"/>
            <w:tcBorders>
              <w:top w:val="nil"/>
              <w:left w:val="nil"/>
              <w:bottom w:val="nil"/>
              <w:right w:val="nil"/>
            </w:tcBorders>
          </w:tcPr>
          <w:p w14:paraId="2AF0509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w:t>
            </w:r>
          </w:p>
        </w:tc>
        <w:tc>
          <w:tcPr>
            <w:tcW w:w="1096" w:type="dxa"/>
            <w:tcBorders>
              <w:top w:val="nil"/>
              <w:left w:val="nil"/>
              <w:bottom w:val="nil"/>
              <w:right w:val="nil"/>
            </w:tcBorders>
          </w:tcPr>
          <w:p w14:paraId="605046A8"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44FD6439" w14:textId="77777777" w:rsidTr="000A1713">
        <w:trPr>
          <w:trHeight w:val="453"/>
        </w:trPr>
        <w:tc>
          <w:tcPr>
            <w:tcW w:w="939" w:type="dxa"/>
            <w:tcBorders>
              <w:top w:val="nil"/>
              <w:left w:val="nil"/>
              <w:bottom w:val="nil"/>
              <w:right w:val="nil"/>
            </w:tcBorders>
          </w:tcPr>
          <w:p w14:paraId="3E8547E9"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BBS</w:t>
            </w:r>
          </w:p>
        </w:tc>
        <w:tc>
          <w:tcPr>
            <w:tcW w:w="2937" w:type="dxa"/>
            <w:tcBorders>
              <w:top w:val="nil"/>
              <w:left w:val="nil"/>
              <w:bottom w:val="nil"/>
              <w:right w:val="nil"/>
            </w:tcBorders>
          </w:tcPr>
          <w:p w14:paraId="1A2488F8" w14:textId="77777777" w:rsidR="00B9705D" w:rsidRPr="00364241" w:rsidRDefault="00B9705D" w:rsidP="00B9705D">
            <w:pPr>
              <w:spacing w:line="360" w:lineRule="auto"/>
              <w:rPr>
                <w:rFonts w:ascii="Book Antiqua" w:hAnsi="Book Antiqua"/>
                <w:color w:val="000000" w:themeColor="text1"/>
              </w:rPr>
            </w:pPr>
          </w:p>
        </w:tc>
        <w:tc>
          <w:tcPr>
            <w:tcW w:w="1602" w:type="dxa"/>
            <w:tcBorders>
              <w:top w:val="nil"/>
              <w:left w:val="nil"/>
              <w:bottom w:val="nil"/>
              <w:right w:val="nil"/>
            </w:tcBorders>
          </w:tcPr>
          <w:p w14:paraId="06A75BF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19</w:t>
            </w:r>
          </w:p>
        </w:tc>
        <w:tc>
          <w:tcPr>
            <w:tcW w:w="1564" w:type="dxa"/>
            <w:tcBorders>
              <w:top w:val="nil"/>
              <w:left w:val="nil"/>
              <w:bottom w:val="nil"/>
              <w:right w:val="nil"/>
            </w:tcBorders>
          </w:tcPr>
          <w:p w14:paraId="5D803D0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24</w:t>
            </w:r>
          </w:p>
        </w:tc>
        <w:tc>
          <w:tcPr>
            <w:tcW w:w="1252" w:type="dxa"/>
            <w:tcBorders>
              <w:top w:val="nil"/>
              <w:left w:val="nil"/>
              <w:bottom w:val="nil"/>
              <w:right w:val="nil"/>
            </w:tcBorders>
          </w:tcPr>
          <w:p w14:paraId="1BB2A3D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43</w:t>
            </w:r>
          </w:p>
        </w:tc>
        <w:tc>
          <w:tcPr>
            <w:tcW w:w="1096" w:type="dxa"/>
            <w:tcBorders>
              <w:top w:val="nil"/>
              <w:left w:val="nil"/>
              <w:bottom w:val="nil"/>
              <w:right w:val="nil"/>
            </w:tcBorders>
          </w:tcPr>
          <w:p w14:paraId="2F435415"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7111A184" w14:textId="77777777" w:rsidTr="000A1713">
        <w:trPr>
          <w:trHeight w:val="453"/>
        </w:trPr>
        <w:tc>
          <w:tcPr>
            <w:tcW w:w="939" w:type="dxa"/>
            <w:tcBorders>
              <w:top w:val="nil"/>
              <w:left w:val="nil"/>
              <w:bottom w:val="nil"/>
              <w:right w:val="nil"/>
            </w:tcBorders>
          </w:tcPr>
          <w:p w14:paraId="47FABA32"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78C5E1AF"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Postoperative injury</w:t>
            </w:r>
          </w:p>
        </w:tc>
        <w:tc>
          <w:tcPr>
            <w:tcW w:w="1602" w:type="dxa"/>
            <w:tcBorders>
              <w:top w:val="nil"/>
              <w:left w:val="nil"/>
              <w:bottom w:val="nil"/>
              <w:right w:val="nil"/>
            </w:tcBorders>
          </w:tcPr>
          <w:p w14:paraId="5A6FE86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w:t>
            </w:r>
          </w:p>
        </w:tc>
        <w:tc>
          <w:tcPr>
            <w:tcW w:w="1564" w:type="dxa"/>
            <w:tcBorders>
              <w:top w:val="nil"/>
              <w:left w:val="nil"/>
              <w:bottom w:val="nil"/>
              <w:right w:val="nil"/>
            </w:tcBorders>
          </w:tcPr>
          <w:p w14:paraId="12331AE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12</w:t>
            </w:r>
          </w:p>
        </w:tc>
        <w:tc>
          <w:tcPr>
            <w:tcW w:w="1252" w:type="dxa"/>
            <w:tcBorders>
              <w:top w:val="nil"/>
              <w:left w:val="nil"/>
              <w:bottom w:val="nil"/>
              <w:right w:val="nil"/>
            </w:tcBorders>
          </w:tcPr>
          <w:p w14:paraId="4D9AAEF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23</w:t>
            </w:r>
          </w:p>
        </w:tc>
        <w:tc>
          <w:tcPr>
            <w:tcW w:w="1096" w:type="dxa"/>
            <w:tcBorders>
              <w:top w:val="nil"/>
              <w:left w:val="nil"/>
              <w:bottom w:val="nil"/>
              <w:right w:val="nil"/>
            </w:tcBorders>
          </w:tcPr>
          <w:p w14:paraId="4237C87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0.914</w:t>
            </w:r>
            <w:r>
              <w:rPr>
                <w:rFonts w:ascii="Book Antiqua" w:hAnsi="Book Antiqua" w:hint="eastAsia"/>
                <w:color w:val="000000" w:themeColor="text1"/>
                <w:vertAlign w:val="superscript"/>
              </w:rPr>
              <w:t>1</w:t>
            </w:r>
          </w:p>
        </w:tc>
      </w:tr>
      <w:tr w:rsidR="00B9705D" w:rsidRPr="00364241" w14:paraId="0B58721D" w14:textId="77777777" w:rsidTr="000A1713">
        <w:trPr>
          <w:trHeight w:val="453"/>
        </w:trPr>
        <w:tc>
          <w:tcPr>
            <w:tcW w:w="939" w:type="dxa"/>
            <w:tcBorders>
              <w:top w:val="nil"/>
              <w:left w:val="nil"/>
              <w:bottom w:val="nil"/>
              <w:right w:val="nil"/>
            </w:tcBorders>
          </w:tcPr>
          <w:p w14:paraId="4C6E3891"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nil"/>
              <w:right w:val="nil"/>
            </w:tcBorders>
          </w:tcPr>
          <w:p w14:paraId="3B7CF701" w14:textId="77777777" w:rsidR="00B9705D" w:rsidRPr="00364241" w:rsidRDefault="00B9705D" w:rsidP="00B9705D">
            <w:pPr>
              <w:spacing w:line="360" w:lineRule="auto"/>
              <w:rPr>
                <w:rFonts w:ascii="Book Antiqua" w:hAnsi="Book Antiqua"/>
                <w:color w:val="000000" w:themeColor="text1"/>
              </w:rPr>
            </w:pPr>
            <w:r w:rsidRPr="00364241">
              <w:rPr>
                <w:rFonts w:ascii="Book Antiqua" w:hAnsi="Book Antiqua"/>
                <w:color w:val="000000" w:themeColor="text1"/>
              </w:rPr>
              <w:t>Chronic pancreatitis</w:t>
            </w:r>
          </w:p>
        </w:tc>
        <w:tc>
          <w:tcPr>
            <w:tcW w:w="1602" w:type="dxa"/>
            <w:tcBorders>
              <w:top w:val="nil"/>
              <w:left w:val="nil"/>
              <w:bottom w:val="nil"/>
              <w:right w:val="nil"/>
            </w:tcBorders>
          </w:tcPr>
          <w:p w14:paraId="441CC38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w:t>
            </w:r>
          </w:p>
        </w:tc>
        <w:tc>
          <w:tcPr>
            <w:tcW w:w="1564" w:type="dxa"/>
            <w:tcBorders>
              <w:top w:val="nil"/>
              <w:left w:val="nil"/>
              <w:bottom w:val="nil"/>
              <w:right w:val="nil"/>
            </w:tcBorders>
          </w:tcPr>
          <w:p w14:paraId="1E859D3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8</w:t>
            </w:r>
          </w:p>
        </w:tc>
        <w:tc>
          <w:tcPr>
            <w:tcW w:w="1252" w:type="dxa"/>
            <w:tcBorders>
              <w:top w:val="nil"/>
              <w:left w:val="nil"/>
              <w:bottom w:val="nil"/>
              <w:right w:val="nil"/>
            </w:tcBorders>
          </w:tcPr>
          <w:p w14:paraId="06ECD69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14</w:t>
            </w:r>
          </w:p>
        </w:tc>
        <w:tc>
          <w:tcPr>
            <w:tcW w:w="1096" w:type="dxa"/>
            <w:tcBorders>
              <w:top w:val="nil"/>
              <w:left w:val="nil"/>
              <w:bottom w:val="nil"/>
              <w:right w:val="nil"/>
            </w:tcBorders>
          </w:tcPr>
          <w:p w14:paraId="46F04A1F"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54105FF4" w14:textId="77777777" w:rsidTr="000A1713">
        <w:trPr>
          <w:trHeight w:val="453"/>
        </w:trPr>
        <w:tc>
          <w:tcPr>
            <w:tcW w:w="939" w:type="dxa"/>
            <w:tcBorders>
              <w:top w:val="nil"/>
              <w:left w:val="nil"/>
              <w:bottom w:val="single" w:sz="4" w:space="0" w:color="auto"/>
              <w:right w:val="nil"/>
            </w:tcBorders>
          </w:tcPr>
          <w:p w14:paraId="5B1E76C2" w14:textId="77777777" w:rsidR="00B9705D" w:rsidRPr="00364241" w:rsidRDefault="00B9705D" w:rsidP="00B9705D">
            <w:pPr>
              <w:spacing w:line="360" w:lineRule="auto"/>
              <w:rPr>
                <w:rFonts w:ascii="Book Antiqua" w:hAnsi="Book Antiqua"/>
                <w:color w:val="000000" w:themeColor="text1"/>
              </w:rPr>
            </w:pPr>
          </w:p>
        </w:tc>
        <w:tc>
          <w:tcPr>
            <w:tcW w:w="2937" w:type="dxa"/>
            <w:tcBorders>
              <w:top w:val="nil"/>
              <w:left w:val="nil"/>
              <w:bottom w:val="single" w:sz="4" w:space="0" w:color="auto"/>
              <w:right w:val="nil"/>
            </w:tcBorders>
          </w:tcPr>
          <w:p w14:paraId="3ABEE178"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Others</w:t>
            </w:r>
          </w:p>
        </w:tc>
        <w:tc>
          <w:tcPr>
            <w:tcW w:w="1602" w:type="dxa"/>
            <w:tcBorders>
              <w:top w:val="nil"/>
              <w:left w:val="nil"/>
              <w:bottom w:val="single" w:sz="4" w:space="0" w:color="auto"/>
              <w:right w:val="nil"/>
            </w:tcBorders>
          </w:tcPr>
          <w:p w14:paraId="47DC8F2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w:t>
            </w:r>
          </w:p>
        </w:tc>
        <w:tc>
          <w:tcPr>
            <w:tcW w:w="1564" w:type="dxa"/>
            <w:tcBorders>
              <w:top w:val="nil"/>
              <w:left w:val="nil"/>
              <w:bottom w:val="single" w:sz="4" w:space="0" w:color="auto"/>
              <w:right w:val="nil"/>
            </w:tcBorders>
          </w:tcPr>
          <w:p w14:paraId="736C03A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w:t>
            </w:r>
          </w:p>
        </w:tc>
        <w:tc>
          <w:tcPr>
            <w:tcW w:w="1252" w:type="dxa"/>
            <w:tcBorders>
              <w:top w:val="nil"/>
              <w:left w:val="nil"/>
              <w:bottom w:val="single" w:sz="4" w:space="0" w:color="auto"/>
              <w:right w:val="nil"/>
            </w:tcBorders>
          </w:tcPr>
          <w:p w14:paraId="11D645D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w:t>
            </w:r>
          </w:p>
        </w:tc>
        <w:tc>
          <w:tcPr>
            <w:tcW w:w="1096" w:type="dxa"/>
            <w:tcBorders>
              <w:top w:val="nil"/>
              <w:left w:val="nil"/>
              <w:bottom w:val="single" w:sz="4" w:space="0" w:color="auto"/>
              <w:right w:val="nil"/>
            </w:tcBorders>
          </w:tcPr>
          <w:p w14:paraId="644206EB" w14:textId="77777777" w:rsidR="00B9705D" w:rsidRPr="00364241" w:rsidRDefault="00B9705D" w:rsidP="00B9705D">
            <w:pPr>
              <w:spacing w:line="360" w:lineRule="auto"/>
              <w:jc w:val="center"/>
              <w:rPr>
                <w:rFonts w:ascii="Book Antiqua" w:hAnsi="Book Antiqua"/>
                <w:color w:val="000000" w:themeColor="text1"/>
              </w:rPr>
            </w:pPr>
          </w:p>
        </w:tc>
      </w:tr>
    </w:tbl>
    <w:p w14:paraId="6EA79043" w14:textId="06CD76F0" w:rsidR="00B9705D" w:rsidRPr="00364241" w:rsidRDefault="00B9705D" w:rsidP="00B9705D">
      <w:pPr>
        <w:spacing w:line="360" w:lineRule="auto"/>
        <w:rPr>
          <w:rFonts w:ascii="Book Antiqua" w:hAnsi="Book Antiqua"/>
          <w:color w:val="000000" w:themeColor="text1"/>
        </w:rPr>
      </w:pPr>
      <w:r>
        <w:rPr>
          <w:rFonts w:ascii="Book Antiqua" w:hAnsi="Book Antiqua" w:hint="eastAsia"/>
          <w:color w:val="000000" w:themeColor="text1"/>
          <w:vertAlign w:val="superscript"/>
        </w:rPr>
        <w:t>1</w:t>
      </w:r>
      <w:r w:rsidRPr="00364241">
        <w:rPr>
          <w:rFonts w:ascii="Book Antiqua" w:hAnsi="Book Antiqua"/>
          <w:color w:val="000000" w:themeColor="text1"/>
        </w:rPr>
        <w:t>Fisher’s exact test.</w:t>
      </w:r>
      <w:r>
        <w:rPr>
          <w:rFonts w:ascii="Book Antiqua" w:hAnsi="Book Antiqua" w:hint="eastAsia"/>
          <w:color w:val="000000" w:themeColor="text1"/>
        </w:rPr>
        <w:t xml:space="preserve"> </w:t>
      </w:r>
      <w:r w:rsidRPr="00364241">
        <w:rPr>
          <w:rFonts w:ascii="Book Antiqua" w:hAnsi="Book Antiqua"/>
          <w:color w:val="000000" w:themeColor="text1"/>
        </w:rPr>
        <w:t>ARPS</w:t>
      </w:r>
      <w:r>
        <w:rPr>
          <w:rFonts w:ascii="Book Antiqua" w:hAnsi="Book Antiqua" w:hint="eastAsia"/>
          <w:color w:val="000000" w:themeColor="text1"/>
        </w:rPr>
        <w:t>:</w:t>
      </w:r>
      <w:r w:rsidRPr="00364241">
        <w:rPr>
          <w:rFonts w:ascii="Book Antiqua" w:hAnsi="Book Antiqua"/>
          <w:color w:val="000000" w:themeColor="text1"/>
        </w:rPr>
        <w:t xml:space="preserve"> Anti-reflux plastic stent; TPS</w:t>
      </w:r>
      <w:r>
        <w:rPr>
          <w:rFonts w:ascii="Book Antiqua" w:hAnsi="Book Antiqua" w:hint="eastAsia"/>
          <w:color w:val="000000" w:themeColor="text1"/>
        </w:rPr>
        <w:t>:</w:t>
      </w:r>
      <w:r w:rsidRPr="00364241">
        <w:rPr>
          <w:rFonts w:ascii="Book Antiqua" w:hAnsi="Book Antiqua"/>
          <w:color w:val="000000" w:themeColor="text1"/>
        </w:rPr>
        <w:t xml:space="preserve"> Traditional plastic stent; MBS</w:t>
      </w:r>
      <w:r>
        <w:rPr>
          <w:rFonts w:ascii="Book Antiqua" w:hAnsi="Book Antiqua" w:hint="eastAsia"/>
          <w:color w:val="000000" w:themeColor="text1"/>
        </w:rPr>
        <w:t>:</w:t>
      </w:r>
      <w:r w:rsidRPr="00364241">
        <w:rPr>
          <w:rFonts w:ascii="Book Antiqua" w:hAnsi="Book Antiqua"/>
          <w:color w:val="000000" w:themeColor="text1"/>
        </w:rPr>
        <w:t xml:space="preserve"> Malignant biliary stricture; BBS</w:t>
      </w:r>
      <w:r>
        <w:rPr>
          <w:rFonts w:ascii="Book Antiqua" w:hAnsi="Book Antiqua" w:hint="eastAsia"/>
          <w:color w:val="000000" w:themeColor="text1"/>
        </w:rPr>
        <w:t>:</w:t>
      </w:r>
      <w:r w:rsidRPr="00364241">
        <w:rPr>
          <w:rFonts w:ascii="Book Antiqua" w:hAnsi="Book Antiqua"/>
          <w:color w:val="000000" w:themeColor="text1"/>
        </w:rPr>
        <w:t xml:space="preserve"> Benign biliary stricture.</w:t>
      </w:r>
    </w:p>
    <w:p w14:paraId="2D564809" w14:textId="77777777" w:rsidR="00B9705D" w:rsidRPr="00B9705D" w:rsidRDefault="00B9705D" w:rsidP="00B9705D">
      <w:pPr>
        <w:spacing w:line="360" w:lineRule="auto"/>
        <w:rPr>
          <w:rFonts w:ascii="Book Antiqua" w:hAnsi="Book Antiqua"/>
          <w:color w:val="000000" w:themeColor="text1"/>
          <w:lang w:eastAsia="zh-CN"/>
        </w:rPr>
      </w:pPr>
      <w:r>
        <w:rPr>
          <w:rFonts w:ascii="Book Antiqua" w:hAnsi="Book Antiqua"/>
          <w:color w:val="000000" w:themeColor="text1"/>
        </w:rPr>
        <w:br w:type="page"/>
      </w:r>
      <w:r w:rsidRPr="00364241">
        <w:rPr>
          <w:rFonts w:ascii="Book Antiqua" w:hAnsi="Book Antiqua"/>
          <w:b/>
          <w:bCs/>
          <w:color w:val="000000" w:themeColor="text1"/>
        </w:rPr>
        <w:lastRenderedPageBreak/>
        <w:t>Table 3 Outcomes in the anti-reflux plastic stent group and traditional plastic stent group</w:t>
      </w:r>
    </w:p>
    <w:tbl>
      <w:tblPr>
        <w:tblStyle w:val="TableGrid"/>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1984"/>
        <w:gridCol w:w="1560"/>
        <w:gridCol w:w="1349"/>
      </w:tblGrid>
      <w:tr w:rsidR="00B9705D" w:rsidRPr="00364241" w14:paraId="3B9B4DCC" w14:textId="77777777" w:rsidTr="00446094">
        <w:tc>
          <w:tcPr>
            <w:tcW w:w="4429" w:type="dxa"/>
            <w:tcBorders>
              <w:top w:val="single" w:sz="4" w:space="0" w:color="auto"/>
              <w:bottom w:val="single" w:sz="4" w:space="0" w:color="auto"/>
            </w:tcBorders>
          </w:tcPr>
          <w:p w14:paraId="6216581C" w14:textId="77777777" w:rsidR="00B9705D" w:rsidRPr="00364241" w:rsidRDefault="00B9705D" w:rsidP="00B9705D">
            <w:pPr>
              <w:spacing w:line="360" w:lineRule="auto"/>
              <w:rPr>
                <w:rFonts w:ascii="Book Antiqua" w:hAnsi="Book Antiqua"/>
                <w:color w:val="000000" w:themeColor="text1"/>
              </w:rPr>
            </w:pPr>
          </w:p>
        </w:tc>
        <w:tc>
          <w:tcPr>
            <w:tcW w:w="1984" w:type="dxa"/>
            <w:tcBorders>
              <w:top w:val="single" w:sz="4" w:space="0" w:color="auto"/>
              <w:bottom w:val="single" w:sz="4" w:space="0" w:color="auto"/>
            </w:tcBorders>
          </w:tcPr>
          <w:p w14:paraId="0E3F1805" w14:textId="5A59910E"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color w:val="000000" w:themeColor="text1"/>
              </w:rPr>
              <w:t>ARPS group</w:t>
            </w:r>
            <w:r w:rsidR="009E7A19">
              <w:rPr>
                <w:rFonts w:ascii="Book Antiqua" w:hAnsi="Book Antiqua"/>
                <w:b/>
                <w:bCs/>
                <w:color w:val="000000" w:themeColor="text1"/>
              </w:rPr>
              <w:t>,</w:t>
            </w:r>
            <w:r w:rsidRPr="00364241">
              <w:rPr>
                <w:rFonts w:ascii="Book Antiqua" w:hAnsi="Book Antiqua"/>
                <w:b/>
                <w:bCs/>
                <w:color w:val="000000" w:themeColor="text1"/>
              </w:rPr>
              <w:t xml:space="preserve"> </w:t>
            </w:r>
            <w:r w:rsidRPr="00364241">
              <w:rPr>
                <w:rFonts w:ascii="Book Antiqua" w:hAnsi="Book Antiqua"/>
                <w:b/>
                <w:bCs/>
                <w:i/>
                <w:color w:val="000000" w:themeColor="text1"/>
              </w:rPr>
              <w:t xml:space="preserve">n = </w:t>
            </w:r>
            <w:r w:rsidRPr="00364241">
              <w:rPr>
                <w:rFonts w:ascii="Book Antiqua" w:hAnsi="Book Antiqua"/>
                <w:b/>
                <w:bCs/>
                <w:color w:val="000000" w:themeColor="text1"/>
              </w:rPr>
              <w:t>67</w:t>
            </w:r>
          </w:p>
        </w:tc>
        <w:tc>
          <w:tcPr>
            <w:tcW w:w="1560" w:type="dxa"/>
            <w:tcBorders>
              <w:top w:val="single" w:sz="4" w:space="0" w:color="auto"/>
              <w:bottom w:val="single" w:sz="4" w:space="0" w:color="auto"/>
            </w:tcBorders>
          </w:tcPr>
          <w:p w14:paraId="2589363C" w14:textId="68E9C1BF"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color w:val="000000" w:themeColor="text1"/>
              </w:rPr>
              <w:t>TPS group</w:t>
            </w:r>
            <w:r w:rsidR="009E7A19">
              <w:rPr>
                <w:rFonts w:ascii="Book Antiqua" w:hAnsi="Book Antiqua"/>
                <w:b/>
                <w:bCs/>
                <w:color w:val="000000" w:themeColor="text1"/>
              </w:rPr>
              <w:t>,</w:t>
            </w:r>
            <w:r w:rsidRPr="00364241">
              <w:rPr>
                <w:rFonts w:ascii="Book Antiqua" w:hAnsi="Book Antiqua"/>
                <w:b/>
                <w:bCs/>
                <w:color w:val="000000" w:themeColor="text1"/>
              </w:rPr>
              <w:t xml:space="preserve"> </w:t>
            </w:r>
            <w:r w:rsidRPr="00364241">
              <w:rPr>
                <w:rFonts w:ascii="Book Antiqua" w:hAnsi="Book Antiqua"/>
                <w:b/>
                <w:bCs/>
                <w:i/>
                <w:color w:val="000000" w:themeColor="text1"/>
              </w:rPr>
              <w:t xml:space="preserve">n = </w:t>
            </w:r>
            <w:r w:rsidRPr="00364241">
              <w:rPr>
                <w:rFonts w:ascii="Book Antiqua" w:hAnsi="Book Antiqua"/>
                <w:b/>
                <w:bCs/>
                <w:color w:val="000000" w:themeColor="text1"/>
              </w:rPr>
              <w:t>66</w:t>
            </w:r>
          </w:p>
        </w:tc>
        <w:tc>
          <w:tcPr>
            <w:tcW w:w="1349" w:type="dxa"/>
            <w:tcBorders>
              <w:top w:val="single" w:sz="4" w:space="0" w:color="auto"/>
              <w:bottom w:val="single" w:sz="4" w:space="0" w:color="auto"/>
            </w:tcBorders>
          </w:tcPr>
          <w:p w14:paraId="1BF25B0A" w14:textId="77777777" w:rsidR="00B9705D" w:rsidRPr="00364241" w:rsidRDefault="00B9705D" w:rsidP="00B9705D">
            <w:pPr>
              <w:spacing w:line="360" w:lineRule="auto"/>
              <w:jc w:val="center"/>
              <w:rPr>
                <w:rFonts w:ascii="Book Antiqua" w:hAnsi="Book Antiqua"/>
                <w:b/>
                <w:bCs/>
                <w:color w:val="000000" w:themeColor="text1"/>
              </w:rPr>
            </w:pPr>
            <w:r w:rsidRPr="00364241">
              <w:rPr>
                <w:rFonts w:ascii="Book Antiqua" w:hAnsi="Book Antiqua"/>
                <w:b/>
                <w:bCs/>
                <w:i/>
                <w:iCs/>
                <w:color w:val="000000" w:themeColor="text1"/>
              </w:rPr>
              <w:t>P</w:t>
            </w:r>
            <w:r w:rsidRPr="00364241">
              <w:rPr>
                <w:rFonts w:ascii="Book Antiqua" w:hAnsi="Book Antiqua"/>
                <w:b/>
                <w:bCs/>
                <w:color w:val="000000" w:themeColor="text1"/>
              </w:rPr>
              <w:t xml:space="preserve"> value</w:t>
            </w:r>
          </w:p>
        </w:tc>
      </w:tr>
      <w:tr w:rsidR="00B9705D" w:rsidRPr="00364241" w14:paraId="39FD7E55" w14:textId="77777777" w:rsidTr="00446094">
        <w:tc>
          <w:tcPr>
            <w:tcW w:w="4429" w:type="dxa"/>
            <w:tcBorders>
              <w:top w:val="nil"/>
              <w:bottom w:val="nil"/>
            </w:tcBorders>
          </w:tcPr>
          <w:p w14:paraId="500469AB"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ERCP-related complications, </w:t>
            </w:r>
            <w:r w:rsidRPr="00364241">
              <w:rPr>
                <w:rFonts w:ascii="Book Antiqua" w:hAnsi="Book Antiqua"/>
                <w:i/>
                <w:color w:val="000000" w:themeColor="text1"/>
              </w:rPr>
              <w:t>n</w:t>
            </w:r>
            <w:r w:rsidRPr="00364241">
              <w:rPr>
                <w:rFonts w:ascii="Book Antiqua" w:hAnsi="Book Antiqua"/>
                <w:color w:val="000000" w:themeColor="text1"/>
              </w:rPr>
              <w:t xml:space="preserve"> (%)</w:t>
            </w:r>
          </w:p>
        </w:tc>
        <w:tc>
          <w:tcPr>
            <w:tcW w:w="1984" w:type="dxa"/>
            <w:tcBorders>
              <w:top w:val="nil"/>
              <w:bottom w:val="nil"/>
            </w:tcBorders>
          </w:tcPr>
          <w:p w14:paraId="5456A7C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 (7.5)</w:t>
            </w:r>
          </w:p>
        </w:tc>
        <w:tc>
          <w:tcPr>
            <w:tcW w:w="1560" w:type="dxa"/>
            <w:tcBorders>
              <w:top w:val="nil"/>
              <w:bottom w:val="nil"/>
            </w:tcBorders>
          </w:tcPr>
          <w:p w14:paraId="1B7045C8"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 (4.5)</w:t>
            </w:r>
          </w:p>
        </w:tc>
        <w:tc>
          <w:tcPr>
            <w:tcW w:w="1349" w:type="dxa"/>
            <w:tcBorders>
              <w:top w:val="nil"/>
              <w:bottom w:val="nil"/>
            </w:tcBorders>
          </w:tcPr>
          <w:p w14:paraId="3D31C91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0.718</w:t>
            </w:r>
            <w:r>
              <w:rPr>
                <w:rFonts w:ascii="Book Antiqua" w:hAnsi="Book Antiqua" w:hint="eastAsia"/>
                <w:color w:val="000000" w:themeColor="text1"/>
                <w:vertAlign w:val="superscript"/>
              </w:rPr>
              <w:t>4</w:t>
            </w:r>
          </w:p>
        </w:tc>
      </w:tr>
      <w:tr w:rsidR="00B9705D" w:rsidRPr="00364241" w14:paraId="56FF1926" w14:textId="77777777" w:rsidTr="00446094">
        <w:tc>
          <w:tcPr>
            <w:tcW w:w="4429" w:type="dxa"/>
            <w:tcBorders>
              <w:top w:val="nil"/>
              <w:bottom w:val="nil"/>
            </w:tcBorders>
          </w:tcPr>
          <w:p w14:paraId="4CE45513" w14:textId="77777777" w:rsidR="00B9705D" w:rsidRPr="00364241" w:rsidRDefault="00B9705D" w:rsidP="00B9705D">
            <w:pPr>
              <w:spacing w:line="360" w:lineRule="auto"/>
              <w:ind w:firstLineChars="100" w:firstLine="240"/>
              <w:jc w:val="left"/>
              <w:rPr>
                <w:rFonts w:ascii="Book Antiqua" w:hAnsi="Book Antiqua"/>
                <w:color w:val="000000" w:themeColor="text1"/>
              </w:rPr>
            </w:pPr>
            <w:r w:rsidRPr="00364241">
              <w:rPr>
                <w:rFonts w:ascii="Book Antiqua" w:hAnsi="Book Antiqua"/>
                <w:color w:val="000000" w:themeColor="text1"/>
              </w:rPr>
              <w:t>Pancreatitis</w:t>
            </w:r>
          </w:p>
        </w:tc>
        <w:tc>
          <w:tcPr>
            <w:tcW w:w="1984" w:type="dxa"/>
            <w:tcBorders>
              <w:top w:val="nil"/>
              <w:bottom w:val="nil"/>
            </w:tcBorders>
          </w:tcPr>
          <w:p w14:paraId="6EA09DB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 (6.0)</w:t>
            </w:r>
          </w:p>
        </w:tc>
        <w:tc>
          <w:tcPr>
            <w:tcW w:w="1560" w:type="dxa"/>
            <w:tcBorders>
              <w:top w:val="nil"/>
              <w:bottom w:val="nil"/>
            </w:tcBorders>
          </w:tcPr>
          <w:p w14:paraId="22CF007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 (3.0)</w:t>
            </w:r>
          </w:p>
        </w:tc>
        <w:tc>
          <w:tcPr>
            <w:tcW w:w="1349" w:type="dxa"/>
            <w:tcBorders>
              <w:top w:val="nil"/>
              <w:bottom w:val="nil"/>
            </w:tcBorders>
          </w:tcPr>
          <w:p w14:paraId="7A52D69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1.000</w:t>
            </w:r>
            <w:r>
              <w:rPr>
                <w:rFonts w:ascii="Book Antiqua" w:hAnsi="Book Antiqua" w:hint="eastAsia"/>
                <w:color w:val="000000" w:themeColor="text1"/>
                <w:vertAlign w:val="superscript"/>
              </w:rPr>
              <w:t>4</w:t>
            </w:r>
          </w:p>
        </w:tc>
      </w:tr>
      <w:tr w:rsidR="00B9705D" w:rsidRPr="00364241" w14:paraId="0D5AB0DF" w14:textId="77777777" w:rsidTr="00446094">
        <w:tc>
          <w:tcPr>
            <w:tcW w:w="4429" w:type="dxa"/>
            <w:tcBorders>
              <w:top w:val="nil"/>
              <w:bottom w:val="nil"/>
            </w:tcBorders>
          </w:tcPr>
          <w:p w14:paraId="1374ACEF"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MBS/BBS</w:t>
            </w:r>
          </w:p>
        </w:tc>
        <w:tc>
          <w:tcPr>
            <w:tcW w:w="1984" w:type="dxa"/>
            <w:tcBorders>
              <w:top w:val="nil"/>
              <w:bottom w:val="nil"/>
            </w:tcBorders>
          </w:tcPr>
          <w:p w14:paraId="7E1B166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3/1</w:t>
            </w:r>
          </w:p>
        </w:tc>
        <w:tc>
          <w:tcPr>
            <w:tcW w:w="1560" w:type="dxa"/>
            <w:tcBorders>
              <w:top w:val="nil"/>
              <w:bottom w:val="nil"/>
            </w:tcBorders>
          </w:tcPr>
          <w:p w14:paraId="7037557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w:t>
            </w:r>
          </w:p>
        </w:tc>
        <w:tc>
          <w:tcPr>
            <w:tcW w:w="1349" w:type="dxa"/>
            <w:tcBorders>
              <w:top w:val="nil"/>
              <w:bottom w:val="nil"/>
            </w:tcBorders>
          </w:tcPr>
          <w:p w14:paraId="15D7A828"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37DA2829" w14:textId="77777777" w:rsidTr="00446094">
        <w:tc>
          <w:tcPr>
            <w:tcW w:w="4429" w:type="dxa"/>
            <w:tcBorders>
              <w:top w:val="nil"/>
              <w:bottom w:val="nil"/>
            </w:tcBorders>
          </w:tcPr>
          <w:p w14:paraId="6B40002D" w14:textId="77777777" w:rsidR="00B9705D" w:rsidRPr="00364241" w:rsidRDefault="00B9705D" w:rsidP="00B9705D">
            <w:pPr>
              <w:spacing w:line="360" w:lineRule="auto"/>
              <w:ind w:firstLineChars="100" w:firstLine="240"/>
              <w:jc w:val="left"/>
              <w:rPr>
                <w:rFonts w:ascii="Book Antiqua" w:hAnsi="Book Antiqua"/>
                <w:color w:val="000000" w:themeColor="text1"/>
              </w:rPr>
            </w:pPr>
            <w:r w:rsidRPr="00364241">
              <w:rPr>
                <w:rFonts w:ascii="Book Antiqua" w:hAnsi="Book Antiqua"/>
                <w:color w:val="000000" w:themeColor="text1"/>
              </w:rPr>
              <w:t>Cholangitis</w:t>
            </w:r>
          </w:p>
        </w:tc>
        <w:tc>
          <w:tcPr>
            <w:tcW w:w="1984" w:type="dxa"/>
            <w:tcBorders>
              <w:top w:val="nil"/>
              <w:bottom w:val="nil"/>
            </w:tcBorders>
          </w:tcPr>
          <w:p w14:paraId="11539BC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 (1.5)</w:t>
            </w:r>
          </w:p>
        </w:tc>
        <w:tc>
          <w:tcPr>
            <w:tcW w:w="1560" w:type="dxa"/>
            <w:tcBorders>
              <w:top w:val="nil"/>
              <w:bottom w:val="nil"/>
            </w:tcBorders>
          </w:tcPr>
          <w:p w14:paraId="4F8C34F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 (1.5)</w:t>
            </w:r>
          </w:p>
        </w:tc>
        <w:tc>
          <w:tcPr>
            <w:tcW w:w="1349" w:type="dxa"/>
            <w:tcBorders>
              <w:top w:val="nil"/>
              <w:bottom w:val="nil"/>
            </w:tcBorders>
          </w:tcPr>
          <w:p w14:paraId="50D9352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1.000</w:t>
            </w:r>
            <w:r>
              <w:rPr>
                <w:rFonts w:ascii="Book Antiqua" w:hAnsi="Book Antiqua" w:hint="eastAsia"/>
                <w:color w:val="000000" w:themeColor="text1"/>
                <w:vertAlign w:val="superscript"/>
              </w:rPr>
              <w:t>4</w:t>
            </w:r>
          </w:p>
        </w:tc>
      </w:tr>
      <w:tr w:rsidR="00B9705D" w:rsidRPr="00364241" w14:paraId="7130BDE7" w14:textId="77777777" w:rsidTr="00446094">
        <w:tc>
          <w:tcPr>
            <w:tcW w:w="4429" w:type="dxa"/>
            <w:tcBorders>
              <w:top w:val="nil"/>
            </w:tcBorders>
          </w:tcPr>
          <w:p w14:paraId="47438FCD"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MBS/BBS</w:t>
            </w:r>
          </w:p>
        </w:tc>
        <w:tc>
          <w:tcPr>
            <w:tcW w:w="1984" w:type="dxa"/>
            <w:tcBorders>
              <w:top w:val="nil"/>
            </w:tcBorders>
          </w:tcPr>
          <w:p w14:paraId="05F07C5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1/0</w:t>
            </w:r>
          </w:p>
        </w:tc>
        <w:tc>
          <w:tcPr>
            <w:tcW w:w="1560" w:type="dxa"/>
            <w:tcBorders>
              <w:top w:val="nil"/>
            </w:tcBorders>
          </w:tcPr>
          <w:p w14:paraId="75DE2F4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1/0</w:t>
            </w:r>
          </w:p>
        </w:tc>
        <w:tc>
          <w:tcPr>
            <w:tcW w:w="1349" w:type="dxa"/>
            <w:tcBorders>
              <w:top w:val="nil"/>
            </w:tcBorders>
          </w:tcPr>
          <w:p w14:paraId="67C7A5CE"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6EBB10CB" w14:textId="77777777" w:rsidTr="00446094">
        <w:tc>
          <w:tcPr>
            <w:tcW w:w="4429" w:type="dxa"/>
          </w:tcPr>
          <w:p w14:paraId="75F24099"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Stent-related cholangitis, </w:t>
            </w:r>
            <w:r w:rsidRPr="00364241">
              <w:rPr>
                <w:rFonts w:ascii="Book Antiqua" w:hAnsi="Book Antiqua"/>
                <w:i/>
                <w:color w:val="000000" w:themeColor="text1"/>
              </w:rPr>
              <w:t>n</w:t>
            </w:r>
            <w:r w:rsidRPr="00364241">
              <w:rPr>
                <w:rFonts w:ascii="Book Antiqua" w:hAnsi="Book Antiqua"/>
                <w:color w:val="000000" w:themeColor="text1"/>
              </w:rPr>
              <w:t xml:space="preserve"> (%)</w:t>
            </w:r>
          </w:p>
        </w:tc>
        <w:tc>
          <w:tcPr>
            <w:tcW w:w="1984" w:type="dxa"/>
          </w:tcPr>
          <w:p w14:paraId="69A52D2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8 (11.9)</w:t>
            </w:r>
          </w:p>
        </w:tc>
        <w:tc>
          <w:tcPr>
            <w:tcW w:w="1560" w:type="dxa"/>
          </w:tcPr>
          <w:p w14:paraId="00C34AC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18 (27.3)</w:t>
            </w:r>
          </w:p>
        </w:tc>
        <w:tc>
          <w:tcPr>
            <w:tcW w:w="1349" w:type="dxa"/>
          </w:tcPr>
          <w:p w14:paraId="5F19756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0.030</w:t>
            </w:r>
            <w:r>
              <w:rPr>
                <w:rFonts w:ascii="Book Antiqua" w:hAnsi="Book Antiqua" w:hint="eastAsia"/>
                <w:color w:val="000000" w:themeColor="text1"/>
                <w:vertAlign w:val="superscript"/>
              </w:rPr>
              <w:t>3</w:t>
            </w:r>
          </w:p>
        </w:tc>
      </w:tr>
      <w:tr w:rsidR="00B9705D" w:rsidRPr="00364241" w14:paraId="0104AE1D" w14:textId="77777777" w:rsidTr="00446094">
        <w:tc>
          <w:tcPr>
            <w:tcW w:w="4429" w:type="dxa"/>
          </w:tcPr>
          <w:p w14:paraId="19802F83"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MBS</w:t>
            </w:r>
          </w:p>
        </w:tc>
        <w:tc>
          <w:tcPr>
            <w:tcW w:w="1984" w:type="dxa"/>
          </w:tcPr>
          <w:p w14:paraId="65AB807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 (14.6)</w:t>
            </w:r>
          </w:p>
        </w:tc>
        <w:tc>
          <w:tcPr>
            <w:tcW w:w="1560" w:type="dxa"/>
          </w:tcPr>
          <w:p w14:paraId="7F6D3BA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 (31.0)</w:t>
            </w:r>
          </w:p>
        </w:tc>
        <w:tc>
          <w:tcPr>
            <w:tcW w:w="1349" w:type="dxa"/>
          </w:tcPr>
          <w:p w14:paraId="1C97A79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0.078</w:t>
            </w:r>
            <w:r>
              <w:rPr>
                <w:rFonts w:ascii="Book Antiqua" w:hAnsi="Book Antiqua" w:hint="eastAsia"/>
                <w:color w:val="000000" w:themeColor="text1"/>
                <w:vertAlign w:val="superscript"/>
              </w:rPr>
              <w:t>3</w:t>
            </w:r>
          </w:p>
        </w:tc>
      </w:tr>
      <w:tr w:rsidR="00B9705D" w:rsidRPr="00364241" w14:paraId="2979F25F" w14:textId="77777777" w:rsidTr="00446094">
        <w:tc>
          <w:tcPr>
            <w:tcW w:w="4429" w:type="dxa"/>
          </w:tcPr>
          <w:p w14:paraId="2B983DBE"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BBS</w:t>
            </w:r>
          </w:p>
        </w:tc>
        <w:tc>
          <w:tcPr>
            <w:tcW w:w="1984" w:type="dxa"/>
          </w:tcPr>
          <w:p w14:paraId="0A85662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 (5.3)</w:t>
            </w:r>
          </w:p>
        </w:tc>
        <w:tc>
          <w:tcPr>
            <w:tcW w:w="1560" w:type="dxa"/>
          </w:tcPr>
          <w:p w14:paraId="3AAC0FF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 (20.8)</w:t>
            </w:r>
          </w:p>
        </w:tc>
        <w:tc>
          <w:tcPr>
            <w:tcW w:w="1349" w:type="dxa"/>
          </w:tcPr>
          <w:p w14:paraId="75ED3E3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0.205</w:t>
            </w:r>
            <w:r>
              <w:rPr>
                <w:rFonts w:ascii="Book Antiqua" w:hAnsi="Book Antiqua" w:hint="eastAsia"/>
                <w:color w:val="000000" w:themeColor="text1"/>
                <w:vertAlign w:val="superscript"/>
              </w:rPr>
              <w:t>3</w:t>
            </w:r>
          </w:p>
        </w:tc>
      </w:tr>
      <w:tr w:rsidR="00B9705D" w:rsidRPr="00364241" w14:paraId="4C322231" w14:textId="77777777" w:rsidTr="00446094">
        <w:tc>
          <w:tcPr>
            <w:tcW w:w="4429" w:type="dxa"/>
          </w:tcPr>
          <w:p w14:paraId="4653E72D"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Stent-related cholangitis, frequencies</w:t>
            </w:r>
          </w:p>
        </w:tc>
        <w:tc>
          <w:tcPr>
            <w:tcW w:w="1984" w:type="dxa"/>
          </w:tcPr>
          <w:p w14:paraId="1BD879D3" w14:textId="77777777" w:rsidR="00B9705D" w:rsidRPr="00364241" w:rsidRDefault="00B9705D" w:rsidP="00B9705D">
            <w:pPr>
              <w:spacing w:line="360" w:lineRule="auto"/>
              <w:jc w:val="center"/>
              <w:rPr>
                <w:rFonts w:ascii="Book Antiqua" w:hAnsi="Book Antiqua"/>
                <w:color w:val="000000" w:themeColor="text1"/>
              </w:rPr>
            </w:pPr>
          </w:p>
        </w:tc>
        <w:tc>
          <w:tcPr>
            <w:tcW w:w="1560" w:type="dxa"/>
          </w:tcPr>
          <w:p w14:paraId="5AC64A46" w14:textId="77777777" w:rsidR="00B9705D" w:rsidRPr="00364241" w:rsidRDefault="00B9705D" w:rsidP="00B9705D">
            <w:pPr>
              <w:spacing w:line="360" w:lineRule="auto"/>
              <w:jc w:val="center"/>
              <w:rPr>
                <w:rFonts w:ascii="Book Antiqua" w:hAnsi="Book Antiqua"/>
                <w:color w:val="000000" w:themeColor="text1"/>
              </w:rPr>
            </w:pPr>
          </w:p>
        </w:tc>
        <w:tc>
          <w:tcPr>
            <w:tcW w:w="1349" w:type="dxa"/>
          </w:tcPr>
          <w:p w14:paraId="041C493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0.115</w:t>
            </w:r>
            <w:r>
              <w:rPr>
                <w:rFonts w:ascii="Book Antiqua" w:hAnsi="Book Antiqua" w:hint="eastAsia"/>
                <w:color w:val="000000" w:themeColor="text1"/>
                <w:vertAlign w:val="superscript"/>
              </w:rPr>
              <w:t>4</w:t>
            </w:r>
          </w:p>
        </w:tc>
      </w:tr>
      <w:tr w:rsidR="00B9705D" w:rsidRPr="00364241" w14:paraId="263990E3" w14:textId="77777777" w:rsidTr="00446094">
        <w:tc>
          <w:tcPr>
            <w:tcW w:w="4429" w:type="dxa"/>
          </w:tcPr>
          <w:p w14:paraId="3A568FC3"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0</w:t>
            </w:r>
          </w:p>
        </w:tc>
        <w:tc>
          <w:tcPr>
            <w:tcW w:w="1984" w:type="dxa"/>
          </w:tcPr>
          <w:p w14:paraId="25D5FD2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59</w:t>
            </w:r>
          </w:p>
        </w:tc>
        <w:tc>
          <w:tcPr>
            <w:tcW w:w="1560" w:type="dxa"/>
          </w:tcPr>
          <w:p w14:paraId="1D5D04A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48</w:t>
            </w:r>
          </w:p>
        </w:tc>
        <w:tc>
          <w:tcPr>
            <w:tcW w:w="1349" w:type="dxa"/>
          </w:tcPr>
          <w:p w14:paraId="148750F5"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008ED1E8" w14:textId="77777777" w:rsidTr="00446094">
        <w:tc>
          <w:tcPr>
            <w:tcW w:w="4429" w:type="dxa"/>
          </w:tcPr>
          <w:p w14:paraId="09780BB1"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1</w:t>
            </w:r>
          </w:p>
        </w:tc>
        <w:tc>
          <w:tcPr>
            <w:tcW w:w="1984" w:type="dxa"/>
          </w:tcPr>
          <w:p w14:paraId="5D6533C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w:t>
            </w:r>
          </w:p>
        </w:tc>
        <w:tc>
          <w:tcPr>
            <w:tcW w:w="1560" w:type="dxa"/>
          </w:tcPr>
          <w:p w14:paraId="0E7F64A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12</w:t>
            </w:r>
          </w:p>
        </w:tc>
        <w:tc>
          <w:tcPr>
            <w:tcW w:w="1349" w:type="dxa"/>
          </w:tcPr>
          <w:p w14:paraId="48445572"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2441B2FB" w14:textId="77777777" w:rsidTr="00446094">
        <w:tc>
          <w:tcPr>
            <w:tcW w:w="4429" w:type="dxa"/>
          </w:tcPr>
          <w:p w14:paraId="02175C72"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2</w:t>
            </w:r>
          </w:p>
        </w:tc>
        <w:tc>
          <w:tcPr>
            <w:tcW w:w="1984" w:type="dxa"/>
          </w:tcPr>
          <w:p w14:paraId="5542268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w:t>
            </w:r>
          </w:p>
        </w:tc>
        <w:tc>
          <w:tcPr>
            <w:tcW w:w="1560" w:type="dxa"/>
          </w:tcPr>
          <w:p w14:paraId="65CC04D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w:t>
            </w:r>
          </w:p>
        </w:tc>
        <w:tc>
          <w:tcPr>
            <w:tcW w:w="1349" w:type="dxa"/>
          </w:tcPr>
          <w:p w14:paraId="5EE22210"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08742EFE" w14:textId="77777777" w:rsidTr="00446094">
        <w:tc>
          <w:tcPr>
            <w:tcW w:w="4429" w:type="dxa"/>
          </w:tcPr>
          <w:p w14:paraId="077C01A2"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3</w:t>
            </w:r>
          </w:p>
        </w:tc>
        <w:tc>
          <w:tcPr>
            <w:tcW w:w="1984" w:type="dxa"/>
          </w:tcPr>
          <w:p w14:paraId="3B574B0A"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w:t>
            </w:r>
          </w:p>
        </w:tc>
        <w:tc>
          <w:tcPr>
            <w:tcW w:w="1560" w:type="dxa"/>
          </w:tcPr>
          <w:p w14:paraId="1EE6986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w:t>
            </w:r>
          </w:p>
        </w:tc>
        <w:tc>
          <w:tcPr>
            <w:tcW w:w="1349" w:type="dxa"/>
          </w:tcPr>
          <w:p w14:paraId="0F714BC3"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5C63DC45" w14:textId="77777777" w:rsidTr="00446094">
        <w:tc>
          <w:tcPr>
            <w:tcW w:w="4429" w:type="dxa"/>
          </w:tcPr>
          <w:p w14:paraId="6C3B6DC2"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Time till the onset of first stent-related cholangitis, d</w:t>
            </w:r>
            <w:r w:rsidRPr="00364241">
              <w:rPr>
                <w:rFonts w:ascii="Book Antiqua" w:hAnsi="Book Antiqua"/>
                <w:color w:val="000000" w:themeColor="text1"/>
                <w:vertAlign w:val="superscript"/>
              </w:rPr>
              <w:t>1</w:t>
            </w:r>
          </w:p>
        </w:tc>
        <w:tc>
          <w:tcPr>
            <w:tcW w:w="1984" w:type="dxa"/>
          </w:tcPr>
          <w:p w14:paraId="3EEEA11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128.5 (197.5)</w:t>
            </w:r>
          </w:p>
          <w:p w14:paraId="63A7B64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[65.0-347.0]</w:t>
            </w:r>
          </w:p>
        </w:tc>
        <w:tc>
          <w:tcPr>
            <w:tcW w:w="1560" w:type="dxa"/>
          </w:tcPr>
          <w:p w14:paraId="34083BA6"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76.0 (72.8)</w:t>
            </w:r>
          </w:p>
          <w:p w14:paraId="3AE52D3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[5.0-337.0]</w:t>
            </w:r>
          </w:p>
        </w:tc>
        <w:tc>
          <w:tcPr>
            <w:tcW w:w="1349" w:type="dxa"/>
          </w:tcPr>
          <w:p w14:paraId="05037B2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0.039</w:t>
            </w:r>
            <w:r>
              <w:rPr>
                <w:rFonts w:ascii="Book Antiqua" w:hAnsi="Book Antiqua" w:hint="eastAsia"/>
                <w:color w:val="000000" w:themeColor="text1"/>
                <w:vertAlign w:val="superscript"/>
              </w:rPr>
              <w:t>5</w:t>
            </w:r>
          </w:p>
          <w:p w14:paraId="71978205"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2924D84C" w14:textId="77777777" w:rsidTr="00446094">
        <w:tc>
          <w:tcPr>
            <w:tcW w:w="4429" w:type="dxa"/>
          </w:tcPr>
          <w:p w14:paraId="7E0636FA"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Stent distal migration, </w:t>
            </w:r>
            <w:r w:rsidRPr="00364241">
              <w:rPr>
                <w:rFonts w:ascii="Book Antiqua" w:hAnsi="Book Antiqua"/>
                <w:i/>
                <w:color w:val="000000" w:themeColor="text1"/>
              </w:rPr>
              <w:t>n</w:t>
            </w:r>
            <w:r w:rsidRPr="00364241">
              <w:rPr>
                <w:rFonts w:ascii="Book Antiqua" w:hAnsi="Book Antiqua"/>
                <w:color w:val="000000" w:themeColor="text1"/>
              </w:rPr>
              <w:t xml:space="preserve"> (%)</w:t>
            </w:r>
          </w:p>
        </w:tc>
        <w:tc>
          <w:tcPr>
            <w:tcW w:w="1984" w:type="dxa"/>
          </w:tcPr>
          <w:p w14:paraId="4F7814F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 (4.5)</w:t>
            </w:r>
          </w:p>
        </w:tc>
        <w:tc>
          <w:tcPr>
            <w:tcW w:w="1560" w:type="dxa"/>
          </w:tcPr>
          <w:p w14:paraId="4CC8792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 (6.0)</w:t>
            </w:r>
          </w:p>
        </w:tc>
        <w:tc>
          <w:tcPr>
            <w:tcW w:w="1349" w:type="dxa"/>
          </w:tcPr>
          <w:p w14:paraId="41DBD270"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0.718</w:t>
            </w:r>
            <w:r>
              <w:rPr>
                <w:rFonts w:ascii="Book Antiqua" w:hAnsi="Book Antiqua" w:hint="eastAsia"/>
                <w:color w:val="000000" w:themeColor="text1"/>
                <w:vertAlign w:val="superscript"/>
              </w:rPr>
              <w:t>4</w:t>
            </w:r>
          </w:p>
        </w:tc>
      </w:tr>
      <w:tr w:rsidR="00B9705D" w:rsidRPr="00364241" w14:paraId="4125813F" w14:textId="77777777" w:rsidTr="00446094">
        <w:tc>
          <w:tcPr>
            <w:tcW w:w="4429" w:type="dxa"/>
          </w:tcPr>
          <w:p w14:paraId="058AABA3"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MBS/BBS</w:t>
            </w:r>
          </w:p>
        </w:tc>
        <w:tc>
          <w:tcPr>
            <w:tcW w:w="1984" w:type="dxa"/>
          </w:tcPr>
          <w:p w14:paraId="33E73F6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2/1</w:t>
            </w:r>
          </w:p>
        </w:tc>
        <w:tc>
          <w:tcPr>
            <w:tcW w:w="1560" w:type="dxa"/>
          </w:tcPr>
          <w:p w14:paraId="4977BB7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2/2</w:t>
            </w:r>
          </w:p>
        </w:tc>
        <w:tc>
          <w:tcPr>
            <w:tcW w:w="1349" w:type="dxa"/>
          </w:tcPr>
          <w:p w14:paraId="11609449"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624C938C" w14:textId="77777777" w:rsidTr="00446094">
        <w:tc>
          <w:tcPr>
            <w:tcW w:w="4429" w:type="dxa"/>
          </w:tcPr>
          <w:p w14:paraId="56DC27BA"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 xml:space="preserve">Stent dysfunction, </w:t>
            </w:r>
            <w:r w:rsidRPr="00364241">
              <w:rPr>
                <w:rFonts w:ascii="Book Antiqua" w:hAnsi="Book Antiqua"/>
                <w:i/>
                <w:color w:val="000000" w:themeColor="text1"/>
              </w:rPr>
              <w:t>n</w:t>
            </w:r>
            <w:r w:rsidRPr="00364241">
              <w:rPr>
                <w:rFonts w:ascii="Book Antiqua" w:hAnsi="Book Antiqua"/>
                <w:color w:val="000000" w:themeColor="text1"/>
              </w:rPr>
              <w:t xml:space="preserve"> (%)</w:t>
            </w:r>
          </w:p>
        </w:tc>
        <w:tc>
          <w:tcPr>
            <w:tcW w:w="1984" w:type="dxa"/>
          </w:tcPr>
          <w:p w14:paraId="56ECDC3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44 (65.7)</w:t>
            </w:r>
          </w:p>
        </w:tc>
        <w:tc>
          <w:tcPr>
            <w:tcW w:w="1560" w:type="dxa"/>
          </w:tcPr>
          <w:p w14:paraId="57CA0FE9"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52 (78.8)</w:t>
            </w:r>
          </w:p>
        </w:tc>
        <w:tc>
          <w:tcPr>
            <w:tcW w:w="1349" w:type="dxa"/>
          </w:tcPr>
          <w:p w14:paraId="7DD1523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0.091</w:t>
            </w:r>
            <w:r>
              <w:rPr>
                <w:rFonts w:ascii="Book Antiqua" w:hAnsi="Book Antiqua" w:hint="eastAsia"/>
                <w:color w:val="000000" w:themeColor="text1"/>
                <w:vertAlign w:val="superscript"/>
              </w:rPr>
              <w:t>3</w:t>
            </w:r>
          </w:p>
        </w:tc>
      </w:tr>
      <w:tr w:rsidR="00B9705D" w:rsidRPr="00364241" w14:paraId="405301DE" w14:textId="77777777" w:rsidTr="00446094">
        <w:tc>
          <w:tcPr>
            <w:tcW w:w="4429" w:type="dxa"/>
          </w:tcPr>
          <w:p w14:paraId="2EC55447" w14:textId="77777777" w:rsidR="00B9705D" w:rsidRPr="00364241" w:rsidRDefault="00B9705D" w:rsidP="00B9705D">
            <w:pPr>
              <w:spacing w:line="360" w:lineRule="auto"/>
              <w:ind w:firstLineChars="200" w:firstLine="480"/>
              <w:jc w:val="left"/>
              <w:rPr>
                <w:rFonts w:ascii="Book Antiqua" w:hAnsi="Book Antiqua"/>
                <w:color w:val="000000" w:themeColor="text1"/>
              </w:rPr>
            </w:pPr>
            <w:r w:rsidRPr="00364241">
              <w:rPr>
                <w:rFonts w:ascii="Book Antiqua" w:hAnsi="Book Antiqua"/>
                <w:color w:val="000000" w:themeColor="text1"/>
              </w:rPr>
              <w:t>MBS/BBS</w:t>
            </w:r>
          </w:p>
        </w:tc>
        <w:tc>
          <w:tcPr>
            <w:tcW w:w="1984" w:type="dxa"/>
          </w:tcPr>
          <w:p w14:paraId="633EE947"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29/15</w:t>
            </w:r>
          </w:p>
        </w:tc>
        <w:tc>
          <w:tcPr>
            <w:tcW w:w="1560" w:type="dxa"/>
          </w:tcPr>
          <w:p w14:paraId="7F883F8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33/19</w:t>
            </w:r>
          </w:p>
        </w:tc>
        <w:tc>
          <w:tcPr>
            <w:tcW w:w="1349" w:type="dxa"/>
          </w:tcPr>
          <w:p w14:paraId="28FB009B" w14:textId="77777777" w:rsidR="00B9705D" w:rsidRPr="00364241" w:rsidRDefault="00B9705D" w:rsidP="00B9705D">
            <w:pPr>
              <w:spacing w:line="360" w:lineRule="auto"/>
              <w:jc w:val="center"/>
              <w:rPr>
                <w:rFonts w:ascii="Book Antiqua" w:hAnsi="Book Antiqua"/>
                <w:color w:val="000000" w:themeColor="text1"/>
              </w:rPr>
            </w:pPr>
          </w:p>
        </w:tc>
      </w:tr>
      <w:tr w:rsidR="00B9705D" w:rsidRPr="00364241" w14:paraId="6207BD49" w14:textId="77777777" w:rsidTr="00446094">
        <w:tc>
          <w:tcPr>
            <w:tcW w:w="4429" w:type="dxa"/>
          </w:tcPr>
          <w:p w14:paraId="4B7B6708" w14:textId="77777777" w:rsidR="00B9705D" w:rsidRPr="00364241" w:rsidRDefault="00B9705D" w:rsidP="00B9705D">
            <w:pPr>
              <w:spacing w:line="360" w:lineRule="auto"/>
              <w:jc w:val="left"/>
              <w:rPr>
                <w:rFonts w:ascii="Book Antiqua" w:hAnsi="Book Antiqua"/>
                <w:color w:val="000000" w:themeColor="text1"/>
              </w:rPr>
            </w:pPr>
            <w:r w:rsidRPr="00364241">
              <w:rPr>
                <w:rFonts w:ascii="Book Antiqua" w:hAnsi="Book Antiqua"/>
                <w:color w:val="000000" w:themeColor="text1"/>
              </w:rPr>
              <w:t>Stent patency, d</w:t>
            </w:r>
            <w:r w:rsidRPr="00364241">
              <w:rPr>
                <w:rFonts w:ascii="Book Antiqua" w:hAnsi="Book Antiqua"/>
                <w:color w:val="000000" w:themeColor="text1"/>
                <w:vertAlign w:val="superscript"/>
              </w:rPr>
              <w:t>2</w:t>
            </w:r>
          </w:p>
        </w:tc>
        <w:tc>
          <w:tcPr>
            <w:tcW w:w="1984" w:type="dxa"/>
          </w:tcPr>
          <w:p w14:paraId="582C7F6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185.0 (8.6)</w:t>
            </w:r>
          </w:p>
          <w:p w14:paraId="3E1FDED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[168.2-201.8]</w:t>
            </w:r>
          </w:p>
        </w:tc>
        <w:tc>
          <w:tcPr>
            <w:tcW w:w="1560" w:type="dxa"/>
          </w:tcPr>
          <w:p w14:paraId="67B5C5AF"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133.0 (16.9)</w:t>
            </w:r>
          </w:p>
          <w:p w14:paraId="436DBF03"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[99.8-166.2]</w:t>
            </w:r>
          </w:p>
        </w:tc>
        <w:tc>
          <w:tcPr>
            <w:tcW w:w="1349" w:type="dxa"/>
          </w:tcPr>
          <w:p w14:paraId="6445BA4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0.001</w:t>
            </w:r>
            <w:r>
              <w:rPr>
                <w:rFonts w:ascii="Book Antiqua" w:hAnsi="Book Antiqua" w:hint="eastAsia"/>
                <w:color w:val="000000" w:themeColor="text1"/>
                <w:vertAlign w:val="superscript"/>
              </w:rPr>
              <w:t>6</w:t>
            </w:r>
          </w:p>
        </w:tc>
      </w:tr>
      <w:tr w:rsidR="00B9705D" w:rsidRPr="00364241" w14:paraId="6821195A" w14:textId="77777777" w:rsidTr="00446094">
        <w:tc>
          <w:tcPr>
            <w:tcW w:w="4429" w:type="dxa"/>
          </w:tcPr>
          <w:p w14:paraId="5DF579A7" w14:textId="77777777" w:rsidR="00B9705D" w:rsidRPr="00364241" w:rsidRDefault="00B9705D" w:rsidP="00B9705D">
            <w:pPr>
              <w:spacing w:line="360" w:lineRule="auto"/>
              <w:ind w:firstLineChars="200" w:firstLine="480"/>
              <w:rPr>
                <w:rFonts w:ascii="Book Antiqua" w:hAnsi="Book Antiqua"/>
                <w:color w:val="000000" w:themeColor="text1"/>
              </w:rPr>
            </w:pPr>
            <w:r w:rsidRPr="00364241">
              <w:rPr>
                <w:rFonts w:ascii="Book Antiqua" w:hAnsi="Book Antiqua"/>
                <w:color w:val="000000" w:themeColor="text1"/>
              </w:rPr>
              <w:t>MBS</w:t>
            </w:r>
          </w:p>
        </w:tc>
        <w:tc>
          <w:tcPr>
            <w:tcW w:w="1984" w:type="dxa"/>
          </w:tcPr>
          <w:p w14:paraId="2D48D73B"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173.0 (32.0)</w:t>
            </w:r>
          </w:p>
          <w:p w14:paraId="5E75CAE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[110.3-235.7]</w:t>
            </w:r>
          </w:p>
        </w:tc>
        <w:tc>
          <w:tcPr>
            <w:tcW w:w="1560" w:type="dxa"/>
          </w:tcPr>
          <w:p w14:paraId="67F6AD6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98.0 (11.6)</w:t>
            </w:r>
          </w:p>
          <w:p w14:paraId="7D682BCD"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[75.3-120.7]</w:t>
            </w:r>
          </w:p>
        </w:tc>
        <w:tc>
          <w:tcPr>
            <w:tcW w:w="1349" w:type="dxa"/>
          </w:tcPr>
          <w:p w14:paraId="20654552"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0.008</w:t>
            </w:r>
            <w:r>
              <w:rPr>
                <w:rFonts w:ascii="Book Antiqua" w:hAnsi="Book Antiqua" w:hint="eastAsia"/>
                <w:color w:val="000000" w:themeColor="text1"/>
                <w:vertAlign w:val="superscript"/>
              </w:rPr>
              <w:t>6</w:t>
            </w:r>
          </w:p>
        </w:tc>
      </w:tr>
      <w:tr w:rsidR="00B9705D" w:rsidRPr="00364241" w14:paraId="031D4D9B" w14:textId="77777777" w:rsidTr="00446094">
        <w:tc>
          <w:tcPr>
            <w:tcW w:w="4429" w:type="dxa"/>
          </w:tcPr>
          <w:p w14:paraId="58D6853C" w14:textId="77777777" w:rsidR="00B9705D" w:rsidRPr="00364241" w:rsidRDefault="00B9705D" w:rsidP="00B9705D">
            <w:pPr>
              <w:spacing w:line="360" w:lineRule="auto"/>
              <w:ind w:firstLineChars="200" w:firstLine="480"/>
              <w:rPr>
                <w:rFonts w:ascii="Book Antiqua" w:hAnsi="Book Antiqua"/>
                <w:color w:val="000000" w:themeColor="text1"/>
              </w:rPr>
            </w:pPr>
            <w:r w:rsidRPr="00364241">
              <w:rPr>
                <w:rFonts w:ascii="Book Antiqua" w:hAnsi="Book Antiqua"/>
                <w:color w:val="000000" w:themeColor="text1"/>
              </w:rPr>
              <w:t>BBS</w:t>
            </w:r>
          </w:p>
        </w:tc>
        <w:tc>
          <w:tcPr>
            <w:tcW w:w="1984" w:type="dxa"/>
          </w:tcPr>
          <w:p w14:paraId="38C22C15"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210.0 (23.8)</w:t>
            </w:r>
          </w:p>
          <w:p w14:paraId="0C2200F1"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[163.4-256.6]</w:t>
            </w:r>
          </w:p>
        </w:tc>
        <w:tc>
          <w:tcPr>
            <w:tcW w:w="1560" w:type="dxa"/>
          </w:tcPr>
          <w:p w14:paraId="0F8AD2D4"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155.0 (6.0)</w:t>
            </w:r>
          </w:p>
          <w:p w14:paraId="5BC6C81C"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[143.3-166.8]</w:t>
            </w:r>
          </w:p>
        </w:tc>
        <w:tc>
          <w:tcPr>
            <w:tcW w:w="1349" w:type="dxa"/>
          </w:tcPr>
          <w:p w14:paraId="73F7C3BE" w14:textId="77777777" w:rsidR="00B9705D" w:rsidRPr="00364241" w:rsidRDefault="00B9705D" w:rsidP="00B9705D">
            <w:pPr>
              <w:spacing w:line="360" w:lineRule="auto"/>
              <w:jc w:val="center"/>
              <w:rPr>
                <w:rFonts w:ascii="Book Antiqua" w:hAnsi="Book Antiqua"/>
                <w:color w:val="000000" w:themeColor="text1"/>
              </w:rPr>
            </w:pPr>
            <w:r w:rsidRPr="00364241">
              <w:rPr>
                <w:rFonts w:ascii="Book Antiqua" w:hAnsi="Book Antiqua"/>
                <w:color w:val="000000" w:themeColor="text1"/>
              </w:rPr>
              <w:t>0.049</w:t>
            </w:r>
            <w:r>
              <w:rPr>
                <w:rFonts w:ascii="Book Antiqua" w:hAnsi="Book Antiqua" w:hint="eastAsia"/>
                <w:color w:val="000000" w:themeColor="text1"/>
                <w:vertAlign w:val="superscript"/>
              </w:rPr>
              <w:t>6</w:t>
            </w:r>
          </w:p>
        </w:tc>
      </w:tr>
    </w:tbl>
    <w:p w14:paraId="604BA968" w14:textId="284FD1E3" w:rsidR="00A77B3E" w:rsidRPr="005F190A" w:rsidRDefault="00B9705D" w:rsidP="00B9705D">
      <w:pPr>
        <w:spacing w:line="360" w:lineRule="auto"/>
        <w:jc w:val="both"/>
        <w:rPr>
          <w:rFonts w:ascii="Book Antiqua" w:hAnsi="Book Antiqua"/>
          <w:color w:val="000000" w:themeColor="text1"/>
        </w:rPr>
      </w:pPr>
      <w:r w:rsidRPr="00364241">
        <w:rPr>
          <w:rFonts w:ascii="Book Antiqua" w:hAnsi="Book Antiqua"/>
          <w:color w:val="000000" w:themeColor="text1"/>
          <w:vertAlign w:val="superscript"/>
        </w:rPr>
        <w:lastRenderedPageBreak/>
        <w:t>1</w:t>
      </w:r>
      <w:r w:rsidRPr="00364241">
        <w:rPr>
          <w:rFonts w:ascii="Book Antiqua" w:hAnsi="Book Antiqua"/>
          <w:color w:val="000000" w:themeColor="text1"/>
        </w:rPr>
        <w:t>Median (interquartile range) [range]</w:t>
      </w:r>
      <w:r w:rsidR="009E7A19">
        <w:rPr>
          <w:rFonts w:ascii="Book Antiqua" w:hAnsi="Book Antiqua"/>
          <w:color w:val="000000" w:themeColor="text1"/>
        </w:rPr>
        <w:t>;</w:t>
      </w:r>
      <w:r>
        <w:rPr>
          <w:rFonts w:ascii="Book Antiqua" w:hAnsi="Book Antiqua" w:hint="eastAsia"/>
          <w:color w:val="000000" w:themeColor="text1"/>
        </w:rPr>
        <w:t xml:space="preserve"> </w:t>
      </w:r>
      <w:r w:rsidRPr="00364241">
        <w:rPr>
          <w:rFonts w:ascii="Book Antiqua" w:hAnsi="Book Antiqua"/>
          <w:color w:val="000000" w:themeColor="text1"/>
          <w:vertAlign w:val="superscript"/>
        </w:rPr>
        <w:t>2</w:t>
      </w:r>
      <w:r w:rsidRPr="00364241">
        <w:rPr>
          <w:rFonts w:ascii="Book Antiqua" w:hAnsi="Book Antiqua"/>
          <w:color w:val="000000" w:themeColor="text1"/>
        </w:rPr>
        <w:t>Median (standard error) [95% confidence interval]</w:t>
      </w:r>
      <w:r w:rsidR="009E7A19">
        <w:rPr>
          <w:rFonts w:ascii="Book Antiqua" w:hAnsi="Book Antiqua"/>
          <w:color w:val="000000" w:themeColor="text1"/>
        </w:rPr>
        <w:t>;</w:t>
      </w:r>
      <w:r>
        <w:rPr>
          <w:rFonts w:ascii="Book Antiqua" w:hAnsi="Book Antiqua" w:hint="eastAsia"/>
          <w:color w:val="000000" w:themeColor="text1"/>
        </w:rPr>
        <w:t xml:space="preserve"> </w:t>
      </w:r>
      <w:r>
        <w:rPr>
          <w:rFonts w:ascii="Book Antiqua" w:hAnsi="Book Antiqua" w:hint="eastAsia"/>
          <w:color w:val="000000" w:themeColor="text1"/>
          <w:vertAlign w:val="superscript"/>
        </w:rPr>
        <w:t>3</w:t>
      </w:r>
      <w:r w:rsidRPr="00364241">
        <w:rPr>
          <w:rFonts w:ascii="Book Antiqua" w:hAnsi="Book Antiqua"/>
          <w:color w:val="000000" w:themeColor="text1"/>
        </w:rPr>
        <w:t>Chi-squared test</w:t>
      </w:r>
      <w:r w:rsidR="009E7A19">
        <w:rPr>
          <w:rFonts w:ascii="Book Antiqua" w:hAnsi="Book Antiqua"/>
          <w:color w:val="000000" w:themeColor="text1"/>
        </w:rPr>
        <w: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4</w:t>
      </w:r>
      <w:r w:rsidRPr="00364241">
        <w:rPr>
          <w:rFonts w:ascii="Book Antiqua" w:hAnsi="Book Antiqua"/>
          <w:color w:val="000000" w:themeColor="text1"/>
        </w:rPr>
        <w:t>Fisher’s exact test</w:t>
      </w:r>
      <w:r w:rsidR="009E7A19">
        <w:rPr>
          <w:rFonts w:ascii="Book Antiqua" w:hAnsi="Book Antiqua"/>
          <w:color w:val="000000" w:themeColor="text1"/>
        </w:rPr>
        <w: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5</w:t>
      </w:r>
      <w:r w:rsidRPr="00364241">
        <w:rPr>
          <w:rFonts w:ascii="Book Antiqua" w:hAnsi="Book Antiqua"/>
          <w:color w:val="000000" w:themeColor="text1"/>
        </w:rPr>
        <w:t>Mann-Whitney</w:t>
      </w:r>
      <w:r w:rsidRPr="00364241">
        <w:rPr>
          <w:rFonts w:ascii="Book Antiqua" w:hAnsi="Book Antiqua"/>
          <w:i/>
          <w:iCs/>
          <w:color w:val="000000" w:themeColor="text1"/>
        </w:rPr>
        <w:t xml:space="preserve"> U</w:t>
      </w:r>
      <w:r w:rsidRPr="00364241">
        <w:rPr>
          <w:rFonts w:ascii="Book Antiqua" w:hAnsi="Book Antiqua"/>
          <w:color w:val="000000" w:themeColor="text1"/>
        </w:rPr>
        <w:t xml:space="preserve"> test</w:t>
      </w:r>
      <w:r w:rsidR="009E7A19">
        <w:rPr>
          <w:rFonts w:ascii="Book Antiqua" w:hAnsi="Book Antiqua"/>
          <w:color w:val="000000" w:themeColor="text1"/>
        </w:rPr>
        <w:t>;</w:t>
      </w:r>
      <w:r w:rsidRPr="00364241">
        <w:rPr>
          <w:rFonts w:ascii="Book Antiqua" w:hAnsi="Book Antiqua"/>
          <w:color w:val="000000" w:themeColor="text1"/>
        </w:rPr>
        <w:t xml:space="preserve"> </w:t>
      </w:r>
      <w:r>
        <w:rPr>
          <w:rFonts w:ascii="Book Antiqua" w:hAnsi="Book Antiqua" w:hint="eastAsia"/>
          <w:color w:val="000000" w:themeColor="text1"/>
          <w:vertAlign w:val="superscript"/>
        </w:rPr>
        <w:t>6</w:t>
      </w:r>
      <w:r w:rsidRPr="00364241">
        <w:rPr>
          <w:rFonts w:ascii="Book Antiqua" w:hAnsi="Book Antiqua"/>
          <w:color w:val="000000" w:themeColor="text1"/>
        </w:rPr>
        <w:t>Log-rank test.</w:t>
      </w:r>
      <w:r>
        <w:rPr>
          <w:rFonts w:ascii="Book Antiqua" w:hAnsi="Book Antiqua" w:hint="eastAsia"/>
          <w:color w:val="000000" w:themeColor="text1"/>
        </w:rPr>
        <w:t xml:space="preserve"> </w:t>
      </w:r>
      <w:r w:rsidRPr="00364241">
        <w:rPr>
          <w:rFonts w:ascii="Book Antiqua" w:hAnsi="Book Antiqua"/>
          <w:color w:val="000000" w:themeColor="text1"/>
        </w:rPr>
        <w:t>ARPS</w:t>
      </w:r>
      <w:r>
        <w:rPr>
          <w:rFonts w:ascii="Book Antiqua" w:hAnsi="Book Antiqua" w:hint="eastAsia"/>
          <w:color w:val="000000" w:themeColor="text1"/>
        </w:rPr>
        <w:t>:</w:t>
      </w:r>
      <w:r w:rsidRPr="00364241">
        <w:rPr>
          <w:rFonts w:ascii="Book Antiqua" w:hAnsi="Book Antiqua"/>
          <w:color w:val="000000" w:themeColor="text1"/>
        </w:rPr>
        <w:t xml:space="preserve"> Anti-reflux plastic stent; TPS</w:t>
      </w:r>
      <w:r>
        <w:rPr>
          <w:rFonts w:ascii="Book Antiqua" w:hAnsi="Book Antiqua" w:hint="eastAsia"/>
          <w:color w:val="000000" w:themeColor="text1"/>
        </w:rPr>
        <w:t>:</w:t>
      </w:r>
      <w:r w:rsidRPr="00364241">
        <w:rPr>
          <w:rFonts w:ascii="Book Antiqua" w:hAnsi="Book Antiqua"/>
          <w:color w:val="000000" w:themeColor="text1"/>
        </w:rPr>
        <w:t xml:space="preserve"> Traditional plastic stent; ERCP</w:t>
      </w:r>
      <w:r>
        <w:rPr>
          <w:rFonts w:ascii="Book Antiqua" w:hAnsi="Book Antiqua" w:hint="eastAsia"/>
          <w:color w:val="000000" w:themeColor="text1"/>
        </w:rPr>
        <w:t>:</w:t>
      </w:r>
      <w:r w:rsidRPr="00364241">
        <w:rPr>
          <w:rFonts w:ascii="Book Antiqua" w:hAnsi="Book Antiqua"/>
          <w:color w:val="000000" w:themeColor="text1"/>
        </w:rPr>
        <w:t xml:space="preserve"> Endoscopic retrograde cholangiopancreatography; MBS</w:t>
      </w:r>
      <w:r>
        <w:rPr>
          <w:rFonts w:ascii="Book Antiqua" w:hAnsi="Book Antiqua" w:hint="eastAsia"/>
          <w:color w:val="000000" w:themeColor="text1"/>
        </w:rPr>
        <w:t>:</w:t>
      </w:r>
      <w:r w:rsidRPr="00364241">
        <w:rPr>
          <w:rFonts w:ascii="Book Antiqua" w:hAnsi="Book Antiqua"/>
          <w:color w:val="000000" w:themeColor="text1"/>
        </w:rPr>
        <w:t xml:space="preserve"> Malignant biliary stricture; BBS</w:t>
      </w:r>
      <w:r>
        <w:rPr>
          <w:rFonts w:ascii="Book Antiqua" w:hAnsi="Book Antiqua" w:hint="eastAsia"/>
          <w:color w:val="000000" w:themeColor="text1"/>
        </w:rPr>
        <w:t>:</w:t>
      </w:r>
      <w:r w:rsidRPr="00364241">
        <w:rPr>
          <w:rFonts w:ascii="Book Antiqua" w:hAnsi="Book Antiqua"/>
          <w:color w:val="000000" w:themeColor="text1"/>
        </w:rPr>
        <w:t xml:space="preserve"> Benign biliary stricture.</w:t>
      </w:r>
    </w:p>
    <w:sectPr w:rsidR="00A77B3E" w:rsidRPr="005F1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09CCD" w14:textId="77777777" w:rsidR="00AA3319" w:rsidRDefault="00AA3319" w:rsidP="00B9705D">
      <w:r>
        <w:separator/>
      </w:r>
    </w:p>
  </w:endnote>
  <w:endnote w:type="continuationSeparator" w:id="0">
    <w:p w14:paraId="01A002C7" w14:textId="77777777" w:rsidR="00AA3319" w:rsidRDefault="00AA3319" w:rsidP="00B9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48463405"/>
      <w:docPartObj>
        <w:docPartGallery w:val="Page Numbers (Bottom of Page)"/>
        <w:docPartUnique/>
      </w:docPartObj>
    </w:sdtPr>
    <w:sdtEndPr>
      <w:rPr>
        <w:noProof/>
      </w:rPr>
    </w:sdtEndPr>
    <w:sdtContent>
      <w:p w14:paraId="4F4637E6" w14:textId="3410B9EA" w:rsidR="0036522C" w:rsidRPr="00E53258" w:rsidRDefault="0036522C">
        <w:pPr>
          <w:pStyle w:val="Footer"/>
          <w:jc w:val="right"/>
          <w:rPr>
            <w:rFonts w:ascii="Book Antiqua" w:hAnsi="Book Antiqua"/>
            <w:sz w:val="24"/>
            <w:szCs w:val="24"/>
          </w:rPr>
        </w:pPr>
        <w:r w:rsidRPr="00E53258">
          <w:rPr>
            <w:rFonts w:ascii="Book Antiqua" w:hAnsi="Book Antiqua"/>
            <w:sz w:val="24"/>
            <w:szCs w:val="24"/>
          </w:rPr>
          <w:fldChar w:fldCharType="begin"/>
        </w:r>
        <w:r w:rsidRPr="00E53258">
          <w:rPr>
            <w:rFonts w:ascii="Book Antiqua" w:hAnsi="Book Antiqua"/>
            <w:sz w:val="24"/>
            <w:szCs w:val="24"/>
          </w:rPr>
          <w:instrText xml:space="preserve"> PAGE   \* MERGEFORMAT </w:instrText>
        </w:r>
        <w:r w:rsidRPr="00E53258">
          <w:rPr>
            <w:rFonts w:ascii="Book Antiqua" w:hAnsi="Book Antiqua"/>
            <w:sz w:val="24"/>
            <w:szCs w:val="24"/>
          </w:rPr>
          <w:fldChar w:fldCharType="separate"/>
        </w:r>
        <w:r w:rsidRPr="00E53258">
          <w:rPr>
            <w:rFonts w:ascii="Book Antiqua" w:hAnsi="Book Antiqua"/>
            <w:noProof/>
            <w:sz w:val="24"/>
            <w:szCs w:val="24"/>
          </w:rPr>
          <w:t>2</w:t>
        </w:r>
        <w:r w:rsidRPr="00E53258">
          <w:rPr>
            <w:rFonts w:ascii="Book Antiqua" w:hAnsi="Book Antiqua"/>
            <w:noProof/>
            <w:sz w:val="24"/>
            <w:szCs w:val="24"/>
          </w:rPr>
          <w:fldChar w:fldCharType="end"/>
        </w:r>
        <w:r w:rsidRPr="00E53258">
          <w:rPr>
            <w:rFonts w:ascii="Book Antiqua" w:hAnsi="Book Antiqua"/>
            <w:noProof/>
            <w:sz w:val="24"/>
            <w:szCs w:val="24"/>
          </w:rPr>
          <w:t xml:space="preserve"> / 3</w:t>
        </w:r>
        <w:r>
          <w:rPr>
            <w:rFonts w:ascii="Book Antiqua" w:hAnsi="Book Antiqua"/>
            <w:noProof/>
            <w:sz w:val="24"/>
            <w:szCs w:val="24"/>
          </w:rPr>
          <w:t>3</w:t>
        </w:r>
      </w:p>
    </w:sdtContent>
  </w:sdt>
  <w:p w14:paraId="11399F6D" w14:textId="77777777" w:rsidR="00B9705D" w:rsidRDefault="00B9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E1EC4" w14:textId="77777777" w:rsidR="00AA3319" w:rsidRDefault="00AA3319" w:rsidP="00B9705D">
      <w:r>
        <w:separator/>
      </w:r>
    </w:p>
  </w:footnote>
  <w:footnote w:type="continuationSeparator" w:id="0">
    <w:p w14:paraId="166663BA" w14:textId="77777777" w:rsidR="00AA3319" w:rsidRDefault="00AA3319" w:rsidP="00B97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AD6"/>
    <w:rsid w:val="000A1713"/>
    <w:rsid w:val="001155E7"/>
    <w:rsid w:val="00146779"/>
    <w:rsid w:val="001547A7"/>
    <w:rsid w:val="00176896"/>
    <w:rsid w:val="001B4A81"/>
    <w:rsid w:val="001E0013"/>
    <w:rsid w:val="001F5356"/>
    <w:rsid w:val="00210ED1"/>
    <w:rsid w:val="002778FA"/>
    <w:rsid w:val="002F2FF8"/>
    <w:rsid w:val="00345C5D"/>
    <w:rsid w:val="0036522C"/>
    <w:rsid w:val="00446094"/>
    <w:rsid w:val="00474388"/>
    <w:rsid w:val="004916A9"/>
    <w:rsid w:val="005E2B3F"/>
    <w:rsid w:val="005F190A"/>
    <w:rsid w:val="00601C3C"/>
    <w:rsid w:val="00616C1D"/>
    <w:rsid w:val="0067330E"/>
    <w:rsid w:val="00690698"/>
    <w:rsid w:val="00703B2A"/>
    <w:rsid w:val="00712BEC"/>
    <w:rsid w:val="007137C1"/>
    <w:rsid w:val="00780A72"/>
    <w:rsid w:val="007F15C3"/>
    <w:rsid w:val="007F2C33"/>
    <w:rsid w:val="008E64F3"/>
    <w:rsid w:val="00954B1D"/>
    <w:rsid w:val="00992C6D"/>
    <w:rsid w:val="009B5B3A"/>
    <w:rsid w:val="009C378A"/>
    <w:rsid w:val="009E7A19"/>
    <w:rsid w:val="009F36EC"/>
    <w:rsid w:val="00A77B3E"/>
    <w:rsid w:val="00A94D1B"/>
    <w:rsid w:val="00AA3319"/>
    <w:rsid w:val="00AC6929"/>
    <w:rsid w:val="00AC6C01"/>
    <w:rsid w:val="00AD6BBA"/>
    <w:rsid w:val="00AE00B0"/>
    <w:rsid w:val="00AE0984"/>
    <w:rsid w:val="00B14A72"/>
    <w:rsid w:val="00B57888"/>
    <w:rsid w:val="00B647CC"/>
    <w:rsid w:val="00B9705D"/>
    <w:rsid w:val="00BB341B"/>
    <w:rsid w:val="00BE7CB2"/>
    <w:rsid w:val="00C53FCA"/>
    <w:rsid w:val="00C8136F"/>
    <w:rsid w:val="00CA2A55"/>
    <w:rsid w:val="00D12EA6"/>
    <w:rsid w:val="00D77100"/>
    <w:rsid w:val="00DF677F"/>
    <w:rsid w:val="00E53258"/>
    <w:rsid w:val="00F978B2"/>
    <w:rsid w:val="00FB7085"/>
    <w:rsid w:val="00FD0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121EB0"/>
  <w15:docId w15:val="{7C551617-96C5-40AB-B492-AA4F6B5D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54B1D"/>
    <w:rPr>
      <w:sz w:val="18"/>
      <w:szCs w:val="18"/>
    </w:rPr>
  </w:style>
  <w:style w:type="character" w:customStyle="1" w:styleId="BalloonTextChar">
    <w:name w:val="Balloon Text Char"/>
    <w:basedOn w:val="DefaultParagraphFont"/>
    <w:link w:val="BalloonText"/>
    <w:rsid w:val="00954B1D"/>
    <w:rPr>
      <w:sz w:val="18"/>
      <w:szCs w:val="18"/>
    </w:rPr>
  </w:style>
  <w:style w:type="table" w:styleId="TableGrid">
    <w:name w:val="Table Grid"/>
    <w:basedOn w:val="TableNormal"/>
    <w:uiPriority w:val="39"/>
    <w:rsid w:val="00B9705D"/>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9705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9705D"/>
    <w:rPr>
      <w:sz w:val="18"/>
      <w:szCs w:val="18"/>
    </w:rPr>
  </w:style>
  <w:style w:type="paragraph" w:styleId="Footer">
    <w:name w:val="footer"/>
    <w:basedOn w:val="Normal"/>
    <w:link w:val="FooterChar"/>
    <w:uiPriority w:val="99"/>
    <w:rsid w:val="00B9705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705D"/>
    <w:rPr>
      <w:sz w:val="18"/>
      <w:szCs w:val="18"/>
    </w:rPr>
  </w:style>
  <w:style w:type="paragraph" w:styleId="Revision">
    <w:name w:val="Revision"/>
    <w:hidden/>
    <w:uiPriority w:val="99"/>
    <w:semiHidden/>
    <w:rsid w:val="00DF67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6568</Words>
  <Characters>37439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2021-07-14T19:12:00Z</dcterms:created>
  <dcterms:modified xsi:type="dcterms:W3CDTF">2021-07-14T19:12:00Z</dcterms:modified>
</cp:coreProperties>
</file>