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9809" w14:textId="76D9EB1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Name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Journal: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Journal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of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Hepatology</w:t>
      </w:r>
    </w:p>
    <w:p w14:paraId="66AB700D" w14:textId="569E74B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NO: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67974</w:t>
      </w:r>
    </w:p>
    <w:p w14:paraId="59F69A4F" w14:textId="0ABB98B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Type: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ORIGINAL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</w:p>
    <w:p w14:paraId="648A9EA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4E088" w14:textId="5C9E00E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1568AEA" w14:textId="76DE4AA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population-based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States</w:t>
      </w:r>
    </w:p>
    <w:p w14:paraId="601BEDC0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7CC82D" w14:textId="1526D523" w:rsidR="00A77B3E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Sahra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hAnsi="Book Antiqua" w:cs="Book Antiqua"/>
          <w:color w:val="000000"/>
          <w:lang w:eastAsia="zh-CN"/>
        </w:rPr>
        <w:t>S</w:t>
      </w:r>
      <w:r w:rsidR="009333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1046">
        <w:rPr>
          <w:rFonts w:ascii="Book Antiqua" w:hAnsi="Book Antiqua" w:cs="Book Antiqua"/>
          <w:i/>
          <w:color w:val="000000"/>
          <w:lang w:eastAsia="zh-CN"/>
        </w:rPr>
        <w:t>et</w:t>
      </w:r>
      <w:r w:rsidR="0093333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071046">
        <w:rPr>
          <w:rFonts w:ascii="Book Antiqua" w:hAnsi="Book Antiqua" w:cs="Book Antiqua"/>
          <w:i/>
          <w:color w:val="000000"/>
          <w:lang w:eastAsia="zh-CN"/>
        </w:rPr>
        <w:t>al</w:t>
      </w:r>
      <w:r w:rsidRPr="00071046">
        <w:rPr>
          <w:rFonts w:ascii="Book Antiqua" w:hAnsi="Book Antiqua" w:cs="Book Antiqua"/>
          <w:color w:val="000000"/>
          <w:lang w:eastAsia="zh-CN"/>
        </w:rPr>
        <w:t>.</w:t>
      </w:r>
      <w:r w:rsidR="00933339">
        <w:rPr>
          <w:rFonts w:ascii="Book Antiqua" w:hAnsi="Book Antiqua" w:cs="Book Antiqua"/>
          <w:color w:val="000000"/>
          <w:lang w:eastAsia="zh-CN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cirrhosis</w:t>
      </w:r>
    </w:p>
    <w:p w14:paraId="10182FA1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E7FFB2" w14:textId="7341F94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Syeda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Sahra,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Mohammad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Abureesh,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Shivantha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Amarnath,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Motasem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Alkhayyat,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Rawan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Badran,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Abdullah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Jahangir,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Vivek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Gumaste</w:t>
      </w:r>
    </w:p>
    <w:p w14:paraId="0148F8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7ABFB9" w14:textId="3771CBF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Syeda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Sahra,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Abureesh,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Shivantha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Amarnath,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Rawan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Badran,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Jahangir,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6B1A195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4AEA95" w14:textId="04BFF54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Motasem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Alkhayyat,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Foundation,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44195,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4C163729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F025B" w14:textId="1C9BB71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Vivek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Gumaste,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Gastroenterology,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711A041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1BFEEA" w14:textId="23A0058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Sahra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Jahangir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Badran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writing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extraction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drawn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Abureesh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Alkhayyat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supervision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Alkhayyat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Amarnath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Gumaste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</w:p>
    <w:p w14:paraId="630F039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09949E" w14:textId="1F99328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Syeda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Sahra,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933339" w:rsidRPr="00071046">
        <w:rPr>
          <w:rFonts w:ascii="Book Antiqua" w:eastAsia="Book Antiqua" w:hAnsi="Book Antiqua" w:cs="Book Antiqua"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venue,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ssahra@northwell.edu</w:t>
      </w:r>
    </w:p>
    <w:p w14:paraId="4A707D5E" w14:textId="10CA287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58865BFC" w14:textId="7F40E97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3583AE69" w14:textId="22DF0AC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933339">
        <w:rPr>
          <w:rFonts w:ascii="Book Antiqua" w:eastAsia="宋体" w:hAnsi="Book Antiqua"/>
          <w:color w:val="000000" w:themeColor="text1"/>
        </w:rPr>
        <w:t>J</w:t>
      </w:r>
      <w:r w:rsidR="00933339">
        <w:rPr>
          <w:rFonts w:ascii="Book Antiqua" w:eastAsia="宋体" w:hAnsi="Book Antiqua" w:hint="eastAsia"/>
          <w:color w:val="000000" w:themeColor="text1"/>
        </w:rPr>
        <w:t>u</w:t>
      </w:r>
      <w:r w:rsidR="00933339">
        <w:rPr>
          <w:rFonts w:ascii="Book Antiqua" w:eastAsia="宋体" w:hAnsi="Book Antiqua"/>
          <w:color w:val="000000" w:themeColor="text1"/>
        </w:rPr>
        <w:t>ly</w:t>
      </w:r>
      <w:r w:rsidR="0093333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33339">
        <w:rPr>
          <w:rFonts w:ascii="Book Antiqua" w:eastAsia="宋体" w:hAnsi="Book Antiqua"/>
          <w:color w:val="000000" w:themeColor="text1"/>
        </w:rPr>
        <w:t>22</w:t>
      </w:r>
      <w:r w:rsidR="0093333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7C6C026" w14:textId="73DB324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2F76" w:rsidRPr="005529F2">
        <w:rPr>
          <w:rFonts w:ascii="Book Antiqua" w:eastAsia="Book Antiqua" w:hAnsi="Book Antiqua" w:cs="Book Antiqua"/>
          <w:bCs/>
          <w:color w:val="000000"/>
        </w:rPr>
        <w:t>August 2</w:t>
      </w:r>
      <w:r w:rsidR="00872F76">
        <w:rPr>
          <w:rFonts w:ascii="Book Antiqua" w:hAnsi="Book Antiqua" w:cs="Book Antiqua" w:hint="eastAsia"/>
          <w:bCs/>
          <w:color w:val="000000"/>
          <w:lang w:eastAsia="zh-CN"/>
        </w:rPr>
        <w:t>7</w:t>
      </w:r>
      <w:r w:rsidR="00872F76" w:rsidRPr="005529F2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3EC628A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26702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Abstract</w:t>
      </w:r>
    </w:p>
    <w:p w14:paraId="0406977D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BACKGROUND</w:t>
      </w:r>
    </w:p>
    <w:p w14:paraId="0BEE4F22" w14:textId="0163F9B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(formerly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Pr="00071046">
        <w:rPr>
          <w:rFonts w:ascii="Book Antiqua" w:eastAsia="Book Antiqua" w:hAnsi="Book Antiqua" w:cs="Book Antiqua"/>
          <w:color w:val="000000"/>
        </w:rPr>
        <w:t>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d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increasingly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documented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literature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limited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demonstrated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505E921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171B73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AIM</w:t>
      </w:r>
    </w:p>
    <w:p w14:paraId="2C84F33B" w14:textId="475B088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sought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States.</w:t>
      </w:r>
    </w:p>
    <w:p w14:paraId="0373D9D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795B9C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METHODS</w:t>
      </w:r>
    </w:p>
    <w:p w14:paraId="60BC3A39" w14:textId="07FB880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queried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commercial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aggregate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electronic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record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integrated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comprising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Nomenclature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(SNOMED–CT)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hierarchy.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Package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Sciences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(SPSS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IBM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Corp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Pr="00071046">
        <w:rPr>
          <w:rFonts w:ascii="Book Antiqua" w:eastAsia="Book Antiqua" w:hAnsi="Book Antiqua" w:cs="Book Antiqua"/>
          <w:color w:val="000000"/>
        </w:rPr>
        <w:t>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two-sided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significant.</w:t>
      </w:r>
    </w:p>
    <w:p w14:paraId="301292A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909A08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RESULTS</w:t>
      </w:r>
    </w:p>
    <w:p w14:paraId="6D7219CB" w14:textId="1DFF7A2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19387760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2018-2021.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133400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0.0001).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multivariate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uncovered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1.857;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1.665-2.113,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4D54685F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34E672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CONCLUSION</w:t>
      </w:r>
    </w:p>
    <w:p w14:paraId="1A796667" w14:textId="692D0E9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independent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clarify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methods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high-risk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population.</w:t>
      </w:r>
    </w:p>
    <w:p w14:paraId="3E5A3F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4BB942" w14:textId="5CADC3E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</w:p>
    <w:p w14:paraId="4D5E75AA" w14:textId="77777777" w:rsidR="00C7358D" w:rsidRDefault="00C7358D" w:rsidP="00C7358D">
      <w:pPr>
        <w:spacing w:line="360" w:lineRule="auto"/>
        <w:jc w:val="both"/>
        <w:rPr>
          <w:lang w:eastAsia="zh-CN"/>
        </w:rPr>
      </w:pPr>
    </w:p>
    <w:p w14:paraId="3BD4D51F" w14:textId="77777777" w:rsidR="00C7358D" w:rsidRPr="00026CB8" w:rsidRDefault="00C7358D" w:rsidP="00C735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F0EE80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8ADC0" w14:textId="535FC9EC" w:rsidR="009B3456" w:rsidRDefault="009B345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3" w:name="OLE_LINK316"/>
      <w:bookmarkStart w:id="4" w:name="OLE_LINK317"/>
      <w:r w:rsidRPr="009B3456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1647D8" w:rsidRPr="00071046">
        <w:rPr>
          <w:rFonts w:ascii="Book Antiqua" w:eastAsia="Book Antiqua" w:hAnsi="Book Antiqua" w:cs="Book Antiqua"/>
          <w:color w:val="000000"/>
        </w:rPr>
        <w:t>Sahra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Abureesh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Amarnath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Alkhayyat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Badran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Jahangir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Gumaste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933339">
        <w:rPr>
          <w:rFonts w:ascii="Book Antiqua" w:eastAsia="Book Antiqua" w:hAnsi="Book Antiqua" w:cs="Book Antiqua"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7D8" w:rsidRPr="00933339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States.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EA3AD6" w:rsidRPr="00EE6A3B">
        <w:rPr>
          <w:rFonts w:ascii="Book Antiqua" w:hAnsi="Book Antiqua"/>
        </w:rPr>
        <w:t>202</w:t>
      </w:r>
      <w:r w:rsidR="00EA3AD6">
        <w:rPr>
          <w:rFonts w:ascii="Book Antiqua" w:hAnsi="Book Antiqua" w:hint="eastAsia"/>
          <w:lang w:eastAsia="zh-CN"/>
        </w:rPr>
        <w:t>1</w:t>
      </w:r>
      <w:r w:rsidR="00EA3AD6" w:rsidRPr="00EE6A3B">
        <w:rPr>
          <w:rFonts w:ascii="Book Antiqua" w:hAnsi="Book Antiqua"/>
        </w:rPr>
        <w:t xml:space="preserve">; </w:t>
      </w:r>
      <w:r w:rsidR="00EA3AD6">
        <w:rPr>
          <w:rFonts w:ascii="Book Antiqua" w:hAnsi="Book Antiqua" w:hint="eastAsia"/>
          <w:lang w:eastAsia="zh-CN"/>
        </w:rPr>
        <w:t>13</w:t>
      </w:r>
      <w:r w:rsidR="00EA3AD6" w:rsidRPr="00EE6A3B">
        <w:rPr>
          <w:rFonts w:ascii="Book Antiqua" w:hAnsi="Book Antiqua"/>
        </w:rPr>
        <w:t>(</w:t>
      </w:r>
      <w:r w:rsidR="00EA3AD6">
        <w:rPr>
          <w:rFonts w:ascii="Book Antiqua" w:hAnsi="Book Antiqua" w:hint="eastAsia"/>
          <w:lang w:eastAsia="zh-CN"/>
        </w:rPr>
        <w:t>8</w:t>
      </w:r>
      <w:r w:rsidR="00EA3AD6" w:rsidRPr="00EE6A3B">
        <w:rPr>
          <w:rFonts w:ascii="Book Antiqua" w:hAnsi="Book Antiqua"/>
        </w:rPr>
        <w:t xml:space="preserve">): </w:t>
      </w:r>
      <w:r w:rsidRPr="009B3456">
        <w:rPr>
          <w:rFonts w:ascii="Book Antiqua" w:hAnsi="Book Antiqua"/>
        </w:rPr>
        <w:t>926-938</w:t>
      </w:r>
      <w:r w:rsidR="00EA3AD6" w:rsidRPr="00EE6A3B">
        <w:rPr>
          <w:rFonts w:ascii="Book Antiqua" w:hAnsi="Book Antiqua"/>
        </w:rPr>
        <w:t xml:space="preserve"> </w:t>
      </w:r>
    </w:p>
    <w:p w14:paraId="14797ED2" w14:textId="439D3D6A" w:rsidR="009B3456" w:rsidRDefault="00EA3AD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3456">
        <w:rPr>
          <w:rFonts w:ascii="Book Antiqua" w:hAnsi="Book Antiqua"/>
          <w:b/>
        </w:rPr>
        <w:t>URL:</w:t>
      </w:r>
      <w:r w:rsidRPr="00EE6A3B">
        <w:rPr>
          <w:rFonts w:ascii="Book Antiqua" w:hAnsi="Book Antiqua"/>
        </w:rPr>
        <w:t xml:space="preserve"> https://www.wjgnet.com/</w:t>
      </w:r>
      <w:bookmarkStart w:id="5" w:name="_GoBack"/>
      <w:bookmarkEnd w:id="5"/>
      <w:r w:rsidR="00D64945" w:rsidRPr="00D64945">
        <w:rPr>
          <w:rFonts w:ascii="Book Antiqua" w:hAnsi="Book Antiqua"/>
        </w:rPr>
        <w:t>1948-5182</w:t>
      </w:r>
      <w:r w:rsidRPr="00EE6A3B">
        <w:rPr>
          <w:rFonts w:ascii="Book Antiqua" w:hAnsi="Book Antiqua"/>
        </w:rPr>
        <w:t>/full/v</w:t>
      </w:r>
      <w:r>
        <w:rPr>
          <w:rFonts w:ascii="Book Antiqua" w:hAnsi="Book Antiqua" w:hint="eastAsia"/>
          <w:lang w:eastAsia="zh-CN"/>
        </w:rPr>
        <w:t>13</w:t>
      </w:r>
      <w:r w:rsidRPr="00EE6A3B">
        <w:rPr>
          <w:rFonts w:ascii="Book Antiqua" w:hAnsi="Book Antiqua"/>
        </w:rPr>
        <w:t>/i</w:t>
      </w:r>
      <w:r>
        <w:rPr>
          <w:rFonts w:ascii="Book Antiqua" w:hAnsi="Book Antiqua" w:hint="eastAsia"/>
          <w:lang w:eastAsia="zh-CN"/>
        </w:rPr>
        <w:t>8</w:t>
      </w:r>
      <w:r w:rsidRPr="00EE6A3B">
        <w:rPr>
          <w:rFonts w:ascii="Book Antiqua" w:hAnsi="Book Antiqua"/>
        </w:rPr>
        <w:t>/</w:t>
      </w:r>
      <w:r w:rsidR="009B3456" w:rsidRPr="009B3456">
        <w:rPr>
          <w:rFonts w:ascii="Book Antiqua" w:hAnsi="Book Antiqua"/>
        </w:rPr>
        <w:t>926</w:t>
      </w:r>
      <w:r w:rsidRPr="00EE6A3B">
        <w:rPr>
          <w:rFonts w:ascii="Book Antiqua" w:hAnsi="Book Antiqua"/>
        </w:rPr>
        <w:t xml:space="preserve">.htm  </w:t>
      </w:r>
    </w:p>
    <w:p w14:paraId="19E82039" w14:textId="31DA7499" w:rsidR="00A77B3E" w:rsidRPr="00071046" w:rsidRDefault="00EA3AD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B3456">
        <w:rPr>
          <w:rFonts w:ascii="Book Antiqua" w:hAnsi="Book Antiqua"/>
          <w:b/>
        </w:rPr>
        <w:t>DOI:</w:t>
      </w:r>
      <w:r w:rsidRPr="00EE6A3B">
        <w:rPr>
          <w:rFonts w:ascii="Book Antiqua" w:hAnsi="Book Antiqua"/>
        </w:rPr>
        <w:t xml:space="preserve"> https://dx.doi.org/10.</w:t>
      </w:r>
      <w:r w:rsidR="00B05757" w:rsidRPr="00B05757">
        <w:rPr>
          <w:rFonts w:ascii="Book Antiqua" w:hAnsi="Book Antiqua"/>
        </w:rPr>
        <w:t>4254</w:t>
      </w:r>
      <w:r>
        <w:rPr>
          <w:rFonts w:ascii="Book Antiqua" w:hAnsi="Book Antiqua"/>
        </w:rPr>
        <w:t>/wj</w:t>
      </w:r>
      <w:r w:rsidR="00B05757">
        <w:rPr>
          <w:rFonts w:ascii="Book Antiqua" w:hAnsi="Book Antiqua" w:hint="eastAsia"/>
          <w:lang w:eastAsia="zh-CN"/>
        </w:rPr>
        <w:t>h</w:t>
      </w:r>
      <w:r w:rsidRPr="00EE6A3B">
        <w:rPr>
          <w:rFonts w:ascii="Book Antiqua" w:hAnsi="Book Antiqua"/>
        </w:rPr>
        <w:t>.v</w:t>
      </w:r>
      <w:r>
        <w:rPr>
          <w:rFonts w:ascii="Book Antiqua" w:hAnsi="Book Antiqua" w:hint="eastAsia"/>
          <w:lang w:eastAsia="zh-CN"/>
        </w:rPr>
        <w:t>13</w:t>
      </w:r>
      <w:r w:rsidRPr="00EE6A3B">
        <w:rPr>
          <w:rFonts w:ascii="Book Antiqua" w:hAnsi="Book Antiqua"/>
        </w:rPr>
        <w:t>.i</w:t>
      </w:r>
      <w:r>
        <w:rPr>
          <w:rFonts w:ascii="Book Antiqua" w:hAnsi="Book Antiqua" w:hint="eastAsia"/>
          <w:lang w:eastAsia="zh-CN"/>
        </w:rPr>
        <w:t>8</w:t>
      </w:r>
      <w:r w:rsidRPr="00EE6A3B">
        <w:rPr>
          <w:rFonts w:ascii="Book Antiqua" w:hAnsi="Book Antiqua"/>
        </w:rPr>
        <w:t>.</w:t>
      </w:r>
      <w:r w:rsidR="009B3456" w:rsidRPr="009B3456">
        <w:rPr>
          <w:rFonts w:ascii="Book Antiqua" w:hAnsi="Book Antiqua"/>
        </w:rPr>
        <w:t>926</w:t>
      </w:r>
    </w:p>
    <w:bookmarkEnd w:id="3"/>
    <w:bookmarkEnd w:id="4"/>
    <w:p w14:paraId="7928EFB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81247C" w14:textId="744B62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life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threatening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situation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malnourished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immunocompromised.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emphasis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given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literature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reviewed.</w:t>
      </w:r>
    </w:p>
    <w:p w14:paraId="1F617D32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C99F6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7B786A" w14:textId="1A3D2BC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Clostridiodes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gram-positive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anaerobic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bacillus.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widespread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surrounding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vulnerable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smoking,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particularly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predominant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elderly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Desai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CDI's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roughly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$5.4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billion,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$4.7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$725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community.</w:t>
      </w:r>
    </w:p>
    <w:p w14:paraId="2BC752B3" w14:textId="74614B00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symptoms,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nausea,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vomiting,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abdominal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watery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pseudomembranous,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fulminant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mega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[3-8]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culminate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rupture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septic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shock,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arthritis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8BC6EDA" w14:textId="7C0B72DF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Broad-spectrum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(penicillin,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cephalosporins,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clindamycin,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fluoroquinolones)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elimination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overgrowth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flora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first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months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normal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heavily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[5,13-15]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matter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invades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barriers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(enterotoxin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cytotoxin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toxin/CDT)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enzymes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(collagenase,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chondroitin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sulfatase,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hyaluronidase)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promote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[16-18]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virulence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pathogenicity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compounded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hypervirulent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create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biofilms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demonstration)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[19,20]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instance,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especially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hypervirulent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NAP1/BI/027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responsible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currently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western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world.</w:t>
      </w:r>
    </w:p>
    <w:p w14:paraId="0FF56229" w14:textId="32D25D07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CDI's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utilizing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(WBC),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2.5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1.1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cytotoxin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completion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3C384E0" w14:textId="4AE8F7C1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uncommon.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particularly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pronounced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(congestive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obstructive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pulmonary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Crohn's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[23-29]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Bouza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focused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PCR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ribotype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evident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hypertension,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cardiovascular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type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Interestingly,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44.4%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14.8%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immunocompromised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[32,33]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ECD783E" w14:textId="49172C3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Abdalla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itself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deadliest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instance,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length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cost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[35-37]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re-evaluate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(CDAD)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7B8AA774" w14:textId="77777777" w:rsidR="00A77B3E" w:rsidRPr="00071046" w:rsidRDefault="00A77B3E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147118B" w14:textId="423E1AA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78B379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Database</w:t>
      </w:r>
    </w:p>
    <w:p w14:paraId="278A08B8" w14:textId="4AADDDB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Our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multicenter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(Explorys,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aggregates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unique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records.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findings,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procedures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arranged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Nomenclature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Medicine–Clinical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(SNOMED-CT)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hierarchy,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whereas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prescription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drug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orders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mapped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RxNorm.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provides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interactive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engine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de-identified,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therefore,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Insurance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Portability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Accountability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Act-compliant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platform.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757D33B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5C826" w14:textId="0165B2F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4C3D89" w14:textId="5279C73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platform,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searching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SNOMED-CT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"Cirrhosis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Liver"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Subsequently,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"clostridioides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infection"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demographic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information,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collected.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inpatient/skilled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SNOMED-CT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codes.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60E1818A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3383FE" w14:textId="1DFF317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15B8097" w14:textId="5A70AA2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dividing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[2018</w:t>
      </w:r>
      <w:r w:rsidR="00933339">
        <w:rPr>
          <w:rFonts w:ascii="Book Antiqua" w:eastAsia="Book Antiqua" w:hAnsi="Book Antiqua" w:cs="Book Antiqua"/>
          <w:color w:val="000000"/>
        </w:rPr>
        <w:t>-</w:t>
      </w:r>
      <w:r w:rsidRPr="00071046">
        <w:rPr>
          <w:rFonts w:ascii="Book Antiqua" w:eastAsia="Book Antiqua" w:hAnsi="Book Antiqua" w:cs="Book Antiqua"/>
          <w:color w:val="000000"/>
        </w:rPr>
        <w:t>2021],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making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denominator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equal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opportunity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sex,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dividing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constructed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logistic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adjust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confounding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covariates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listed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(IBM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Corp)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2-sided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significant.</w:t>
      </w:r>
    </w:p>
    <w:p w14:paraId="6E60E81C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57069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9A637E6" w14:textId="5376C25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Descriptive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epidemiology</w:t>
      </w:r>
    </w:p>
    <w:p w14:paraId="08BB3E89" w14:textId="78742DE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19387760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133400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baseline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characteristics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0.0001).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non-caucasian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(NAFLD)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(184.9/100.000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174.0/100.000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117.9/100.000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81.7/100.000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125AC84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C29367" w14:textId="2229CF5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69DAC10" w14:textId="6E818F3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multivariate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uncovered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1.857;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1.665-2.113,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characteristics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revealed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opposed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2.307,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2.179-2.442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19.749,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17.3-22.545,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2.243,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2.122-2.371,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inpatients/skilled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occupants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2.02,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1.911-2.134,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2.737,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2.087-3.589)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3.</w:t>
      </w:r>
    </w:p>
    <w:p w14:paraId="09DEACE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9B80D1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EA9B188" w14:textId="2BFE328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holds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(obesity,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hypertension,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Mellitus,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obstructive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pulmonary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congestive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failure)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[38-45]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encountered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traditionally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low-risk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[46]</w:t>
      </w:r>
      <w:r w:rsidRPr="00071046">
        <w:rPr>
          <w:rFonts w:ascii="Book Antiqua" w:eastAsia="Book Antiqua" w:hAnsi="Book Antiqua" w:cs="Book Antiqua"/>
          <w:color w:val="000000"/>
        </w:rPr>
        <w:t>.</w:t>
      </w:r>
    </w:p>
    <w:p w14:paraId="7F0CA5EA" w14:textId="4381234E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simultaneous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encephalopathy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(Child-Pugh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[47]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latest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hyponatremia,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encephalopathy)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45F76C" w14:textId="337CC3BC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immunoregulatory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(chemotaxis,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phagocytosis,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oxidation,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cascade,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complement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immunocompetent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individual,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rampant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[49-52]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neutrophilic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dampened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alcoholism,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reticuloendothelial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portosystemic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shunting,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hyperdynamic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circulation,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permeability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gut,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translocation.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(SIRS)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amplified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(NO)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storm.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E31B5FD" w14:textId="451BFA2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underwent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immunocompromising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involving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timeline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post-transplant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dictated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(MELD)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scoring,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intra-abdominal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hemorrhage,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repeat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grafting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vascular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endoscopy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sicker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earlier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Musa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pre-op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creatinine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levels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g/L)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received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score),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postoperative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(infection,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wound)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pseudomembranous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[61]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41F76E3" w14:textId="61F6EB44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Vanjak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yet.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explores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inpatient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Sundaram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secondary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abuse-related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Additionally,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NAFLD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Papić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071046">
        <w:rPr>
          <w:rFonts w:ascii="Book Antiqua" w:eastAsia="Book Antiqua" w:hAnsi="Book Antiqua" w:cs="Book Antiqua"/>
          <w:color w:val="000000"/>
        </w:rPr>
        <w:t>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adjusting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="0093333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(Sundaram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071046">
        <w:rPr>
          <w:rFonts w:ascii="Book Antiqua" w:eastAsia="Book Antiqua" w:hAnsi="Book Antiqua" w:cs="Book Antiqua"/>
          <w:color w:val="000000"/>
        </w:rPr>
        <w:t>).</w:t>
      </w:r>
    </w:p>
    <w:p w14:paraId="2620C359" w14:textId="76A01E82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30-d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(PPI)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unindicated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people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variceal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discharged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visit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[33,65]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altered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flora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function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although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evidence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[67-71]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blockers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assessed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visit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discharge.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51F301DA" w14:textId="00A4284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reflected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[73-75]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African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Hispanic/Latin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subgroups,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regional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[76]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fluctuating,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counterintuitively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[59,76,77]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29ADDD6" w14:textId="2D80955C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Vancomycin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metronidazole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historically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emphasizing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non-inferiority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metronidazole,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thereby,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revised.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Vancomycin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fidaxomicin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now,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(FMT).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pursued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megacolon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[5,17,78-82]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evaluated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carrying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promising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short-chain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acetate,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growth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FMT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help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[78,84]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prominent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restoring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hosts'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indigenous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conferring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[86]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A3D4C2F" w14:textId="13778EC0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purely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theoretical,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over-reporting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[87,88]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Meltzer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[89]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10-wk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admission.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swabs.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unclear,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(prolonged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stays,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Third-generation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cephalosporins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subacute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peritonitis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(SBP),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counterintuitively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SBP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translate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Bactrim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fluoroquinolones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(ciprofloxacin,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norfloxacin)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SBP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[90]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CA08136" w14:textId="66C2DACB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stool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visualization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pseudomembrane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endoscopic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formation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[91,92]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hygiene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rapid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fecal-oral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hygiene,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therefore,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cornerstone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isolation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symptomatic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sanitation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protocols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[93-97]</w:t>
      </w:r>
      <w:r w:rsidRPr="00071046">
        <w:rPr>
          <w:rFonts w:ascii="Book Antiqua" w:eastAsia="Book Antiqua" w:hAnsi="Book Antiqua" w:cs="Book Antiqua"/>
          <w:color w:val="000000"/>
        </w:rPr>
        <w:t>.</w:t>
      </w:r>
    </w:p>
    <w:p w14:paraId="1489E22A" w14:textId="68E3CAF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appropriate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representation,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twenty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confirmed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CLD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persistence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delineated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8B62E2B" w14:textId="10CE9ED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disadvantage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subjected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attempted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minimized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criterion.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(0.69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%)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bearing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conclusions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drawn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regarding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classification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stages.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[99]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(1.06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0.02,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  <w:shd w:val="clear" w:color="auto" w:fill="FFFFFF"/>
        </w:rPr>
        <w:t>p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-value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0.022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21.5%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five-unit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triage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SNOMED-CT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scrupulous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stratified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vindicate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5015D0FB" w14:textId="77777777" w:rsidR="00A77B3E" w:rsidRPr="00071046" w:rsidRDefault="00A77B3E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FFF1136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443144" w14:textId="293BBE9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nursing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facilities,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acid-suppressive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comorbidities,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precautionary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measures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</w:p>
    <w:p w14:paraId="7E22BFDD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276A0A" w14:textId="7F8D4B2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11BB2B7" w14:textId="4A58216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A3C8FC" w14:textId="21F1A83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C622F5D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BFAA29" w14:textId="7F38130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CEFBEE6" w14:textId="434EAC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motivated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describing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underwent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size.</w:t>
      </w:r>
    </w:p>
    <w:p w14:paraId="047B512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E48A2A" w14:textId="1649659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95324E" w14:textId="4C6DDEA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emphasis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39B7AFA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A0BD8" w14:textId="356BCC9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0536CA" w14:textId="7257985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Explorys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classified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codes.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multi-variate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Software.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Details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1113844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667AB" w14:textId="3674EF8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A83D6B9" w14:textId="5F4034A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</w:p>
    <w:p w14:paraId="6ED15B9C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458CB" w14:textId="190E1A6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BF5DF4" w14:textId="79DA393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independent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</w:p>
    <w:p w14:paraId="35843D5F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333649" w14:textId="79D85B1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B66105" w14:textId="0C7BBF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regard.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FB4AFC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C7DFD3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BE27188" w14:textId="63DC462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" w:name="OLE_LINK14"/>
      <w:r w:rsidRPr="00071046">
        <w:rPr>
          <w:rFonts w:ascii="Book Antiqua" w:eastAsia="Book Antiqua" w:hAnsi="Book Antiqua" w:cs="Book Antiqua"/>
          <w:color w:val="000000"/>
        </w:rPr>
        <w:t>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Kuipers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Surawicz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1486-1488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18456087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0140-6736(08)60635-2]</w:t>
      </w:r>
    </w:p>
    <w:p w14:paraId="092A13A6" w14:textId="0EF47753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Desai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Gupta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Dubberke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Prabhu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Browne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estimates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approach.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27316794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10.1186/s12879-016-1610-3]</w:t>
      </w:r>
    </w:p>
    <w:p w14:paraId="2E408559" w14:textId="4E9F87A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Simor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management,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1556-1564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20646106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10.1111/j.1532-5415.2010.02958.x]</w:t>
      </w:r>
    </w:p>
    <w:p w14:paraId="7C486A17" w14:textId="582141A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Ergen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Akalin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Yilmaz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Sinirtaş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Ozakin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Bakker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Mistik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Helvaci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Turkish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382-387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19269761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10.1016/j.medmal.2009.02.001]</w:t>
      </w:r>
    </w:p>
    <w:p w14:paraId="011AEE7E" w14:textId="2407C57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Johnson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Bakken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Carroll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Coffin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Dubberke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Shaklee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Sammons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Sandora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Practice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Guidelines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Children: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America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(IDSA)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America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(SHEA).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e1-e48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29462280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10.1093/cid/cix1085]</w:t>
      </w:r>
    </w:p>
    <w:p w14:paraId="013C0E40" w14:textId="3BEE79E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Clabots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Johnson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Acquisition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admissions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source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561-567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1323621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10.1093/infdis/166.3.561]</w:t>
      </w:r>
    </w:p>
    <w:p w14:paraId="77FB62BF" w14:textId="37B52AD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Clabots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colonisation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97-100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1975332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10.1016/0140-6736(90)91605-a]</w:t>
      </w:r>
    </w:p>
    <w:p w14:paraId="02083941" w14:textId="75A5E2B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Ratliff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Lapane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serious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veterans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decompensated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866-874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22966967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10.1111/apt.12045]</w:t>
      </w:r>
    </w:p>
    <w:p w14:paraId="10892126" w14:textId="40170BB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Vaishnavi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&amp;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pathogenesis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487-499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20424299]</w:t>
      </w:r>
    </w:p>
    <w:p w14:paraId="77C95A90" w14:textId="6C1A3D1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Czepiel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Dróżdż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Pituch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Perucki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Mielimonka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Wultańska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Garlicki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Biesiada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1211-1221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30945014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10.1007/s10096-019-03539-6]</w:t>
      </w:r>
    </w:p>
    <w:p w14:paraId="02A43A28" w14:textId="421A020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McFarland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563-578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18811240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10.2217/17460913.3.5.563]</w:t>
      </w:r>
    </w:p>
    <w:p w14:paraId="7157BD1C" w14:textId="275F3EF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Hensgens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Goorhuis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Dekkers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interval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742-748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22146873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10.1093/jac/dkr508]</w:t>
      </w:r>
    </w:p>
    <w:p w14:paraId="4DFEDE4C" w14:textId="14F049A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Hensgens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Keessen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Koene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Lipman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(ESGCD).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zoonotic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635-645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22536816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10.1111/j.1469-0691.2012.03853.x]</w:t>
      </w:r>
    </w:p>
    <w:p w14:paraId="45A2F595" w14:textId="4FE95B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Tsai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241-248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24890755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10.1016/j.jmii.2014.04.011]</w:t>
      </w:r>
    </w:p>
    <w:p w14:paraId="17B42528" w14:textId="7E5619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Crobach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MJT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Vernon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Péchiné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Understanding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29540433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10.1128/cmr.00021-17]</w:t>
      </w:r>
    </w:p>
    <w:p w14:paraId="750222B4" w14:textId="0236EAB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Androga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Foster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Charles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Forbes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A-Negative,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B-Negative,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Toxin-Positive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3702-3704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26354812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10.1128/</w:t>
      </w:r>
      <w:r w:rsidR="00933339" w:rsidRPr="00071046">
        <w:rPr>
          <w:rFonts w:ascii="Book Antiqua" w:eastAsia="Book Antiqua" w:hAnsi="Book Antiqua" w:cs="Book Antiqua"/>
          <w:color w:val="000000"/>
        </w:rPr>
        <w:t>JCM</w:t>
      </w:r>
      <w:r w:rsidRPr="00071046">
        <w:rPr>
          <w:rFonts w:ascii="Book Antiqua" w:eastAsia="Book Antiqua" w:hAnsi="Book Antiqua" w:cs="Book Antiqua"/>
          <w:color w:val="000000"/>
        </w:rPr>
        <w:t>.01810-15]</w:t>
      </w:r>
    </w:p>
    <w:p w14:paraId="6DFA55EA" w14:textId="7C862C8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Baktash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Terveer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Zwittink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Hornung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BVH,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Mechanistic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Insights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Success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29946308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10.3389/fmicb.2018.01242]</w:t>
      </w:r>
    </w:p>
    <w:p w14:paraId="37BEDC08" w14:textId="7D54024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Smits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Lyras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16020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27158839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10.1038/nrdp.2016.20]</w:t>
      </w:r>
    </w:p>
    <w:p w14:paraId="300BF9A5" w14:textId="2C87374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Vuotto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Donelli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Buckley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Chilton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Biofilm.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97-115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29383666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10.1007/978-3-319-72799-8_7]</w:t>
      </w:r>
    </w:p>
    <w:p w14:paraId="56750781" w14:textId="5F9E263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Khanna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409-416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20678014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10.1586/egh.10.48]</w:t>
      </w:r>
    </w:p>
    <w:p w14:paraId="62ADD486" w14:textId="38A37BF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Northup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Argo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747-751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28644310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</w:t>
      </w:r>
      <w:r w:rsidR="00933339" w:rsidRPr="00071046">
        <w:rPr>
          <w:rFonts w:ascii="Book Antiqua" w:eastAsia="Book Antiqua" w:hAnsi="Book Antiqua" w:cs="Book Antiqua"/>
          <w:color w:val="000000"/>
        </w:rPr>
        <w:t>MCG</w:t>
      </w:r>
      <w:r w:rsidRPr="00071046">
        <w:rPr>
          <w:rFonts w:ascii="Book Antiqua" w:eastAsia="Book Antiqua" w:hAnsi="Book Antiqua" w:cs="Book Antiqua"/>
          <w:color w:val="000000"/>
        </w:rPr>
        <w:t>.0000000000000868]</w:t>
      </w:r>
    </w:p>
    <w:p w14:paraId="41BF11C4" w14:textId="1605048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Bloomfield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Sherwin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Gkrania-Klotsas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1-12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22727824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10.1016/j.jhin.2012.05.008]</w:t>
      </w:r>
    </w:p>
    <w:p w14:paraId="5A19540F" w14:textId="2A07DB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Rello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Marshall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Silva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Anzueto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Lipman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Gomersall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Sakr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Reinhart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Investigators.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intensive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2323-2329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19952319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10.1001/jama.2009.1754]</w:t>
      </w:r>
    </w:p>
    <w:p w14:paraId="18BAA4B5" w14:textId="16DD6A5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Sidler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Battegay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Tschudin-Sutter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Widmer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Weisser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Enterococci,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ESBL-producing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ICU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Swiss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w14009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25250957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10.4414/smw.2014.14009]</w:t>
      </w:r>
    </w:p>
    <w:p w14:paraId="4B4D84C0" w14:textId="5B56A5B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Czepiel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Kędzierska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Biesiada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Birczyńska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Perucki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Nowak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Garlicki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Krakow,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Poland.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3235-3243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25858553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0950268815000552]</w:t>
      </w:r>
    </w:p>
    <w:p w14:paraId="77EAA126" w14:textId="7C9D011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Negrón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Rezaie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Barkema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Rioux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Checkley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Carroll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Fedorak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Dieleman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Panaccione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Ghosh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Kaplan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Colectomy,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Postoperative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Inception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691-704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27091322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10.1038/ajg.2016.106]</w:t>
      </w:r>
    </w:p>
    <w:p w14:paraId="7F35221E" w14:textId="4182895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Chitnis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Holzbauer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Belflower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Winston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Bamberg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Lyons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Farley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Dumyati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Beldavs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MacCannell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McDonald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Lessa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2013;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1359-1367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23780507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10.1001/jamainternmed.2013.7056]</w:t>
      </w:r>
    </w:p>
    <w:p w14:paraId="346AC7B8" w14:textId="2F5C873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Phatharacharukul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Thongprayoon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Cheungpasitporn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Edmonds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Mahaparn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Bruminhent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2913-2922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25986528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10.1007/s10620-015-3714-9]</w:t>
      </w:r>
    </w:p>
    <w:p w14:paraId="7F7CAA31" w14:textId="1CD9BFC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Thongprayoon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Cheungpasitporn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Phatharacharukul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Edmonds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Kaewpoowat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Q,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Mahaparn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Bruminhent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Erickson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998-1006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26147121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10.1111/ijcp.12672]</w:t>
      </w:r>
    </w:p>
    <w:p w14:paraId="6C9A1D86" w14:textId="31ACF62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Tapper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Parikh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cancer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1999-2016: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observational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k2817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30021785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10.1136/bmj.k2817]</w:t>
      </w:r>
    </w:p>
    <w:p w14:paraId="6F6B841B" w14:textId="62C6471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Bouza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Alcalá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Marín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Valerio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Reigadas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Muñoz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González-Del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Vecchio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Egea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PCR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ribotype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novel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strategy.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1777-1786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28501926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10.1007/s10096-017-2991-y]</w:t>
      </w:r>
    </w:p>
    <w:p w14:paraId="0AB7E557" w14:textId="79D00B1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Deschênes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Villeneuve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2193-2197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10445549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10.1111/j.1572-0241.1999.01293.x]</w:t>
      </w:r>
    </w:p>
    <w:p w14:paraId="4BE5F2E0" w14:textId="70CED9A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Bonnel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Bunchorntavakul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dysfunction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2011;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727-738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21397731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10.1016/j.cgh.2011.02.031]</w:t>
      </w:r>
    </w:p>
    <w:p w14:paraId="4FA36506" w14:textId="7A5D1CD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Abdalla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Pisipati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Elnaggar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Doshi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Gullapalli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53-57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32362963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10.14740/gr1240]</w:t>
      </w:r>
    </w:p>
    <w:p w14:paraId="4A67755D" w14:textId="6A5A4E0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Ananthakrishnan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Hafeezullah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Zadvornova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McGinley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Saeian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Sanyal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Hoffmann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tertiary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center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perspective.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106-113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19844204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10.1038/ajg.2009.615]</w:t>
      </w:r>
    </w:p>
    <w:p w14:paraId="7E0E56FC" w14:textId="3B8E2D3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Sundaram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Saab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1745-52.e2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24681081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10.1016/j.cgh.2014.02.041]</w:t>
      </w:r>
    </w:p>
    <w:p w14:paraId="072BF876" w14:textId="249F2ED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Dotson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Aitken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Sofjan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Shah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Aparasu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1101-1105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29739486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0950268818001036]</w:t>
      </w:r>
    </w:p>
    <w:p w14:paraId="3CE78489" w14:textId="469BD57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Gomes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Hoffmann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JF.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Metabolism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obesity.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308-325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29667480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10.1080/19490976.2018.1465157]</w:t>
      </w:r>
    </w:p>
    <w:p w14:paraId="18D4420E" w14:textId="59549E5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Madan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Petri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obesity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adipose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tissue-derived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cytokine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leptin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Anaerobe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182-186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25638400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10.1016/j.anaerobe.2014.12.009]</w:t>
      </w:r>
    </w:p>
    <w:p w14:paraId="21F6D51A" w14:textId="15413F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Savin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Kivity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Yonath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Yehuda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Smoking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microbiome.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677-684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29626219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10.1007/s00203-018-1506-2]</w:t>
      </w:r>
    </w:p>
    <w:p w14:paraId="1559FAE6" w14:textId="4526E24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Trifan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Girleanu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Stanciu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Miftode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Cojocariu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Singeap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Sfarti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Chiriac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Cuciureanu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Stoica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octogenarian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315-320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29139189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10.1111/ggi.13186]</w:t>
      </w:r>
    </w:p>
    <w:p w14:paraId="37FB02BA" w14:textId="78A6032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Qu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HQ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285-294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25015315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10.1016/j.diabres.2014.06.002]</w:t>
      </w:r>
    </w:p>
    <w:p w14:paraId="33A463C0" w14:textId="7DE243F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Miguel-Díez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López-de-Andrés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Esteban-Vasallo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Hernández-Barrera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Miguel-Yanes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Méndez-Bailón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Jiménez-García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COPD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(2001-2015).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76-82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30430993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10.1016/j.ejim.2018.06.022]</w:t>
      </w:r>
    </w:p>
    <w:p w14:paraId="44938FD8" w14:textId="72E4257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Vlasov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Salikova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Grinevich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Bystrova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Osipov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Meshkova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failure].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Kardiologiia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859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32515707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10.18087/cardio.2020.5.n859]</w:t>
      </w:r>
    </w:p>
    <w:p w14:paraId="6C023C2A" w14:textId="5900949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Méndez-Bailón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Jiménez-García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Hernández-Barrera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Miguel-Díez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Miguel-Yanes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Muñoz-Rivas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Lorenzo-Villalba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Carabantes-Alarcon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Zamorano-León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Astasio-Arbiza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Ortega-Molina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López-de-Andrés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Suffering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15-Year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32106444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10.3390/jcm9030614]</w:t>
      </w:r>
    </w:p>
    <w:p w14:paraId="2CCB0A46" w14:textId="58866F6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(CDC).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risk--four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Morb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1201-1205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16319813]</w:t>
      </w:r>
    </w:p>
    <w:p w14:paraId="0455F261" w14:textId="045EB40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1483-1488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28945189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10.1099/jmm.0.000596]</w:t>
      </w:r>
    </w:p>
    <w:p w14:paraId="704029A2" w14:textId="73917B7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237-241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31029554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10.1016/j.hbpd.2019.04.003]</w:t>
      </w:r>
    </w:p>
    <w:p w14:paraId="688A271B" w14:textId="015557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Bunchorntavakul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Chamroonkul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Chavalitdhamrong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critical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practical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guidance.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307-321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26962397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10.4254/wjh.v8.i6.307]</w:t>
      </w:r>
    </w:p>
    <w:p w14:paraId="170B2F5F" w14:textId="22B3C7D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Ghassemi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Garcia-Tsao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77-93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17223498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10.1016/j.bpg.2006.07.004]</w:t>
      </w:r>
    </w:p>
    <w:p w14:paraId="23250CF4" w14:textId="2EADAA8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Fiuza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Salcedo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Clemente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Tellado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vivo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dysfunction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526-533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10915084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10.1086/315742]</w:t>
      </w:r>
    </w:p>
    <w:p w14:paraId="5F6EC461" w14:textId="4207693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Garfia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García-Ruiz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Solís-Herruzo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Deficient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phospholipase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activity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blood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polimorphonuclear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749-756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15094221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10.1016/j.jhep.2004.01.004]</w:t>
      </w:r>
    </w:p>
    <w:p w14:paraId="3770B1FA" w14:textId="7CC237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Shawcross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Wright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Stadlbauer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Hodges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Davies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Wheeler-Jones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Pitsillides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Ammonia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impairs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phagocytic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1202-1212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18697192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10.1002/hep.22474]</w:t>
      </w:r>
    </w:p>
    <w:p w14:paraId="79689D82" w14:textId="3B5E8F9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Paudel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Zacharioudakis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Zervou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Ziakas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Mylonakis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e0124483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25886133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10.1371/journal.pone.0124483]</w:t>
      </w:r>
    </w:p>
    <w:p w14:paraId="3D6F6E53" w14:textId="3522D41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Pirenne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Chavers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Gillingham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Sutherland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Matas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kidney-pancreas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318-323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10485373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10.1034/j.1399-0012.1999.130407.x]</w:t>
      </w:r>
    </w:p>
    <w:p w14:paraId="76E847C8" w14:textId="4255289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Sullivan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Weinberg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Huprikar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Features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1939-1943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27379554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</w:t>
      </w:r>
      <w:r w:rsidR="00933339" w:rsidRPr="00071046">
        <w:rPr>
          <w:rFonts w:ascii="Book Antiqua" w:eastAsia="Book Antiqua" w:hAnsi="Book Antiqua" w:cs="Book Antiqua"/>
          <w:color w:val="000000"/>
        </w:rPr>
        <w:t>TP</w:t>
      </w:r>
      <w:r w:rsidRPr="00071046">
        <w:rPr>
          <w:rFonts w:ascii="Book Antiqua" w:eastAsia="Book Antiqua" w:hAnsi="Book Antiqua" w:cs="Book Antiqua"/>
          <w:color w:val="000000"/>
        </w:rPr>
        <w:t>.0000000000001309]</w:t>
      </w:r>
    </w:p>
    <w:p w14:paraId="4816B77F" w14:textId="688DFA5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Albright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Bonatti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Mendez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Kramer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Stauffer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Michel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Dickson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Hughes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Nguyen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Chua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Hellinger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onset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following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856-866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17854444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10.1111/j.1432-2277.2007.00530.x]</w:t>
      </w:r>
    </w:p>
    <w:p w14:paraId="2A8A5615" w14:textId="78155BC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Mittal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Hassan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Arshad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Jeepalyam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Bruni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Miceli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Jacobsen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Abouljoud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Bajjoka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Ramesh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Alangaden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1901-1907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24902610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10.1111/ajt.12798]</w:t>
      </w:r>
    </w:p>
    <w:p w14:paraId="18154065" w14:textId="68A212B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Rahman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Gastrointestin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303-310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20922196]</w:t>
      </w:r>
    </w:p>
    <w:p w14:paraId="0254113A" w14:textId="3DDDB86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Sugawara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Tamura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Kaneko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Matsui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Togashi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Makuuch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2072-2076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17465450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10.3748/wjg.v13.i14.2072]</w:t>
      </w:r>
    </w:p>
    <w:p w14:paraId="6E2589D3" w14:textId="6E5DF2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Shiba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Furukawa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Sakamoto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Ishida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Yanaga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Repeated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309-311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29497978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10.1007/s12328-018-0840-x]</w:t>
      </w:r>
    </w:p>
    <w:p w14:paraId="312566DB" w14:textId="54231B0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Vanjak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Girault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Branger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Rufat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Fantin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ward.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202-204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17265403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10.1086/511790]</w:t>
      </w:r>
    </w:p>
    <w:p w14:paraId="02E7AC10" w14:textId="31F5937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Pratap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Sankarasubbaiyan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Govindan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Nayak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Sheriff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Naqvi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peritoneal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-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challenges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future.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Perit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13-19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18178941]</w:t>
      </w:r>
    </w:p>
    <w:p w14:paraId="0CC0A6C0" w14:textId="707939D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Papić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Jelovčić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Karlović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Marić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Nonalcoholic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569-574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31782025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10.1007/s10096-019-03759-w]</w:t>
      </w:r>
    </w:p>
    <w:p w14:paraId="55C9CB6C" w14:textId="15144A3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Kalaitzakis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Björnsson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Inadequate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proton-pump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512-518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18467910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10.1097/MEG.0b013e3282f4aa01]</w:t>
      </w:r>
    </w:p>
    <w:p w14:paraId="398DDD7F" w14:textId="667423A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Agastya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Callahan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Omeprazole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phagocytosis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acidification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phagolysosomes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normal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vitro.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Immunopharmacol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Immunotoxicol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357-372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10952036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10.3109/08923970009016425]</w:t>
      </w:r>
    </w:p>
    <w:p w14:paraId="12771194" w14:textId="508B232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Novack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Gimpelevich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Howell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Borer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Leffler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Novack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potential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bias.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e110790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25343667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10.1371/journal.pone.0110790]</w:t>
      </w:r>
    </w:p>
    <w:p w14:paraId="7CEA1655" w14:textId="7A557D3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Arriola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Tischendorf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Musuuza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Barker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Rozelle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Safdar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Assessing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Hospital-Acquired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1408-1417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27677811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10.1017/ice.2016.194]</w:t>
      </w:r>
    </w:p>
    <w:p w14:paraId="3B67A43B" w14:textId="756ABD9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Trifan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Stanciu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Girleanu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Stoica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Singeap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Maxim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Chiriac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Ciobica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Boiculese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6500-6515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29085200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10.3748/wjg.v23.i35.6500]</w:t>
      </w:r>
    </w:p>
    <w:p w14:paraId="12142DE6" w14:textId="25F11B83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Lowe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Mamdani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Kopp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Juurlink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1272-1276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17051491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10.1086/508453]</w:t>
      </w:r>
    </w:p>
    <w:p w14:paraId="2B318874" w14:textId="19EED9A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Dial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Alrasadi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Manoukian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Menzies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prescribed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case-control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33-38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15238493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10.1503/cmaj.1040876]</w:t>
      </w:r>
    </w:p>
    <w:p w14:paraId="264C90F3" w14:textId="384B17F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Natarajan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Rogers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Bundy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Walk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Santhosh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Winters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Aronoff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Non-Toxigenic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Subsequent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28713874]</w:t>
      </w:r>
    </w:p>
    <w:p w14:paraId="626186B4" w14:textId="7EFE6F1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Redelings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Sorvillo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Mascola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1999-2004.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1417-1419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18252127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10.3201/eid1309.061116]</w:t>
      </w:r>
    </w:p>
    <w:p w14:paraId="52798BB8" w14:textId="021DD04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Garcia-Tsao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Surawicz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Editorial: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114-116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20054307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10.1038/ajg.2009.604]</w:t>
      </w:r>
    </w:p>
    <w:p w14:paraId="1BF1F401" w14:textId="4DF5C48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Gravel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Simor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Taylor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Gardam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McGeer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Hutchinson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Boyd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Mulvey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Surveillance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Program.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admitted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Surveillance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568-576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19191641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10.1086/596703]</w:t>
      </w:r>
    </w:p>
    <w:p w14:paraId="2C2A7BE4" w14:textId="09E693D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Rosenblatt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Mehta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Cohen-Mekelburg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Lucero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Jesudian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Fortune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Crawford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Kumar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1263-1270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30790420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</w:t>
      </w:r>
      <w:r w:rsidR="00933339">
        <w:rPr>
          <w:rFonts w:ascii="Book Antiqua" w:eastAsia="Book Antiqua" w:hAnsi="Book Antiqua" w:cs="Book Antiqua"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iv.14077]</w:t>
      </w:r>
    </w:p>
    <w:p w14:paraId="74DFB623" w14:textId="71005B6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Tighe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Cholankeril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Ahmed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2005-2014.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296-307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32124196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10.1007/s10620-020-06162-0]</w:t>
      </w:r>
    </w:p>
    <w:p w14:paraId="455B5486" w14:textId="3F8ED02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YW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Alhaffar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Saha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Khanna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Bohm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Phelps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Ghabril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Sashidhar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Rogers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Xu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Khoruts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Vaughn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Cammarota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Ianiro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Kraft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Mehta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Woodworth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Allegretti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El-Nachef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Fischer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Safe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011A8" w:rsidRPr="001011A8">
        <w:rPr>
          <w:rFonts w:ascii="Book Antiqua" w:eastAsia="Book Antiqua" w:hAnsi="Book Antiqua" w:cs="Book Antiqua"/>
          <w:color w:val="000000"/>
        </w:rPr>
        <w:t xml:space="preserve">2021; </w:t>
      </w:r>
      <w:r w:rsidR="001011A8" w:rsidRPr="001011A8">
        <w:rPr>
          <w:rFonts w:ascii="Book Antiqua" w:eastAsia="Book Antiqua" w:hAnsi="Book Antiqua" w:cs="Book Antiqua"/>
          <w:b/>
          <w:color w:val="000000"/>
        </w:rPr>
        <w:t xml:space="preserve">19: </w:t>
      </w:r>
      <w:r w:rsidR="001011A8" w:rsidRPr="001011A8">
        <w:rPr>
          <w:rFonts w:ascii="Book Antiqua" w:eastAsia="Book Antiqua" w:hAnsi="Book Antiqua" w:cs="Book Antiqua"/>
          <w:color w:val="000000"/>
        </w:rPr>
        <w:t xml:space="preserve">1627-1634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32645451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10.1016/j.cgh.2020.06.051]</w:t>
      </w:r>
    </w:p>
    <w:p w14:paraId="5BC6839A" w14:textId="180D71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Evans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diarrhoea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CD004610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28257555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10.1002/14651858.CD004610.pub5]</w:t>
      </w:r>
    </w:p>
    <w:p w14:paraId="69B38C80" w14:textId="124D31F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Debast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document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1-26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24118601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10.1111/1469-0691.12418]</w:t>
      </w:r>
    </w:p>
    <w:p w14:paraId="2821F75F" w14:textId="273C7683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Guery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Menichetti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Anttila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Adomakoh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Aguado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Bisnauthsing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Georgopali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Goldenberg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Karas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Kazeem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Longshaw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Palacios-Fabrega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Cornely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Vehreschild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MJGT;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Extended-pulsed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fidaxomicin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9B0AD3" w:rsidRPr="009B0AD3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9B0AD3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vancomycin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(EXTEND):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randomised,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controlled,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open-label,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3b/4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trial.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296-307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29273269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</w:t>
      </w:r>
      <w:r w:rsidR="00933339" w:rsidRPr="00071046">
        <w:rPr>
          <w:rFonts w:ascii="Book Antiqua" w:eastAsia="Book Antiqua" w:hAnsi="Book Antiqua" w:cs="Book Antiqua"/>
          <w:color w:val="000000"/>
        </w:rPr>
        <w:t>S1473-3099(17)30751-X</w:t>
      </w:r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3A1BCE6E" w14:textId="0911C51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Ooijevaar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Terveer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Goorhuis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Kuijper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algorithms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452-462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29309934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10.1016/j.cmi.2017.12.022]</w:t>
      </w:r>
    </w:p>
    <w:p w14:paraId="57CB2069" w14:textId="59E357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Ito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Moriwaki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Watanabe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Ueno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short-chain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flora,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reference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80-84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9003750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10.1099/00222615-46-1-80]</w:t>
      </w:r>
    </w:p>
    <w:p w14:paraId="26A73CCE" w14:textId="6612976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Pringle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Hohmann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Capsules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Refractory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791-793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29859984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10.1016/j.cgh.2018.05.038]</w:t>
      </w:r>
    </w:p>
    <w:p w14:paraId="78D46A72" w14:textId="56B4709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Agarwalla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Davey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Hamilton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Rhim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YX.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Decompensated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953-954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28126426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10.1016/j.cgh.2017.01.012]</w:t>
      </w:r>
    </w:p>
    <w:p w14:paraId="08049FCA" w14:textId="70D0204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Feuerstadt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Brandt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Rifaximin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632-638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31440997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10.1007/s10620-019-05804-2]</w:t>
      </w:r>
    </w:p>
    <w:p w14:paraId="3472ABFA" w14:textId="06471DB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Pop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Procopet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Stefanescu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Cavasi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Tantau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Andreica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3825-3826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26467702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10.1007/s10620-015-3913-4]</w:t>
      </w:r>
    </w:p>
    <w:p w14:paraId="2E3C5403" w14:textId="791607E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Saab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Sernas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Pruthi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Sundaram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3124-3129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25986524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10.1007/s10620-015-3707-8]</w:t>
      </w:r>
    </w:p>
    <w:p w14:paraId="5B6FC7C9" w14:textId="0F7ECFA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Meltzer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Smollan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Huppert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Fluss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Gilboa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Zilberman-Daniels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Rahav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Regev-Yochay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Clostridioides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tertiary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carriage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1127-1132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30771530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10.1016/j.cmi.2019.02.002]</w:t>
      </w:r>
    </w:p>
    <w:p w14:paraId="6A505BE9" w14:textId="043D5C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Prophylaxis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Spontaneous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Peritonitis: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Benefit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553-555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30920419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10.14309/ajg.0000000000000208]</w:t>
      </w:r>
    </w:p>
    <w:p w14:paraId="27E2D715" w14:textId="53BAE63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McKenney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Pamer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pathogenesis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defence.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609-620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27573580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10.1038/nrmicro.2016.108]</w:t>
      </w:r>
    </w:p>
    <w:p w14:paraId="44620783" w14:textId="0F3EEB1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Monaghan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understanding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206-216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26956066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10.1038/nrgastro.2016.25]</w:t>
      </w:r>
    </w:p>
    <w:p w14:paraId="7FC6FFFB" w14:textId="0A56D80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Weiler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Hughes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Clabots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vinyl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glove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interrupt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137-140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2301439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10.1016/0002-9343(90)90462-m]</w:t>
      </w:r>
    </w:p>
    <w:p w14:paraId="105746C2" w14:textId="7EA3768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Bobulsky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Al-Nassir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Riggs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Donskey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skin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447-450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18181742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10.1086/525267]</w:t>
      </w:r>
    </w:p>
    <w:p w14:paraId="7F423CA4" w14:textId="48563A2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Wilcox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Fawley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Wigglesworth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Parnell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Freeman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Comparison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detergent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7E14B5" w:rsidRPr="007E14B5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7E14B5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hypochlorite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cleaning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2003;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109-114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12818583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10.1016/s0195-6701(02)00400-0]</w:t>
      </w:r>
    </w:p>
    <w:p w14:paraId="2B1D5A50" w14:textId="16FC08F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Mayfield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Mundy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995-1000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11049782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10.1086/318149]</w:t>
      </w:r>
    </w:p>
    <w:p w14:paraId="201E76EC" w14:textId="3AB7BF4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Eckstein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Adams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Eckstein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Yadavalli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Donskey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vancomycin-resistant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Enterococcus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surfaces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improve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cleaning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methods.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17584935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10.1186/1471-2334-7-61]</w:t>
      </w:r>
    </w:p>
    <w:p w14:paraId="4BC4F6A1" w14:textId="6CAA421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Singal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Tapper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Contemporary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2650-2666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31401364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10.1016/j.cgh.2019.07.060]</w:t>
      </w:r>
    </w:p>
    <w:p w14:paraId="5E364F7C" w14:textId="3533434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Feuerstadt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Brandt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275-280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30172651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10.1016/j.dld.2018.07.032]</w:t>
      </w:r>
    </w:p>
    <w:bookmarkEnd w:id="6"/>
    <w:p w14:paraId="64942F72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D1BBB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Footnotes</w:t>
      </w:r>
    </w:p>
    <w:p w14:paraId="5A4D9D50" w14:textId="7281487E" w:rsidR="00A77B3E" w:rsidRDefault="001647D8" w:rsidP="000710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protocol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deemed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IRB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approval.</w:t>
      </w:r>
    </w:p>
    <w:p w14:paraId="64C6FE0F" w14:textId="410D820E" w:rsidR="00933339" w:rsidRDefault="00933339" w:rsidP="000710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E432F8C" w14:textId="26BE1E93" w:rsidR="00933339" w:rsidRPr="00071046" w:rsidRDefault="00933339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6E98F1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7E93CF" w14:textId="284F855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conflicts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interests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(personal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financial).</w:t>
      </w:r>
    </w:p>
    <w:p w14:paraId="1EF9563A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6DA372" w14:textId="1136E9F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datasets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request</w:t>
      </w:r>
    </w:p>
    <w:p w14:paraId="2F2424F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B7F7D" w14:textId="5BD165E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Statement,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6468AC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66F6C" w14:textId="4BA6A64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open-access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in-house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peer-reviewed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accordance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Creative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NonCommercial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BY-NC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4.0)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license,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permits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others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distribute,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remix,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adapt,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build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non-commercially,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license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derivative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provided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original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non-commercial.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2D637E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4EA9C5" w14:textId="24589F4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source: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Unsolicited</w:t>
      </w:r>
      <w:r w:rsidR="00933339">
        <w:rPr>
          <w:rFonts w:ascii="Book Antiqua" w:eastAsia="Book Antiqua" w:hAnsi="Book Antiqua" w:cs="Book Antiqua"/>
          <w:color w:val="000000"/>
        </w:rPr>
        <w:t xml:space="preserve"> m</w:t>
      </w:r>
      <w:r w:rsidRPr="00071046">
        <w:rPr>
          <w:rFonts w:ascii="Book Antiqua" w:eastAsia="Book Antiqua" w:hAnsi="Book Antiqua" w:cs="Book Antiqua"/>
          <w:color w:val="000000"/>
        </w:rPr>
        <w:t>anuscript</w:t>
      </w:r>
    </w:p>
    <w:p w14:paraId="24D3D1F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2AE40B" w14:textId="63C2A3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Peer-review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started: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217B68BE" w14:textId="1B35A4B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First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decision: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166E067C" w14:textId="25DDA54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Article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press: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6C90">
        <w:rPr>
          <w:rFonts w:ascii="Book Antiqua" w:eastAsia="宋体" w:hAnsi="Book Antiqua"/>
          <w:color w:val="000000" w:themeColor="text1"/>
        </w:rPr>
        <w:t>J</w:t>
      </w:r>
      <w:r w:rsidR="00576C90">
        <w:rPr>
          <w:rFonts w:ascii="Book Antiqua" w:eastAsia="宋体" w:hAnsi="Book Antiqua" w:hint="eastAsia"/>
          <w:color w:val="000000" w:themeColor="text1"/>
        </w:rPr>
        <w:t>u</w:t>
      </w:r>
      <w:r w:rsidR="00576C90">
        <w:rPr>
          <w:rFonts w:ascii="Book Antiqua" w:eastAsia="宋体" w:hAnsi="Book Antiqua"/>
          <w:color w:val="000000" w:themeColor="text1"/>
        </w:rPr>
        <w:t>ly</w:t>
      </w:r>
      <w:r w:rsidR="00576C9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76C90">
        <w:rPr>
          <w:rFonts w:ascii="Book Antiqua" w:eastAsia="宋体" w:hAnsi="Book Antiqua"/>
          <w:color w:val="000000" w:themeColor="text1"/>
        </w:rPr>
        <w:t>22</w:t>
      </w:r>
      <w:r w:rsidR="00576C90" w:rsidRPr="00F06907">
        <w:rPr>
          <w:rFonts w:ascii="Book Antiqua" w:eastAsia="宋体" w:hAnsi="Book Antiqua"/>
          <w:color w:val="000000" w:themeColor="text1"/>
        </w:rPr>
        <w:t>, 2021</w:t>
      </w:r>
    </w:p>
    <w:p w14:paraId="15FB8523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2F4B21" w14:textId="3649BE5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Specialty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type: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Gastroenterology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h</w:t>
      </w:r>
      <w:r w:rsidRPr="00071046">
        <w:rPr>
          <w:rFonts w:ascii="Book Antiqua" w:eastAsia="Book Antiqua" w:hAnsi="Book Antiqua" w:cs="Book Antiqua"/>
          <w:color w:val="000000"/>
        </w:rPr>
        <w:t>epatology</w:t>
      </w:r>
    </w:p>
    <w:p w14:paraId="4A6232C4" w14:textId="30C7773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Country/Territory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origin: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344253C2" w14:textId="69A8104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Peer-review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report’s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scientific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quality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F94090C" w14:textId="34B27E9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(Excellent):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1D2C0DD1" w14:textId="6170D28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(Very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good):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3E1AD987" w14:textId="134E09A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(Good):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</w:p>
    <w:p w14:paraId="2717D847" w14:textId="1488607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(Fair):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58D0D32A" w14:textId="56F827C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(Poor):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5E41D503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5767BB" w14:textId="4504DD82" w:rsidR="00106DBB" w:rsidRPr="00106DBB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P-Reviewer: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Gupta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MK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S-Editor: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YJ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L-Editor: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E4B" w:rsidRPr="003E4E4B">
        <w:rPr>
          <w:rFonts w:ascii="Book Antiqua" w:hAnsi="Book Antiqua" w:cs="Book Antiqua" w:hint="eastAsia"/>
          <w:color w:val="000000"/>
          <w:lang w:eastAsia="zh-CN"/>
        </w:rPr>
        <w:t>A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P-Editor:</w:t>
      </w:r>
      <w:r w:rsidR="00106DBB" w:rsidRPr="00106DBB">
        <w:rPr>
          <w:rFonts w:ascii="Book Antiqua" w:hAnsi="Book Antiqua" w:cs="Book Antiqua" w:hint="eastAsia"/>
          <w:color w:val="000000"/>
          <w:lang w:eastAsia="zh-CN"/>
        </w:rPr>
        <w:t xml:space="preserve"> Liu JH</w:t>
      </w:r>
    </w:p>
    <w:p w14:paraId="1E95BD5E" w14:textId="35336A3E" w:rsidR="00A77B3E" w:rsidRPr="00071046" w:rsidRDefault="00933339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8E7A7D" w14:textId="753E0F8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Figure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Legends</w:t>
      </w:r>
    </w:p>
    <w:p w14:paraId="01FE0839" w14:textId="77777777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hAnsi="Book Antiqua"/>
          <w:noProof/>
          <w:lang w:eastAsia="zh-CN"/>
        </w:rPr>
        <w:drawing>
          <wp:inline distT="0" distB="0" distL="0" distR="0" wp14:anchorId="112EE9AC" wp14:editId="4FC72B53">
            <wp:extent cx="3822896" cy="2311519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896" cy="2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1B19" w14:textId="3C21C9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cirrhosis.</w:t>
      </w:r>
    </w:p>
    <w:p w14:paraId="2BB23DE4" w14:textId="77777777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71046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071046">
        <w:rPr>
          <w:rFonts w:ascii="Book Antiqua" w:hAnsi="Book Antiqua"/>
          <w:noProof/>
          <w:lang w:eastAsia="zh-CN"/>
        </w:rPr>
        <w:drawing>
          <wp:inline distT="0" distB="0" distL="0" distR="0" wp14:anchorId="26D5DFB4" wp14:editId="75F3B9FB">
            <wp:extent cx="3378374" cy="21908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21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19F3" w14:textId="215746D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cirrhotic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etiology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cirrhosis.</w:t>
      </w:r>
    </w:p>
    <w:p w14:paraId="5BD970D4" w14:textId="57C6E2C2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071046">
        <w:rPr>
          <w:rFonts w:ascii="Book Antiqua" w:eastAsia="宋体" w:hAnsi="Book Antiqua" w:cs="Calibri"/>
          <w:b/>
          <w:bCs/>
          <w:caps/>
          <w:color w:val="000000" w:themeColor="text1"/>
          <w:kern w:val="24"/>
        </w:rPr>
        <w:t>t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able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1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aps/>
          <w:color w:val="000000" w:themeColor="text1"/>
          <w:kern w:val="24"/>
        </w:rPr>
        <w:t>b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aseline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characteristics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of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study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population,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(%)</w:t>
      </w:r>
    </w:p>
    <w:tbl>
      <w:tblPr>
        <w:tblW w:w="927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685"/>
        <w:gridCol w:w="3544"/>
      </w:tblGrid>
      <w:tr w:rsidR="00071046" w:rsidRPr="00071046" w14:paraId="4065CE84" w14:textId="77777777" w:rsidTr="00BB1620">
        <w:trPr>
          <w:trHeight w:val="947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FCA6CAD" w14:textId="77777777" w:rsidR="00071046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5C1C64E" w14:textId="65205D0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Patients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with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history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of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  <w:r w:rsidR="00933339">
              <w:rPr>
                <w:rFonts w:ascii="Book Antiqua" w:eastAsia="宋体" w:hAnsi="Book Antiqua" w:cs="Calibri" w:hint="eastAsia"/>
                <w:b/>
                <w:color w:val="000000" w:themeColor="text1"/>
                <w:kern w:val="24"/>
                <w:lang w:eastAsia="zh-CN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(</w:t>
            </w: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n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=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133400)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27A15A" w14:textId="62597444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Pati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ents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with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no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history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of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rhosis</w:t>
            </w:r>
            <w:r w:rsidR="00933339">
              <w:rPr>
                <w:rFonts w:ascii="Book Antiqua" w:eastAsia="宋体" w:hAnsi="Book Antiqua" w:cs="Calibri" w:hint="eastAsia"/>
                <w:b/>
                <w:color w:val="000000" w:themeColor="text1"/>
                <w:kern w:val="24"/>
                <w:lang w:eastAsia="zh-CN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(</w:t>
            </w: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n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=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19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25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4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360)</w:t>
            </w:r>
          </w:p>
        </w:tc>
      </w:tr>
      <w:tr w:rsidR="00071046" w:rsidRPr="00071046" w14:paraId="7D19C2D2" w14:textId="77777777" w:rsidTr="00BB1620">
        <w:trPr>
          <w:trHeight w:val="251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CB0691C" w14:textId="52703870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A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groups</w:t>
            </w:r>
            <w:r w:rsidR="00933339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(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yr</w:t>
            </w: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6BD11C4" w14:textId="387B86A9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5F67B2" w14:textId="2797DDF4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0827AB06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053E41A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20-64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D62B65B" w14:textId="66B06453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73620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EFA6CAB" w14:textId="2AD5A79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14934590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4FDE288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4D8C2EB" w14:textId="27D1E6D6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&gt;</w:t>
            </w:r>
            <w:r w:rsidR="00933339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65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ABAA4FC" w14:textId="759C8CB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59780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5583BE1" w14:textId="5ABF1551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4319770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007CF890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AE8534C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Gender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DD066EC" w14:textId="27AE77F4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F093D2E" w14:textId="0CE51C8E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19EDD8CA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5586089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A7C58C3" w14:textId="2A74EB4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71230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(53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F6612D8" w14:textId="6D36311F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8702330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27A1CE5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4A27B93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Female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86B8719" w14:textId="5F071941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62170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(47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2ABBF9" w14:textId="4E06CCD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10552030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03DBCB55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1B34412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Race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547604D" w14:textId="24426E88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E4623E5" w14:textId="778BAF1C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6B6A267F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21425C4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Caucasian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9F99848" w14:textId="0CCAF86F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101680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753F851" w14:textId="3D1F750C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11165060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112402E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253C5B4" w14:textId="3FF9306E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Non-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2D47610" w14:textId="35BC847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31720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BC21E53" w14:textId="5A31630B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8089300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B3EB70C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434D91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Comorbidities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A78F98E" w14:textId="3A95FC80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0AB141" w14:textId="7531A57B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5459ABCA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001162F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Smoking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4BCE637" w14:textId="668E0FA4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54400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DD876FD" w14:textId="1EC50BEE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2985460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DC657E5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204318" w14:textId="054A7C7A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Alcohol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abuse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3BAB9F9" w14:textId="389624B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30040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(23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D7D5F86" w14:textId="7697326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359900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5743C715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D26B93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HTN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19C68B2" w14:textId="2ED11F6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100830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86935DA" w14:textId="514C7F7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5307920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DC26237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E395721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DM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8D07969" w14:textId="6C2AED8C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63770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CE849D" w14:textId="70D2988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2211420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3F77941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53E900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Obesity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C28314A" w14:textId="58125C8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24400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CF7A810" w14:textId="408567ED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1148460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32A33D84" w14:textId="77777777" w:rsidTr="007C3F16">
        <w:trPr>
          <w:trHeight w:val="544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7F38DCE" w14:textId="433D1C1A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Chronic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kidney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593CD7D" w14:textId="3B6FE733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33640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23EE9FC" w14:textId="1A2FD4C9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853630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3E5CA78A" w14:textId="77777777" w:rsidTr="007C3F16">
        <w:trPr>
          <w:trHeight w:val="544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B7BCA0B" w14:textId="1734C6F1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Coronary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artery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702E0B7" w14:textId="23FCFAC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6280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73825A" w14:textId="30DB18E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229410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688FB3D3" w14:textId="77777777" w:rsidTr="007C3F16">
        <w:trPr>
          <w:trHeight w:val="251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39421BE" w14:textId="63D103CE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Heart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failure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DF29DF" w14:textId="6642C82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39960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(30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0564486" w14:textId="6E22B2DD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761710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E3DD684" w14:textId="77777777" w:rsidTr="007C3F16">
        <w:trPr>
          <w:trHeight w:val="544"/>
        </w:trPr>
        <w:tc>
          <w:tcPr>
            <w:tcW w:w="204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BF29C1D" w14:textId="5640E3A6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Chronic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obstructive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pulmonary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55BE50B" w14:textId="0F73440A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42740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(32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16EAF09" w14:textId="0126D2DB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986400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</w:tbl>
    <w:p w14:paraId="355B7586" w14:textId="6AE92C1D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71046">
        <w:rPr>
          <w:rFonts w:ascii="Book Antiqua" w:hAnsi="Book Antiqua"/>
          <w:lang w:eastAsia="zh-CN"/>
        </w:rPr>
        <w:t>DM:</w:t>
      </w:r>
      <w:r w:rsidR="00933339">
        <w:rPr>
          <w:rFonts w:ascii="Book Antiqua" w:hAnsi="Book Antiqua"/>
          <w:lang w:eastAsia="zh-CN"/>
        </w:rPr>
        <w:t xml:space="preserve"> </w:t>
      </w:r>
      <w:r w:rsidRPr="00071046">
        <w:rPr>
          <w:rFonts w:ascii="Book Antiqua" w:hAnsi="Book Antiqua"/>
          <w:caps/>
          <w:lang w:eastAsia="zh-CN"/>
        </w:rPr>
        <w:t>d</w:t>
      </w:r>
      <w:r w:rsidRPr="00071046">
        <w:rPr>
          <w:rFonts w:ascii="Book Antiqua" w:hAnsi="Book Antiqua"/>
          <w:lang w:eastAsia="zh-CN"/>
        </w:rPr>
        <w:t>iabetes</w:t>
      </w:r>
      <w:r w:rsidR="00933339">
        <w:rPr>
          <w:rFonts w:ascii="Book Antiqua" w:hAnsi="Book Antiqua"/>
          <w:lang w:eastAsia="zh-CN"/>
        </w:rPr>
        <w:t xml:space="preserve"> </w:t>
      </w:r>
      <w:r w:rsidRPr="00071046">
        <w:rPr>
          <w:rFonts w:ascii="Book Antiqua" w:hAnsi="Book Antiqua"/>
          <w:lang w:eastAsia="zh-CN"/>
        </w:rPr>
        <w:t>mellitus.</w:t>
      </w:r>
    </w:p>
    <w:p w14:paraId="10B85AEB" w14:textId="4CBBED52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/>
          <w:lang w:eastAsia="zh-CN"/>
        </w:rPr>
        <w:br w:type="page"/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Table</w:t>
      </w:r>
      <w:r w:rsidR="00933339">
        <w:rPr>
          <w:rFonts w:ascii="Book Antiqua" w:eastAsia="宋体" w:hAnsi="Book Antiqua" w:cs="Calibri" w:hint="eastAsia"/>
          <w:b/>
          <w:bCs/>
          <w:color w:val="000000" w:themeColor="text1"/>
          <w:kern w:val="24"/>
          <w:lang w:eastAsia="zh-CN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2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Prevalence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of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Clostridioides</w:t>
      </w:r>
      <w:r w:rsidR="00933339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difficile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infection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different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age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and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race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groups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patients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with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liver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cirrhosis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vs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no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cirrhosis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(per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100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000)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71046" w:rsidRPr="00760C2B" w14:paraId="081E82E2" w14:textId="77777777" w:rsidTr="00BB1620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4968E" w14:textId="0276F634" w:rsidR="00760C2B" w:rsidRPr="00760C2B" w:rsidRDefault="00933339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08D5D" w14:textId="4818016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C2970" w14:textId="39058C71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No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</w:p>
        </w:tc>
      </w:tr>
      <w:tr w:rsidR="00071046" w:rsidRPr="00760C2B" w14:paraId="4B341C09" w14:textId="77777777" w:rsidTr="00BB1620">
        <w:trPr>
          <w:trHeight w:val="300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FDFBC" w14:textId="3416BD1A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Female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6FBA6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176.93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0ECAB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23.31</w:t>
            </w:r>
          </w:p>
        </w:tc>
      </w:tr>
      <w:tr w:rsidR="00071046" w:rsidRPr="00760C2B" w14:paraId="5C074102" w14:textId="77777777" w:rsidTr="00BB1620">
        <w:trPr>
          <w:trHeight w:val="300"/>
        </w:trPr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45CCA" w14:textId="1E329278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86ADA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112.31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81340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14.34</w:t>
            </w:r>
          </w:p>
        </w:tc>
      </w:tr>
      <w:tr w:rsidR="00071046" w:rsidRPr="00760C2B" w14:paraId="73A15CD3" w14:textId="77777777" w:rsidTr="00BB1620">
        <w:trPr>
          <w:trHeight w:val="300"/>
        </w:trPr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5E3DD" w14:textId="01A4400E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Caucasian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34B9D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147.52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86D9A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26.87</w:t>
            </w:r>
          </w:p>
        </w:tc>
      </w:tr>
      <w:tr w:rsidR="00071046" w:rsidRPr="00760C2B" w14:paraId="7D01B14B" w14:textId="77777777" w:rsidTr="00BB1620">
        <w:trPr>
          <w:trHeight w:val="300"/>
        </w:trPr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2FE1F" w14:textId="776A4393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African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American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B9B4B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54.59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15048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7.34</w:t>
            </w:r>
          </w:p>
        </w:tc>
      </w:tr>
      <w:tr w:rsidR="00071046" w:rsidRPr="00760C2B" w14:paraId="33726562" w14:textId="77777777" w:rsidTr="00BB1620">
        <w:trPr>
          <w:trHeight w:val="300"/>
        </w:trPr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FB93F7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Hispanic/Latino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83F2E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257.73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C7005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10.96</w:t>
            </w:r>
          </w:p>
        </w:tc>
      </w:tr>
    </w:tbl>
    <w:p w14:paraId="3DDBF330" w14:textId="77777777" w:rsidR="001B07E8" w:rsidRDefault="00071046" w:rsidP="001B07E8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/>
          <w:lang w:eastAsia="zh-CN"/>
        </w:rPr>
        <w:br w:type="page"/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Table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3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Multivariable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model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with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Clostridioides</w:t>
      </w:r>
      <w:r w:rsidR="001B07E8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difficile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infection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being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the</w:t>
      </w:r>
      <w:r w:rsidR="001B07E8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1B07E8"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outcome</w:t>
      </w:r>
    </w:p>
    <w:tbl>
      <w:tblPr>
        <w:tblW w:w="11940" w:type="dxa"/>
        <w:tblInd w:w="-129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60"/>
        <w:gridCol w:w="3560"/>
        <w:gridCol w:w="2280"/>
      </w:tblGrid>
      <w:tr w:rsidR="001B07E8" w:rsidRPr="00760C2B" w14:paraId="67101AAB" w14:textId="77777777" w:rsidTr="001B07E8">
        <w:trPr>
          <w:trHeight w:val="299"/>
        </w:trPr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C4249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Multivariable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model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B7B60C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Odds</w:t>
            </w:r>
            <w:r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ratio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FC7CC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95%CI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0A3FD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P</w:t>
            </w:r>
            <w:r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value</w:t>
            </w:r>
          </w:p>
        </w:tc>
      </w:tr>
      <w:tr w:rsidR="001B07E8" w:rsidRPr="00760C2B" w14:paraId="1A3DD8CB" w14:textId="77777777" w:rsidTr="001B07E8">
        <w:trPr>
          <w:trHeight w:val="299"/>
        </w:trPr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BF254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Age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(&gt;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65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>yr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65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>yr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630B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2.307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097CD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2.179-2.442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C8882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1B07E8" w:rsidRPr="00760C2B" w14:paraId="7C58047E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B29712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Gender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(female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male)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77A3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1.29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C89D8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1.221-1.363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1174F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6F976A8E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14AF6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Race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(non-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aucasian)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9C81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1.16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1D23C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1.088-1.237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0B2BAD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0E15A611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FBA35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Antibiotics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3708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19.749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6F517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17.3-22.545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53C43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14288F39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097D7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Skilled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nursing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facility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inpatients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FFC1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2.02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5120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1.911-2.134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A1370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7946B1C3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B47E2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Acid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suppressive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therapy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(Proton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pump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inhibitors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vertAlign w:val="subscript"/>
              </w:rPr>
              <w:t>2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blockers)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A290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2.243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632BA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2.122-2.371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4B6D3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3D32193F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E8273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Comorbidities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position w:val="7"/>
                <w:vertAlign w:val="superscript"/>
              </w:rPr>
              <w:t>1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2BF4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1.258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5EFA1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1.192-1.328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6D1F9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49E221EE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FF4CEB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Liver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transplant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B4B3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2.737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F355B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2.087-3.589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EC757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1B07E8" w:rsidRPr="00760C2B" w14:paraId="2A157F8B" w14:textId="77777777" w:rsidTr="001B07E8">
        <w:trPr>
          <w:trHeight w:val="299"/>
        </w:trPr>
        <w:tc>
          <w:tcPr>
            <w:tcW w:w="3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3C92B0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Liver</w:t>
            </w: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cirrhosis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1AA4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1.875</w:t>
            </w:r>
          </w:p>
        </w:tc>
        <w:tc>
          <w:tcPr>
            <w:tcW w:w="3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EE1F7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1.665-2.113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FB026" w14:textId="77777777" w:rsidR="001B07E8" w:rsidRPr="00760C2B" w:rsidRDefault="001B07E8" w:rsidP="007D2C4D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</w:tbl>
    <w:p w14:paraId="3E7B09AC" w14:textId="449E1C02" w:rsidR="00C7358D" w:rsidRDefault="001B07E8" w:rsidP="001B07E8">
      <w:pPr>
        <w:tabs>
          <w:tab w:val="left" w:pos="720"/>
        </w:tabs>
        <w:adjustRightInd w:val="0"/>
        <w:snapToGrid w:val="0"/>
        <w:spacing w:line="360" w:lineRule="auto"/>
        <w:rPr>
          <w:rFonts w:ascii="Book Antiqua" w:hAnsi="Book Antiqua"/>
          <w:lang w:eastAsia="zh-CN"/>
        </w:rPr>
      </w:pPr>
      <w:r w:rsidRPr="00933339">
        <w:rPr>
          <w:rFonts w:ascii="Book Antiqua" w:eastAsia="宋体" w:hAnsi="Book Antiqua" w:cs="Calibri"/>
          <w:color w:val="000000" w:themeColor="text1"/>
          <w:kern w:val="24"/>
          <w:vertAlign w:val="superscript"/>
        </w:rPr>
        <w:t>1</w:t>
      </w:r>
      <w:r w:rsidRPr="00933339">
        <w:rPr>
          <w:rFonts w:ascii="Book Antiqua" w:eastAsia="宋体" w:hAnsi="Book Antiqua" w:cs="Calibri"/>
          <w:color w:val="000000" w:themeColor="text1"/>
          <w:kern w:val="24"/>
        </w:rPr>
        <w:t xml:space="preserve">Comorbidities: </w:t>
      </w:r>
      <w:r w:rsidRPr="00933339">
        <w:rPr>
          <w:rFonts w:ascii="Book Antiqua" w:eastAsia="宋体" w:hAnsi="Book Antiqua" w:cs="Calibri"/>
          <w:caps/>
          <w:color w:val="000000" w:themeColor="text1"/>
          <w:kern w:val="24"/>
        </w:rPr>
        <w:t>o</w:t>
      </w:r>
      <w:r w:rsidRPr="00933339">
        <w:rPr>
          <w:rFonts w:ascii="Book Antiqua" w:eastAsia="宋体" w:hAnsi="Book Antiqua" w:cs="Calibri"/>
          <w:color w:val="000000" w:themeColor="text1"/>
          <w:kern w:val="24"/>
        </w:rPr>
        <w:t>ne or more of the following (heart failure, coronary artery disease, chronic kidney disease, inflammatory bowel disease, chronic obstructive pulmonary disease, diabetes mellitus, obesity, hypertension or metabolic syndrome</w:t>
      </w:r>
      <w:r w:rsidRPr="00933339">
        <w:rPr>
          <w:rFonts w:ascii="Book Antiqua" w:eastAsia="宋体" w:hAnsi="Book Antiqua" w:cs="Calibri"/>
          <w:color w:val="000000" w:themeColor="text1"/>
          <w:kern w:val="24"/>
          <w:lang w:eastAsia="zh-CN"/>
        </w:rPr>
        <w:t>)</w:t>
      </w:r>
      <w:r w:rsidRPr="00933339">
        <w:rPr>
          <w:rFonts w:ascii="Book Antiqua" w:eastAsia="宋体" w:hAnsi="Book Antiqua" w:cs="Calibri"/>
          <w:color w:val="000000" w:themeColor="text1"/>
          <w:kern w:val="24"/>
        </w:rPr>
        <w:t>.</w:t>
      </w:r>
      <w:r w:rsidRPr="00071046">
        <w:rPr>
          <w:rFonts w:ascii="Book Antiqua" w:hAnsi="Book Antiqua"/>
          <w:lang w:eastAsia="zh-CN"/>
        </w:rPr>
        <w:t xml:space="preserve"> </w:t>
      </w:r>
    </w:p>
    <w:p w14:paraId="2CA9533C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bookmarkStart w:id="7" w:name="OLE_LINK1"/>
      <w:bookmarkStart w:id="8" w:name="OLE_LINK2"/>
    </w:p>
    <w:p w14:paraId="76EAE6A8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2C9FAE46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04ED74D9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24A84BE7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677490B1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0A4EB0B" wp14:editId="51D9A8A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C3D8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0C6924BE" w14:textId="77777777" w:rsidR="00C7358D" w:rsidRPr="00763D22" w:rsidRDefault="00C7358D" w:rsidP="00C7358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8B33676" w14:textId="77777777" w:rsidR="00C7358D" w:rsidRPr="00763D22" w:rsidRDefault="00C7358D" w:rsidP="00C7358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3D1180" w14:textId="77777777" w:rsidR="00C7358D" w:rsidRPr="00763D22" w:rsidRDefault="00C7358D" w:rsidP="00C7358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D54407" w14:textId="77777777" w:rsidR="00C7358D" w:rsidRPr="00763D22" w:rsidRDefault="00C7358D" w:rsidP="00C7358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B9F82ED" w14:textId="77777777" w:rsidR="00C7358D" w:rsidRPr="00763D22" w:rsidRDefault="00C7358D" w:rsidP="00C7358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16EBBC0" w14:textId="77777777" w:rsidR="00C7358D" w:rsidRPr="00763D22" w:rsidRDefault="00C7358D" w:rsidP="00C7358D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025A61D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6F629FEB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359DDE1A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045E5C4C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62846EB" wp14:editId="72357D6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82B6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422E5550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068BA5B3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36606A04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2BCFF8D1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648929D6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7D16F49E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74B35798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1F344859" w14:textId="77777777" w:rsidR="00C7358D" w:rsidRDefault="00C7358D" w:rsidP="00C7358D">
      <w:pPr>
        <w:jc w:val="center"/>
        <w:rPr>
          <w:rFonts w:ascii="Book Antiqua" w:hAnsi="Book Antiqua"/>
          <w:lang w:eastAsia="zh-CN"/>
        </w:rPr>
      </w:pPr>
    </w:p>
    <w:p w14:paraId="33C847FD" w14:textId="77777777" w:rsidR="00C7358D" w:rsidRPr="00763D22" w:rsidRDefault="00C7358D" w:rsidP="00C7358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57E7D98" w14:textId="77777777" w:rsidR="00C7358D" w:rsidRPr="00763D22" w:rsidRDefault="00C7358D" w:rsidP="00C7358D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  <w:bookmarkEnd w:id="8"/>
    </w:p>
    <w:p w14:paraId="0FF8533E" w14:textId="77777777" w:rsidR="00071046" w:rsidRPr="00C7358D" w:rsidRDefault="00071046" w:rsidP="001B07E8">
      <w:pPr>
        <w:tabs>
          <w:tab w:val="left" w:pos="720"/>
        </w:tabs>
        <w:adjustRightInd w:val="0"/>
        <w:snapToGrid w:val="0"/>
        <w:spacing w:line="360" w:lineRule="auto"/>
        <w:rPr>
          <w:rFonts w:ascii="Book Antiqua" w:eastAsia="宋体" w:hAnsi="Book Antiqua" w:cs="Calibri"/>
          <w:color w:val="000000" w:themeColor="text1"/>
          <w:kern w:val="24"/>
          <w:lang w:eastAsia="zh-CN"/>
        </w:rPr>
      </w:pPr>
    </w:p>
    <w:sectPr w:rsidR="00071046" w:rsidRPr="00C7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1188" w14:textId="77777777" w:rsidR="00DC0BD6" w:rsidRDefault="00DC0BD6" w:rsidP="00071046">
      <w:r>
        <w:separator/>
      </w:r>
    </w:p>
  </w:endnote>
  <w:endnote w:type="continuationSeparator" w:id="0">
    <w:p w14:paraId="5911B594" w14:textId="77777777" w:rsidR="00DC0BD6" w:rsidRDefault="00DC0BD6" w:rsidP="000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910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89852E" w14:textId="77777777" w:rsidR="00071046" w:rsidRDefault="00071046" w:rsidP="00071046">
            <w:pPr>
              <w:pStyle w:val="a5"/>
              <w:jc w:val="right"/>
            </w:pPr>
            <w:r w:rsidRPr="0007104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C0BD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7104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C0BD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6FC84" w14:textId="77777777" w:rsidR="00071046" w:rsidRDefault="000710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0CDEA" w14:textId="77777777" w:rsidR="00DC0BD6" w:rsidRDefault="00DC0BD6" w:rsidP="00071046">
      <w:r>
        <w:separator/>
      </w:r>
    </w:p>
  </w:footnote>
  <w:footnote w:type="continuationSeparator" w:id="0">
    <w:p w14:paraId="667A654C" w14:textId="77777777" w:rsidR="00DC0BD6" w:rsidRDefault="00DC0BD6" w:rsidP="0007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71046"/>
    <w:rsid w:val="001011A8"/>
    <w:rsid w:val="00106DBB"/>
    <w:rsid w:val="00130DEF"/>
    <w:rsid w:val="001647D8"/>
    <w:rsid w:val="001B07E8"/>
    <w:rsid w:val="001B0D82"/>
    <w:rsid w:val="002D1D89"/>
    <w:rsid w:val="003E4E4B"/>
    <w:rsid w:val="00545A76"/>
    <w:rsid w:val="00576C90"/>
    <w:rsid w:val="006A346B"/>
    <w:rsid w:val="006B5F86"/>
    <w:rsid w:val="006E3765"/>
    <w:rsid w:val="006F710B"/>
    <w:rsid w:val="007A7732"/>
    <w:rsid w:val="007C3F16"/>
    <w:rsid w:val="007E14B5"/>
    <w:rsid w:val="00872F76"/>
    <w:rsid w:val="0092310A"/>
    <w:rsid w:val="00933339"/>
    <w:rsid w:val="009B0AD3"/>
    <w:rsid w:val="009B3456"/>
    <w:rsid w:val="00A4601F"/>
    <w:rsid w:val="00A77B3E"/>
    <w:rsid w:val="00AF3227"/>
    <w:rsid w:val="00B05757"/>
    <w:rsid w:val="00BB1620"/>
    <w:rsid w:val="00C7358D"/>
    <w:rsid w:val="00CA0703"/>
    <w:rsid w:val="00CA2A55"/>
    <w:rsid w:val="00CE0F89"/>
    <w:rsid w:val="00D64945"/>
    <w:rsid w:val="00DC0BD6"/>
    <w:rsid w:val="00E753B0"/>
    <w:rsid w:val="00EA3AD6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4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1046"/>
    <w:rPr>
      <w:sz w:val="18"/>
      <w:szCs w:val="18"/>
    </w:rPr>
  </w:style>
  <w:style w:type="character" w:customStyle="1" w:styleId="Char">
    <w:name w:val="批注框文本 Char"/>
    <w:basedOn w:val="a0"/>
    <w:link w:val="a3"/>
    <w:rsid w:val="00071046"/>
    <w:rPr>
      <w:sz w:val="18"/>
      <w:szCs w:val="18"/>
    </w:rPr>
  </w:style>
  <w:style w:type="paragraph" w:styleId="a4">
    <w:name w:val="header"/>
    <w:basedOn w:val="a"/>
    <w:link w:val="Char0"/>
    <w:rsid w:val="0007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1046"/>
    <w:rPr>
      <w:sz w:val="18"/>
      <w:szCs w:val="18"/>
    </w:rPr>
  </w:style>
  <w:style w:type="paragraph" w:styleId="a5">
    <w:name w:val="footer"/>
    <w:basedOn w:val="a"/>
    <w:link w:val="Char1"/>
    <w:uiPriority w:val="99"/>
    <w:rsid w:val="00071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1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liujihong2008@qq.con</cp:lastModifiedBy>
  <cp:revision>28</cp:revision>
  <dcterms:created xsi:type="dcterms:W3CDTF">2021-07-15T09:09:00Z</dcterms:created>
  <dcterms:modified xsi:type="dcterms:W3CDTF">2021-08-19T08:57:00Z</dcterms:modified>
</cp:coreProperties>
</file>