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9809" w14:textId="76D9EB1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Name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of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Journal: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color w:val="000000"/>
        </w:rPr>
        <w:t>World</w:t>
      </w:r>
      <w:r w:rsidR="0093333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color w:val="000000"/>
        </w:rPr>
        <w:t>Journal</w:t>
      </w:r>
      <w:r w:rsidR="0093333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color w:val="000000"/>
        </w:rPr>
        <w:t>of</w:t>
      </w:r>
      <w:r w:rsidR="0093333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color w:val="000000"/>
        </w:rPr>
        <w:t>Hepatology</w:t>
      </w:r>
    </w:p>
    <w:p w14:paraId="66AB700D" w14:textId="569E74B8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Manuscript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NO: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67974</w:t>
      </w:r>
    </w:p>
    <w:p w14:paraId="59F69A4F" w14:textId="0ABB98B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Manuscript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Type: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ORIGINAL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ARTICLE</w:t>
      </w:r>
    </w:p>
    <w:p w14:paraId="648A9EA4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F4E088" w14:textId="5C9E00EA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9333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9333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1568AEA" w14:textId="76DE4AAF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Clostridioides</w:t>
      </w:r>
      <w:proofErr w:type="spellEnd"/>
      <w:r w:rsidR="0093333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infection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cirrhosis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patients: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population-based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United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States</w:t>
      </w:r>
    </w:p>
    <w:p w14:paraId="601BEDC0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7CC82D" w14:textId="1526D523" w:rsidR="00A77B3E" w:rsidRPr="00071046" w:rsidRDefault="00071046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071046">
        <w:rPr>
          <w:rFonts w:ascii="Book Antiqua" w:eastAsia="Book Antiqua" w:hAnsi="Book Antiqua" w:cs="Book Antiqua"/>
          <w:color w:val="000000"/>
        </w:rPr>
        <w:t>Sahra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hAnsi="Book Antiqua" w:cs="Book Antiqua"/>
          <w:color w:val="000000"/>
          <w:lang w:eastAsia="zh-CN"/>
        </w:rPr>
        <w:t>S</w:t>
      </w:r>
      <w:r w:rsidR="00933339">
        <w:rPr>
          <w:rFonts w:ascii="Book Antiqua" w:hAnsi="Book Antiqua" w:cs="Book Antiqua"/>
          <w:color w:val="000000"/>
          <w:lang w:eastAsia="zh-CN"/>
        </w:rPr>
        <w:t xml:space="preserve"> </w:t>
      </w:r>
      <w:r w:rsidRPr="00071046">
        <w:rPr>
          <w:rFonts w:ascii="Book Antiqua" w:hAnsi="Book Antiqua" w:cs="Book Antiqua"/>
          <w:i/>
          <w:color w:val="000000"/>
          <w:lang w:eastAsia="zh-CN"/>
        </w:rPr>
        <w:t>et</w:t>
      </w:r>
      <w:r w:rsidR="00933339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071046">
        <w:rPr>
          <w:rFonts w:ascii="Book Antiqua" w:hAnsi="Book Antiqua" w:cs="Book Antiqua"/>
          <w:i/>
          <w:color w:val="000000"/>
          <w:lang w:eastAsia="zh-CN"/>
        </w:rPr>
        <w:t>al</w:t>
      </w:r>
      <w:r w:rsidRPr="00071046">
        <w:rPr>
          <w:rFonts w:ascii="Book Antiqua" w:hAnsi="Book Antiqua" w:cs="Book Antiqua"/>
          <w:color w:val="000000"/>
          <w:lang w:eastAsia="zh-CN"/>
        </w:rPr>
        <w:t>.</w:t>
      </w:r>
      <w:r w:rsidR="00933339">
        <w:rPr>
          <w:rFonts w:ascii="Book Antiqua" w:hAnsi="Book Antiqua" w:cs="Book Antiqua"/>
          <w:color w:val="000000"/>
          <w:lang w:eastAsia="zh-CN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1647D8" w:rsidRPr="00071046">
        <w:rPr>
          <w:rFonts w:ascii="Book Antiqua" w:eastAsia="Book Antiqua" w:hAnsi="Book Antiqua" w:cs="Book Antiqua"/>
          <w:color w:val="000000"/>
        </w:rPr>
        <w:t>cirrhosis</w:t>
      </w:r>
    </w:p>
    <w:p w14:paraId="10182FA1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E7FFB2" w14:textId="7341F94F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071046">
        <w:rPr>
          <w:rFonts w:ascii="Book Antiqua" w:eastAsia="Book Antiqua" w:hAnsi="Book Antiqua" w:cs="Book Antiqua"/>
          <w:color w:val="000000"/>
        </w:rPr>
        <w:t>Syeda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Sahra</w:t>
      </w:r>
      <w:proofErr w:type="spellEnd"/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Mohammad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Abureesh</w:t>
      </w:r>
      <w:proofErr w:type="spellEnd"/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Shivantha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Amarnath,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Motasem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Alkhayyat</w:t>
      </w:r>
      <w:proofErr w:type="spellEnd"/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Rawan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Badran</w:t>
      </w:r>
      <w:proofErr w:type="spellEnd"/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Abdullah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Jahangir,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Vivek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Gumaste</w:t>
      </w:r>
      <w:proofErr w:type="spellEnd"/>
    </w:p>
    <w:p w14:paraId="0148F8BB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7ABFB9" w14:textId="3771CBF8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Syeda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Sahra</w:t>
      </w:r>
      <w:proofErr w:type="spellEnd"/>
      <w:r w:rsidRPr="00071046">
        <w:rPr>
          <w:rFonts w:ascii="Book Antiqua" w:eastAsia="Book Antiqua" w:hAnsi="Book Antiqua" w:cs="Book Antiqua"/>
          <w:b/>
          <w:bCs/>
          <w:color w:val="000000"/>
        </w:rPr>
        <w:t>,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Mohammad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Abureesh</w:t>
      </w:r>
      <w:proofErr w:type="spellEnd"/>
      <w:r w:rsidRPr="00071046">
        <w:rPr>
          <w:rFonts w:ascii="Book Antiqua" w:eastAsia="Book Antiqua" w:hAnsi="Book Antiqua" w:cs="Book Antiqua"/>
          <w:b/>
          <w:bCs/>
          <w:color w:val="000000"/>
        </w:rPr>
        <w:t>,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Shivantha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Amarnath,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Rawan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Badran</w:t>
      </w:r>
      <w:proofErr w:type="spellEnd"/>
      <w:r w:rsidRPr="00071046">
        <w:rPr>
          <w:rFonts w:ascii="Book Antiqua" w:eastAsia="Book Antiqua" w:hAnsi="Book Antiqua" w:cs="Book Antiqua"/>
          <w:b/>
          <w:bCs/>
          <w:color w:val="000000"/>
        </w:rPr>
        <w:t>,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Abdullah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Jahangir,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Department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Internal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Medicine,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Island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University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Island,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10305,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</w:t>
      </w:r>
    </w:p>
    <w:p w14:paraId="6B1A1956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4AEA95" w14:textId="04BFF541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Motasem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Alkhayyat</w:t>
      </w:r>
      <w:proofErr w:type="spellEnd"/>
      <w:r w:rsidRPr="00071046">
        <w:rPr>
          <w:rFonts w:ascii="Book Antiqua" w:eastAsia="Book Antiqua" w:hAnsi="Book Antiqua" w:cs="Book Antiqua"/>
          <w:b/>
          <w:bCs/>
          <w:color w:val="000000"/>
        </w:rPr>
        <w:t>,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Department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Internal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Medicine,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Cleveland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Foundation,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Cleveland,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44195,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</w:t>
      </w:r>
    </w:p>
    <w:p w14:paraId="4C163729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4F025B" w14:textId="1C9BB712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Vivek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Gumaste</w:t>
      </w:r>
      <w:proofErr w:type="spellEnd"/>
      <w:r w:rsidRPr="00071046">
        <w:rPr>
          <w:rFonts w:ascii="Book Antiqua" w:eastAsia="Book Antiqua" w:hAnsi="Book Antiqua" w:cs="Book Antiqua"/>
          <w:b/>
          <w:bCs/>
          <w:color w:val="000000"/>
        </w:rPr>
        <w:t>,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Department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Gastroenterology,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Island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University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Island,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10305,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</w:t>
      </w:r>
    </w:p>
    <w:p w14:paraId="711A0418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1BFEEA" w14:textId="23A00580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Sahra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Jahangir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Badran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contributed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writing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manuscript;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extraction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results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drawn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Abureesh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Alkhayyat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reading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supervision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Alkhayyat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Amarnath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Gumaste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V.</w:t>
      </w:r>
    </w:p>
    <w:p w14:paraId="630F0397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09949E" w14:textId="1F99328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Syeda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Sahra</w:t>
      </w:r>
      <w:proofErr w:type="spellEnd"/>
      <w:r w:rsidRPr="00071046">
        <w:rPr>
          <w:rFonts w:ascii="Book Antiqua" w:eastAsia="Book Antiqua" w:hAnsi="Book Antiqua" w:cs="Book Antiqua"/>
          <w:b/>
          <w:bCs/>
          <w:color w:val="000000"/>
        </w:rPr>
        <w:t>,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Department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Internal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Medicine,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Island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University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475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Seaview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="00933339" w:rsidRPr="00071046">
        <w:rPr>
          <w:rFonts w:ascii="Book Antiqua" w:eastAsia="Book Antiqua" w:hAnsi="Book Antiqua" w:cs="Book Antiqua"/>
          <w:color w:val="000000"/>
        </w:rPr>
        <w:t>A</w:t>
      </w:r>
      <w:r w:rsidRPr="00071046">
        <w:rPr>
          <w:rFonts w:ascii="Book Antiqua" w:eastAsia="Book Antiqua" w:hAnsi="Book Antiqua" w:cs="Book Antiqua"/>
          <w:color w:val="000000"/>
        </w:rPr>
        <w:t>venue,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Island,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10305,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ssahra@northwell.edu</w:t>
      </w:r>
    </w:p>
    <w:p w14:paraId="5497464B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707D5E" w14:textId="10CA287B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8,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2021</w:t>
      </w:r>
    </w:p>
    <w:p w14:paraId="58865BFC" w14:textId="7F40E970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June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11,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2021</w:t>
      </w:r>
    </w:p>
    <w:p w14:paraId="3583AE69" w14:textId="22DF0AC8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933339">
        <w:rPr>
          <w:rFonts w:ascii="Book Antiqua" w:eastAsia="宋体" w:hAnsi="Book Antiqua"/>
          <w:color w:val="000000" w:themeColor="text1"/>
        </w:rPr>
        <w:t>J</w:t>
      </w:r>
      <w:r w:rsidR="00933339">
        <w:rPr>
          <w:rFonts w:ascii="Book Antiqua" w:eastAsia="宋体" w:hAnsi="Book Antiqua" w:hint="eastAsia"/>
          <w:color w:val="000000" w:themeColor="text1"/>
        </w:rPr>
        <w:t>u</w:t>
      </w:r>
      <w:r w:rsidR="00933339">
        <w:rPr>
          <w:rFonts w:ascii="Book Antiqua" w:eastAsia="宋体" w:hAnsi="Book Antiqua"/>
          <w:color w:val="000000" w:themeColor="text1"/>
        </w:rPr>
        <w:t>ly</w:t>
      </w:r>
      <w:r w:rsidR="00933339" w:rsidRPr="00F06907">
        <w:rPr>
          <w:rFonts w:ascii="Book Antiqua" w:eastAsia="宋体" w:hAnsi="Book Antiqua"/>
          <w:color w:val="000000" w:themeColor="text1"/>
        </w:rPr>
        <w:t xml:space="preserve"> </w:t>
      </w:r>
      <w:r w:rsidR="00933339">
        <w:rPr>
          <w:rFonts w:ascii="Book Antiqua" w:eastAsia="宋体" w:hAnsi="Book Antiqua"/>
          <w:color w:val="000000" w:themeColor="text1"/>
        </w:rPr>
        <w:t>22</w:t>
      </w:r>
      <w:r w:rsidR="00933339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17C6C026" w14:textId="172AAB6F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EC628A7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07104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126702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406977D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BACKGROUND</w:t>
      </w:r>
    </w:p>
    <w:p w14:paraId="0BEE4F22" w14:textId="0163F9B0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Clostridioides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(formerly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Pr="00071046">
        <w:rPr>
          <w:rFonts w:ascii="Book Antiqua" w:eastAsia="Book Antiqua" w:hAnsi="Book Antiqua" w:cs="Book Antiqua"/>
          <w:color w:val="000000"/>
        </w:rPr>
        <w:t>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933339">
        <w:rPr>
          <w:rFonts w:ascii="Book Antiqua" w:eastAsia="Book Antiqua" w:hAnsi="Book Antiqua" w:cs="Book Antiqua"/>
          <w:i/>
          <w:iCs/>
          <w:color w:val="000000"/>
        </w:rPr>
        <w:t>d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(CDI)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increasingly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frequent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morbidity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Multiple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documented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literature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includes,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but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limited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advanced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gastric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suppression.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Several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epidemiological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reported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incidence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advanced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Some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also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demonstrated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nosocomial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</w:p>
    <w:p w14:paraId="505E9215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171B73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AIM</w:t>
      </w:r>
    </w:p>
    <w:p w14:paraId="2C84F33B" w14:textId="475B088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large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nationwide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sought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determine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CDI’s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among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States.</w:t>
      </w:r>
    </w:p>
    <w:p w14:paraId="0373D9DB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795B9C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METHODS</w:t>
      </w:r>
    </w:p>
    <w:p w14:paraId="60BC3A39" w14:textId="07FB880A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We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queried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commercial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Explorys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Inc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TM</w:t>
      </w:r>
      <w:proofErr w:type="spellEnd"/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Cleveland,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States),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obtained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aggregate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electronic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record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from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major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integrated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systems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comprising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360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from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2021.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organized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Systematized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Nomenclature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Medicine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Terms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(SNOMED–CT)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hierarchy.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Statistical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analysis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multivariable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model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performed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Statistical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Package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Social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Sciences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(SPSS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version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25,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IBM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Corp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TM</w:t>
      </w:r>
      <w:proofErr w:type="spellEnd"/>
      <w:r w:rsidRPr="00071046">
        <w:rPr>
          <w:rFonts w:ascii="Book Antiqua" w:eastAsia="Book Antiqua" w:hAnsi="Book Antiqua" w:cs="Book Antiqua"/>
          <w:color w:val="000000"/>
        </w:rPr>
        <w:t>).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analyses,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two-sided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value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&lt;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0.05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considered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statistically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significant.</w:t>
      </w:r>
    </w:p>
    <w:p w14:paraId="301292A5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909A08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RESULTS</w:t>
      </w:r>
    </w:p>
    <w:p w14:paraId="6D7219CB" w14:textId="1DFF7A2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were</w:t>
      </w:r>
      <w:proofErr w:type="gram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19387760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above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years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between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years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2018-2021.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those,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133400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amongst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134.93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100.000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19.06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100.000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non-cirrhotic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93333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&lt;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0.0001).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multivariate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uncovered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proofErr w:type="gram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likely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develop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(OR: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1.857;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95%CI: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1.665-2.113,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0.0001)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compared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without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prior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history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</w:p>
    <w:p w14:paraId="4D54685F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34E672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CONCLUSION</w:t>
      </w:r>
    </w:p>
    <w:p w14:paraId="1A796667" w14:textId="692D0E90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large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uncovered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proofErr w:type="gram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significantly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without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independent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Further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prospective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needed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clarify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possible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lead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implementation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screening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methods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high-risk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population.</w:t>
      </w:r>
    </w:p>
    <w:p w14:paraId="3E5A3FBB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4BB942" w14:textId="5CADC3E4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33339">
        <w:rPr>
          <w:rFonts w:ascii="Book Antiqua" w:eastAsia="Book Antiqua" w:hAnsi="Book Antiqua" w:cs="Book Antiqua"/>
          <w:i/>
          <w:iCs/>
          <w:color w:val="000000"/>
        </w:rPr>
        <w:t>Clostridioides</w:t>
      </w:r>
      <w:proofErr w:type="spellEnd"/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339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Pr="00071046">
        <w:rPr>
          <w:rFonts w:ascii="Book Antiqua" w:eastAsia="Book Antiqua" w:hAnsi="Book Antiqua" w:cs="Book Antiqua"/>
          <w:color w:val="000000"/>
        </w:rPr>
        <w:t>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aps/>
          <w:color w:val="000000"/>
        </w:rPr>
        <w:t>c</w:t>
      </w:r>
      <w:r w:rsidRPr="00071046">
        <w:rPr>
          <w:rFonts w:ascii="Book Antiqua" w:eastAsia="Book Antiqua" w:hAnsi="Book Antiqua" w:cs="Book Antiqua"/>
          <w:color w:val="000000"/>
        </w:rPr>
        <w:t>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aps/>
          <w:color w:val="000000"/>
        </w:rPr>
        <w:t>l</w:t>
      </w:r>
      <w:r w:rsidRPr="00071046">
        <w:rPr>
          <w:rFonts w:ascii="Book Antiqua" w:eastAsia="Book Antiqua" w:hAnsi="Book Antiqua" w:cs="Book Antiqua"/>
          <w:color w:val="000000"/>
        </w:rPr>
        <w:t>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aps/>
          <w:color w:val="000000"/>
        </w:rPr>
        <w:t>l</w:t>
      </w:r>
      <w:r w:rsidRPr="00071046">
        <w:rPr>
          <w:rFonts w:ascii="Book Antiqua" w:eastAsia="Book Antiqua" w:hAnsi="Book Antiqua" w:cs="Book Antiqua"/>
          <w:color w:val="000000"/>
        </w:rPr>
        <w:t>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</w:t>
      </w:r>
    </w:p>
    <w:p w14:paraId="1F0EE807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E82039" w14:textId="15204B3F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" w:name="OLE_LINK316"/>
      <w:bookmarkStart w:id="4" w:name="OLE_LINK317"/>
      <w:proofErr w:type="spellStart"/>
      <w:r w:rsidRPr="00071046">
        <w:rPr>
          <w:rFonts w:ascii="Book Antiqua" w:eastAsia="Book Antiqua" w:hAnsi="Book Antiqua" w:cs="Book Antiqua"/>
          <w:color w:val="000000"/>
        </w:rPr>
        <w:t>Sahra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Abureesh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Amarnath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Alkhayyat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Badran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Jahangir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Gumaste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339">
        <w:rPr>
          <w:rFonts w:ascii="Book Antiqua" w:eastAsia="Book Antiqua" w:hAnsi="Book Antiqua" w:cs="Book Antiqua"/>
          <w:i/>
          <w:iCs/>
          <w:color w:val="000000"/>
        </w:rPr>
        <w:t>Clostridioides</w:t>
      </w:r>
      <w:proofErr w:type="spellEnd"/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339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population-based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2021;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press</w:t>
      </w:r>
    </w:p>
    <w:bookmarkEnd w:id="3"/>
    <w:bookmarkEnd w:id="4"/>
    <w:p w14:paraId="7928EFB6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81247C" w14:textId="744B62E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(CDI)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leading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morbidity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base.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life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threatening</w:t>
      </w:r>
      <w:proofErr w:type="gram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situation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malnourished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immunocompromised.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Special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emphasis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given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history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relevant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literature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reviewed.</w:t>
      </w:r>
    </w:p>
    <w:p w14:paraId="1F617D32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0C99F6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07B786A" w14:textId="1A3D2BC1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Clostridiodes</w:t>
      </w:r>
      <w:proofErr w:type="spellEnd"/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gram-positive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anaerobic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bacillus.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widespread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surrounding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environment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significant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contributor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inpatient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vulnerable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subgroups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predisposed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include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advanced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enteral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feeding,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smoking,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alcohol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abuse,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acid-suppressive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therapy.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particularly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predominant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elderly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reside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nursing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long-term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acute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facilities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history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recurrent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lastRenderedPageBreak/>
        <w:t>hospitalizations.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carries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significant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economic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burden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system.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Desai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uncovered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CDI's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economic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roughly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$5.4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billion,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$4.7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billion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settings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$725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million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community.</w:t>
      </w:r>
    </w:p>
    <w:p w14:paraId="2BC752B3" w14:textId="74614B00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spectrum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symptoms,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including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nausea,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vomiting,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abdominal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pain,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watery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diarrhea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formation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pseudomembranous,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progression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fulminant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colitis,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even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toxic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mega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colon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3-8]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culminate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possible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rupture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large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colon,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septic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shock,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death.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Reactive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arthritis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8BC6EDA" w14:textId="7C0B72DF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Broad-spectrum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(penicillin,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cephalosporins,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clindamycin,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fluoroquinolones)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predispose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individuals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selective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elimination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gut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microbiota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overgrowth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gastrointestinal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flora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first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three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months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exposure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environment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normal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human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gastrointestinal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heavily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colonized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933339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5,13-15]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just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matter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loss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balance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invades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protective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gastrointestinal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barriers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through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production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toxins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(enterotoxin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cytotoxin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binary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toxin/CDT)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enzymes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(collagenase,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chondroitin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sulfatase,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hyaluronidase)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which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promote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inflammation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[16-18]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virulence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pathogenicity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compounded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hypervirulent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strains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ability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create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biofilms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vivo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(after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vitro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demonstration)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19,20]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instance,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especially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new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hypervirulent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strain,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NAP1/BI/027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uncovered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year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2000,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responsible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significant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CDI-related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increase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5.7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deaths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million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1999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23.7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deaths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million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2004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currently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considered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common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nosocomial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diarrhea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western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world.</w:t>
      </w:r>
    </w:p>
    <w:p w14:paraId="0FF56229" w14:textId="32D25D07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CDI's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classified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utilizing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function,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white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count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(WBC),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creatinine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albumin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levels.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Prognostic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colitis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albumin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(&lt;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2.5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mg/dL)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1.1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mg/dL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albumin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baseline,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antibiotics,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cytotoxin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stool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completion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(after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seven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days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treatment)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22]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3C384E0" w14:textId="4AE8F7C1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uncommon.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particularly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pronounced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underlying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comorbidities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(congestive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failure,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obstructive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pulmonary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kidney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disease),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history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solid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organ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immunosuppressive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therapy,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inflammatory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including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Crohn's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Ulcerative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colitis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23-29]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morbidity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from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rise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prospective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Bouza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focused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outbreak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PCR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ribotype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027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Spain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uncovered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strain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evident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&gt;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75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years,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gender,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comorbidities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hypertension,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cardiovascular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type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diabetes,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Interestingly,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recurrence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44.4%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14.8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%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advanced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investigated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already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immunocompromised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32,33]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ECD783E" w14:textId="49172C39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Poor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acquired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reported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Abdalla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Pr="00071046">
        <w:rPr>
          <w:rFonts w:ascii="Book Antiqua" w:eastAsia="Book Antiqua" w:hAnsi="Book Antiqua" w:cs="Book Antiqua"/>
          <w:color w:val="000000"/>
        </w:rPr>
        <w:t>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itself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predispose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individuals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nosocomial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deadliest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instance,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several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reported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rate,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prolonged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length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cost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35-37]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performed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large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re-evaluate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severity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(CDAD)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determined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subgroups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established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comorbidities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prior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history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</w:p>
    <w:p w14:paraId="7B8AA774" w14:textId="77777777" w:rsidR="00A77B3E" w:rsidRPr="00071046" w:rsidRDefault="00A77B3E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1147118B" w14:textId="423E1AAB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3333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71046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3333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71046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E78B379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Database</w:t>
      </w:r>
    </w:p>
    <w:p w14:paraId="278A08B8" w14:textId="4AADDDB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Our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retrospective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analysis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large,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multicenter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Explorys</w:t>
      </w:r>
      <w:proofErr w:type="spellEnd"/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Cleveland,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States).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Explorys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aggregates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50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million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unique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records.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findings,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procedures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arranged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Systematized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Nomenclature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Medicine–Clinical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Terms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(SNOMED-CT)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hierarchy,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lastRenderedPageBreak/>
        <w:t>whereas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prescription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drug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orders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mapped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RxNorm</w:t>
      </w:r>
      <w:proofErr w:type="spellEnd"/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Explorys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provides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interactive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search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engine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generate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multiple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medical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Medical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de-identified,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therefore,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Insurance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Portability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Accountability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Act-compliant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platform.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</w:p>
    <w:p w14:paraId="757D33B6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35C826" w14:textId="0165B2F1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93333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  <w:r w:rsidR="0093333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D4C3D89" w14:textId="5279C73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Using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Explorys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platform,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identified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between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period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March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March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2021.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identified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searching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SNOMED-CT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"Cirrhosis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Liver"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after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excluding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younger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years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old.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group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identified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Subsequently,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"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clostridioides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difficle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infection"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identified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between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period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March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March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calculate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both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groups.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predisposing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medical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conditions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addition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demographic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information,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collected.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Possible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included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comorbid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medical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conditions,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acid-suppressive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therapy,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inpatient/skilled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nursing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facility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settings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investigated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SNOMED-CT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codes.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</w:p>
    <w:p w14:paraId="60E1818A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3383FE" w14:textId="1DFF3178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93333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93333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15B8097" w14:textId="5A70AA2B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calculated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dividing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number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individuals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each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Pr="00071046">
        <w:rPr>
          <w:rFonts w:ascii="Book Antiqua" w:eastAsia="Book Antiqua" w:hAnsi="Book Antiqua" w:cs="Book Antiqua"/>
          <w:color w:val="000000"/>
        </w:rPr>
        <w:t>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number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individuals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each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identified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Explorys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[2018</w:t>
      </w:r>
      <w:r w:rsidR="00933339">
        <w:rPr>
          <w:rFonts w:ascii="Book Antiqua" w:eastAsia="Book Antiqua" w:hAnsi="Book Antiqua" w:cs="Book Antiqua"/>
          <w:color w:val="000000"/>
        </w:rPr>
        <w:t>-</w:t>
      </w:r>
      <w:r w:rsidRPr="00071046">
        <w:rPr>
          <w:rFonts w:ascii="Book Antiqua" w:eastAsia="Book Antiqua" w:hAnsi="Book Antiqua" w:cs="Book Antiqua"/>
          <w:color w:val="000000"/>
        </w:rPr>
        <w:t>2021],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thus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making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denominator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equal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opportunity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calculated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subgroups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sex,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race,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dividing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number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individuals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each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subgroup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number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same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subgroup.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multivariate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regression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model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constructed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binary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logistic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regression,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adjust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possible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confounding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from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covariates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listed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previously.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SPSS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version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(IBM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Corp)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perform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lastRenderedPageBreak/>
        <w:t>multivariate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regression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analysis.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2-sided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value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&lt;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0.05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considered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statistically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significant.</w:t>
      </w:r>
    </w:p>
    <w:p w14:paraId="6E60E81C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B57069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9A637E6" w14:textId="5376C25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Descriptive</w:t>
      </w:r>
      <w:r w:rsidR="0093333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epidemiology</w:t>
      </w:r>
    </w:p>
    <w:p w14:paraId="08BB3E89" w14:textId="78742DEE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were</w:t>
      </w:r>
      <w:proofErr w:type="gram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19387760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above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years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those,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133400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baseline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characteristics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presented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Table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amongst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134.93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100.000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19.06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100.000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non-cirrhotic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</w:t>
      </w:r>
      <w:r w:rsidRPr="00071046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933339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aps/>
          <w:color w:val="000000"/>
        </w:rPr>
        <w:t>&lt;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0.0001).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represents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cirrhotics</w:t>
      </w:r>
      <w:proofErr w:type="spellEnd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Females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Caucasian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males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non-</w:t>
      </w:r>
      <w:proofErr w:type="spell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caucasian</w:t>
      </w:r>
      <w:proofErr w:type="spellEnd"/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2).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nonalcoholic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(NAFLD)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alcoholic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cirrhotic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(184.9/100.000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174.0/100.000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alcoholic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117.9/100.000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81.7/100.000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B)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2).</w:t>
      </w:r>
    </w:p>
    <w:p w14:paraId="125AC84B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C29367" w14:textId="2229CF5E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Multivariate</w:t>
      </w:r>
      <w:r w:rsidR="0093333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69DAC10" w14:textId="6E818F3F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multivariate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uncovered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proofErr w:type="gram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likely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develop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1.857;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95%CI: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1.665-2.113,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0.0001)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compared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without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prior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history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characteristics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developed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revealed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likely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advanced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&gt;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65)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opposed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young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&lt;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65)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2.307,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95%CI: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2.179-2.442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0.0001);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prior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19.749,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95%CI: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17.3-22.545,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0.0001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);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acid-suppressive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therapy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2.243,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95%CI: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2.122-2.371,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0.0001);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mostly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inpatients/skilled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nursing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facility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occupants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community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2.02,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95%CI: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1.911-2.134,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0.0001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).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Among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history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2.737,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95%CI: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2.087-3.589)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likely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develop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multivariate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analysis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model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presented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Table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3.</w:t>
      </w:r>
    </w:p>
    <w:p w14:paraId="09DEACE5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9B80D1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EA9B188" w14:textId="2BFE3286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multivariate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analysis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holds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true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established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(advanced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suppression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therapy,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enteral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feeding,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residence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term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facilities,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frequent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hospitalizations)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comorbidities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(obesity,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hypertension,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Diabetes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Mellitus,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obstructive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pulmonary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congestive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failure)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38-45]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reported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history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CDI’s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also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encountered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traditionally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low-risk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groups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exposure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46]</w:t>
      </w:r>
      <w:r w:rsidRPr="00071046">
        <w:rPr>
          <w:rFonts w:ascii="Book Antiqua" w:eastAsia="Book Antiqua" w:hAnsi="Book Antiqua" w:cs="Book Antiqua"/>
          <w:color w:val="000000"/>
        </w:rPr>
        <w:t>.</w:t>
      </w:r>
    </w:p>
    <w:p w14:paraId="7F0CA5EA" w14:textId="4381234E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colonization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simultaneous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hepatic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encephalopathy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advanced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(Child-Pugh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C)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47]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determined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their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latest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(advanced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proton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pump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inhibitors,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prolonged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recurrent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hospitalizations,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hyponatremia,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colonization,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hepatic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encephalopathy)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345F76C" w14:textId="337CC3BC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infections,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generally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countered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immunoregulatory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(chemotaxis,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phagocytosis,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oxidation,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interferon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cascade,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complement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system,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response)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immunocompetent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individual,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go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rampant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49-52]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ammonia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alter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neutrophilic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53]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dampened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nutrition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alcoholism,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come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cirrhosis.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responsible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reticuloendothelial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dysfunction,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portosystemic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shunting,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hyperdynamic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circulation,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permeability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gut,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translocation.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(SIRS)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amplified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nitric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oxide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(NO)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cytokine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storm.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E31B5FD" w14:textId="451BFA2F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significantly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underwent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hepatic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transplantation.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immunocompromising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conditions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involving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solid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organ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transplant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54,55]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including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recipients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timeline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post-transplant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established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underlying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severity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dictated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model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end-stage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(MELD)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lastRenderedPageBreak/>
        <w:t>scoring,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concurrent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intra-abdominal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hemorrhage,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repeat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grafting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vascular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complications,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endoscopy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sicker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developing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earlier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mortality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57,58]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Musa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researched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additional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focus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sex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pre-op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creatinine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levels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(&gt;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g/L)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considered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predisposing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subgroup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received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donor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hepatic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transplant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Advanced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(High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score),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impaired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function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donor,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postoperative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complications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(infection,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bleeding,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wound)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leading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prolonged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concluded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predisposing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after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deceased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transplant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Recurrence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pseudomembranous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colitis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living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donor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61]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41F76E3" w14:textId="61F6EB44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hepatitis,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prolonged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stay,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antibiotic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exposure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Vanjak</w:t>
      </w:r>
      <w:proofErr w:type="spellEnd"/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62]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increasingly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responsible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later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life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63]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Comparing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explored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yet.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explores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comparison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demonstrates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inpatient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subgroups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Sundaram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reported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inpatient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secondary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subgroups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alcohol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abuse-related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hepatic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Additionally,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NAFLD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identified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Papić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071046">
        <w:rPr>
          <w:rFonts w:ascii="Book Antiqua" w:eastAsia="Book Antiqua" w:hAnsi="Book Antiqua" w:cs="Book Antiqua"/>
          <w:color w:val="000000"/>
        </w:rPr>
        <w:t>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after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adjusting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other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comorbidities,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rates,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exposure</w:t>
      </w:r>
      <w:r w:rsidR="0093333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(Sundaram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071046">
        <w:rPr>
          <w:rFonts w:ascii="Book Antiqua" w:eastAsia="Book Antiqua" w:hAnsi="Book Antiqua" w:cs="Book Antiqua"/>
          <w:color w:val="000000"/>
        </w:rPr>
        <w:t>).</w:t>
      </w:r>
    </w:p>
    <w:p w14:paraId="2620C359" w14:textId="76A01E82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Acid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suppressive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therapy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implicated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general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reported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30-d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proton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pump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inhibitor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(PPI)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use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attributed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their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excessive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unindicated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majority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people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presenting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variceal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bleed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get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discharged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PPIs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renewed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each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visit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33,65]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PPIs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causes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altered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gut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flora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motility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decreased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neutrophilic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function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Long-term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PPIs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attributed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CDI’s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suppressing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gastric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acid,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although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evidence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67-71]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PPIs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worse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lastRenderedPageBreak/>
        <w:t>outcomes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blockers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study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Hence,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PPIs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should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assessed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each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visit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discharge.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</w:p>
    <w:p w14:paraId="51F301DA" w14:textId="00A42849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Generally,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get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regardless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function,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reflected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72]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Caucasians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cirrhosis.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caucasian</w:t>
      </w:r>
      <w:proofErr w:type="spellEnd"/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73-75]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African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American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Hispanic/Latin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subgroups,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regional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76]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hospitalization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patterns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fluctuating,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counterintuitively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low,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concluded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59,76,77]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29ADDD6" w14:textId="2D80955C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Vancomycin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metronidazole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historically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recurrent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meta-analyses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performed,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emphasizing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non-inferiority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metronidazole,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thereby,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guidelines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revised.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Vancomycin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fidaxomicin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mainstay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antibiotic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now,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fecal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(FMT).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pursued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suspicion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toxic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megacolon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colon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perforation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5,17,78-82]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Lactulose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also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evaluated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carrying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promising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results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Lactulose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fecal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acidity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decreasing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short-chain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fatty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acids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lactate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acetate,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leading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possible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suppression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growth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FMT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subgroups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help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recurrent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colonization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78,84]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prebiotic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prominent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restoring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hosts'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indigenous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conferring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85]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Recently,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preventing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maintenance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86]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A3D4C2F" w14:textId="13778EC0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hospitalized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cirrhotic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difficile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purely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theoretical,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absence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over-</w:t>
      </w:r>
      <w:proofErr w:type="gram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reporting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87,88]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Meltzer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89]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10-wk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surveillance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asymptomatic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admission.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hospitalization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rectal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swabs.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clinicians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carrier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state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unclear,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most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particular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classical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(prolonged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rehabilitation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stays,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exposure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infections,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antibiotics).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Third-generation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cephalosporins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choice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subacute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peritonitis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(SBP),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counterintuitively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SBP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translate</w:t>
      </w:r>
      <w:proofErr w:type="gramEnd"/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[21]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Bactrim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fluoroquinolones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(ciprofloxacin,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norfloxacin)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SBP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high-risk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questionable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now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90]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CA08136" w14:textId="66C2DACB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toxins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stool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sample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visualization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pseudomembrane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formation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endoscopic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histological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examination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Due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ability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spread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spore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formation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91,92]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hygiene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contributes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rapid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spread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fecal-oral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route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result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outbreaks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facilities.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hygiene,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therefore,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cornerstone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spread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along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isolation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symptomatic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implementation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environmental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sanitation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protocols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93-97]</w:t>
      </w:r>
      <w:r w:rsidRPr="00071046">
        <w:rPr>
          <w:rFonts w:ascii="Book Antiqua" w:eastAsia="Book Antiqua" w:hAnsi="Book Antiqua" w:cs="Book Antiqua"/>
          <w:color w:val="000000"/>
        </w:rPr>
        <w:t>.</w:t>
      </w:r>
    </w:p>
    <w:p w14:paraId="1489E22A" w14:textId="68E3CAF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results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obtained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from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significant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due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large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sample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size,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appropriate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gender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racial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representation,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inclusion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above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twenty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years.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confirmed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concurrent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CLD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prior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excluded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determine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persistence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historically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established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point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Relevant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comorbidities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included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along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subgroup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underlying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also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delineated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(Table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2).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8B62E2B" w14:textId="10CE9ED9" w:rsidR="00A77B3E" w:rsidRPr="00071046" w:rsidRDefault="001647D8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disadvantage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retrospective.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sample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size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subjected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selection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bias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which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attempted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minimized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relevant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inclusion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exclusion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criterion.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lower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general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(0.69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%)</w:t>
      </w:r>
      <w:r w:rsidRPr="000710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vertAlign w:val="superscript"/>
        </w:rPr>
        <w:t>98]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reduce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effective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sample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size,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bearing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conclusions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drawn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regarding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inclusion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classification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their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score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would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indicated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severity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different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stages.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multivariate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analysis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Hong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93333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07104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99]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scoring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(1.06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0.02,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aps/>
          <w:color w:val="000000"/>
          <w:shd w:val="clear" w:color="auto" w:fill="FFFFFF"/>
        </w:rPr>
        <w:t>p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-value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0.022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21.5%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every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five-unit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score),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scoring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triage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monitor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outcomes.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SNOMED-CT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scrupulous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discharge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diagnoses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updated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patient's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scores.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perspective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cohorts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stratified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liver,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transplants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MELD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classes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vindicate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yield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difficile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asymptomatic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</w:p>
    <w:p w14:paraId="5015D0FB" w14:textId="77777777" w:rsidR="00A77B3E" w:rsidRPr="00071046" w:rsidRDefault="00A77B3E" w:rsidP="000710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6FFF1136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7443144" w14:textId="293BBE9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seven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cirrhotic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without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multivariate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analysis,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age,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frequent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hospitalizations,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residence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nursing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home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facilities,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antibiotics,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acid-suppressive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therapy,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comorbidities,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transplantation,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CDI.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Further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needed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explore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precautionary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measures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needed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implemented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group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patients.</w:t>
      </w:r>
    </w:p>
    <w:p w14:paraId="7E22BFDD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276A0A" w14:textId="7F8D4B2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3333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71046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11BB2B7" w14:textId="4A58216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333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EA3C8FC" w14:textId="21F1A83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Pr="00071046">
        <w:rPr>
          <w:rFonts w:ascii="Book Antiqua" w:eastAsia="Book Antiqua" w:hAnsi="Book Antiqua" w:cs="Book Antiqua"/>
          <w:color w:val="000000"/>
        </w:rPr>
        <w:t>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major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causes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nosocomial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diarrhea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morbidity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historically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established.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Researchers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review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major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burden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system.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morbidity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acquire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</w:p>
    <w:p w14:paraId="0C622F5D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BFAA29" w14:textId="7F38130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333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CEFBEE6" w14:textId="434EAC16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research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motivated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lack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large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describing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also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wanted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lastRenderedPageBreak/>
        <w:t>patient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underwent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previously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sample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size.</w:t>
      </w:r>
    </w:p>
    <w:p w14:paraId="047B5124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E48A2A" w14:textId="16496590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333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F95324E" w14:textId="4C6DDEA1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determine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establish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special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emphasis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</w:p>
    <w:p w14:paraId="39B7AFA4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DA0BD8" w14:textId="356BCC96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333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60536CA" w14:textId="7257985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authors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Explorys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database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obtain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classified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SNOMED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codes.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calculated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multi-variate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regression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Software.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Details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manuscript.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</w:p>
    <w:p w14:paraId="11138448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C667AB" w14:textId="3674EF84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333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A83D6B9" w14:textId="5F4034A8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(CDI)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amongst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134.93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100.000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19.06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100.000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non-cirrhotic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multivariate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analysis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model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showed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likely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develop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CDI.</w:t>
      </w:r>
    </w:p>
    <w:p w14:paraId="6ED15B9C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B458CB" w14:textId="190E1A6B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333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1BF5DF4" w14:textId="79DA393A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research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concluded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significantly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independent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CDI.</w:t>
      </w:r>
    </w:p>
    <w:p w14:paraId="35843D5F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333649" w14:textId="79D85B1B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333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0B66105" w14:textId="0C7BBF6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There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possibility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reducing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screening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CDI.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Future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prospective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needed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regard.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</w:p>
    <w:p w14:paraId="0FB4AFC5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C7DFD3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REFERENCES</w:t>
      </w:r>
    </w:p>
    <w:p w14:paraId="0BE27188" w14:textId="63DC462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5" w:name="OLE_LINK14"/>
      <w:r w:rsidRPr="00071046">
        <w:rPr>
          <w:rFonts w:ascii="Book Antiqua" w:eastAsia="Book Antiqua" w:hAnsi="Book Antiqua" w:cs="Book Antiqua"/>
          <w:color w:val="000000"/>
        </w:rPr>
        <w:t>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Kuipers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Surawicz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371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1486-1488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18456087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</w:t>
      </w:r>
      <w:r w:rsidR="00933339">
        <w:rPr>
          <w:rFonts w:ascii="Book Antiqua" w:eastAsia="Book Antiqua" w:hAnsi="Book Antiqua" w:cs="Book Antiqua"/>
          <w:color w:val="000000"/>
        </w:rPr>
        <w:t>S</w:t>
      </w:r>
      <w:r w:rsidRPr="00071046">
        <w:rPr>
          <w:rFonts w:ascii="Book Antiqua" w:eastAsia="Book Antiqua" w:hAnsi="Book Antiqua" w:cs="Book Antiqua"/>
          <w:color w:val="000000"/>
        </w:rPr>
        <w:t>0140-6736(08)60635-2]</w:t>
      </w:r>
    </w:p>
    <w:p w14:paraId="092A13A6" w14:textId="0EF47753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lastRenderedPageBreak/>
        <w:t>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Desai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Gupta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Dubberke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Prabhu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Browne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TC.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Epidemiological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economic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burden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estimates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from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modeling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approach.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2016;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27316794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10.1186/s12879-016-1610-3]</w:t>
      </w:r>
    </w:p>
    <w:p w14:paraId="2E408559" w14:textId="4E9F87AE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Simor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AE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Diagnosis,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management,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prevention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long-term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facilities: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review.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Geriatr</w:t>
      </w:r>
      <w:proofErr w:type="spellEnd"/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1556-1564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20646106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10.1111/j.1532-5415.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2010.02958.x</w:t>
      </w:r>
      <w:proofErr w:type="gramEnd"/>
      <w:r w:rsidRPr="00071046">
        <w:rPr>
          <w:rFonts w:ascii="Book Antiqua" w:eastAsia="Book Antiqua" w:hAnsi="Book Antiqua" w:cs="Book Antiqua"/>
          <w:color w:val="000000"/>
        </w:rPr>
        <w:t>]</w:t>
      </w:r>
    </w:p>
    <w:p w14:paraId="7C486A17" w14:textId="582141A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Ergen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EK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Akalin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Yilmaz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Sinirtaş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Alver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Heper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Ozakin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Bakker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Mistik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Helvaci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Kuijper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Nosocomial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diarrhea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diarrhea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Turkish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University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Mal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382-387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19269761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10.1016/j.medmal.2009.02.001]</w:t>
      </w:r>
    </w:p>
    <w:p w14:paraId="011AEE7E" w14:textId="2407C574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McDonald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LC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Gerding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Johnson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Bakken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Carroll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Coffin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Dubberke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Garey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KW,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Gould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CV,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Kelly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Shaklee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Sammons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Sandora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Wilcox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MH.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Practice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Guidelines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Adults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Children: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Update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Infectious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Society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America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(IDSA)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Society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Epidemiology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America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(SHEA).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e1-e48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29462280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cid</w:t>
      </w:r>
      <w:proofErr w:type="spellEnd"/>
      <w:r w:rsidRPr="00071046">
        <w:rPr>
          <w:rFonts w:ascii="Book Antiqua" w:eastAsia="Book Antiqua" w:hAnsi="Book Antiqua" w:cs="Book Antiqua"/>
          <w:color w:val="000000"/>
        </w:rPr>
        <w:t>/cix1085]</w:t>
      </w:r>
    </w:p>
    <w:p w14:paraId="013C0E40" w14:textId="3BEE79E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Clabots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CR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Johnson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Olson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Peterson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Gerding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Acquisition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evidence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colonized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new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admissions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source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1992;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166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561-567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1323621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infdis</w:t>
      </w:r>
      <w:proofErr w:type="spellEnd"/>
      <w:r w:rsidRPr="00071046">
        <w:rPr>
          <w:rFonts w:ascii="Book Antiqua" w:eastAsia="Book Antiqua" w:hAnsi="Book Antiqua" w:cs="Book Antiqua"/>
          <w:color w:val="000000"/>
        </w:rPr>
        <w:t>/166.3.561]</w:t>
      </w:r>
    </w:p>
    <w:p w14:paraId="77FB62BF" w14:textId="37B52ADF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Johnson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Clabots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Linn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FV,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Olson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Peterson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Gerding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Nosocomial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colonisation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1990;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336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97-100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1975332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10.1016/0140-6736(90)91605-a]</w:t>
      </w:r>
    </w:p>
    <w:p w14:paraId="02083941" w14:textId="75A5E2B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Ratliff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Heuman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Lapane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KL.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Proton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pump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inhibitors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high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serious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veterans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decompensated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2012;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866-874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22966967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10.1111/apt.12045]</w:t>
      </w:r>
    </w:p>
    <w:p w14:paraId="10892126" w14:textId="40170BBA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Vaishnavi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spectrum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&amp;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pathogenesis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487-499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20424299]</w:t>
      </w:r>
    </w:p>
    <w:p w14:paraId="77C95A90" w14:textId="6C1A3D11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lastRenderedPageBreak/>
        <w:t>10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Czepiel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Dróżdż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Pituch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Kuijper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Perucki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Mielimonka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Goldman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Wultańska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Garlicki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Biesiada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review.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1211-1221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30945014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10.1007/s10096-019-03539-6]</w:t>
      </w:r>
    </w:p>
    <w:p w14:paraId="02A43A28" w14:textId="421A020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11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McFarland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LV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Antibiotic-associated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diarrhea</w:t>
      </w:r>
      <w:proofErr w:type="gramEnd"/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epidemiology,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trends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treatment.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Future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563-578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18811240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10.2217/17460913.3.5.563]</w:t>
      </w:r>
    </w:p>
    <w:p w14:paraId="7157BD1C" w14:textId="275F3EF8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12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Hensgens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Goorhuis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Dekkers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Kuijper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Time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interval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after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exposure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2012;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742-748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22146873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jac</w:t>
      </w:r>
      <w:proofErr w:type="spellEnd"/>
      <w:r w:rsidRPr="00071046">
        <w:rPr>
          <w:rFonts w:ascii="Book Antiqua" w:eastAsia="Book Antiqua" w:hAnsi="Book Antiqua" w:cs="Book Antiqua"/>
          <w:color w:val="000000"/>
        </w:rPr>
        <w:t>/dkr508]</w:t>
      </w:r>
    </w:p>
    <w:p w14:paraId="4DFEDE4C" w14:textId="14F049A4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13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Hensgens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Keessen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Squire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Riley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TV,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Koene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Boer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Lipman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Kuijper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EJ;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European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Society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Microbiology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Infectious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Group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(ESGCD).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community: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zoonotic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disease?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2012;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635-645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22536816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10.1111/j.1469-0691.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2012.03853.x</w:t>
      </w:r>
      <w:proofErr w:type="gramEnd"/>
      <w:r w:rsidRPr="00071046">
        <w:rPr>
          <w:rFonts w:ascii="Book Antiqua" w:eastAsia="Book Antiqua" w:hAnsi="Book Antiqua" w:cs="Book Antiqua"/>
          <w:color w:val="000000"/>
        </w:rPr>
        <w:t>]</w:t>
      </w:r>
    </w:p>
    <w:p w14:paraId="45A2F595" w14:textId="4FE95B20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14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Hung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YP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Lee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Liu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Wu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Tsai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WC.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impact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colonization.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2015;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241-248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24890755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10.1016/j.jmii.2014.04.011]</w:t>
      </w:r>
    </w:p>
    <w:p w14:paraId="17B42528" w14:textId="7E56196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15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Crobach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MJT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Vernon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Kong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Péchiné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Wilcox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Kuijper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Understanding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Colonization.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29540433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10.1128/cmr.00021-17]</w:t>
      </w:r>
    </w:p>
    <w:p w14:paraId="750222B4" w14:textId="0236EAB4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16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Androga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GO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Foster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NF,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Charles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Forbes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Riley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TV.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Toxin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A-Negative,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Toxin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B-Negative,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Binary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Toxin-Positive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Young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Ulcerative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Colitis.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2015;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3702-3704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26354812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10.1128/</w:t>
      </w:r>
      <w:r w:rsidR="00933339" w:rsidRPr="00071046">
        <w:rPr>
          <w:rFonts w:ascii="Book Antiqua" w:eastAsia="Book Antiqua" w:hAnsi="Book Antiqua" w:cs="Book Antiqua"/>
          <w:color w:val="000000"/>
        </w:rPr>
        <w:t>JCM</w:t>
      </w:r>
      <w:r w:rsidRPr="00071046">
        <w:rPr>
          <w:rFonts w:ascii="Book Antiqua" w:eastAsia="Book Antiqua" w:hAnsi="Book Antiqua" w:cs="Book Antiqua"/>
          <w:color w:val="000000"/>
        </w:rPr>
        <w:t>.01810-15]</w:t>
      </w:r>
    </w:p>
    <w:p w14:paraId="6DFA55EA" w14:textId="7C862C82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17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Baktash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Terveer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Zwittink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Hornung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BVH,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Corver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Kuijper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Smits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WK.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Mechanistic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Insights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Success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Fecal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Microbiota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Treatment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1242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29946308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10.3389/fmicb.2018.01242]</w:t>
      </w:r>
    </w:p>
    <w:p w14:paraId="37BEDC08" w14:textId="7D54024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lastRenderedPageBreak/>
        <w:t>18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Smits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WK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Lyras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Lacy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Wilcox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Kuijper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Primers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2016;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16020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27158839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10.1038/nrdp.2016.20]</w:t>
      </w:r>
    </w:p>
    <w:p w14:paraId="300BF9A5" w14:textId="2C873742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19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Vuotto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Donelli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Buckley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Chilton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Biofilm.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1050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97-115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29383666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10.1007/978-3-319-72799-8_7]</w:t>
      </w:r>
    </w:p>
    <w:p w14:paraId="56750781" w14:textId="5F9E263A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20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Khanna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Pardi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growing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incidence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severity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inpatient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outpatient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settings.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409-416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20678014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10.1586/egh.10.48]</w:t>
      </w:r>
    </w:p>
    <w:p w14:paraId="62ADD486" w14:textId="38A37BF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21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EZ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Northup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Argo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CK.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Predictors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747-751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28644310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10.1097/</w:t>
      </w:r>
      <w:r w:rsidR="00933339" w:rsidRPr="00071046">
        <w:rPr>
          <w:rFonts w:ascii="Book Antiqua" w:eastAsia="Book Antiqua" w:hAnsi="Book Antiqua" w:cs="Book Antiqua"/>
          <w:color w:val="000000"/>
        </w:rPr>
        <w:t>MCG</w:t>
      </w:r>
      <w:r w:rsidRPr="00071046">
        <w:rPr>
          <w:rFonts w:ascii="Book Antiqua" w:eastAsia="Book Antiqua" w:hAnsi="Book Antiqua" w:cs="Book Antiqua"/>
          <w:color w:val="000000"/>
        </w:rPr>
        <w:t>.0000000000000868]</w:t>
      </w:r>
    </w:p>
    <w:p w14:paraId="41BF11C4" w14:textId="16050482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22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Bloomfield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Sherwin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Gkrania-Klotsas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general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systematic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review.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2012;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82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1-12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22727824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10.1016/j.jhin.2012.05.008]</w:t>
      </w:r>
    </w:p>
    <w:p w14:paraId="5A19540F" w14:textId="2A07DBCE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23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Vincent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Rello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Marshall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Silva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Anzueto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Martin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Moreno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Lipman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Gomersall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Sakr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Reinhart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EPIC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Group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Investigators.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International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intensive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302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2323-2329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19952319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10.1001/jama.2009.1754]</w:t>
      </w:r>
    </w:p>
    <w:p w14:paraId="18BAA4B5" w14:textId="16DD6A5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24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Sidler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Battegay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Tschudin</w:t>
      </w:r>
      <w:proofErr w:type="spellEnd"/>
      <w:r w:rsidRPr="00071046">
        <w:rPr>
          <w:rFonts w:ascii="Book Antiqua" w:eastAsia="Book Antiqua" w:hAnsi="Book Antiqua" w:cs="Book Antiqua"/>
          <w:color w:val="000000"/>
        </w:rPr>
        <w:t>-Sutter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Widmer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AF,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Weisser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Enterococci,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ESBL-producing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bacteria: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epidemiology,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impact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prevention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ICU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Swiss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Wkly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2014;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w14009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25250957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10.4414/smw.2014.14009]</w:t>
      </w:r>
    </w:p>
    <w:p w14:paraId="4B4D84C0" w14:textId="5B56A5B2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25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Czepiel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Kędzierska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Biesiada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Birczyńska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Perucki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Nowak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Garlicki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Epidemiology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results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hospital-based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Krakow,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Poland.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2015;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3235-3243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25858553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10.1017/</w:t>
      </w:r>
      <w:r w:rsidR="00933339">
        <w:rPr>
          <w:rFonts w:ascii="Book Antiqua" w:eastAsia="Book Antiqua" w:hAnsi="Book Antiqua" w:cs="Book Antiqua"/>
          <w:color w:val="000000"/>
        </w:rPr>
        <w:t>S</w:t>
      </w:r>
      <w:r w:rsidRPr="00071046">
        <w:rPr>
          <w:rFonts w:ascii="Book Antiqua" w:eastAsia="Book Antiqua" w:hAnsi="Book Antiqua" w:cs="Book Antiqua"/>
          <w:color w:val="000000"/>
        </w:rPr>
        <w:t>0950268815000552]</w:t>
      </w:r>
    </w:p>
    <w:p w14:paraId="77EAA126" w14:textId="7C9D011E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26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Negrón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Rezaie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Barkema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HW,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Rioux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Buck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Checkley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Beck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Carroll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Fedorak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Dieleman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Panaccione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Ghosh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Kaplan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GG.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Ulcerative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Colitis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Death,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Colectomy,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lastRenderedPageBreak/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Postoperative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Complications: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Population-Based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Inception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2016;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691-704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27091322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10.1038/ajg.2016.106]</w:t>
      </w:r>
    </w:p>
    <w:p w14:paraId="7F35221E" w14:textId="4182895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27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Chitnis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Holzbauer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Belflower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Winston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Bamberg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Lyons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Farley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Dumyati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Wilson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Beldavs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ZG,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Dunn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Gould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MacCannell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Gerding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McDonald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Lessa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FC.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Epidemiology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community-associated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through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2011.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2013;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173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1359-1367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23780507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10.1001/jamainternmed.2013.7056]</w:t>
      </w:r>
    </w:p>
    <w:p w14:paraId="346AC7B8" w14:textId="2F5C873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28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Phatharacharukul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Thongprayoon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Cheungpasitporn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Edmonds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Mahaparn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Bruminhent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Incident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Recurrent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difficile</w:t>
      </w:r>
      <w:proofErr w:type="gramEnd"/>
      <w:r w:rsidRPr="00071046">
        <w:rPr>
          <w:rFonts w:ascii="Book Antiqua" w:eastAsia="Book Antiqua" w:hAnsi="Book Antiqua" w:cs="Book Antiqua"/>
          <w:color w:val="000000"/>
        </w:rPr>
        <w:t>-Associated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Diarrhea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Kidney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End-Stage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Kidney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Systematic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Review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Meta-Analysis.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2015;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2913-2922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25986528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10.1007/s10620-015-3714-9]</w:t>
      </w:r>
    </w:p>
    <w:p w14:paraId="7F7CAA31" w14:textId="1CD9BFC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29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Thongprayoon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Cheungpasitporn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Phatharacharukul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Edmonds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Kaewpoowat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Q,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Mahaparn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Bruminhent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Erickson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SB.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kidney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end-stage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systematic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review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meta-analysis.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2015;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998-1006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26147121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10.1111/ijcp.12672]</w:t>
      </w:r>
    </w:p>
    <w:p w14:paraId="6C9A1D86" w14:textId="31ACF628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30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Tapper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EB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Parikh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ND.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due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cancer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1999-2016: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observational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362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k2817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30021785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10.1136/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bmj.k</w:t>
      </w:r>
      <w:proofErr w:type="gramEnd"/>
      <w:r w:rsidRPr="00071046">
        <w:rPr>
          <w:rFonts w:ascii="Book Antiqua" w:eastAsia="Book Antiqua" w:hAnsi="Book Antiqua" w:cs="Book Antiqua"/>
          <w:color w:val="000000"/>
        </w:rPr>
        <w:t>2817]</w:t>
      </w:r>
    </w:p>
    <w:p w14:paraId="6F6B841B" w14:textId="62C6471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31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Bouza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Alcalá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Marín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Valerio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Reigadas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Muñoz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González-Del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Vecchio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Egea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outbreak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PCR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ribotype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027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Spain: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recurrence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novel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treatment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strategy.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1777-1786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28501926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10.1007/s10096-017-2991-y]</w:t>
      </w:r>
    </w:p>
    <w:p w14:paraId="0AB7E557" w14:textId="79D00B1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32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Deschênes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Villeneuve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JP.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development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bacterial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1999;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2193-2197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10445549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10.1111/j.1572-0241.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1999.01293.x</w:t>
      </w:r>
      <w:proofErr w:type="gramEnd"/>
      <w:r w:rsidRPr="00071046">
        <w:rPr>
          <w:rFonts w:ascii="Book Antiqua" w:eastAsia="Book Antiqua" w:hAnsi="Book Antiqua" w:cs="Book Antiqua"/>
          <w:color w:val="000000"/>
        </w:rPr>
        <w:t>]</w:t>
      </w:r>
    </w:p>
    <w:p w14:paraId="4BE5F2E0" w14:textId="70CED9AA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lastRenderedPageBreak/>
        <w:t>33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Bonnel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Bunchorntavakul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Reddy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KR.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Immune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dysfunction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2011;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727-738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21397731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10.1016/j.cgh.2011.02.031]</w:t>
      </w:r>
    </w:p>
    <w:p w14:paraId="4FA36506" w14:textId="7A5D1CD8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34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Abdalla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AO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Pisipati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Elnaggar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Rishi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Doshi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Gullapalli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Clostridioides</w:t>
      </w:r>
      <w:proofErr w:type="spellEnd"/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Nationwide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53-57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32362963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10.14740/gr1240]</w:t>
      </w:r>
    </w:p>
    <w:p w14:paraId="4A67755D" w14:textId="6A5A4E0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35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Ananthakrishnan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Hafeezullah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Zadvornova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Dye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McGinley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Saeian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Heuman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Sanyal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Hoffmann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RG.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national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tertiary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center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perspective.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106-113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19844204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10.1038/ajg.2009.615]</w:t>
      </w:r>
    </w:p>
    <w:p w14:paraId="7E0E56FC" w14:textId="3B8E2D3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36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Sundaram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Manne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Saab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Effects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alcoholic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hepatitis.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2014;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1745-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52.e</w:t>
      </w:r>
      <w:proofErr w:type="gramEnd"/>
      <w:r w:rsidRPr="00071046">
        <w:rPr>
          <w:rFonts w:ascii="Book Antiqua" w:eastAsia="Book Antiqua" w:hAnsi="Book Antiqua" w:cs="Book Antiqua"/>
          <w:color w:val="000000"/>
        </w:rPr>
        <w:t>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24681081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10.1016/j.cgh.2014.02.041]</w:t>
      </w:r>
    </w:p>
    <w:p w14:paraId="072BF876" w14:textId="249F2ED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37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Dotson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Aitken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Sofjan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Shah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Aparasu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Garey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KW.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1101-1105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29739486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10.1017/</w:t>
      </w:r>
      <w:r w:rsidR="00933339">
        <w:rPr>
          <w:rFonts w:ascii="Book Antiqua" w:eastAsia="Book Antiqua" w:hAnsi="Book Antiqua" w:cs="Book Antiqua"/>
          <w:color w:val="000000"/>
        </w:rPr>
        <w:t>S</w:t>
      </w:r>
      <w:r w:rsidRPr="00071046">
        <w:rPr>
          <w:rFonts w:ascii="Book Antiqua" w:eastAsia="Book Antiqua" w:hAnsi="Book Antiqua" w:cs="Book Antiqua"/>
          <w:color w:val="000000"/>
        </w:rPr>
        <w:t>0950268818001036]</w:t>
      </w:r>
    </w:p>
    <w:p w14:paraId="3CE78489" w14:textId="469BD57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38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Gomes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Hoffmann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Mota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JF.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human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gut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microbiota: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Metabolism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perspective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obesity.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308-325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29667480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10.1080/19490976.2018.1465157]</w:t>
      </w:r>
    </w:p>
    <w:p w14:paraId="18D4420E" w14:textId="59549E5B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39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Madan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Petri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Jr.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Role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obesity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adipose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tissue-derived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cytokine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leptin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during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Anaerobe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2015;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182-186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25638400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10.1016/j.anaerobe.2014.12.009]</w:t>
      </w:r>
    </w:p>
    <w:p w14:paraId="21F6D51A" w14:textId="15413FE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40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Savin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Kivity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Yonath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Yehuda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Smoking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intestinal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microbiome.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200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677-684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29626219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10.1007/s00203-018-1506-2]</w:t>
      </w:r>
    </w:p>
    <w:p w14:paraId="1559FAE6" w14:textId="4526E240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41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Trifan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Girleanu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Stanciu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Miftode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Cojocariu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Singeap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Sfarti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Chiriac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Cuciureanu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Stoica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octogenarian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Geriatr</w:t>
      </w:r>
      <w:proofErr w:type="spellEnd"/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Gerontol</w:t>
      </w:r>
      <w:proofErr w:type="spellEnd"/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315-320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29139189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10.1111/ggi.13186]</w:t>
      </w:r>
    </w:p>
    <w:p w14:paraId="37FB02BA" w14:textId="78A60321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lastRenderedPageBreak/>
        <w:t>42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Qu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HQ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Jiang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ZD.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diabetes.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2014;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285-294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25015315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10.1016/j.diabres.2014.06.002]</w:t>
      </w:r>
    </w:p>
    <w:p w14:paraId="33A463C0" w14:textId="7DE243F4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43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Miguel-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Díez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López-de-Andrés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Esteban-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Vasallo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Hernández-Barrera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Miguel-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Yanes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Méndez-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Bailón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Jiménez-García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COPD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Spain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(2001-2015).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76-82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30430993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10.1016/j.ejim.2018.06.022]</w:t>
      </w:r>
    </w:p>
    <w:p w14:paraId="44938FD8" w14:textId="72E42576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44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Vlasov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Salikova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Grinevich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Bystrova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OV,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Osipov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Meshkova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[Gut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microbiota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systemic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inflammation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failure].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Kardiologiia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859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32515707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10.18087/cardio.2020.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5.n</w:t>
      </w:r>
      <w:proofErr w:type="gramEnd"/>
      <w:r w:rsidRPr="00071046">
        <w:rPr>
          <w:rFonts w:ascii="Book Antiqua" w:eastAsia="Book Antiqua" w:hAnsi="Book Antiqua" w:cs="Book Antiqua"/>
          <w:color w:val="000000"/>
        </w:rPr>
        <w:t>859]</w:t>
      </w:r>
    </w:p>
    <w:p w14:paraId="6C023C2A" w14:textId="59009498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45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Méndez-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Bailón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Jiménez-García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Hernández-Barrera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Miguel-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Díez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Miguel-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Yanes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Muñoz-Rivas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Lorenzo-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Villalba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Carabantes</w:t>
      </w:r>
      <w:proofErr w:type="spellEnd"/>
      <w:r w:rsidRPr="00071046">
        <w:rPr>
          <w:rFonts w:ascii="Book Antiqua" w:eastAsia="Book Antiqua" w:hAnsi="Book Antiqua" w:cs="Book Antiqua"/>
          <w:color w:val="000000"/>
        </w:rPr>
        <w:t>-Alarcon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Zamorano-León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Astasio-Arbiza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Ortega-Molina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López-de-Andrés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Failure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Suffering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Dying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Results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15-Year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Nationwide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Spain.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32106444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10.3390/jcm9030614]</w:t>
      </w:r>
    </w:p>
    <w:p w14:paraId="2CCB0A46" w14:textId="58866F6E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46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Centers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Prevention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(CDC</w:t>
      </w:r>
      <w:proofErr w:type="gramStart"/>
      <w:r w:rsidRPr="00071046">
        <w:rPr>
          <w:rFonts w:ascii="Book Antiqua" w:eastAsia="Book Antiqua" w:hAnsi="Book Antiqua" w:cs="Book Antiqua"/>
          <w:b/>
          <w:bCs/>
          <w:color w:val="000000"/>
        </w:rPr>
        <w:t>).</w:t>
      </w:r>
      <w:r w:rsidRPr="00071046">
        <w:rPr>
          <w:rFonts w:ascii="Book Antiqua" w:eastAsia="Book Antiqua" w:hAnsi="Book Antiqua" w:cs="Book Antiqua"/>
          <w:color w:val="000000"/>
        </w:rPr>
        <w:t>.</w:t>
      </w:r>
      <w:proofErr w:type="gram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Severe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difficile-associated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previously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low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risk--four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2005.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MMWR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Morb</w:t>
      </w:r>
      <w:proofErr w:type="spellEnd"/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Mortal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Wkly</w:t>
      </w:r>
      <w:proofErr w:type="spellEnd"/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2005;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1201-1205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16319813]</w:t>
      </w:r>
    </w:p>
    <w:p w14:paraId="0455F261" w14:textId="045EB40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47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Huang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Yang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Huang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colonization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hepatic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1483-1488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28945189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10.1099/jmm.0.000596]</w:t>
      </w:r>
    </w:p>
    <w:p w14:paraId="704029A2" w14:textId="73917B7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48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Huang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Gu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Huang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237-241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31029554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10.1016/j.hbpd.2019.04.003]</w:t>
      </w:r>
    </w:p>
    <w:p w14:paraId="688A271B" w14:textId="0155576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49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Bunchorntavakul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Chamroonkul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Chavalitdhamrong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Bacterial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critical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review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practical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guidance.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2016;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307-321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26962397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10.4254/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wjh.v</w:t>
      </w:r>
      <w:proofErr w:type="gramEnd"/>
      <w:r w:rsidRPr="00071046">
        <w:rPr>
          <w:rFonts w:ascii="Book Antiqua" w:eastAsia="Book Antiqua" w:hAnsi="Book Antiqua" w:cs="Book Antiqua"/>
          <w:color w:val="000000"/>
        </w:rPr>
        <w:t>8.i6.307]</w:t>
      </w:r>
    </w:p>
    <w:p w14:paraId="170B2F5F" w14:textId="22B3C7D4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lastRenderedPageBreak/>
        <w:t>50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Ghassemi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Garcia-Tsao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Prevention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treatment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Best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77-93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17223498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10.1016/j.bpg.2006.07.004]</w:t>
      </w:r>
    </w:p>
    <w:p w14:paraId="23250CF4" w14:textId="2EADAA8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51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Fiuza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Salcedo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Clemente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Tellado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vivo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neutrophil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dysfunction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advanced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182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526-533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10915084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10.1086/315742]</w:t>
      </w:r>
    </w:p>
    <w:p w14:paraId="5F6EC461" w14:textId="4207693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52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Garfia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García-Ruiz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Solís-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Herruzo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JA.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Deficient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phospholipase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activity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blood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polimorphonuclear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neutrophils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from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2004;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749-756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15094221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10.1016/j.jhep.2004.01.004]</w:t>
      </w:r>
    </w:p>
    <w:p w14:paraId="3770B1FA" w14:textId="7CC237E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53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Shawcross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Wright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Stadlbauer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Hodges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Davies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Wheeler-Jones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Pitsillides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Jalan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Ammonia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impairs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neutrophil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phagocytic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function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1202-1212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18697192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10.1002/hep.22474]</w:t>
      </w:r>
    </w:p>
    <w:p w14:paraId="79689D82" w14:textId="3B5E8F9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54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Paudel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Zacharioudakis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Zervou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Ziakas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Mylonakis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Prevalence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among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solid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organ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recipients: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meta-analysis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published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studies.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2015;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e0124483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25886133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10.1371/journal.pone.0124483]</w:t>
      </w:r>
    </w:p>
    <w:p w14:paraId="3D6F6E53" w14:textId="3522D41F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55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West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Pirenne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Chavers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Gillingham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Sutherland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Dunn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Matas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colitis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after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kidney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kidney-pancreas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transplantation.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1999;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318-323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10485373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10.1034/j.1399-0012.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1999.130407.x</w:t>
      </w:r>
      <w:proofErr w:type="gramEnd"/>
      <w:r w:rsidRPr="00071046">
        <w:rPr>
          <w:rFonts w:ascii="Book Antiqua" w:eastAsia="Book Antiqua" w:hAnsi="Book Antiqua" w:cs="Book Antiqua"/>
          <w:color w:val="000000"/>
        </w:rPr>
        <w:t>]</w:t>
      </w:r>
    </w:p>
    <w:p w14:paraId="76E847C8" w14:textId="4255289B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56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Sullivan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Weinberg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Rana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Patel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Huprikar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Epidemiology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Features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Recipients.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2016;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1939-1943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27379554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10.1097/</w:t>
      </w:r>
      <w:r w:rsidR="00933339" w:rsidRPr="00071046">
        <w:rPr>
          <w:rFonts w:ascii="Book Antiqua" w:eastAsia="Book Antiqua" w:hAnsi="Book Antiqua" w:cs="Book Antiqua"/>
          <w:color w:val="000000"/>
        </w:rPr>
        <w:t>TP</w:t>
      </w:r>
      <w:r w:rsidRPr="00071046">
        <w:rPr>
          <w:rFonts w:ascii="Book Antiqua" w:eastAsia="Book Antiqua" w:hAnsi="Book Antiqua" w:cs="Book Antiqua"/>
          <w:color w:val="000000"/>
        </w:rPr>
        <w:t>.0000000000001309]</w:t>
      </w:r>
    </w:p>
    <w:p w14:paraId="4816B77F" w14:textId="688DFA5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57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Albright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JB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Bonatti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Mendez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Kramer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Stauffer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Hinder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Michel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Dickson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Hughes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Nguyen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Chua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Hellinger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Early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onset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difficile-associated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colitis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following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transplantation.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856-866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17854444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10.1111/j.1432-2277.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2007.00530.x</w:t>
      </w:r>
      <w:proofErr w:type="gramEnd"/>
      <w:r w:rsidRPr="00071046">
        <w:rPr>
          <w:rFonts w:ascii="Book Antiqua" w:eastAsia="Book Antiqua" w:hAnsi="Book Antiqua" w:cs="Book Antiqua"/>
          <w:color w:val="000000"/>
        </w:rPr>
        <w:t>]</w:t>
      </w:r>
    </w:p>
    <w:p w14:paraId="2A8A5615" w14:textId="78155BC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58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Mittal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Hassan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Arshad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Jeepalyam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Bruni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Miceli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Jacobsen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Abouljoud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Bajjoka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Ramesh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Alangaden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lastRenderedPageBreak/>
        <w:t>recipients: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retrospective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rates,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2014;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1901-1907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24902610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10.1111/ajt.12798]</w:t>
      </w:r>
    </w:p>
    <w:p w14:paraId="18154065" w14:textId="68A212B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59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Musa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Rahman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Gastrointestin</w:t>
      </w:r>
      <w:proofErr w:type="spellEnd"/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303-310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20922196]</w:t>
      </w:r>
    </w:p>
    <w:p w14:paraId="0254113A" w14:textId="3DDDB86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60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Hashimoto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Sugawara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Tamura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Kaneko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Matsui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Togashi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Makuuch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difficile-associated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diarrhea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after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donor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transplantation.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2072-2076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17465450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wjg.v13.i</w:t>
      </w:r>
      <w:proofErr w:type="gramEnd"/>
      <w:r w:rsidRPr="00071046">
        <w:rPr>
          <w:rFonts w:ascii="Book Antiqua" w:eastAsia="Book Antiqua" w:hAnsi="Book Antiqua" w:cs="Book Antiqua"/>
          <w:color w:val="000000"/>
        </w:rPr>
        <w:t>14.2072]</w:t>
      </w:r>
    </w:p>
    <w:p w14:paraId="6E2589D3" w14:textId="6E5DF220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61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Abe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Shiba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Furukawa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Sakamoto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Ishida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Yanaga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Repeated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after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donor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transplantation.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309-311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29497978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10.1007/s12328-018-0840-x]</w:t>
      </w:r>
    </w:p>
    <w:p w14:paraId="312566DB" w14:textId="54231B0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62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Vanjak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Girault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Branger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Rufat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Valla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Fantin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hepatology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ward.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Control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202-204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17265403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10.1086/511790]</w:t>
      </w:r>
    </w:p>
    <w:p w14:paraId="02E7AC10" w14:textId="31F5937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63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Abraham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Pratap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Sankarasubbaiyan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Govindan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Nayak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Sheriff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Naqvi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peritoneal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dialysis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South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Asia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-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challenges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future.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Perit</w:t>
      </w:r>
      <w:proofErr w:type="spellEnd"/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13-19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18178941]</w:t>
      </w:r>
    </w:p>
    <w:p w14:paraId="0CC0A6C0" w14:textId="707939D1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64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Papić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Jelovčić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Karlović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Marić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Vince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Nonalcoholic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fatty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Clostridioides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569-574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31782025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10.1007/s10096-019-03759-w]</w:t>
      </w:r>
    </w:p>
    <w:p w14:paraId="55C9CB6C" w14:textId="15144A34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65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Kalaitzakis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Björnsson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Inadequate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proton-pump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inhibitors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512-518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18467910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10.1097/MEG.0b013e3282f4aa01]</w:t>
      </w:r>
    </w:p>
    <w:p w14:paraId="398DDD7F" w14:textId="667423A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66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Agastya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Callahan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Omeprazole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inhibits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phagocytosis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acidification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phagolysosomes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normal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human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neutrophils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vitro.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Immunopharmacol</w:t>
      </w:r>
      <w:proofErr w:type="spellEnd"/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Immunotoxicol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357-372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10952036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10.3109/08923970009016425]</w:t>
      </w:r>
    </w:p>
    <w:p w14:paraId="12771194" w14:textId="508B232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67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Novack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Kogan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Gimpelevich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Howell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Borer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Kelly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Leffler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Novack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suppression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therapy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predispose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lastRenderedPageBreak/>
        <w:t>infection: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potential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bias.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2014;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e110790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25343667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10.1371/journal.pone.0110790]</w:t>
      </w:r>
    </w:p>
    <w:p w14:paraId="7CEA1655" w14:textId="7A557D32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68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Arriola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Tischendorf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Musuuza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Barker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Rozelle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JW,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Safdar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Assessing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Hospital-Acquired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Proton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Pump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Inhibitor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Meta-Analysis.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Control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2016;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1408-1417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27677811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10.1017/ice.2016.194]</w:t>
      </w:r>
    </w:p>
    <w:p w14:paraId="3B67A43B" w14:textId="756ABD9F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69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Trifan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Stanciu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Girleanu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Stoica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Singeap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Maxim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Chiriac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Ciobica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Boiculese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Proton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pump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inhibitors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therapy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Systematic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review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meta-analysis.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6500-6515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29085200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wjg.v23.i</w:t>
      </w:r>
      <w:proofErr w:type="gramEnd"/>
      <w:r w:rsidRPr="00071046">
        <w:rPr>
          <w:rFonts w:ascii="Book Antiqua" w:eastAsia="Book Antiqua" w:hAnsi="Book Antiqua" w:cs="Book Antiqua"/>
          <w:color w:val="000000"/>
        </w:rPr>
        <w:t>35.6500]</w:t>
      </w:r>
    </w:p>
    <w:p w14:paraId="12142DE6" w14:textId="25F11B83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70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Lowe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DO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Mamdani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Kopp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Low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Juurlink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Proton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pump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inhibitors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difficile-associated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population-based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2006;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1272-1276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17051491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10.1086/508453]</w:t>
      </w:r>
    </w:p>
    <w:p w14:paraId="2B318874" w14:textId="19EED9A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71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Dial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Alrasadi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Manoukian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Huang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Menzies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diarrhea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among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prescribed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proton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pump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inhibitors: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cohort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case-control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studies.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CMAJ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2004;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171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33-38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15238493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10.1503/cmaj.1040876]</w:t>
      </w:r>
    </w:p>
    <w:p w14:paraId="264C90F3" w14:textId="384B17F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72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Natarajan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Rogers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Bundy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Micic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Walk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Santhosh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Winters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Young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Aronoff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Gender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Differences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Non-Toxigenic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proofErr w:type="gram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Colonization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Subsequent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C.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Infection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2015;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28713874]</w:t>
      </w:r>
    </w:p>
    <w:p w14:paraId="626186B4" w14:textId="7EFE6F1B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73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Redelings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Sorvillo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Mascola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Increase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difficile-related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rates,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1999-2004.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1417-1419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18252127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10.3201/eid1309.061116]</w:t>
      </w:r>
    </w:p>
    <w:p w14:paraId="52798BB8" w14:textId="021DD044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74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Garcia-Tsao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Surawicz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Editorial: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Yet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another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predictor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poor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outcome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114-116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20054307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10.1038/ajg.2009.604]</w:t>
      </w:r>
    </w:p>
    <w:p w14:paraId="1BF1F401" w14:textId="4DF5C485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75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Gravel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Miller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Simor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Taylor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Gardam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McGeer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Hutchinson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Moore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Kelly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Boyd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Mulvey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Canadian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Nosocomial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Surveillance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Program.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Health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care-associated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adults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admitted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acute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lastRenderedPageBreak/>
        <w:t>hospitals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Canada: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Canadian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Nosocomial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Surveillance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Program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568-576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19191641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10.1086/596703]</w:t>
      </w:r>
    </w:p>
    <w:p w14:paraId="2C2A7BE4" w14:textId="09E693D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76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Rosenblatt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Mehta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Cohen-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Mekelburg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Shen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Snell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Lucero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Jesudian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Fortune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Crawford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CV,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Kumar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Clostridioides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advanced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1263-1270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30790420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10.1111/</w:t>
      </w:r>
      <w:r w:rsidR="00933339">
        <w:rPr>
          <w:rFonts w:ascii="Book Antiqua" w:eastAsia="Book Antiqua" w:hAnsi="Book Antiqua" w:cs="Book Antiqua"/>
          <w:color w:val="000000"/>
        </w:rPr>
        <w:t>l</w:t>
      </w:r>
      <w:r w:rsidRPr="00071046">
        <w:rPr>
          <w:rFonts w:ascii="Book Antiqua" w:eastAsia="Book Antiqua" w:hAnsi="Book Antiqua" w:cs="Book Antiqua"/>
          <w:color w:val="000000"/>
        </w:rPr>
        <w:t>iv.14077]</w:t>
      </w:r>
    </w:p>
    <w:p w14:paraId="74DFB623" w14:textId="71005B6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77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Yoo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Tighe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Cholankeril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Ahmed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Trends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Hospitalizations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Clostridioides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End-Stage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2005-2014.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2021;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296-307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32124196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10.1007/s10620-020-06162-0]</w:t>
      </w:r>
    </w:p>
    <w:p w14:paraId="455B5486" w14:textId="33288A02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78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Cheng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YW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Alhaffar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Saha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Khanna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Bohm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Phelps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Ghabril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Orman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Sashidhar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Rogers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Xu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Khoruts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Vaughn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Kao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Wong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Cammarota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Ianiro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Dhere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Kraft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Mehta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Woodworth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Allegretti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Nativ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Marcus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Nachef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Fischer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Fecal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Microbiota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Transplantation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Safe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Effective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Clostridioides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32645451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10.1016/j.cgh.2020.06.051]</w:t>
      </w:r>
    </w:p>
    <w:p w14:paraId="5BC6839A" w14:textId="180D7120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79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Nelson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Suda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Evans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CT.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treatment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difficile-associated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diarrhoea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adults.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CD004610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28257555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10.1002/14651858.CD004610.pub5]</w:t>
      </w:r>
    </w:p>
    <w:p w14:paraId="69B38C80" w14:textId="124D31FA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80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Debast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Bauer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Kuijper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EJ;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European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Society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Microbiology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Infectious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European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Society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Microbiology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Infectious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update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treatment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guidance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document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2014;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20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1-26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24118601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10.1111/1469-0691.12418]</w:t>
      </w:r>
    </w:p>
    <w:p w14:paraId="2821F75F" w14:textId="116BE01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81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Guery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Menichetti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Anttila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Adomakoh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Aguado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Bisnauthsing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Georgopali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Goldenberg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Karas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Kazeem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Longshaw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Palacios-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Fabrega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Cornely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Vehreschild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MJGT;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EXTEND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Group.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Extended-pulsed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fidaxomicin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vancomycin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60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years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older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(EXTEND):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controlled,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open-label,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phase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3b/4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trial.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296-307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29273269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</w:t>
      </w:r>
      <w:r w:rsidR="00933339" w:rsidRPr="00071046">
        <w:rPr>
          <w:rFonts w:ascii="Book Antiqua" w:eastAsia="Book Antiqua" w:hAnsi="Book Antiqua" w:cs="Book Antiqua"/>
          <w:color w:val="000000"/>
        </w:rPr>
        <w:t>S1473-3099(17)30751-X</w:t>
      </w:r>
      <w:r w:rsidRPr="00071046">
        <w:rPr>
          <w:rFonts w:ascii="Book Antiqua" w:eastAsia="Book Antiqua" w:hAnsi="Book Antiqua" w:cs="Book Antiqua"/>
          <w:color w:val="000000"/>
        </w:rPr>
        <w:t>]</w:t>
      </w:r>
    </w:p>
    <w:p w14:paraId="3A1BCE6E" w14:textId="0911C51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lastRenderedPageBreak/>
        <w:t>82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Ooijevaar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RE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Beurden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Terveer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Goorhuis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Bauer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Keller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Mulder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CJJ,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Kuijper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Update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treatment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algorithms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452-462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29309934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10.1016/j.cmi.2017.12.022]</w:t>
      </w:r>
    </w:p>
    <w:p w14:paraId="57CB2069" w14:textId="59E35716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83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Ito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Moriwaki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Kato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Watanabe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Ueno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Effect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lactulose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short-chain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fatty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acids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lactate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production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growth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flora,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special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reference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1997;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80-84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9003750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10.1099/00222615-46-1-80]</w:t>
      </w:r>
    </w:p>
    <w:p w14:paraId="26A73CCE" w14:textId="66129764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84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Pringle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PL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Chung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Hohmann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Require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Fecal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Microbiota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Capsules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Cure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Refractory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Recurrent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791-793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29859984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10.1016/j.cgh.2018.05.038]</w:t>
      </w:r>
    </w:p>
    <w:p w14:paraId="78D46A72" w14:textId="56B4709E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85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Agarwalla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Weber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Davey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Hamilton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Goldberg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Rhim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Yang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YX.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Lactulose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Decreased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Decompensated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953-954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28126426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10.1016/j.cgh.2017.01.012]</w:t>
      </w:r>
    </w:p>
    <w:p w14:paraId="08049FCA" w14:textId="70D0204B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86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Feuerstadt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Brandt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Rifaximin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Decreased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632-638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31440997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10.1007/s10620-019-05804-2]</w:t>
      </w:r>
    </w:p>
    <w:p w14:paraId="3472ABFA" w14:textId="06471DB0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87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Pop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Procopet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Stefanescu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Cavasi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Tantau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Andreica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Screening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All,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Some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One?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2015;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3825-3826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26467702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10.1007/s10620-015-3913-4]</w:t>
      </w:r>
    </w:p>
    <w:p w14:paraId="2E3C5403" w14:textId="791607EF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88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Saab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Alper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Sernas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Pruthi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Alper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Sundaram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Hospitalized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Should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Screened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Colitis.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2015;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3124-3129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25986524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10.1007/s10620-015-3707-8]</w:t>
      </w:r>
    </w:p>
    <w:p w14:paraId="5B6FC7C9" w14:textId="0F7ECFA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89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Meltzer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Smollan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Huppert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Fluss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Gilboa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Zilberman-Daniels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Keller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Rahav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Regev-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Yochay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research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group.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Universal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screening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Clostridioides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tertiary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hospital: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factors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carriage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clinical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1127-1132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30771530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10.1016/j.cmi.2019.02.002]</w:t>
      </w:r>
    </w:p>
    <w:p w14:paraId="6A505BE9" w14:textId="043D5CCE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lastRenderedPageBreak/>
        <w:t>90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Gonzalez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Antibiotic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Prophylaxis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Spontaneous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Bacterial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Peritonitis: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Benefit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Risk?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553-555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30920419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10.14309/ajg.0000000000000208]</w:t>
      </w:r>
    </w:p>
    <w:p w14:paraId="27E2D715" w14:textId="53BAE636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91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Abt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McKenney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Pamer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EG.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colitis: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pathogenesis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host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defence</w:t>
      </w:r>
      <w:proofErr w:type="spellEnd"/>
      <w:r w:rsidRPr="00071046">
        <w:rPr>
          <w:rFonts w:ascii="Book Antiqua" w:eastAsia="Book Antiqua" w:hAnsi="Book Antiqua" w:cs="Book Antiqua"/>
          <w:color w:val="000000"/>
        </w:rPr>
        <w:t>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2016;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609-620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27573580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10.1038/nrmicro.2016.108]</w:t>
      </w:r>
    </w:p>
    <w:p w14:paraId="44620783" w14:textId="0F3EEB11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92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Monaghan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Wilcox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MH.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epidemiology,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diagnosis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understanding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transmission.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2016;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206-216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26956066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10.1038/nrgastro.2016.25]</w:t>
      </w:r>
    </w:p>
    <w:p w14:paraId="7FC6FFFB" w14:textId="0A56D80F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93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Johnson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Gerding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Olson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Weiler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MD,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Hughes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Clabots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CR,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Peterson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LR.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Prospective,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controlled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vinyl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glove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interrupt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nosocomial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transmission.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1990;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137-140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2301439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10.1016/0002-9343(90)90462-m]</w:t>
      </w:r>
    </w:p>
    <w:p w14:paraId="105746C2" w14:textId="7EA37680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94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color w:val="000000"/>
        </w:rPr>
        <w:t>Bobulsky</w:t>
      </w:r>
      <w:proofErr w:type="spellEnd"/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GS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Al-Nassir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Riggs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MM,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Sethi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Donskey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skin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contamination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difficile-associated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2008;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447-450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18181742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10.1086/525267]</w:t>
      </w:r>
    </w:p>
    <w:p w14:paraId="7F423CA4" w14:textId="7A0AD5F6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95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Wilcox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Fawley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Wigglesworth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Parnell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Verity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Freeman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Comparison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effect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detergent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hypochlorite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cleaning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environmental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contamination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incidence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2003;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109-114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12818583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10.1016/s0195-6701(02)00400-0]</w:t>
      </w:r>
    </w:p>
    <w:p w14:paraId="2B1D5A50" w14:textId="16FC08F2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96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Mayfield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Leet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Miller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Mundy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LM.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Environmental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control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reduce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transmission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995-1000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11049782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10.1086/318149]</w:t>
      </w:r>
    </w:p>
    <w:p w14:paraId="201E76EC" w14:textId="3AB7BF4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97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Eckstein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BC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Adams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Eckstein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EC,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Rao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Sethi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Yadavalli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GK,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Donskey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Reduction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Clostridium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vancomycin-resistant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Enterococcus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contamination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environmental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surfaces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after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intervention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improve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cleaning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methods.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2007;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61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17584935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10.1186/1471-2334-7-61]</w:t>
      </w:r>
    </w:p>
    <w:p w14:paraId="4BC4F6A1" w14:textId="6CAA421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lastRenderedPageBreak/>
        <w:t>98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Moon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Singal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AG,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Tapper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EB.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Contemporary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Epidemiology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Chronic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Liver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Disease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Cirrhosis.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2020;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2650-2666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31401364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10.1016/j.cgh.2019.07.060]</w:t>
      </w:r>
    </w:p>
    <w:p w14:paraId="5E364F7C" w14:textId="3533434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99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071046">
        <w:rPr>
          <w:rFonts w:ascii="Book Antiqua" w:eastAsia="Book Antiqua" w:hAnsi="Book Antiqua" w:cs="Book Antiqua"/>
          <w:color w:val="000000"/>
        </w:rPr>
        <w:t>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Feuerstadt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Brandt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LJ.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MELD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predictor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short-term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mortality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cirrhotic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difficile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infection.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333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2019;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071046">
        <w:rPr>
          <w:rFonts w:ascii="Book Antiqua" w:eastAsia="Book Antiqua" w:hAnsi="Book Antiqua" w:cs="Book Antiqua"/>
          <w:color w:val="000000"/>
        </w:rPr>
        <w:t>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275-280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[PMID: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30172651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DOI: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10.1016/j.dld.2018.07.032]</w:t>
      </w:r>
    </w:p>
    <w:bookmarkEnd w:id="5"/>
    <w:p w14:paraId="64942F72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0710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ED1BBB" w14:textId="7777777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A4D9D50" w14:textId="7281487E" w:rsidR="00A77B3E" w:rsidRDefault="001647D8" w:rsidP="0007104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protocol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reviewed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Research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Department.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deemed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1046">
        <w:rPr>
          <w:rFonts w:ascii="Book Antiqua" w:eastAsia="Book Antiqua" w:hAnsi="Book Antiqua" w:cs="Book Antiqua"/>
          <w:color w:val="000000"/>
        </w:rPr>
        <w:t>population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based</w:t>
      </w:r>
      <w:proofErr w:type="gram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study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patient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identifiers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need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IRB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approval.</w:t>
      </w:r>
    </w:p>
    <w:p w14:paraId="64C6FE0F" w14:textId="410D820E" w:rsidR="00933339" w:rsidRDefault="00933339" w:rsidP="0007104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E432F8C" w14:textId="26BE1E93" w:rsidR="00933339" w:rsidRPr="00071046" w:rsidRDefault="00933339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37D48">
        <w:rPr>
          <w:rFonts w:ascii="Book Antiqua" w:hAnsi="Book Antiqua"/>
          <w:b/>
        </w:rPr>
        <w:t>Informed consent statement</w:t>
      </w:r>
      <w:r w:rsidRPr="00A37D48">
        <w:rPr>
          <w:rFonts w:ascii="Book Antiqua" w:hAnsi="Book Antiqua"/>
          <w:b/>
          <w:iCs/>
          <w:color w:val="000000"/>
        </w:rPr>
        <w:t xml:space="preserve">: </w:t>
      </w:r>
      <w:r w:rsidRPr="00A37D48">
        <w:rPr>
          <w:rFonts w:ascii="Book Antiqua" w:hAnsi="Book Antiqua"/>
        </w:rPr>
        <w:t>Patients were not required to give informed consent to the study because the analysis used anonymous clinical data that were obtained after each patient agreed to treatment by written consent.</w:t>
      </w:r>
    </w:p>
    <w:p w14:paraId="6E98F1BB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7E93CF" w14:textId="284F8552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All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authors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report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conflicts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of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interests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(personal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financial).</w:t>
      </w:r>
    </w:p>
    <w:p w14:paraId="1EF9563A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6DA372" w14:textId="1136E9F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datasets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generated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analysed</w:t>
      </w:r>
      <w:proofErr w:type="spellEnd"/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reasonable</w:t>
      </w:r>
      <w:r w:rsidR="009333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  <w:shd w:val="clear" w:color="auto" w:fill="FFFFFF"/>
        </w:rPr>
        <w:t>request</w:t>
      </w:r>
    </w:p>
    <w:p w14:paraId="2F2424FB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AB7F7D" w14:textId="5BD165EE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authors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have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read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STROBE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Statement,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manuscript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prepared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revised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according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STROBE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Statement.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</w:p>
    <w:p w14:paraId="06468AC6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466F6C" w14:textId="4BA6A646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article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open-access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article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that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was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selected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in-house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editor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fully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peer-reviewed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external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reviewers.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distributed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accordance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with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Creative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Commons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Attribution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(CC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BY-NC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4.0)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license,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which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permits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others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to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distribute,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remix,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adapt,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build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upon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work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non-commercially,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license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their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derivative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works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on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different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terms,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provided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original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work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properly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the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use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is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non-commercial.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See: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82D637E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04EA9C5" w14:textId="24589F46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Manuscript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source: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Unsolicited</w:t>
      </w:r>
      <w:r w:rsidR="00933339">
        <w:rPr>
          <w:rFonts w:ascii="Book Antiqua" w:eastAsia="Book Antiqua" w:hAnsi="Book Antiqua" w:cs="Book Antiqua"/>
          <w:color w:val="000000"/>
        </w:rPr>
        <w:t xml:space="preserve"> m</w:t>
      </w:r>
      <w:r w:rsidRPr="00071046">
        <w:rPr>
          <w:rFonts w:ascii="Book Antiqua" w:eastAsia="Book Antiqua" w:hAnsi="Book Antiqua" w:cs="Book Antiqua"/>
          <w:color w:val="000000"/>
        </w:rPr>
        <w:t>anuscript</w:t>
      </w:r>
    </w:p>
    <w:p w14:paraId="24D3D1F8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2AE40B" w14:textId="63C2A3CE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Peer-review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started: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8,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2021</w:t>
      </w:r>
    </w:p>
    <w:p w14:paraId="217B68BE" w14:textId="1B35A4B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decision: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June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7,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2021</w:t>
      </w:r>
    </w:p>
    <w:p w14:paraId="166E067C" w14:textId="45528476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Article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in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press: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5FB8523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2F4B21" w14:textId="3649BE59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Specialty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type: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Gastroenterology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and</w:t>
      </w:r>
      <w:r w:rsidR="00933339">
        <w:rPr>
          <w:rFonts w:ascii="Book Antiqua" w:eastAsia="Book Antiqua" w:hAnsi="Book Antiqua" w:cs="Book Antiqua"/>
          <w:color w:val="000000"/>
        </w:rPr>
        <w:t xml:space="preserve"> h</w:t>
      </w:r>
      <w:r w:rsidRPr="00071046">
        <w:rPr>
          <w:rFonts w:ascii="Book Antiqua" w:eastAsia="Book Antiqua" w:hAnsi="Book Antiqua" w:cs="Book Antiqua"/>
          <w:color w:val="000000"/>
        </w:rPr>
        <w:t>epatology</w:t>
      </w:r>
    </w:p>
    <w:p w14:paraId="4A6232C4" w14:textId="30C77738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Country/Territory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of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origin: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United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States</w:t>
      </w:r>
    </w:p>
    <w:p w14:paraId="344253C2" w14:textId="69A8104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t>Peer-review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report’s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scientific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quality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F94090C" w14:textId="34B27E92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Grade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(Excellent):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</w:t>
      </w:r>
    </w:p>
    <w:p w14:paraId="1D2C0DD1" w14:textId="6170D28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Grade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B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(Very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good):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</w:t>
      </w:r>
    </w:p>
    <w:p w14:paraId="3E1AD987" w14:textId="134E09A2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Grade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(Good):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C</w:t>
      </w:r>
    </w:p>
    <w:p w14:paraId="2717D847" w14:textId="1488607D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Grade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D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(Fair):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</w:t>
      </w:r>
    </w:p>
    <w:p w14:paraId="58D0D32A" w14:textId="56F827CC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color w:val="000000"/>
        </w:rPr>
        <w:t>Grade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E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(Poor):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0</w:t>
      </w:r>
    </w:p>
    <w:p w14:paraId="5E41D503" w14:textId="77777777" w:rsidR="00A77B3E" w:rsidRPr="00071046" w:rsidRDefault="00A77B3E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95BD5E" w14:textId="2A014D37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0710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71046">
        <w:rPr>
          <w:rFonts w:ascii="Book Antiqua" w:eastAsia="Book Antiqua" w:hAnsi="Book Antiqua" w:cs="Book Antiqua"/>
          <w:b/>
          <w:color w:val="000000"/>
        </w:rPr>
        <w:t>P-Reviewer: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Gupta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MK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S-Editor: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Ma</w:t>
      </w:r>
      <w:r w:rsidR="00933339">
        <w:rPr>
          <w:rFonts w:ascii="Book Antiqua" w:eastAsia="Book Antiqua" w:hAnsi="Book Antiqua" w:cs="Book Antiqua"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color w:val="000000"/>
        </w:rPr>
        <w:t>YJ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L-Editor: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 </w:t>
      </w:r>
      <w:r w:rsidRPr="00071046">
        <w:rPr>
          <w:rFonts w:ascii="Book Antiqua" w:eastAsia="Book Antiqua" w:hAnsi="Book Antiqua" w:cs="Book Antiqua"/>
          <w:b/>
          <w:color w:val="000000"/>
        </w:rPr>
        <w:t>P-Editor: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18E7A7D" w14:textId="753E0F8E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71046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333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color w:val="000000"/>
        </w:rPr>
        <w:t>Legends</w:t>
      </w:r>
    </w:p>
    <w:p w14:paraId="01FE0839" w14:textId="77777777" w:rsidR="00071046" w:rsidRPr="00071046" w:rsidRDefault="00071046" w:rsidP="0007104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071046">
        <w:rPr>
          <w:rFonts w:ascii="Book Antiqua" w:hAnsi="Book Antiqua"/>
          <w:noProof/>
          <w:lang w:eastAsia="zh-CN"/>
        </w:rPr>
        <w:drawing>
          <wp:inline distT="0" distB="0" distL="0" distR="0" wp14:anchorId="112EE9AC" wp14:editId="4FC72B53">
            <wp:extent cx="3822896" cy="2311519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2896" cy="231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E1B19" w14:textId="3C21C916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1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Prevalence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Clostridioides</w:t>
      </w:r>
      <w:proofErr w:type="spellEnd"/>
      <w:r w:rsidR="0093333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infection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cirrhosis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no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cirrhosis.</w:t>
      </w:r>
    </w:p>
    <w:p w14:paraId="2BB23DE4" w14:textId="77777777" w:rsidR="00071046" w:rsidRPr="00071046" w:rsidRDefault="00071046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071046">
        <w:rPr>
          <w:rFonts w:ascii="Book Antiqua" w:hAnsi="Book Antiqua" w:cs="Book Antiqua"/>
          <w:b/>
          <w:bCs/>
          <w:color w:val="000000"/>
          <w:lang w:eastAsia="zh-CN"/>
        </w:rPr>
        <w:br w:type="page"/>
      </w:r>
      <w:r w:rsidRPr="00071046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6D5DFB4" wp14:editId="75F3B9FB">
            <wp:extent cx="3378374" cy="219086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8374" cy="219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D19F3" w14:textId="215746D8" w:rsidR="00A77B3E" w:rsidRPr="00071046" w:rsidRDefault="001647D8" w:rsidP="0007104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07104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2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Prevalence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Clostridioides</w:t>
      </w:r>
      <w:proofErr w:type="spellEnd"/>
      <w:r w:rsidR="0093333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i/>
          <w:iCs/>
          <w:color w:val="000000"/>
        </w:rPr>
        <w:t>difficile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infection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cirrhotic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based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on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etiology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333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1046">
        <w:rPr>
          <w:rFonts w:ascii="Book Antiqua" w:eastAsia="Book Antiqua" w:hAnsi="Book Antiqua" w:cs="Book Antiqua"/>
          <w:b/>
          <w:bCs/>
          <w:color w:val="000000"/>
        </w:rPr>
        <w:t>cirrhosis.</w:t>
      </w:r>
    </w:p>
    <w:p w14:paraId="5BD970D4" w14:textId="57C6E2C2" w:rsidR="00071046" w:rsidRPr="00071046" w:rsidRDefault="00071046" w:rsidP="00071046">
      <w:pPr>
        <w:adjustRightInd w:val="0"/>
        <w:snapToGrid w:val="0"/>
        <w:spacing w:line="360" w:lineRule="auto"/>
        <w:jc w:val="both"/>
        <w:rPr>
          <w:rFonts w:ascii="Book Antiqua" w:eastAsia="宋体" w:hAnsi="Book Antiqua" w:cs="Calibri"/>
          <w:b/>
          <w:bCs/>
          <w:color w:val="000000" w:themeColor="text1"/>
          <w:kern w:val="24"/>
          <w:lang w:eastAsia="zh-CN"/>
        </w:rPr>
      </w:pPr>
      <w:r w:rsidRPr="00071046">
        <w:rPr>
          <w:rFonts w:ascii="Book Antiqua" w:hAnsi="Book Antiqua" w:cs="Book Antiqua"/>
          <w:b/>
          <w:bCs/>
          <w:color w:val="000000"/>
          <w:lang w:eastAsia="zh-CN"/>
        </w:rPr>
        <w:br w:type="page"/>
      </w:r>
      <w:r w:rsidRPr="00071046">
        <w:rPr>
          <w:rFonts w:ascii="Book Antiqua" w:eastAsia="宋体" w:hAnsi="Book Antiqua" w:cs="Calibri"/>
          <w:b/>
          <w:bCs/>
          <w:caps/>
          <w:color w:val="000000" w:themeColor="text1"/>
          <w:kern w:val="24"/>
        </w:rPr>
        <w:lastRenderedPageBreak/>
        <w:t>t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able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1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aps/>
          <w:color w:val="000000" w:themeColor="text1"/>
          <w:kern w:val="24"/>
        </w:rPr>
        <w:t>b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aseline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characteristics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of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study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population,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i/>
          <w:color w:val="000000" w:themeColor="text1"/>
          <w:kern w:val="24"/>
        </w:rPr>
        <w:t>n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(%)</w:t>
      </w:r>
    </w:p>
    <w:tbl>
      <w:tblPr>
        <w:tblW w:w="9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3685"/>
        <w:gridCol w:w="3544"/>
      </w:tblGrid>
      <w:tr w:rsidR="00071046" w:rsidRPr="00071046" w14:paraId="4065CE84" w14:textId="77777777" w:rsidTr="00933339">
        <w:trPr>
          <w:trHeight w:val="947"/>
        </w:trPr>
        <w:tc>
          <w:tcPr>
            <w:tcW w:w="2045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FCA6CAD" w14:textId="77777777" w:rsidR="00071046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5C1C64E" w14:textId="65205D07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b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Patients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with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history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of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liver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cirrhosis</w:t>
            </w:r>
            <w:r w:rsidR="00933339">
              <w:rPr>
                <w:rFonts w:ascii="Book Antiqua" w:eastAsia="宋体" w:hAnsi="Book Antiqua" w:cs="Calibri" w:hint="eastAsia"/>
                <w:b/>
                <w:color w:val="000000" w:themeColor="text1"/>
                <w:kern w:val="24"/>
                <w:lang w:eastAsia="zh-CN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(</w:t>
            </w:r>
            <w:r w:rsidRPr="00071046">
              <w:rPr>
                <w:rFonts w:ascii="Book Antiqua" w:eastAsia="宋体" w:hAnsi="Book Antiqua" w:cs="Calibri"/>
                <w:b/>
                <w:i/>
                <w:color w:val="000000" w:themeColor="text1"/>
                <w:kern w:val="24"/>
              </w:rPr>
              <w:t>n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=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133400)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927A15A" w14:textId="62597444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b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Pati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ents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with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no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history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of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liver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cir</w:t>
            </w:r>
            <w:r w:rsidRPr="0099192B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rhosis</w:t>
            </w:r>
            <w:r w:rsidR="00933339">
              <w:rPr>
                <w:rFonts w:ascii="Book Antiqua" w:eastAsia="宋体" w:hAnsi="Book Antiqua" w:cs="Calibri" w:hint="eastAsia"/>
                <w:b/>
                <w:color w:val="000000" w:themeColor="text1"/>
                <w:kern w:val="24"/>
                <w:lang w:eastAsia="zh-CN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(</w:t>
            </w:r>
            <w:r w:rsidRPr="00071046">
              <w:rPr>
                <w:rFonts w:ascii="Book Antiqua" w:eastAsia="宋体" w:hAnsi="Book Antiqua" w:cs="Calibri"/>
                <w:b/>
                <w:i/>
                <w:color w:val="000000" w:themeColor="text1"/>
                <w:kern w:val="24"/>
              </w:rPr>
              <w:t>n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=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19</w:t>
            </w:r>
            <w:r w:rsidRPr="0099192B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25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4</w:t>
            </w:r>
            <w:r w:rsidRPr="0099192B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360)</w:t>
            </w:r>
          </w:p>
        </w:tc>
      </w:tr>
      <w:tr w:rsidR="00071046" w:rsidRPr="00071046" w14:paraId="7D19C2D2" w14:textId="77777777" w:rsidTr="00933339">
        <w:trPr>
          <w:trHeight w:val="251"/>
        </w:trPr>
        <w:tc>
          <w:tcPr>
            <w:tcW w:w="2045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CB0691C" w14:textId="52703870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aps/>
                <w:color w:val="000000" w:themeColor="text1"/>
                <w:kern w:val="24"/>
              </w:rPr>
              <w:t>A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ge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groups</w:t>
            </w:r>
            <w:r w:rsidR="00933339">
              <w:rPr>
                <w:rFonts w:ascii="Book Antiqua" w:eastAsia="宋体" w:hAnsi="Book Antiqua" w:cs="Calibri"/>
                <w:b/>
                <w:bCs/>
                <w:cap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aps/>
                <w:color w:val="000000" w:themeColor="text1"/>
                <w:kern w:val="24"/>
              </w:rPr>
              <w:t>(</w:t>
            </w:r>
            <w:proofErr w:type="spellStart"/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yr</w:t>
            </w:r>
            <w:proofErr w:type="spellEnd"/>
            <w:r w:rsidRPr="0099192B">
              <w:rPr>
                <w:rFonts w:ascii="Book Antiqua" w:eastAsia="宋体" w:hAnsi="Book Antiqua" w:cs="Calibri"/>
                <w:b/>
                <w:bCs/>
                <w:caps/>
                <w:color w:val="000000" w:themeColor="text1"/>
                <w:kern w:val="24"/>
              </w:rPr>
              <w:t>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6BD11C4" w14:textId="387B86A9" w:rsidR="0099192B" w:rsidRPr="0099192B" w:rsidRDefault="00933339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E5F67B2" w14:textId="2797DDF4" w:rsidR="0099192B" w:rsidRPr="0099192B" w:rsidRDefault="00933339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</w:p>
        </w:tc>
      </w:tr>
      <w:tr w:rsidR="00071046" w:rsidRPr="00071046" w14:paraId="0827AB06" w14:textId="77777777" w:rsidTr="00933339">
        <w:trPr>
          <w:trHeight w:val="251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053E41A" w14:textId="77777777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b/>
                <w:bCs/>
                <w:caps/>
                <w:color w:val="000000" w:themeColor="text1"/>
                <w:kern w:val="24"/>
              </w:rPr>
              <w:t>20-64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D62B65B" w14:textId="66B06453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73620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(55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1EFA6CAB" w14:textId="2AD5A796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14934590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(78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44FDE288" w14:textId="77777777" w:rsidTr="00933339">
        <w:trPr>
          <w:trHeight w:val="251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4D8C2EB" w14:textId="27D1E6D6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b/>
                <w:bCs/>
                <w:caps/>
                <w:color w:val="000000" w:themeColor="text1"/>
                <w:kern w:val="24"/>
              </w:rPr>
              <w:t>&gt;</w:t>
            </w:r>
            <w:r w:rsidR="00933339">
              <w:rPr>
                <w:rFonts w:ascii="Book Antiqua" w:eastAsia="宋体" w:hAnsi="Book Antiqua" w:cs="Calibri"/>
                <w:b/>
                <w:bCs/>
                <w:caps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b/>
                <w:bCs/>
                <w:caps/>
                <w:color w:val="000000" w:themeColor="text1"/>
                <w:kern w:val="24"/>
              </w:rPr>
              <w:t>65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3ABAA4FC" w14:textId="759C8CB8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59780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(45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25583BE1" w14:textId="5ABF1551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4319770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(22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007CF890" w14:textId="77777777" w:rsidTr="00933339">
        <w:trPr>
          <w:trHeight w:val="251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AE8534C" w14:textId="77777777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Gender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DD066EC" w14:textId="27AE77F4" w:rsidR="0099192B" w:rsidRPr="0099192B" w:rsidRDefault="00933339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F093D2E" w14:textId="0CE51C8E" w:rsidR="0099192B" w:rsidRPr="0099192B" w:rsidRDefault="00933339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</w:p>
        </w:tc>
      </w:tr>
      <w:tr w:rsidR="00071046" w:rsidRPr="00071046" w14:paraId="19EDD8CA" w14:textId="77777777" w:rsidTr="00933339">
        <w:trPr>
          <w:trHeight w:val="251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5586089" w14:textId="77777777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Male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3A7C58C3" w14:textId="2A74EB48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71230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(53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4F6612D8" w14:textId="6D36311F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8702330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(45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127A1CE5" w14:textId="77777777" w:rsidTr="00933339">
        <w:trPr>
          <w:trHeight w:val="251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4A27B93" w14:textId="77777777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Female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786B8719" w14:textId="5F071941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62170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(47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02ABBF9" w14:textId="4E06CCD6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10552030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(55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03DBCB55" w14:textId="77777777" w:rsidTr="00933339">
        <w:trPr>
          <w:trHeight w:val="251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1B34412" w14:textId="77777777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Race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547604D" w14:textId="24426E88" w:rsidR="0099192B" w:rsidRPr="0099192B" w:rsidRDefault="00933339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E4623E5" w14:textId="778BAF1C" w:rsidR="0099192B" w:rsidRPr="0099192B" w:rsidRDefault="00933339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</w:p>
        </w:tc>
      </w:tr>
      <w:tr w:rsidR="00071046" w:rsidRPr="00071046" w14:paraId="6B6A267F" w14:textId="77777777" w:rsidTr="00933339">
        <w:trPr>
          <w:trHeight w:val="251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21425C4" w14:textId="77777777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Caucasian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79F99848" w14:textId="0CCAF86F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101680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(76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7753F851" w14:textId="3D1F750C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11165060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(58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1112402E" w14:textId="77777777" w:rsidTr="00933339">
        <w:trPr>
          <w:trHeight w:val="251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253C5B4" w14:textId="3FF9306E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Non-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C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aucasian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42D47610" w14:textId="35BC8477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31720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(24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BC21E53" w14:textId="5A31630B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8089300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(42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4B3EB70C" w14:textId="77777777" w:rsidTr="00933339">
        <w:trPr>
          <w:trHeight w:val="251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434D917" w14:textId="77777777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Comorbidities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A78F98E" w14:textId="3A95FC80" w:rsidR="0099192B" w:rsidRPr="0099192B" w:rsidRDefault="00933339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E0AB141" w14:textId="7531A57B" w:rsidR="0099192B" w:rsidRPr="0099192B" w:rsidRDefault="00933339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</w:p>
        </w:tc>
      </w:tr>
      <w:tr w:rsidR="00071046" w:rsidRPr="00071046" w14:paraId="5459ABCA" w14:textId="77777777" w:rsidTr="00933339">
        <w:trPr>
          <w:trHeight w:val="251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001162F" w14:textId="77777777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Smoking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4BCE637" w14:textId="668E0FA4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54400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(41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DD876FD" w14:textId="1EC50BEE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2985460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(16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1DC657E5" w14:textId="77777777" w:rsidTr="00933339">
        <w:trPr>
          <w:trHeight w:val="251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F204318" w14:textId="054A7C7A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Alcohol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abuse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3BAB9F9" w14:textId="389624B2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30040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(23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D7D5F86" w14:textId="76973266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359900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(2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5743C715" w14:textId="77777777" w:rsidTr="00933339">
        <w:trPr>
          <w:trHeight w:val="251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D26B937" w14:textId="77777777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HTN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319C68B2" w14:textId="2ED11F62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100830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(76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86935DA" w14:textId="514C7F70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5307920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(28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1DC26237" w14:textId="77777777" w:rsidTr="00933339">
        <w:trPr>
          <w:trHeight w:val="251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E395721" w14:textId="77777777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b/>
                <w:bCs/>
                <w:caps/>
                <w:color w:val="000000" w:themeColor="text1"/>
                <w:kern w:val="24"/>
              </w:rPr>
              <w:t>DM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8D07969" w14:textId="6C2AED8C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63770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(48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0CE849D" w14:textId="70D29887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2211420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(11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43F77941" w14:textId="77777777" w:rsidTr="00933339">
        <w:trPr>
          <w:trHeight w:val="251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53E9007" w14:textId="77777777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Obesity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C28314A" w14:textId="58125C88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24400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(18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7CF7A810" w14:textId="408567ED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1148460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(6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32A33D84" w14:textId="77777777" w:rsidTr="00933339">
        <w:trPr>
          <w:trHeight w:val="544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7F38DCE" w14:textId="433D1C1A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Chronic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kidney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disease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2593CD7D" w14:textId="3B6FE733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33640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(25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323EE9FC" w14:textId="1A2FD4C9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853630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(4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3E5CA78A" w14:textId="77777777" w:rsidTr="00933339">
        <w:trPr>
          <w:trHeight w:val="544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B7BCA0B" w14:textId="1734C6F1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Coronary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artery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disease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1702E0B7" w14:textId="23FCFAC0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6280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(5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473825A" w14:textId="30DB18E0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229410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(1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688FB3D3" w14:textId="77777777" w:rsidTr="00933339">
        <w:trPr>
          <w:trHeight w:val="251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39421BE" w14:textId="63D103CE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Heart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failure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4DF29DF" w14:textId="6642C822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39960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(30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0564486" w14:textId="6E22B2DD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761710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(4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  <w:tr w:rsidR="00071046" w:rsidRPr="00071046" w14:paraId="4E3DD684" w14:textId="77777777" w:rsidTr="00933339">
        <w:trPr>
          <w:trHeight w:val="544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BF29C1D" w14:textId="5640E3A6" w:rsidR="0099192B" w:rsidRPr="0099192B" w:rsidRDefault="00071046" w:rsidP="0093333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color w:val="000000" w:themeColor="text1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Chronic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obstructive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pulmonary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disease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55BE50B" w14:textId="0F73440A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42740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(32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416EAF09" w14:textId="0126D2DB" w:rsidR="0099192B" w:rsidRPr="0099192B" w:rsidRDefault="00071046" w:rsidP="0093333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color w:val="000000" w:themeColor="text1"/>
              </w:rPr>
            </w:pP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986400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9192B">
              <w:rPr>
                <w:rFonts w:ascii="Book Antiqua" w:eastAsia="宋体" w:hAnsi="Book Antiqua" w:cs="Calibri"/>
                <w:color w:val="000000" w:themeColor="text1"/>
                <w:kern w:val="24"/>
              </w:rPr>
              <w:t>(5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)</w:t>
            </w:r>
          </w:p>
        </w:tc>
      </w:tr>
    </w:tbl>
    <w:p w14:paraId="355B7586" w14:textId="6AE92C1D" w:rsidR="00071046" w:rsidRPr="00071046" w:rsidRDefault="00071046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071046">
        <w:rPr>
          <w:rFonts w:ascii="Book Antiqua" w:hAnsi="Book Antiqua"/>
          <w:lang w:eastAsia="zh-CN"/>
        </w:rPr>
        <w:lastRenderedPageBreak/>
        <w:t>DM:</w:t>
      </w:r>
      <w:r w:rsidR="00933339">
        <w:rPr>
          <w:rFonts w:ascii="Book Antiqua" w:hAnsi="Book Antiqua"/>
          <w:lang w:eastAsia="zh-CN"/>
        </w:rPr>
        <w:t xml:space="preserve"> </w:t>
      </w:r>
      <w:r w:rsidRPr="00071046">
        <w:rPr>
          <w:rFonts w:ascii="Book Antiqua" w:hAnsi="Book Antiqua"/>
          <w:caps/>
          <w:lang w:eastAsia="zh-CN"/>
        </w:rPr>
        <w:t>d</w:t>
      </w:r>
      <w:r w:rsidRPr="00071046">
        <w:rPr>
          <w:rFonts w:ascii="Book Antiqua" w:hAnsi="Book Antiqua"/>
          <w:lang w:eastAsia="zh-CN"/>
        </w:rPr>
        <w:t>iabetes</w:t>
      </w:r>
      <w:r w:rsidR="00933339">
        <w:rPr>
          <w:rFonts w:ascii="Book Antiqua" w:hAnsi="Book Antiqua"/>
          <w:lang w:eastAsia="zh-CN"/>
        </w:rPr>
        <w:t xml:space="preserve"> </w:t>
      </w:r>
      <w:r w:rsidRPr="00071046">
        <w:rPr>
          <w:rFonts w:ascii="Book Antiqua" w:hAnsi="Book Antiqua"/>
          <w:lang w:eastAsia="zh-CN"/>
        </w:rPr>
        <w:t>mellitus.</w:t>
      </w:r>
    </w:p>
    <w:p w14:paraId="10B85AEB" w14:textId="4CBBED52" w:rsidR="00071046" w:rsidRPr="00071046" w:rsidRDefault="00071046" w:rsidP="00071046">
      <w:pPr>
        <w:adjustRightInd w:val="0"/>
        <w:snapToGrid w:val="0"/>
        <w:spacing w:line="360" w:lineRule="auto"/>
        <w:jc w:val="both"/>
        <w:rPr>
          <w:rFonts w:ascii="Book Antiqua" w:eastAsia="宋体" w:hAnsi="Book Antiqua" w:cs="Calibri"/>
          <w:b/>
          <w:bCs/>
          <w:color w:val="000000" w:themeColor="text1"/>
          <w:kern w:val="24"/>
          <w:lang w:eastAsia="zh-CN"/>
        </w:rPr>
      </w:pPr>
      <w:r w:rsidRPr="00071046">
        <w:rPr>
          <w:rFonts w:ascii="Book Antiqua" w:hAnsi="Book Antiqua"/>
          <w:lang w:eastAsia="zh-CN"/>
        </w:rPr>
        <w:br w:type="page"/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lastRenderedPageBreak/>
        <w:t>Table</w:t>
      </w:r>
      <w:r w:rsidR="00933339">
        <w:rPr>
          <w:rFonts w:ascii="Book Antiqua" w:eastAsia="宋体" w:hAnsi="Book Antiqua" w:cs="Calibri" w:hint="eastAsia"/>
          <w:b/>
          <w:bCs/>
          <w:color w:val="000000" w:themeColor="text1"/>
          <w:kern w:val="24"/>
          <w:lang w:eastAsia="zh-CN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2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Prevalence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of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proofErr w:type="spellStart"/>
      <w:r w:rsidRPr="00071046">
        <w:rPr>
          <w:rFonts w:ascii="Book Antiqua" w:eastAsia="宋体" w:hAnsi="Book Antiqua" w:cs="Calibri"/>
          <w:b/>
          <w:bCs/>
          <w:i/>
          <w:color w:val="000000" w:themeColor="text1"/>
          <w:kern w:val="24"/>
        </w:rPr>
        <w:t>Clostridioides</w:t>
      </w:r>
      <w:proofErr w:type="spellEnd"/>
      <w:r w:rsidR="00933339">
        <w:rPr>
          <w:rFonts w:ascii="Book Antiqua" w:eastAsia="宋体" w:hAnsi="Book Antiqua" w:cs="Calibri"/>
          <w:b/>
          <w:bCs/>
          <w:i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i/>
          <w:color w:val="000000" w:themeColor="text1"/>
          <w:kern w:val="24"/>
        </w:rPr>
        <w:t>difficile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infection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in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different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age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and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race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groups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in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patients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with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liver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cirrhosis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i/>
          <w:color w:val="000000" w:themeColor="text1"/>
          <w:kern w:val="24"/>
        </w:rPr>
        <w:t>vs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="00F0155E">
        <w:rPr>
          <w:rFonts w:ascii="Book Antiqua" w:eastAsia="宋体" w:hAnsi="Book Antiqua" w:cs="Calibri"/>
          <w:b/>
          <w:bCs/>
          <w:color w:val="000000" w:themeColor="text1"/>
          <w:kern w:val="24"/>
        </w:rPr>
        <w:t>no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="00F0155E">
        <w:rPr>
          <w:rFonts w:ascii="Book Antiqua" w:eastAsia="宋体" w:hAnsi="Book Antiqua" w:cs="Calibri"/>
          <w:b/>
          <w:bCs/>
          <w:color w:val="000000" w:themeColor="text1"/>
          <w:kern w:val="24"/>
        </w:rPr>
        <w:t>cirrhosis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="00F0155E">
        <w:rPr>
          <w:rFonts w:ascii="Book Antiqua" w:eastAsia="宋体" w:hAnsi="Book Antiqua" w:cs="Calibri"/>
          <w:b/>
          <w:bCs/>
          <w:color w:val="000000" w:themeColor="text1"/>
          <w:kern w:val="24"/>
        </w:rPr>
        <w:t>(per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="00F0155E">
        <w:rPr>
          <w:rFonts w:ascii="Book Antiqua" w:eastAsia="宋体" w:hAnsi="Book Antiqua" w:cs="Calibri"/>
          <w:b/>
          <w:bCs/>
          <w:color w:val="000000" w:themeColor="text1"/>
          <w:kern w:val="24"/>
        </w:rPr>
        <w:t>100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000)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071046" w:rsidRPr="00760C2B" w14:paraId="081E82E2" w14:textId="77777777" w:rsidTr="004E3E12">
        <w:tc>
          <w:tcPr>
            <w:tcW w:w="312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84968E" w14:textId="0276F634" w:rsidR="00760C2B" w:rsidRPr="00760C2B" w:rsidRDefault="00933339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b/>
              </w:rPr>
            </w:pPr>
            <w:r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908D5D" w14:textId="4818016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b/>
              </w:rPr>
            </w:pP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Liver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cirrhosis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8C2970" w14:textId="39058C71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  <w:b/>
              </w:rPr>
            </w:pP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No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cirrhosis</w:t>
            </w:r>
          </w:p>
        </w:tc>
      </w:tr>
      <w:tr w:rsidR="00071046" w:rsidRPr="00760C2B" w14:paraId="4B341C09" w14:textId="77777777" w:rsidTr="004E3E12">
        <w:trPr>
          <w:trHeight w:val="300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8FDFBC" w14:textId="3416BD1A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Female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86FBA6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176.93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70ECAB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23.31</w:t>
            </w:r>
          </w:p>
        </w:tc>
      </w:tr>
      <w:tr w:rsidR="00071046" w:rsidRPr="00760C2B" w14:paraId="5C074102" w14:textId="77777777" w:rsidTr="004E3E12">
        <w:trPr>
          <w:trHeight w:val="300"/>
        </w:trPr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245CCA" w14:textId="1E329278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Male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086ADA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112.31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F81340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14.34</w:t>
            </w:r>
          </w:p>
        </w:tc>
      </w:tr>
      <w:tr w:rsidR="00071046" w:rsidRPr="00760C2B" w14:paraId="73A15CD3" w14:textId="77777777" w:rsidTr="004E3E12">
        <w:trPr>
          <w:trHeight w:val="300"/>
        </w:trPr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55E3DD" w14:textId="01A4400E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Caucasian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134B9D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147.52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486D9A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26.87</w:t>
            </w:r>
          </w:p>
        </w:tc>
      </w:tr>
      <w:tr w:rsidR="00071046" w:rsidRPr="00760C2B" w14:paraId="7D01B14B" w14:textId="77777777" w:rsidTr="004E3E12">
        <w:trPr>
          <w:trHeight w:val="300"/>
        </w:trPr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72FE1F" w14:textId="776A4393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African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American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8B9B4B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54.59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D15048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7.34</w:t>
            </w:r>
          </w:p>
        </w:tc>
      </w:tr>
      <w:tr w:rsidR="00071046" w:rsidRPr="00760C2B" w14:paraId="33726562" w14:textId="77777777" w:rsidTr="004E3E12">
        <w:trPr>
          <w:trHeight w:val="300"/>
        </w:trPr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FB93F7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Hispanic/Latino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683F2E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257.73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4C7005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10.96</w:t>
            </w:r>
          </w:p>
        </w:tc>
      </w:tr>
    </w:tbl>
    <w:p w14:paraId="46A82ADB" w14:textId="49D4FC82" w:rsidR="00071046" w:rsidRPr="00071046" w:rsidRDefault="00071046" w:rsidP="00071046">
      <w:pPr>
        <w:adjustRightInd w:val="0"/>
        <w:snapToGrid w:val="0"/>
        <w:spacing w:line="360" w:lineRule="auto"/>
        <w:jc w:val="both"/>
        <w:rPr>
          <w:rFonts w:ascii="Book Antiqua" w:eastAsia="宋体" w:hAnsi="Book Antiqua" w:cs="Calibri"/>
          <w:b/>
          <w:bCs/>
          <w:color w:val="000000" w:themeColor="text1"/>
          <w:kern w:val="24"/>
          <w:lang w:eastAsia="zh-CN"/>
        </w:rPr>
      </w:pPr>
      <w:r w:rsidRPr="00071046">
        <w:rPr>
          <w:rFonts w:ascii="Book Antiqua" w:hAnsi="Book Antiqua"/>
          <w:lang w:eastAsia="zh-CN"/>
        </w:rPr>
        <w:br w:type="page"/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lastRenderedPageBreak/>
        <w:t>Table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3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Multivariable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model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with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proofErr w:type="spellStart"/>
      <w:r w:rsidRPr="00071046">
        <w:rPr>
          <w:rFonts w:ascii="Book Antiqua" w:eastAsia="宋体" w:hAnsi="Book Antiqua" w:cs="Calibri"/>
          <w:b/>
          <w:bCs/>
          <w:i/>
          <w:color w:val="000000" w:themeColor="text1"/>
          <w:kern w:val="24"/>
        </w:rPr>
        <w:t>Clostridioides</w:t>
      </w:r>
      <w:proofErr w:type="spellEnd"/>
      <w:r w:rsidR="00933339">
        <w:rPr>
          <w:rFonts w:ascii="Book Antiqua" w:eastAsia="宋体" w:hAnsi="Book Antiqua" w:cs="Calibri"/>
          <w:b/>
          <w:bCs/>
          <w:i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i/>
          <w:color w:val="000000" w:themeColor="text1"/>
          <w:kern w:val="24"/>
        </w:rPr>
        <w:t>difficile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infection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being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the</w:t>
      </w:r>
      <w:r w:rsidR="00933339">
        <w:rPr>
          <w:rFonts w:ascii="Book Antiqua" w:eastAsia="宋体" w:hAnsi="Book Antiqua" w:cs="Calibri"/>
          <w:b/>
          <w:bCs/>
          <w:color w:val="000000" w:themeColor="text1"/>
          <w:kern w:val="24"/>
        </w:rPr>
        <w:t xml:space="preserve"> </w:t>
      </w:r>
      <w:r w:rsidRPr="00071046">
        <w:rPr>
          <w:rFonts w:ascii="Book Antiqua" w:eastAsia="宋体" w:hAnsi="Book Antiqua" w:cs="Calibri"/>
          <w:b/>
          <w:bCs/>
          <w:color w:val="000000" w:themeColor="text1"/>
          <w:kern w:val="24"/>
        </w:rPr>
        <w:t>outcome</w:t>
      </w:r>
    </w:p>
    <w:tbl>
      <w:tblPr>
        <w:tblW w:w="11940" w:type="dxa"/>
        <w:tblInd w:w="-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360"/>
        <w:gridCol w:w="3560"/>
        <w:gridCol w:w="2280"/>
      </w:tblGrid>
      <w:tr w:rsidR="00071046" w:rsidRPr="00760C2B" w14:paraId="68BCAF27" w14:textId="77777777" w:rsidTr="00071046">
        <w:trPr>
          <w:trHeight w:val="299"/>
        </w:trPr>
        <w:tc>
          <w:tcPr>
            <w:tcW w:w="3740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80ED9F" w14:textId="7C3C4026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b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Multivariable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model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28D357" w14:textId="7A54109E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b/>
              </w:rPr>
            </w:pP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Odds</w:t>
            </w:r>
            <w:r w:rsidR="00933339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ratio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407DA1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b/>
              </w:rPr>
            </w:pP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95%CI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207F34" w14:textId="0EBCA28E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b/>
              </w:rPr>
            </w:pPr>
            <w:r w:rsidRPr="00071046">
              <w:rPr>
                <w:rFonts w:ascii="Book Antiqua" w:eastAsia="宋体" w:hAnsi="Book Antiqua" w:cs="Calibri"/>
                <w:b/>
                <w:i/>
                <w:color w:val="000000" w:themeColor="text1"/>
                <w:kern w:val="24"/>
              </w:rPr>
              <w:t>P</w:t>
            </w:r>
            <w:r w:rsidR="00933339">
              <w:rPr>
                <w:rFonts w:ascii="Book Antiqua" w:eastAsia="宋体" w:hAnsi="Book Antiqua" w:cs="Calibri"/>
                <w:b/>
                <w:i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color w:val="000000" w:themeColor="text1"/>
                <w:kern w:val="24"/>
              </w:rPr>
              <w:t>value</w:t>
            </w:r>
          </w:p>
        </w:tc>
      </w:tr>
      <w:tr w:rsidR="00071046" w:rsidRPr="00760C2B" w14:paraId="6FE277D0" w14:textId="77777777" w:rsidTr="00071046">
        <w:trPr>
          <w:trHeight w:val="299"/>
        </w:trPr>
        <w:tc>
          <w:tcPr>
            <w:tcW w:w="3740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984D07" w14:textId="578EA20E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Age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(&gt;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65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  <w:lang w:eastAsia="zh-CN"/>
              </w:rPr>
              <w:t>yr</w:t>
            </w:r>
            <w:proofErr w:type="spellEnd"/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  <w:lang w:eastAsia="zh-CN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i/>
                <w:color w:val="000000" w:themeColor="text1"/>
                <w:kern w:val="24"/>
              </w:rPr>
              <w:t>vs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&lt;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65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  <w:lang w:eastAsia="zh-CN"/>
              </w:rPr>
              <w:t xml:space="preserve"> </w:t>
            </w:r>
            <w:proofErr w:type="spellStart"/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  <w:lang w:eastAsia="zh-CN"/>
              </w:rPr>
              <w:t>yr</w:t>
            </w:r>
            <w:proofErr w:type="spellEnd"/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)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FC18F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2.307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177C0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2.179-2.442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9BAA55" w14:textId="44EFF7BB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&lt;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0.0001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</w:p>
        </w:tc>
      </w:tr>
      <w:tr w:rsidR="00071046" w:rsidRPr="00760C2B" w14:paraId="1E73AC77" w14:textId="77777777" w:rsidTr="00071046">
        <w:trPr>
          <w:trHeight w:val="299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1B46FE" w14:textId="3CF1FD27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Gender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(female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i/>
                <w:color w:val="000000" w:themeColor="text1"/>
                <w:kern w:val="24"/>
              </w:rPr>
              <w:t>vs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male)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F75C8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1.29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66EFE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1.221-1.363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6CF158" w14:textId="7C966730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&lt;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0.0001</w:t>
            </w:r>
          </w:p>
        </w:tc>
      </w:tr>
      <w:tr w:rsidR="00071046" w:rsidRPr="00760C2B" w14:paraId="3C421E9A" w14:textId="77777777" w:rsidTr="00071046">
        <w:trPr>
          <w:trHeight w:val="299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AC0F7F" w14:textId="38394BA1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Race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(non-</w:t>
            </w:r>
            <w:r w:rsidRPr="00071046">
              <w:rPr>
                <w:rFonts w:ascii="Book Antiqua" w:eastAsia="宋体" w:hAnsi="Book Antiqua" w:cs="Calibri"/>
                <w:b/>
                <w:bCs/>
                <w:caps/>
                <w:color w:val="000000" w:themeColor="text1"/>
                <w:kern w:val="24"/>
              </w:rPr>
              <w:t>c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aucasian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i/>
                <w:color w:val="000000" w:themeColor="text1"/>
                <w:kern w:val="24"/>
              </w:rPr>
              <w:t>vs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aps/>
                <w:color w:val="000000" w:themeColor="text1"/>
                <w:kern w:val="24"/>
              </w:rPr>
              <w:t>c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aucasian)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B52CE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1.16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4703D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1.088-1.237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52D856" w14:textId="577B65AA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&lt;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0.0001</w:t>
            </w:r>
          </w:p>
        </w:tc>
      </w:tr>
      <w:tr w:rsidR="00071046" w:rsidRPr="00760C2B" w14:paraId="57121D83" w14:textId="77777777" w:rsidTr="00071046">
        <w:trPr>
          <w:trHeight w:val="299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9CDF19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Antibiotics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7A42A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19.749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1B02F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17.3-22.545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60B525" w14:textId="5058EAC6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&lt;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0.0001</w:t>
            </w:r>
          </w:p>
        </w:tc>
      </w:tr>
      <w:tr w:rsidR="00071046" w:rsidRPr="00760C2B" w14:paraId="0379B19D" w14:textId="77777777" w:rsidTr="00071046">
        <w:trPr>
          <w:trHeight w:val="299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0318F5" w14:textId="276F6ED6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Skilled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nursing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facility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or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inpatients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5E33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2.02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79349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1.911-2.134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0A194F" w14:textId="6F524218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&lt;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0.0001</w:t>
            </w:r>
          </w:p>
        </w:tc>
      </w:tr>
      <w:tr w:rsidR="00071046" w:rsidRPr="00760C2B" w14:paraId="03FCF26A" w14:textId="77777777" w:rsidTr="00071046">
        <w:trPr>
          <w:trHeight w:val="299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9F7334" w14:textId="0D29133A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Acid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suppressive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therapy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(Proton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pump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inhibitors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or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H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  <w:vertAlign w:val="subscript"/>
              </w:rPr>
              <w:t>2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blockers)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3814E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2.243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4916F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2.122-2.371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5C3227" w14:textId="737C11BC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&lt;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0.0001</w:t>
            </w:r>
          </w:p>
        </w:tc>
      </w:tr>
      <w:tr w:rsidR="00071046" w:rsidRPr="00760C2B" w14:paraId="6812EE9E" w14:textId="77777777" w:rsidTr="00071046">
        <w:trPr>
          <w:trHeight w:val="299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EC83E2" w14:textId="0A6DCB6C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Comorbidities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  <w:position w:val="7"/>
                <w:vertAlign w:val="superscript"/>
              </w:rPr>
              <w:t>1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317F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1.258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3980D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1.192-1.328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FCE612" w14:textId="72511445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&lt;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0.0001</w:t>
            </w:r>
          </w:p>
        </w:tc>
      </w:tr>
      <w:tr w:rsidR="00071046" w:rsidRPr="00760C2B" w14:paraId="240FFB72" w14:textId="77777777" w:rsidTr="00071046">
        <w:trPr>
          <w:trHeight w:val="299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591870" w14:textId="705ED50A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Liver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transplant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B4FE3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2.737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49115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2.087-3.589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3E8F65" w14:textId="3BD3C804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&lt;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0.0001</w:t>
            </w:r>
          </w:p>
        </w:tc>
      </w:tr>
      <w:tr w:rsidR="00071046" w:rsidRPr="00760C2B" w14:paraId="41F82409" w14:textId="77777777" w:rsidTr="00071046">
        <w:trPr>
          <w:trHeight w:val="299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2E1185" w14:textId="767931DC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Liver</w:t>
            </w:r>
            <w:r w:rsidR="00933339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b/>
                <w:bCs/>
                <w:color w:val="000000" w:themeColor="text1"/>
                <w:kern w:val="24"/>
              </w:rPr>
              <w:t>cirrhosis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2CB45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1.875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CF97F" w14:textId="77777777" w:rsidR="00760C2B" w:rsidRPr="00760C2B" w:rsidRDefault="00071046" w:rsidP="00071046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1.665-2.113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9C5867" w14:textId="577995F2" w:rsidR="00760C2B" w:rsidRPr="00760C2B" w:rsidRDefault="00071046" w:rsidP="00071046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</w:rPr>
            </w:pP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&lt;</w:t>
            </w:r>
            <w:r w:rsid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071046">
              <w:rPr>
                <w:rFonts w:ascii="Book Antiqua" w:eastAsia="宋体" w:hAnsi="Book Antiqua" w:cs="Calibri"/>
                <w:color w:val="000000" w:themeColor="text1"/>
                <w:kern w:val="24"/>
              </w:rPr>
              <w:t>0.0001</w:t>
            </w:r>
          </w:p>
        </w:tc>
      </w:tr>
      <w:tr w:rsidR="00071046" w:rsidRPr="00760C2B" w14:paraId="6E25E2CF" w14:textId="77777777" w:rsidTr="00071046">
        <w:trPr>
          <w:trHeight w:val="388"/>
        </w:trPr>
        <w:tc>
          <w:tcPr>
            <w:tcW w:w="11940" w:type="dxa"/>
            <w:gridSpan w:val="4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8B4515" w14:textId="75C90AA8" w:rsidR="00760C2B" w:rsidRPr="00933339" w:rsidRDefault="00071046" w:rsidP="00071046">
            <w:pPr>
              <w:tabs>
                <w:tab w:val="left" w:pos="720"/>
              </w:tabs>
              <w:adjustRightInd w:val="0"/>
              <w:snapToGrid w:val="0"/>
              <w:spacing w:line="360" w:lineRule="auto"/>
              <w:rPr>
                <w:rFonts w:ascii="Book Antiqua" w:eastAsia="宋体" w:hAnsi="Book Antiqua" w:cs="Calibri"/>
                <w:color w:val="000000" w:themeColor="text1"/>
                <w:kern w:val="24"/>
                <w:lang w:eastAsia="zh-CN"/>
              </w:rPr>
            </w:pP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  <w:vertAlign w:val="superscript"/>
              </w:rPr>
              <w:t>1</w:t>
            </w:r>
            <w:r w:rsidR="001647D8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Comorbidities: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="001647D8" w:rsidRPr="00933339">
              <w:rPr>
                <w:rFonts w:ascii="Book Antiqua" w:eastAsia="宋体" w:hAnsi="Book Antiqua" w:cs="Calibri"/>
                <w:caps/>
                <w:color w:val="000000" w:themeColor="text1"/>
                <w:kern w:val="24"/>
              </w:rPr>
              <w:t>o</w:t>
            </w:r>
            <w:r w:rsidR="001647D8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ne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="001647D8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or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="001647D8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more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="001647D8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of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="001647D8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the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="001647D8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following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="001647D8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(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heart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failure,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coronary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artery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disease,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chronic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kidney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disease,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inflammatory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bowel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disease,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chronic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obstructive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pulmonary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disease,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diabetes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mellitus,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obesity,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hypertension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or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metabolic</w:t>
            </w:r>
            <w:r w:rsidR="00933339"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 xml:space="preserve"> 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syndrome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  <w:lang w:eastAsia="zh-CN"/>
              </w:rPr>
              <w:t>)</w:t>
            </w:r>
            <w:r w:rsidRPr="00933339">
              <w:rPr>
                <w:rFonts w:ascii="Book Antiqua" w:eastAsia="宋体" w:hAnsi="Book Antiqua" w:cs="Calibri"/>
                <w:color w:val="000000" w:themeColor="text1"/>
                <w:kern w:val="24"/>
              </w:rPr>
              <w:t>.</w:t>
            </w:r>
          </w:p>
          <w:p w14:paraId="64E63255" w14:textId="77777777" w:rsidR="00760C2B" w:rsidRPr="00760C2B" w:rsidRDefault="00545A76" w:rsidP="00071046">
            <w:pPr>
              <w:tabs>
                <w:tab w:val="left" w:pos="720"/>
              </w:tabs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lang w:eastAsia="zh-CN"/>
              </w:rPr>
            </w:pPr>
          </w:p>
        </w:tc>
      </w:tr>
    </w:tbl>
    <w:p w14:paraId="3E7B09AC" w14:textId="77777777" w:rsidR="00071046" w:rsidRPr="00071046" w:rsidRDefault="00071046" w:rsidP="0007104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071046" w:rsidRPr="00071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EADA" w14:textId="77777777" w:rsidR="00545A76" w:rsidRDefault="00545A76" w:rsidP="00071046">
      <w:r>
        <w:separator/>
      </w:r>
    </w:p>
  </w:endnote>
  <w:endnote w:type="continuationSeparator" w:id="0">
    <w:p w14:paraId="282C555B" w14:textId="77777777" w:rsidR="00545A76" w:rsidRDefault="00545A76" w:rsidP="0007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0910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89852E" w14:textId="77777777" w:rsidR="00071046" w:rsidRDefault="00071046" w:rsidP="00071046">
            <w:pPr>
              <w:pStyle w:val="a7"/>
              <w:jc w:val="right"/>
            </w:pPr>
            <w:r w:rsidRPr="0007104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07104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7104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07104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CA070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</w:t>
            </w:r>
            <w:r w:rsidRPr="0007104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07104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07104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7104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07104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CA070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35</w:t>
            </w:r>
            <w:r w:rsidRPr="0007104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C6FC84" w14:textId="77777777" w:rsidR="00071046" w:rsidRDefault="000710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5B0D" w14:textId="77777777" w:rsidR="00545A76" w:rsidRDefault="00545A76" w:rsidP="00071046">
      <w:r>
        <w:separator/>
      </w:r>
    </w:p>
  </w:footnote>
  <w:footnote w:type="continuationSeparator" w:id="0">
    <w:p w14:paraId="783AC767" w14:textId="77777777" w:rsidR="00545A76" w:rsidRDefault="00545A76" w:rsidP="00071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71046"/>
    <w:rsid w:val="001647D8"/>
    <w:rsid w:val="00545A76"/>
    <w:rsid w:val="006A346B"/>
    <w:rsid w:val="007A7732"/>
    <w:rsid w:val="00933339"/>
    <w:rsid w:val="00A4601F"/>
    <w:rsid w:val="00A77B3E"/>
    <w:rsid w:val="00AF3227"/>
    <w:rsid w:val="00CA0703"/>
    <w:rsid w:val="00CA2A55"/>
    <w:rsid w:val="00E753B0"/>
    <w:rsid w:val="00F0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40C16"/>
  <w15:docId w15:val="{E88A957E-3C65-4116-8229-ED50BA7A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1046"/>
    <w:rPr>
      <w:sz w:val="18"/>
      <w:szCs w:val="18"/>
    </w:rPr>
  </w:style>
  <w:style w:type="character" w:customStyle="1" w:styleId="a4">
    <w:name w:val="批注框文本 字符"/>
    <w:basedOn w:val="a0"/>
    <w:link w:val="a3"/>
    <w:rsid w:val="00071046"/>
    <w:rPr>
      <w:sz w:val="18"/>
      <w:szCs w:val="18"/>
    </w:rPr>
  </w:style>
  <w:style w:type="paragraph" w:styleId="a5">
    <w:name w:val="header"/>
    <w:basedOn w:val="a"/>
    <w:link w:val="a6"/>
    <w:rsid w:val="00071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71046"/>
    <w:rPr>
      <w:sz w:val="18"/>
      <w:szCs w:val="18"/>
    </w:rPr>
  </w:style>
  <w:style w:type="paragraph" w:styleId="a7">
    <w:name w:val="footer"/>
    <w:basedOn w:val="a"/>
    <w:link w:val="a8"/>
    <w:uiPriority w:val="99"/>
    <w:rsid w:val="000710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71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35</Pages>
  <Words>8228</Words>
  <Characters>46906</Characters>
  <Application>Microsoft Office Word</Application>
  <DocSecurity>0</DocSecurity>
  <Lines>390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jiaping yan</cp:lastModifiedBy>
  <cp:revision>11</cp:revision>
  <dcterms:created xsi:type="dcterms:W3CDTF">2021-07-15T09:09:00Z</dcterms:created>
  <dcterms:modified xsi:type="dcterms:W3CDTF">2021-07-22T10:12:00Z</dcterms:modified>
</cp:coreProperties>
</file>