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07098" w14:textId="77777777" w:rsidR="00765724" w:rsidRDefault="00CD684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54C22AE" w14:textId="77777777" w:rsidR="00765724" w:rsidRDefault="00CD684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68030</w:t>
      </w:r>
    </w:p>
    <w:p w14:paraId="74DB2E2C" w14:textId="77777777" w:rsidR="00765724" w:rsidRDefault="00CD684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7873A55" w14:textId="77777777" w:rsidR="00765724" w:rsidRDefault="00765724">
      <w:pPr>
        <w:spacing w:line="360" w:lineRule="auto"/>
        <w:jc w:val="both"/>
      </w:pPr>
    </w:p>
    <w:p w14:paraId="39D59B88" w14:textId="77777777" w:rsidR="00765724" w:rsidRDefault="00CD684D">
      <w:pPr>
        <w:spacing w:line="360" w:lineRule="auto"/>
        <w:jc w:val="both"/>
      </w:pPr>
      <w:r>
        <w:rPr>
          <w:rFonts w:ascii="Book Antiqua" w:eastAsia="Book Antiqua" w:hAnsi="Book Antiqua" w:cs="Book Antiqua"/>
          <w:b/>
          <w:color w:val="000000"/>
        </w:rPr>
        <w:t>Idiopathic acute superior mesenteric venous thrombosis after renal transplantation: A case report</w:t>
      </w:r>
    </w:p>
    <w:p w14:paraId="52BC8347" w14:textId="77777777" w:rsidR="00765724" w:rsidRDefault="00765724">
      <w:pPr>
        <w:spacing w:line="360" w:lineRule="auto"/>
        <w:jc w:val="both"/>
      </w:pPr>
    </w:p>
    <w:p w14:paraId="25051096" w14:textId="77777777" w:rsidR="00765724" w:rsidRDefault="00CD684D">
      <w:pPr>
        <w:spacing w:line="360" w:lineRule="auto"/>
        <w:jc w:val="both"/>
      </w:pPr>
      <w:r>
        <w:rPr>
          <w:rFonts w:ascii="Book Antiqua" w:eastAsia="Book Antiqua" w:hAnsi="Book Antiqua" w:cs="Book Antiqua"/>
          <w:color w:val="000000"/>
        </w:rPr>
        <w:t xml:space="preserve">Zhang P </w:t>
      </w:r>
      <w:r>
        <w:rPr>
          <w:rFonts w:ascii="Book Antiqua" w:eastAsia="Book Antiqua" w:hAnsi="Book Antiqua" w:cs="Book Antiqua"/>
          <w:i/>
          <w:iCs/>
          <w:color w:val="000000"/>
        </w:rPr>
        <w:t>et al</w:t>
      </w:r>
      <w:r>
        <w:rPr>
          <w:rFonts w:ascii="Book Antiqua" w:eastAsia="Book Antiqua" w:hAnsi="Book Antiqua" w:cs="Book Antiqua"/>
          <w:color w:val="000000"/>
        </w:rPr>
        <w:t xml:space="preserve">. Acute mesenteric venous </w:t>
      </w:r>
      <w:r>
        <w:rPr>
          <w:rFonts w:ascii="Book Antiqua" w:eastAsia="Book Antiqua" w:hAnsi="Book Antiqua" w:cs="Book Antiqua"/>
          <w:color w:val="000000"/>
        </w:rPr>
        <w:t>thrombosis after renal transplantation</w:t>
      </w:r>
    </w:p>
    <w:p w14:paraId="4E5A2382" w14:textId="77777777" w:rsidR="00765724" w:rsidRDefault="00765724">
      <w:pPr>
        <w:spacing w:line="360" w:lineRule="auto"/>
        <w:jc w:val="both"/>
      </w:pPr>
    </w:p>
    <w:p w14:paraId="731103F8" w14:textId="77777777" w:rsidR="00765724" w:rsidRDefault="00CD684D">
      <w:pPr>
        <w:spacing w:line="360" w:lineRule="auto"/>
        <w:jc w:val="both"/>
      </w:pPr>
      <w:r>
        <w:rPr>
          <w:rFonts w:ascii="Book Antiqua" w:eastAsia="Book Antiqua" w:hAnsi="Book Antiqua" w:cs="Book Antiqua"/>
          <w:color w:val="000000"/>
        </w:rPr>
        <w:t>Peng Zhang, Xiao-Jie Li, Ruo-Mi Guo, Kun-Peng Hu, Shi-Lei Xu, Bo Liu, Qing-Liang Wang</w:t>
      </w:r>
    </w:p>
    <w:p w14:paraId="6ED247D0" w14:textId="77777777" w:rsidR="00765724" w:rsidRDefault="00765724">
      <w:pPr>
        <w:spacing w:line="360" w:lineRule="auto"/>
        <w:jc w:val="both"/>
      </w:pPr>
    </w:p>
    <w:p w14:paraId="1419E72F" w14:textId="77777777" w:rsidR="00765724" w:rsidRDefault="00CD684D">
      <w:pPr>
        <w:spacing w:line="360" w:lineRule="auto"/>
        <w:jc w:val="both"/>
      </w:pPr>
      <w:r>
        <w:rPr>
          <w:rFonts w:ascii="Book Antiqua" w:eastAsia="Book Antiqua" w:hAnsi="Book Antiqua" w:cs="Book Antiqua"/>
          <w:b/>
          <w:bCs/>
          <w:color w:val="000000"/>
        </w:rPr>
        <w:t xml:space="preserve">Peng Zhang, Shi-Lei Xu, Bo Liu, Qing-Liang Wang, Kun-Peng Hu, </w:t>
      </w:r>
      <w:r>
        <w:rPr>
          <w:rFonts w:ascii="Book Antiqua" w:eastAsia="Book Antiqua" w:hAnsi="Book Antiqua" w:cs="Book Antiqua"/>
          <w:color w:val="000000"/>
        </w:rPr>
        <w:t>Department of General Surgery, The Third Affiliated Hospital of Sun</w:t>
      </w:r>
      <w:r>
        <w:rPr>
          <w:rFonts w:ascii="Book Antiqua" w:eastAsia="Book Antiqua" w:hAnsi="Book Antiqua" w:cs="Book Antiqua"/>
          <w:color w:val="000000"/>
        </w:rPr>
        <w:t xml:space="preserve"> Yat-Sen University, Guangzhou 510530, Guangdong Province, China</w:t>
      </w:r>
    </w:p>
    <w:p w14:paraId="40C6A9DA" w14:textId="77777777" w:rsidR="00765724" w:rsidRDefault="00765724">
      <w:pPr>
        <w:spacing w:line="360" w:lineRule="auto"/>
        <w:jc w:val="both"/>
      </w:pPr>
    </w:p>
    <w:p w14:paraId="206ED761" w14:textId="77777777" w:rsidR="00765724" w:rsidRDefault="00CD684D">
      <w:pPr>
        <w:spacing w:line="360" w:lineRule="auto"/>
        <w:jc w:val="both"/>
      </w:pPr>
      <w:r>
        <w:rPr>
          <w:rFonts w:ascii="Book Antiqua" w:eastAsia="Book Antiqua" w:hAnsi="Book Antiqua" w:cs="Book Antiqua"/>
          <w:b/>
          <w:bCs/>
          <w:color w:val="000000"/>
        </w:rPr>
        <w:t xml:space="preserve">Xiao-Jie Li, </w:t>
      </w:r>
      <w:r>
        <w:rPr>
          <w:rFonts w:ascii="Book Antiqua" w:eastAsia="Book Antiqua" w:hAnsi="Book Antiqua" w:cs="Book Antiqua"/>
          <w:color w:val="000000"/>
        </w:rPr>
        <w:t>Laboratory Medicine, The Third Affiliated Hospital of Sun Yat-Sen University, Guangzhou 510530, Guangdong Province, China</w:t>
      </w:r>
    </w:p>
    <w:p w14:paraId="57496D24" w14:textId="77777777" w:rsidR="00765724" w:rsidRDefault="00765724">
      <w:pPr>
        <w:spacing w:line="360" w:lineRule="auto"/>
        <w:jc w:val="both"/>
      </w:pPr>
    </w:p>
    <w:p w14:paraId="36ECF42A" w14:textId="77777777" w:rsidR="00765724" w:rsidRDefault="00CD684D">
      <w:pPr>
        <w:spacing w:line="360" w:lineRule="auto"/>
        <w:jc w:val="both"/>
      </w:pPr>
      <w:r>
        <w:rPr>
          <w:rFonts w:ascii="Book Antiqua" w:eastAsia="Book Antiqua" w:hAnsi="Book Antiqua" w:cs="Book Antiqua"/>
          <w:b/>
          <w:bCs/>
          <w:color w:val="000000"/>
        </w:rPr>
        <w:t xml:space="preserve">Ruo-Mi Guo, </w:t>
      </w:r>
      <w:r>
        <w:rPr>
          <w:rFonts w:ascii="Book Antiqua" w:eastAsia="Book Antiqua" w:hAnsi="Book Antiqua" w:cs="Book Antiqua"/>
          <w:color w:val="000000"/>
        </w:rPr>
        <w:t>Department of Radiology, The Third Affilia</w:t>
      </w:r>
      <w:r>
        <w:rPr>
          <w:rFonts w:ascii="Book Antiqua" w:eastAsia="Book Antiqua" w:hAnsi="Book Antiqua" w:cs="Book Antiqua"/>
          <w:color w:val="000000"/>
        </w:rPr>
        <w:t>ted Hospital of Sun Yat-Sen University, Guangzhou 510530, Guangdong Province, China</w:t>
      </w:r>
    </w:p>
    <w:p w14:paraId="3B5FD34A" w14:textId="77777777" w:rsidR="00765724" w:rsidRDefault="00765724">
      <w:pPr>
        <w:spacing w:line="360" w:lineRule="auto"/>
        <w:jc w:val="both"/>
      </w:pPr>
    </w:p>
    <w:p w14:paraId="6639842A" w14:textId="77777777" w:rsidR="00765724" w:rsidRDefault="00CD684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P performed the literature search, collected the images, and wrote the paper; Li XJ, Guo RM, Hu KP, Xu SL, Liu B, and Wang QL designed the rese</w:t>
      </w:r>
      <w:r>
        <w:rPr>
          <w:rFonts w:ascii="Book Antiqua" w:eastAsia="Book Antiqua" w:hAnsi="Book Antiqua" w:cs="Book Antiqua"/>
          <w:color w:val="000000"/>
        </w:rPr>
        <w:t>arch and revised the paper; All authors have read and approved the final manuscript.</w:t>
      </w:r>
    </w:p>
    <w:p w14:paraId="479027A2" w14:textId="77777777" w:rsidR="00765724" w:rsidRDefault="00765724">
      <w:pPr>
        <w:spacing w:line="360" w:lineRule="auto"/>
        <w:jc w:val="both"/>
      </w:pPr>
    </w:p>
    <w:p w14:paraId="004D4CAB" w14:textId="77777777" w:rsidR="00765724" w:rsidRDefault="00CD684D">
      <w:pPr>
        <w:spacing w:line="360" w:lineRule="auto"/>
        <w:jc w:val="both"/>
      </w:pPr>
      <w:r>
        <w:rPr>
          <w:rFonts w:ascii="Book Antiqua" w:eastAsia="Book Antiqua" w:hAnsi="Book Antiqua" w:cs="Book Antiqua"/>
          <w:b/>
          <w:bCs/>
          <w:color w:val="000000"/>
        </w:rPr>
        <w:t>Corresponding author: Qing-Liang Wang, MD, Attending Doctor,</w:t>
      </w:r>
      <w:r>
        <w:rPr>
          <w:rFonts w:ascii="Book Antiqua" w:eastAsia="Book Antiqua" w:hAnsi="Book Antiqua" w:cs="Book Antiqua"/>
          <w:color w:val="000000"/>
        </w:rPr>
        <w:t xml:space="preserve"> Department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General Surgery, The Third Affiliated Hospital of Sun Yat-Sen University, No. 2693 </w:t>
      </w:r>
      <w:r>
        <w:rPr>
          <w:rFonts w:ascii="Book Antiqua" w:eastAsia="Book Antiqua" w:hAnsi="Book Antiqua" w:cs="Book Antiqua"/>
          <w:color w:val="000000"/>
        </w:rPr>
        <w:lastRenderedPageBreak/>
        <w:t>Kaichuang Av</w:t>
      </w:r>
      <w:r>
        <w:rPr>
          <w:rFonts w:ascii="Book Antiqua" w:eastAsia="Book Antiqua" w:hAnsi="Book Antiqua" w:cs="Book Antiqua"/>
          <w:color w:val="000000"/>
        </w:rPr>
        <w:t>enue, Huangpu District, Guangzhou 510530, Guangdong Province, China. wangql5@mail.sysu.edu.cn</w:t>
      </w:r>
    </w:p>
    <w:p w14:paraId="3082F54B" w14:textId="77777777" w:rsidR="00765724" w:rsidRDefault="00765724">
      <w:pPr>
        <w:spacing w:line="360" w:lineRule="auto"/>
        <w:jc w:val="both"/>
      </w:pPr>
    </w:p>
    <w:p w14:paraId="2B09086E" w14:textId="77777777" w:rsidR="00765724" w:rsidRDefault="00CD684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9, 2021</w:t>
      </w:r>
    </w:p>
    <w:p w14:paraId="14951F15" w14:textId="77777777" w:rsidR="00765724" w:rsidRDefault="00CD684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5, 2021</w:t>
      </w:r>
    </w:p>
    <w:p w14:paraId="37D6282B" w14:textId="77777777" w:rsidR="00765724" w:rsidRDefault="00CD684D">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August 31, 2021</w:t>
      </w:r>
    </w:p>
    <w:p w14:paraId="2DCFD4A9" w14:textId="77777777" w:rsidR="00765724" w:rsidRDefault="00CD684D">
      <w:pPr>
        <w:spacing w:line="360" w:lineRule="auto"/>
        <w:jc w:val="both"/>
        <w:rPr>
          <w:rFonts w:eastAsia="宋体"/>
          <w:lang w:eastAsia="zh-CN"/>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November 16</w:t>
      </w:r>
      <w:r>
        <w:rPr>
          <w:rFonts w:ascii="Book Antiqua" w:eastAsia="宋体" w:hAnsi="Book Antiqua" w:cs="Book Antiqua" w:hint="eastAsia"/>
          <w:color w:val="000000"/>
          <w:lang w:eastAsia="zh-CN"/>
        </w:rPr>
        <w:t>, 2021</w:t>
      </w:r>
    </w:p>
    <w:p w14:paraId="191E2579" w14:textId="77777777" w:rsidR="00765724" w:rsidRDefault="00765724">
      <w:pPr>
        <w:spacing w:line="360" w:lineRule="auto"/>
        <w:jc w:val="both"/>
        <w:sectPr w:rsidR="00765724">
          <w:footerReference w:type="default" r:id="rId7"/>
          <w:pgSz w:w="12240" w:h="15840"/>
          <w:pgMar w:top="1440" w:right="1440" w:bottom="1440" w:left="1440" w:header="720" w:footer="720" w:gutter="0"/>
          <w:cols w:space="720"/>
          <w:docGrid w:linePitch="360"/>
        </w:sectPr>
      </w:pPr>
    </w:p>
    <w:p w14:paraId="349050C6" w14:textId="77777777" w:rsidR="00765724" w:rsidRDefault="00CD684D">
      <w:pPr>
        <w:spacing w:line="360" w:lineRule="auto"/>
        <w:jc w:val="both"/>
      </w:pPr>
      <w:r>
        <w:rPr>
          <w:rFonts w:ascii="Book Antiqua" w:eastAsia="Book Antiqua" w:hAnsi="Book Antiqua" w:cs="Book Antiqua"/>
          <w:b/>
          <w:color w:val="000000"/>
        </w:rPr>
        <w:lastRenderedPageBreak/>
        <w:t>Abstract</w:t>
      </w:r>
    </w:p>
    <w:p w14:paraId="1F779027" w14:textId="77777777" w:rsidR="00765724" w:rsidRDefault="00CD684D">
      <w:pPr>
        <w:spacing w:line="360" w:lineRule="auto"/>
        <w:jc w:val="both"/>
      </w:pPr>
      <w:r>
        <w:rPr>
          <w:rFonts w:ascii="Book Antiqua" w:eastAsia="Book Antiqua" w:hAnsi="Book Antiqua" w:cs="Book Antiqua"/>
          <w:color w:val="000000"/>
        </w:rPr>
        <w:t>BACKGROUND</w:t>
      </w:r>
    </w:p>
    <w:p w14:paraId="48E1E1F0" w14:textId="77777777" w:rsidR="00765724" w:rsidRDefault="00CD684D">
      <w:pPr>
        <w:spacing w:line="360" w:lineRule="auto"/>
        <w:jc w:val="both"/>
      </w:pPr>
      <w:r>
        <w:rPr>
          <w:rFonts w:ascii="Book Antiqua" w:eastAsia="Book Antiqua" w:hAnsi="Book Antiqua" w:cs="Book Antiqua"/>
          <w:color w:val="000000"/>
        </w:rPr>
        <w:t>Acute superior mesenteric venous thrombosis (MVT) is a rare condition associated with a high mortality rate. The treatment strategy for MVT is clinically challenging due to its insidious onset</w:t>
      </w:r>
      <w:r>
        <w:rPr>
          <w:rFonts w:ascii="Book Antiqua" w:eastAsia="Book Antiqua" w:hAnsi="Book Antiqua" w:cs="Book Antiqua"/>
          <w:color w:val="000000"/>
        </w:rPr>
        <w:t xml:space="preserve"> and rapid development, especially when accompanied by kidney transplantation. </w:t>
      </w:r>
    </w:p>
    <w:p w14:paraId="1CA58FC1" w14:textId="77777777" w:rsidR="00765724" w:rsidRDefault="00765724">
      <w:pPr>
        <w:spacing w:line="360" w:lineRule="auto"/>
        <w:jc w:val="both"/>
      </w:pPr>
    </w:p>
    <w:p w14:paraId="1688913E" w14:textId="77777777" w:rsidR="00765724" w:rsidRDefault="00CD684D">
      <w:pPr>
        <w:spacing w:line="360" w:lineRule="auto"/>
        <w:jc w:val="both"/>
      </w:pPr>
      <w:r>
        <w:rPr>
          <w:rFonts w:ascii="Book Antiqua" w:eastAsia="Book Antiqua" w:hAnsi="Book Antiqua" w:cs="Book Antiqua"/>
          <w:color w:val="000000"/>
        </w:rPr>
        <w:t>CASE SUMMARY</w:t>
      </w:r>
    </w:p>
    <w:p w14:paraId="1038BEDC" w14:textId="77777777" w:rsidR="00765724" w:rsidRDefault="00CD684D">
      <w:pPr>
        <w:spacing w:line="360" w:lineRule="auto"/>
        <w:jc w:val="both"/>
      </w:pPr>
      <w:r>
        <w:rPr>
          <w:rFonts w:ascii="Book Antiqua" w:eastAsia="Book Antiqua" w:hAnsi="Book Antiqua" w:cs="Book Antiqua"/>
          <w:color w:val="000000"/>
        </w:rPr>
        <w:t>Here we present a rare case of acute MVT developed 3 years after renal transplantation. A 49-year-old patient was admitted with acute abdominal pain and diagnosed</w:t>
      </w:r>
      <w:r>
        <w:rPr>
          <w:rFonts w:ascii="Book Antiqua" w:eastAsia="Book Antiqua" w:hAnsi="Book Antiqua" w:cs="Book Antiqua"/>
          <w:color w:val="000000"/>
        </w:rPr>
        <w:t xml:space="preserve"> as MVT with intestinal necrosis. An emergency exploratory laparotomy was performed to remove the infarcted segment of the bowel. Immediate systemic anticoagulation was also initiated. During the treatment, the patient experienced bleeding, anastomotic lea</w:t>
      </w:r>
      <w:r>
        <w:rPr>
          <w:rFonts w:ascii="Book Antiqua" w:eastAsia="Book Antiqua" w:hAnsi="Book Antiqua" w:cs="Book Antiqua"/>
          <w:color w:val="000000"/>
        </w:rPr>
        <w:t>kage, and sepsis. However, after aggressive treatment was administered, all thrombi were completely resolved, and the patient recovered with his renal graft function unimpaired.</w:t>
      </w:r>
    </w:p>
    <w:p w14:paraId="6BFEAE66" w14:textId="77777777" w:rsidR="00765724" w:rsidRDefault="00765724">
      <w:pPr>
        <w:spacing w:line="360" w:lineRule="auto"/>
        <w:jc w:val="both"/>
      </w:pPr>
    </w:p>
    <w:p w14:paraId="24756CE7" w14:textId="77777777" w:rsidR="00765724" w:rsidRDefault="00CD684D">
      <w:pPr>
        <w:spacing w:line="360" w:lineRule="auto"/>
        <w:jc w:val="both"/>
      </w:pPr>
      <w:r>
        <w:rPr>
          <w:rFonts w:ascii="Book Antiqua" w:eastAsia="Book Antiqua" w:hAnsi="Book Antiqua" w:cs="Book Antiqua"/>
          <w:color w:val="000000"/>
        </w:rPr>
        <w:t>CONCLUSION</w:t>
      </w:r>
    </w:p>
    <w:p w14:paraId="47DF987C" w14:textId="77777777" w:rsidR="00765724" w:rsidRDefault="00CD684D">
      <w:pPr>
        <w:spacing w:line="360" w:lineRule="auto"/>
        <w:jc w:val="both"/>
      </w:pPr>
      <w:r>
        <w:rPr>
          <w:rFonts w:ascii="Book Antiqua" w:eastAsia="Book Antiqua" w:hAnsi="Book Antiqua" w:cs="Book Antiqua"/>
          <w:color w:val="000000"/>
        </w:rPr>
        <w:t>The present case suggests that accurate diagnosis and timely surgi</w:t>
      </w:r>
      <w:r>
        <w:rPr>
          <w:rFonts w:ascii="Book Antiqua" w:eastAsia="Book Antiqua" w:hAnsi="Book Antiqua" w:cs="Book Antiqua"/>
          <w:color w:val="000000"/>
        </w:rPr>
        <w:t>cal treatment</w:t>
      </w:r>
      <w:r>
        <w:rPr>
          <w:rFonts w:ascii="Book Antiqua" w:eastAsia="Book Antiqua" w:hAnsi="Book Antiqua" w:cs="Book Antiqua"/>
          <w:color w:val="000000"/>
          <w:shd w:val="clear" w:color="auto" w:fill="FFFFFF"/>
        </w:rPr>
        <w:t xml:space="preserve"> are important to improve the survival rate of MVT patients.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Bleeding with anastomotic fistula needs to be treated with caution because of grafts. </w:t>
      </w:r>
      <w:r>
        <w:rPr>
          <w:rFonts w:ascii="Book Antiqua" w:eastAsia="Book Antiqua" w:hAnsi="Book Antiqua" w:cs="Book Antiqua"/>
          <w:color w:val="000000"/>
        </w:rPr>
        <w:t>Also, previously published cases of mesenteric thrombosis after</w:t>
      </w:r>
      <w:r>
        <w:rPr>
          <w:rFonts w:ascii="Book Antiqua" w:eastAsia="Book Antiqua" w:hAnsi="Book Antiqua" w:cs="Book Antiqua"/>
          <w:color w:val="000000"/>
          <w:szCs w:val="21"/>
        </w:rPr>
        <w:t xml:space="preserve"> </w:t>
      </w:r>
      <w:r>
        <w:rPr>
          <w:rFonts w:ascii="Book Antiqua" w:eastAsia="Book Antiqua" w:hAnsi="Book Antiqua" w:cs="Book Antiqua"/>
          <w:color w:val="000000"/>
        </w:rPr>
        <w:t>renal transplantation were revie</w:t>
      </w:r>
      <w:r>
        <w:rPr>
          <w:rFonts w:ascii="Book Antiqua" w:eastAsia="Book Antiqua" w:hAnsi="Book Antiqua" w:cs="Book Antiqua"/>
          <w:color w:val="000000"/>
        </w:rPr>
        <w:t xml:space="preserve">wed. </w:t>
      </w:r>
    </w:p>
    <w:p w14:paraId="67E99A39" w14:textId="77777777" w:rsidR="00765724" w:rsidRDefault="00765724">
      <w:pPr>
        <w:spacing w:line="360" w:lineRule="auto"/>
        <w:jc w:val="both"/>
      </w:pPr>
    </w:p>
    <w:p w14:paraId="07CE59FF" w14:textId="77777777" w:rsidR="00765724" w:rsidRDefault="00CD684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Acute mesenteric vein thrombosis; Anticoagulation; Anastomotic fistula; Renal transplantation; Case report</w:t>
      </w:r>
    </w:p>
    <w:p w14:paraId="154C960B" w14:textId="77777777" w:rsidR="00037E6C" w:rsidRDefault="00037E6C" w:rsidP="00037E6C">
      <w:pPr>
        <w:spacing w:line="360" w:lineRule="auto"/>
        <w:jc w:val="both"/>
        <w:rPr>
          <w:lang w:eastAsia="zh-CN"/>
        </w:rPr>
      </w:pPr>
    </w:p>
    <w:p w14:paraId="3624E2B6" w14:textId="77777777" w:rsidR="00037E6C" w:rsidRPr="00026CB8" w:rsidRDefault="00037E6C" w:rsidP="00037E6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01A3B3B" w14:textId="77777777" w:rsidR="00037E6C" w:rsidRPr="009C101B" w:rsidRDefault="00037E6C" w:rsidP="00037E6C">
      <w:pPr>
        <w:spacing w:line="360" w:lineRule="auto"/>
        <w:jc w:val="both"/>
        <w:rPr>
          <w:lang w:eastAsia="zh-CN"/>
        </w:rPr>
      </w:pPr>
    </w:p>
    <w:p w14:paraId="3754F3E3" w14:textId="0CDD4D0A" w:rsidR="00444675" w:rsidRDefault="00037E6C" w:rsidP="00037E6C">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CD684D">
        <w:rPr>
          <w:rFonts w:ascii="Book Antiqua" w:eastAsia="Book Antiqua" w:hAnsi="Book Antiqua" w:cs="Book Antiqua"/>
          <w:color w:val="000000"/>
        </w:rPr>
        <w:t>Zhang P, Li XJ, Guo RM, Hu KP, Xu SL, Liu B, Wang QL. Idiopathic acute superior mesenteric venous thrombosis after renal transplan</w:t>
      </w:r>
      <w:r w:rsidR="00CD684D">
        <w:rPr>
          <w:rFonts w:ascii="Book Antiqua" w:eastAsia="Book Antiqua" w:hAnsi="Book Antiqua" w:cs="Book Antiqua"/>
          <w:color w:val="000000"/>
        </w:rPr>
        <w:t xml:space="preserve">tation: A case report. </w:t>
      </w:r>
      <w:r w:rsidR="00CD684D">
        <w:rPr>
          <w:rFonts w:ascii="Book Antiqua" w:eastAsia="Book Antiqua" w:hAnsi="Book Antiqua" w:cs="Book Antiqua"/>
          <w:i/>
          <w:iCs/>
          <w:color w:val="000000"/>
        </w:rPr>
        <w:t>World J Clin Cases</w:t>
      </w:r>
      <w:r w:rsidR="00CD684D">
        <w:rPr>
          <w:rFonts w:ascii="Book Antiqua" w:eastAsia="Book Antiqua" w:hAnsi="Book Antiqua" w:cs="Book Antiqua"/>
          <w:color w:val="000000"/>
        </w:rPr>
        <w:t xml:space="preserve"> 2021; </w:t>
      </w:r>
      <w:r w:rsidR="00CD684D">
        <w:rPr>
          <w:rFonts w:ascii="Book Antiqua" w:eastAsia="Book Antiqua" w:hAnsi="Book Antiqua" w:cs="Book Antiqua" w:hint="eastAsia"/>
          <w:color w:val="000000"/>
        </w:rPr>
        <w:t>9(3</w:t>
      </w:r>
      <w:r w:rsidR="00CD684D">
        <w:rPr>
          <w:rFonts w:ascii="Book Antiqua" w:eastAsia="宋体" w:hAnsi="Book Antiqua" w:cs="Book Antiqua" w:hint="eastAsia"/>
          <w:color w:val="000000"/>
          <w:lang w:eastAsia="zh-CN"/>
        </w:rPr>
        <w:t>2</w:t>
      </w:r>
      <w:r w:rsidR="00CD684D">
        <w:rPr>
          <w:rFonts w:ascii="Book Antiqua" w:eastAsia="Book Antiqua" w:hAnsi="Book Antiqua" w:cs="Book Antiqua" w:hint="eastAsia"/>
          <w:color w:val="000000"/>
        </w:rPr>
        <w:t xml:space="preserve">): </w:t>
      </w:r>
      <w:r w:rsidR="00444675">
        <w:rPr>
          <w:rFonts w:ascii="Book Antiqua" w:hAnsi="Book Antiqua" w:hint="eastAsia"/>
        </w:rPr>
        <w:t>9</w:t>
      </w:r>
      <w:r w:rsidR="00444675">
        <w:rPr>
          <w:rFonts w:ascii="Book Antiqua" w:hAnsi="Book Antiqua"/>
        </w:rPr>
        <w:t>896</w:t>
      </w:r>
      <w:r w:rsidR="00444675">
        <w:rPr>
          <w:rFonts w:ascii="Book Antiqua" w:hAnsi="Book Antiqua" w:hint="eastAsia"/>
          <w:lang w:eastAsia="zh-CN"/>
        </w:rPr>
        <w:t>-</w:t>
      </w:r>
      <w:r w:rsidR="00444675">
        <w:rPr>
          <w:rFonts w:ascii="Book Antiqua" w:hAnsi="Book Antiqua"/>
        </w:rPr>
        <w:t>9902</w:t>
      </w:r>
    </w:p>
    <w:p w14:paraId="6771C464" w14:textId="3AEBF144" w:rsidR="00444675" w:rsidRDefault="00CD684D" w:rsidP="00037E6C">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URL: https://www.wjgnet.com/2307-8960/full/v9/i3</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w:t>
      </w:r>
      <w:r w:rsidR="00444675">
        <w:rPr>
          <w:rFonts w:ascii="Book Antiqua" w:hAnsi="Book Antiqua" w:hint="eastAsia"/>
        </w:rPr>
        <w:t>9</w:t>
      </w:r>
      <w:r w:rsidR="00444675">
        <w:rPr>
          <w:rFonts w:ascii="Book Antiqua" w:hAnsi="Book Antiqua"/>
        </w:rPr>
        <w:t>896</w:t>
      </w:r>
      <w:r>
        <w:rPr>
          <w:rFonts w:ascii="Book Antiqua" w:eastAsia="Book Antiqua" w:hAnsi="Book Antiqua" w:cs="Book Antiqua" w:hint="eastAsia"/>
          <w:color w:val="000000"/>
        </w:rPr>
        <w:t xml:space="preserve">.htm  </w:t>
      </w:r>
    </w:p>
    <w:p w14:paraId="6BD6E3C4" w14:textId="3BD039E3" w:rsidR="00765724" w:rsidRDefault="00CD684D" w:rsidP="00037E6C">
      <w:pPr>
        <w:spacing w:line="360" w:lineRule="auto"/>
        <w:jc w:val="both"/>
      </w:pPr>
      <w:r>
        <w:rPr>
          <w:rFonts w:ascii="Book Antiqua" w:eastAsia="Book Antiqua" w:hAnsi="Book Antiqua" w:cs="Book Antiqua" w:hint="eastAsia"/>
          <w:color w:val="000000"/>
        </w:rPr>
        <w:t>DOI: https://dx.doi.org/10.12998/wjcc.v9.i3</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w:t>
      </w:r>
      <w:r w:rsidR="00444675">
        <w:rPr>
          <w:rFonts w:ascii="Book Antiqua" w:hAnsi="Book Antiqua" w:hint="eastAsia"/>
        </w:rPr>
        <w:t>9</w:t>
      </w:r>
      <w:r w:rsidR="00444675">
        <w:rPr>
          <w:rFonts w:ascii="Book Antiqua" w:hAnsi="Book Antiqua"/>
        </w:rPr>
        <w:t>896</w:t>
      </w:r>
    </w:p>
    <w:p w14:paraId="2DECB5AA" w14:textId="77777777" w:rsidR="00765724" w:rsidRDefault="00765724">
      <w:pPr>
        <w:spacing w:line="360" w:lineRule="auto"/>
        <w:jc w:val="both"/>
      </w:pPr>
    </w:p>
    <w:p w14:paraId="6D01FE1E" w14:textId="77777777" w:rsidR="00765724" w:rsidRDefault="00CD684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present a rare case of acute superior mesenteric venous </w:t>
      </w:r>
      <w:r>
        <w:rPr>
          <w:rFonts w:ascii="Book Antiqua" w:eastAsia="Book Antiqua" w:hAnsi="Book Antiqua" w:cs="Book Antiqua"/>
          <w:color w:val="000000"/>
        </w:rPr>
        <w:t>thrombosis developed 3 years after renal transplantation. Despite their infrequency, idiopathic acute mesenteric venous thrombosis with renal transplantation should be considered seriously. The accurate diagnosis and timely surgical treatment are very impo</w:t>
      </w:r>
      <w:r>
        <w:rPr>
          <w:rFonts w:ascii="Book Antiqua" w:eastAsia="Book Antiqua" w:hAnsi="Book Antiqua" w:cs="Book Antiqua"/>
          <w:color w:val="000000"/>
        </w:rPr>
        <w:t>rtant to improve the survival rate of patients. Bleeding and anastomotic fistula during treatment need to be treated with caution because of grafts.</w:t>
      </w:r>
    </w:p>
    <w:p w14:paraId="007EAA0E" w14:textId="77777777" w:rsidR="00765724" w:rsidRDefault="00CD684D">
      <w:r>
        <w:br w:type="page"/>
      </w:r>
    </w:p>
    <w:p w14:paraId="164E96F5" w14:textId="77777777" w:rsidR="00765724" w:rsidRDefault="00CD684D">
      <w:pPr>
        <w:spacing w:line="360" w:lineRule="auto"/>
        <w:jc w:val="both"/>
      </w:pPr>
      <w:r>
        <w:rPr>
          <w:rFonts w:ascii="Book Antiqua" w:eastAsia="Book Antiqua" w:hAnsi="Book Antiqua" w:cs="Book Antiqua"/>
          <w:b/>
          <w:caps/>
          <w:color w:val="000000"/>
          <w:u w:val="single"/>
        </w:rPr>
        <w:lastRenderedPageBreak/>
        <w:t>INTRODUCTION</w:t>
      </w:r>
    </w:p>
    <w:p w14:paraId="6001ED80" w14:textId="77777777" w:rsidR="00765724" w:rsidRDefault="00CD684D">
      <w:pPr>
        <w:spacing w:line="360" w:lineRule="auto"/>
        <w:jc w:val="both"/>
      </w:pPr>
      <w:r>
        <w:rPr>
          <w:rFonts w:ascii="Book Antiqua" w:eastAsia="Book Antiqua" w:hAnsi="Book Antiqua" w:cs="Book Antiqua"/>
          <w:color w:val="000000"/>
        </w:rPr>
        <w:t xml:space="preserve">Acute mesenteric venous thrombosis (MVT) is an uncommon but potentially lethal </w:t>
      </w:r>
      <w:r>
        <w:rPr>
          <w:rFonts w:ascii="Book Antiqua" w:eastAsia="Book Antiqua" w:hAnsi="Book Antiqua" w:cs="Book Antiqua"/>
          <w:color w:val="000000"/>
        </w:rPr>
        <w:t>complication of thrombotic conditions</w:t>
      </w:r>
      <w:r>
        <w:rPr>
          <w:rFonts w:ascii="Book Antiqua" w:eastAsia="Book Antiqua" w:hAnsi="Book Antiqua" w:cs="Book Antiqua"/>
          <w:color w:val="000000"/>
          <w:vertAlign w:val="superscript"/>
        </w:rPr>
        <w:t>[1]</w:t>
      </w:r>
      <w:r>
        <w:rPr>
          <w:rFonts w:ascii="Book Antiqua" w:eastAsia="Book Antiqua" w:hAnsi="Book Antiqua" w:cs="Book Antiqua"/>
          <w:color w:val="000000"/>
        </w:rPr>
        <w:t>. MVT accounts for 5%-15% of all mesenteric ischemia and 6%-9% of cases of acute mesenteric ischemia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Recent improvements and widespread use of diagnostic imaging modalities have facilitated the early recognition </w:t>
      </w:r>
      <w:r>
        <w:rPr>
          <w:rFonts w:ascii="Book Antiqua" w:eastAsia="Book Antiqua" w:hAnsi="Book Antiqua" w:cs="Book Antiqua"/>
          <w:color w:val="000000"/>
        </w:rPr>
        <w:t>of this disease. Early and timely surgical interventions are required when patients present with peritoneal signs or are refractory to initial measures.</w:t>
      </w:r>
      <w:r>
        <w:rPr>
          <w:rFonts w:ascii="Book Antiqua" w:eastAsia="Book Antiqua" w:hAnsi="Book Antiqua" w:cs="Book Antiqua"/>
          <w:color w:val="000000"/>
          <w:szCs w:val="21"/>
        </w:rPr>
        <w:t xml:space="preserve"> </w:t>
      </w:r>
      <w:r>
        <w:rPr>
          <w:rFonts w:ascii="Book Antiqua" w:eastAsia="Book Antiqua" w:hAnsi="Book Antiqua" w:cs="Book Antiqua"/>
          <w:color w:val="000000"/>
        </w:rPr>
        <w:t>Medical management with systemic anticoagulation is the cornerstone of modern therapy</w:t>
      </w:r>
      <w:r>
        <w:rPr>
          <w:rFonts w:ascii="Book Antiqua" w:eastAsia="Book Antiqua" w:hAnsi="Book Antiqua" w:cs="Book Antiqua"/>
          <w:color w:val="000000"/>
          <w:vertAlign w:val="superscript"/>
        </w:rPr>
        <w:t>[3]</w:t>
      </w:r>
      <w:r>
        <w:rPr>
          <w:rFonts w:ascii="Book Antiqua" w:eastAsia="Book Antiqua" w:hAnsi="Book Antiqua" w:cs="Book Antiqua"/>
          <w:color w:val="000000"/>
        </w:rPr>
        <w:t>. MVT is either</w:t>
      </w:r>
      <w:r>
        <w:rPr>
          <w:rFonts w:ascii="Book Antiqua" w:eastAsia="Book Antiqua" w:hAnsi="Book Antiqua" w:cs="Book Antiqua"/>
          <w:color w:val="000000"/>
        </w:rPr>
        <w:t xml:space="preserve"> primary or secondary, and the proportion of primary patients continues to decline due to technology development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Acute MVT has been reported several times in the literature. However, there have been few reports of MVT after renal transplantation. </w:t>
      </w:r>
    </w:p>
    <w:p w14:paraId="45012B31" w14:textId="77777777" w:rsidR="00765724" w:rsidRDefault="00765724">
      <w:pPr>
        <w:spacing w:line="360" w:lineRule="auto"/>
        <w:jc w:val="both"/>
      </w:pPr>
    </w:p>
    <w:p w14:paraId="58E2D74F" w14:textId="77777777" w:rsidR="00765724" w:rsidRDefault="00CD684D">
      <w:pPr>
        <w:spacing w:line="360" w:lineRule="auto"/>
        <w:jc w:val="both"/>
      </w:pPr>
      <w:r>
        <w:rPr>
          <w:rFonts w:ascii="Book Antiqua" w:eastAsia="Book Antiqua" w:hAnsi="Book Antiqua" w:cs="Book Antiqua"/>
          <w:b/>
          <w:caps/>
          <w:color w:val="000000"/>
          <w:u w:val="single"/>
        </w:rPr>
        <w:t>CAS</w:t>
      </w:r>
      <w:r>
        <w:rPr>
          <w:rFonts w:ascii="Book Antiqua" w:eastAsia="Book Antiqua" w:hAnsi="Book Antiqua" w:cs="Book Antiqua"/>
          <w:b/>
          <w:caps/>
          <w:color w:val="000000"/>
          <w:u w:val="single"/>
        </w:rPr>
        <w:t>E PRESENTATION</w:t>
      </w:r>
    </w:p>
    <w:p w14:paraId="116AC9BE" w14:textId="77777777" w:rsidR="00765724" w:rsidRDefault="00CD684D">
      <w:pPr>
        <w:spacing w:line="360" w:lineRule="auto"/>
        <w:jc w:val="both"/>
      </w:pPr>
      <w:r>
        <w:rPr>
          <w:rFonts w:ascii="Book Antiqua" w:eastAsia="Book Antiqua" w:hAnsi="Book Antiqua" w:cs="Book Antiqua"/>
          <w:b/>
          <w:i/>
          <w:color w:val="000000"/>
        </w:rPr>
        <w:t>Chief complaints</w:t>
      </w:r>
    </w:p>
    <w:p w14:paraId="48CA41E9" w14:textId="77777777" w:rsidR="00765724" w:rsidRDefault="00CD684D">
      <w:pPr>
        <w:spacing w:line="360" w:lineRule="auto"/>
        <w:jc w:val="both"/>
      </w:pPr>
      <w:r>
        <w:rPr>
          <w:rFonts w:ascii="Book Antiqua" w:eastAsia="Book Antiqua" w:hAnsi="Book Antiqua" w:cs="Book Antiqua"/>
          <w:color w:val="000000"/>
        </w:rPr>
        <w:t xml:space="preserve">A 49-year-old male was referred to our emergency department complaining of progressive aggravated abdominal pain for 3 d. </w:t>
      </w:r>
    </w:p>
    <w:p w14:paraId="124F50DA" w14:textId="77777777" w:rsidR="00765724" w:rsidRDefault="00765724">
      <w:pPr>
        <w:spacing w:line="360" w:lineRule="auto"/>
        <w:jc w:val="both"/>
      </w:pPr>
    </w:p>
    <w:p w14:paraId="07DD806F" w14:textId="77777777" w:rsidR="00765724" w:rsidRDefault="00CD684D">
      <w:pPr>
        <w:spacing w:line="360" w:lineRule="auto"/>
        <w:jc w:val="both"/>
      </w:pPr>
      <w:r>
        <w:rPr>
          <w:rFonts w:ascii="Book Antiqua" w:eastAsia="Book Antiqua" w:hAnsi="Book Antiqua" w:cs="Book Antiqua"/>
          <w:b/>
          <w:i/>
          <w:color w:val="000000"/>
        </w:rPr>
        <w:t>History of present illness</w:t>
      </w:r>
    </w:p>
    <w:p w14:paraId="5794CF81" w14:textId="77777777" w:rsidR="00765724" w:rsidRDefault="00CD684D">
      <w:pPr>
        <w:spacing w:line="360" w:lineRule="auto"/>
        <w:jc w:val="both"/>
      </w:pPr>
      <w:r>
        <w:rPr>
          <w:rFonts w:ascii="Book Antiqua" w:eastAsia="Book Antiqua" w:hAnsi="Book Antiqua" w:cs="Book Antiqua"/>
          <w:color w:val="000000"/>
        </w:rPr>
        <w:t>The initial pain was in the hypogastric region and worsened to diffuse ab</w:t>
      </w:r>
      <w:r>
        <w:rPr>
          <w:rFonts w:ascii="Book Antiqua" w:eastAsia="Book Antiqua" w:hAnsi="Book Antiqua" w:cs="Book Antiqua"/>
          <w:color w:val="000000"/>
        </w:rPr>
        <w:t xml:space="preserve">dominal pain 1 d prior, along with nausea, abdominal distension, and vomiting. </w:t>
      </w:r>
    </w:p>
    <w:p w14:paraId="02E97603" w14:textId="77777777" w:rsidR="00765724" w:rsidRDefault="00765724">
      <w:pPr>
        <w:spacing w:line="360" w:lineRule="auto"/>
        <w:jc w:val="both"/>
      </w:pPr>
    </w:p>
    <w:p w14:paraId="51610504" w14:textId="77777777" w:rsidR="00765724" w:rsidRDefault="00CD684D">
      <w:pPr>
        <w:spacing w:line="360" w:lineRule="auto"/>
        <w:jc w:val="both"/>
      </w:pPr>
      <w:r>
        <w:rPr>
          <w:rFonts w:ascii="Book Antiqua" w:eastAsia="Book Antiqua" w:hAnsi="Book Antiqua" w:cs="Book Antiqua"/>
          <w:b/>
          <w:i/>
          <w:color w:val="000000"/>
        </w:rPr>
        <w:t>History of past illness</w:t>
      </w:r>
    </w:p>
    <w:p w14:paraId="120A3F94" w14:textId="77777777" w:rsidR="00765724" w:rsidRDefault="00CD684D">
      <w:pPr>
        <w:spacing w:line="360" w:lineRule="auto"/>
        <w:jc w:val="both"/>
      </w:pPr>
      <w:r>
        <w:rPr>
          <w:rFonts w:ascii="Book Antiqua" w:eastAsia="Book Antiqua" w:hAnsi="Book Antiqua" w:cs="Book Antiqua"/>
          <w:color w:val="000000"/>
        </w:rPr>
        <w:t>The patient had suffered from hypertension for 10 years, which was well controlled medically by nifedipine and metoprolol. His past surgical history of</w:t>
      </w:r>
      <w:r>
        <w:rPr>
          <w:rFonts w:ascii="Book Antiqua" w:eastAsia="Book Antiqua" w:hAnsi="Book Antiqua" w:cs="Book Antiqua"/>
          <w:color w:val="000000"/>
        </w:rPr>
        <w:t xml:space="preserve"> renal transplantation had been 4 years due to chronic kidney disease. The immunosuppression therapy included prednisolone, mycophenolate mofetil, and tacrolimus. </w:t>
      </w:r>
    </w:p>
    <w:p w14:paraId="2E35C212" w14:textId="77777777" w:rsidR="00765724" w:rsidRDefault="00765724">
      <w:pPr>
        <w:spacing w:line="360" w:lineRule="auto"/>
        <w:jc w:val="both"/>
      </w:pPr>
    </w:p>
    <w:p w14:paraId="5F62F3F2" w14:textId="77777777" w:rsidR="00765724" w:rsidRDefault="00CD684D">
      <w:pPr>
        <w:spacing w:line="360" w:lineRule="auto"/>
        <w:jc w:val="both"/>
      </w:pPr>
      <w:r>
        <w:rPr>
          <w:rFonts w:ascii="Book Antiqua" w:eastAsia="Book Antiqua" w:hAnsi="Book Antiqua" w:cs="Book Antiqua"/>
          <w:b/>
          <w:i/>
          <w:color w:val="000000"/>
        </w:rPr>
        <w:t>Personal and family history</w:t>
      </w:r>
    </w:p>
    <w:p w14:paraId="723568B9" w14:textId="77777777" w:rsidR="00765724" w:rsidRDefault="00CD684D">
      <w:pPr>
        <w:spacing w:line="360" w:lineRule="auto"/>
        <w:jc w:val="both"/>
      </w:pPr>
      <w:r>
        <w:rPr>
          <w:rStyle w:val="fontstyle0"/>
          <w:rFonts w:ascii="Book Antiqua" w:eastAsia="Book Antiqua" w:hAnsi="Book Antiqua" w:cs="Book Antiqua"/>
          <w:color w:val="000000"/>
        </w:rPr>
        <w:t>The patient had a free personal and family history.</w:t>
      </w:r>
    </w:p>
    <w:p w14:paraId="05FF6AEF" w14:textId="77777777" w:rsidR="00765724" w:rsidRDefault="00765724">
      <w:pPr>
        <w:spacing w:line="360" w:lineRule="auto"/>
        <w:jc w:val="both"/>
      </w:pPr>
    </w:p>
    <w:p w14:paraId="32B611B1" w14:textId="77777777" w:rsidR="00765724" w:rsidRDefault="00CD684D">
      <w:pPr>
        <w:spacing w:line="360" w:lineRule="auto"/>
        <w:jc w:val="both"/>
      </w:pPr>
      <w:r>
        <w:rPr>
          <w:rFonts w:ascii="Book Antiqua" w:eastAsia="Book Antiqua" w:hAnsi="Book Antiqua" w:cs="Book Antiqua"/>
          <w:b/>
          <w:i/>
          <w:color w:val="000000"/>
        </w:rPr>
        <w:t>Physical examination</w:t>
      </w:r>
    </w:p>
    <w:p w14:paraId="0DD175FE" w14:textId="77777777" w:rsidR="00765724" w:rsidRDefault="00CD684D">
      <w:pPr>
        <w:spacing w:line="360" w:lineRule="auto"/>
        <w:jc w:val="both"/>
      </w:pPr>
      <w:r>
        <w:rPr>
          <w:rFonts w:ascii="Book Antiqua" w:eastAsia="Book Antiqua" w:hAnsi="Book Antiqua" w:cs="Book Antiqua"/>
          <w:color w:val="000000"/>
        </w:rPr>
        <w:t>Clinical examination revealed tenderness on palpation of his full abdomen with rebound tenderness and muscle guarding.</w:t>
      </w:r>
    </w:p>
    <w:p w14:paraId="37A837B6" w14:textId="77777777" w:rsidR="00765724" w:rsidRDefault="00765724">
      <w:pPr>
        <w:spacing w:line="360" w:lineRule="auto"/>
        <w:jc w:val="both"/>
      </w:pPr>
    </w:p>
    <w:p w14:paraId="4B6E21ED" w14:textId="77777777" w:rsidR="00765724" w:rsidRDefault="00CD684D">
      <w:pPr>
        <w:spacing w:line="360" w:lineRule="auto"/>
        <w:jc w:val="both"/>
      </w:pPr>
      <w:r>
        <w:rPr>
          <w:rFonts w:ascii="Book Antiqua" w:eastAsia="Book Antiqua" w:hAnsi="Book Antiqua" w:cs="Book Antiqua"/>
          <w:b/>
          <w:i/>
          <w:color w:val="000000"/>
        </w:rPr>
        <w:t>Laboratory examinations</w:t>
      </w:r>
    </w:p>
    <w:p w14:paraId="5B184EA6" w14:textId="77777777" w:rsidR="00765724" w:rsidRDefault="00CD684D">
      <w:pPr>
        <w:spacing w:line="360" w:lineRule="auto"/>
        <w:jc w:val="both"/>
      </w:pPr>
      <w:r>
        <w:rPr>
          <w:rFonts w:ascii="Book Antiqua" w:eastAsia="Book Antiqua" w:hAnsi="Book Antiqua" w:cs="Book Antiqua"/>
          <w:color w:val="000000"/>
        </w:rPr>
        <w:t>Laboratory evaluation showed that the leucocytes count was elevated at 31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/mL, hemoglo</w:t>
      </w:r>
      <w:r>
        <w:rPr>
          <w:rFonts w:ascii="Book Antiqua" w:eastAsia="Book Antiqua" w:hAnsi="Book Antiqua" w:cs="Book Antiqua"/>
          <w:color w:val="000000"/>
        </w:rPr>
        <w:t xml:space="preserve">bin was 13 g/dL, and C-reactive protein was 33.86 mg/dL. The hepatitis serology and cytomegalovirus results did not suggest clinical virus infection. </w:t>
      </w:r>
    </w:p>
    <w:p w14:paraId="4E8E1011" w14:textId="77777777" w:rsidR="00765724" w:rsidRDefault="00765724">
      <w:pPr>
        <w:spacing w:line="360" w:lineRule="auto"/>
        <w:jc w:val="both"/>
      </w:pPr>
    </w:p>
    <w:p w14:paraId="3B0B4D3E" w14:textId="77777777" w:rsidR="00765724" w:rsidRDefault="00CD684D">
      <w:pPr>
        <w:spacing w:line="360" w:lineRule="auto"/>
        <w:jc w:val="both"/>
      </w:pPr>
      <w:r>
        <w:rPr>
          <w:rFonts w:ascii="Book Antiqua" w:eastAsia="Book Antiqua" w:hAnsi="Book Antiqua" w:cs="Book Antiqua"/>
          <w:b/>
          <w:i/>
          <w:color w:val="000000"/>
        </w:rPr>
        <w:t>Imaging examinations</w:t>
      </w:r>
    </w:p>
    <w:p w14:paraId="3B9F2109" w14:textId="77777777" w:rsidR="00765724" w:rsidRDefault="00CD684D">
      <w:pPr>
        <w:spacing w:line="360" w:lineRule="auto"/>
        <w:jc w:val="both"/>
      </w:pPr>
      <w:r>
        <w:rPr>
          <w:rFonts w:ascii="Book Antiqua" w:eastAsia="Book Antiqua" w:hAnsi="Book Antiqua" w:cs="Book Antiqua"/>
          <w:color w:val="000000"/>
        </w:rPr>
        <w:t>The abdominal contrast-enhanced computed tomography (CT) scan exhibited an extensiv</w:t>
      </w:r>
      <w:r>
        <w:rPr>
          <w:rFonts w:ascii="Book Antiqua" w:eastAsia="Book Antiqua" w:hAnsi="Book Antiqua" w:cs="Book Antiqua"/>
          <w:color w:val="000000"/>
        </w:rPr>
        <w:t xml:space="preserve">e filling defect within the portal vein and right branch, extending to the superior mesenteric vein as well as splenic vein (Figure 1A). </w:t>
      </w:r>
    </w:p>
    <w:p w14:paraId="62C3241E" w14:textId="77777777" w:rsidR="00765724" w:rsidRDefault="00765724">
      <w:pPr>
        <w:spacing w:line="360" w:lineRule="auto"/>
        <w:jc w:val="both"/>
      </w:pPr>
    </w:p>
    <w:p w14:paraId="734D8888" w14:textId="77777777" w:rsidR="00765724" w:rsidRDefault="00CD684D">
      <w:pPr>
        <w:spacing w:line="360" w:lineRule="auto"/>
        <w:jc w:val="both"/>
      </w:pPr>
      <w:r>
        <w:rPr>
          <w:rFonts w:ascii="Book Antiqua" w:eastAsia="Book Antiqua" w:hAnsi="Book Antiqua" w:cs="Book Antiqua"/>
          <w:b/>
          <w:caps/>
          <w:color w:val="000000"/>
          <w:u w:val="single"/>
        </w:rPr>
        <w:t>FINAL DIAGNOSIS</w:t>
      </w:r>
    </w:p>
    <w:p w14:paraId="007BD05B" w14:textId="77777777" w:rsidR="00765724" w:rsidRDefault="00CD684D">
      <w:pPr>
        <w:spacing w:line="360" w:lineRule="auto"/>
        <w:jc w:val="both"/>
      </w:pPr>
      <w:r>
        <w:rPr>
          <w:rFonts w:ascii="Book Antiqua" w:eastAsia="Book Antiqua" w:hAnsi="Book Antiqua" w:cs="Book Antiqua"/>
          <w:color w:val="000000"/>
        </w:rPr>
        <w:t>Based on the above findings, a final diagnosis of acute superior MTV was made.</w:t>
      </w:r>
    </w:p>
    <w:p w14:paraId="28F4EBC8" w14:textId="77777777" w:rsidR="00765724" w:rsidRDefault="00765724">
      <w:pPr>
        <w:spacing w:line="360" w:lineRule="auto"/>
        <w:jc w:val="both"/>
      </w:pPr>
    </w:p>
    <w:p w14:paraId="57061E63" w14:textId="77777777" w:rsidR="00765724" w:rsidRDefault="00CD684D">
      <w:pPr>
        <w:spacing w:line="360" w:lineRule="auto"/>
        <w:jc w:val="both"/>
      </w:pPr>
      <w:r>
        <w:rPr>
          <w:rFonts w:ascii="Book Antiqua" w:eastAsia="Book Antiqua" w:hAnsi="Book Antiqua" w:cs="Book Antiqua"/>
          <w:b/>
          <w:caps/>
          <w:color w:val="000000"/>
          <w:u w:val="single"/>
        </w:rPr>
        <w:t>TREATMENT</w:t>
      </w:r>
    </w:p>
    <w:p w14:paraId="20C8B34A" w14:textId="77777777" w:rsidR="00765724" w:rsidRDefault="00CD684D">
      <w:pPr>
        <w:spacing w:line="360" w:lineRule="auto"/>
        <w:jc w:val="both"/>
      </w:pPr>
      <w:r>
        <w:rPr>
          <w:rFonts w:ascii="Book Antiqua" w:eastAsia="Book Antiqua" w:hAnsi="Book Antiqua" w:cs="Book Antiqua"/>
          <w:color w:val="000000"/>
        </w:rPr>
        <w:t xml:space="preserve">An </w:t>
      </w:r>
      <w:r>
        <w:rPr>
          <w:rFonts w:ascii="Book Antiqua" w:eastAsia="Book Antiqua" w:hAnsi="Book Antiqua" w:cs="Book Antiqua"/>
          <w:color w:val="000000"/>
        </w:rPr>
        <w:t>emergency exploratory laparotomy was performed. On exploration, 600 mL bloody ascites were found, and jejunum, approximately 120 cm from the Treitz ligament, was gangrenous.</w:t>
      </w:r>
      <w:r>
        <w:rPr>
          <w:rFonts w:ascii="Book Antiqua" w:eastAsia="Book Antiqua" w:hAnsi="Book Antiqua" w:cs="Book Antiqua"/>
          <w:color w:val="000000"/>
          <w:szCs w:val="21"/>
        </w:rPr>
        <w:t xml:space="preserve"> </w:t>
      </w:r>
      <w:r>
        <w:rPr>
          <w:rFonts w:ascii="Book Antiqua" w:eastAsia="Book Antiqua" w:hAnsi="Book Antiqua" w:cs="Book Antiqua"/>
          <w:color w:val="000000"/>
        </w:rPr>
        <w:t>Almost no pulsations were palpable in the mesentery of the affected bowel, and thr</w:t>
      </w:r>
      <w:r>
        <w:rPr>
          <w:rFonts w:ascii="Book Antiqua" w:eastAsia="Book Antiqua" w:hAnsi="Book Antiqua" w:cs="Book Antiqua"/>
          <w:color w:val="000000"/>
        </w:rPr>
        <w:t xml:space="preserve">omboembolism was discovered in the corresponding </w:t>
      </w:r>
      <w:r>
        <w:rPr>
          <w:rStyle w:val="highlight"/>
          <w:rFonts w:ascii="Book Antiqua" w:eastAsia="Book Antiqua" w:hAnsi="Book Antiqua" w:cs="Book Antiqua"/>
          <w:color w:val="000000"/>
        </w:rPr>
        <w:t>mesenteric</w:t>
      </w:r>
      <w:r>
        <w:rPr>
          <w:rFonts w:ascii="Book Antiqua" w:eastAsia="Book Antiqua" w:hAnsi="Book Antiqua" w:cs="Book Antiqua"/>
          <w:color w:val="000000"/>
        </w:rPr>
        <w:t xml:space="preserve"> veins (Figure 2). The necrotic intestine, measuring approximately 100 cm, was resected, and a functional side-to-side anastomosis with staplers was performed.</w:t>
      </w:r>
      <w:r>
        <w:rPr>
          <w:rFonts w:ascii="Book Antiqua" w:eastAsia="Book Antiqua" w:hAnsi="Book Antiqua" w:cs="Book Antiqua"/>
          <w:color w:val="000000"/>
          <w:szCs w:val="21"/>
        </w:rPr>
        <w:t xml:space="preserve"> </w:t>
      </w:r>
      <w:r>
        <w:rPr>
          <w:rFonts w:ascii="Book Antiqua" w:eastAsia="Book Antiqua" w:hAnsi="Book Antiqua" w:cs="Book Antiqua"/>
          <w:color w:val="000000"/>
        </w:rPr>
        <w:t>Total parenteral nutrition, intraveno</w:t>
      </w:r>
      <w:r>
        <w:rPr>
          <w:rFonts w:ascii="Book Antiqua" w:eastAsia="Book Antiqua" w:hAnsi="Book Antiqua" w:cs="Book Antiqua"/>
          <w:color w:val="000000"/>
        </w:rPr>
        <w:t xml:space="preserve">us antibiotics, and full anticoagulation with low molecular weight heparin were initiated postoperatively. Methylprednisolone was used as a substitute for immunosuppression, and thrombolytic therapy was withheld due to bleeding risk. Further inquiry about </w:t>
      </w:r>
      <w:r>
        <w:rPr>
          <w:rFonts w:ascii="Book Antiqua" w:eastAsia="Book Antiqua" w:hAnsi="Book Antiqua" w:cs="Book Antiqua"/>
          <w:color w:val="000000"/>
        </w:rPr>
        <w:t xml:space="preserve">the medical history revealed no personal or immediate family </w:t>
      </w:r>
      <w:r>
        <w:rPr>
          <w:rFonts w:ascii="Book Antiqua" w:eastAsia="Book Antiqua" w:hAnsi="Book Antiqua" w:cs="Book Antiqua"/>
          <w:color w:val="000000"/>
        </w:rPr>
        <w:lastRenderedPageBreak/>
        <w:t>history of inherited thrombophilia, deep vein thrombosis, vascular disease, or pulmonary embolism. The patient’s body mass index was 27 kg/m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without dyslipidemia. Thrombophilia test was negative</w:t>
      </w:r>
      <w:r>
        <w:rPr>
          <w:rFonts w:ascii="Book Antiqua" w:eastAsia="Book Antiqua" w:hAnsi="Book Antiqua" w:cs="Book Antiqua"/>
          <w:color w:val="000000"/>
        </w:rPr>
        <w:t xml:space="preserve"> for the factor V Leiden gene mutation, anticardiolipin antibodies, prothrombin G20210A mutation, and prothrombin gene mutation. The patient had normal levels of homocysteine, protein C, protein S, and antithrombin III.</w:t>
      </w:r>
    </w:p>
    <w:p w14:paraId="4E92EEA8" w14:textId="77777777" w:rsidR="00765724" w:rsidRDefault="00CD684D">
      <w:pPr>
        <w:spacing w:line="360" w:lineRule="auto"/>
        <w:ind w:firstLineChars="100" w:firstLine="240"/>
        <w:jc w:val="both"/>
      </w:pPr>
      <w:r>
        <w:rPr>
          <w:rFonts w:ascii="Book Antiqua" w:eastAsia="Book Antiqua" w:hAnsi="Book Antiqua" w:cs="Book Antiqua"/>
          <w:color w:val="000000"/>
        </w:rPr>
        <w:t>In the following 10 d, the patient r</w:t>
      </w:r>
      <w:r>
        <w:rPr>
          <w:rFonts w:ascii="Book Antiqua" w:eastAsia="Book Antiqua" w:hAnsi="Book Antiqua" w:cs="Book Antiqua"/>
          <w:color w:val="000000"/>
        </w:rPr>
        <w:t>ecovered well, and the abdominal symptoms improved. On the 11</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surgery, the patient had a sudden fever of 39 ºC, and ultrasonography showed fluid (55 mm × 10 mm) accumulation surrounding the surgical area. Thus, percutaneous catheterization was </w:t>
      </w:r>
      <w:r>
        <w:rPr>
          <w:rFonts w:ascii="Book Antiqua" w:eastAsia="Book Antiqua" w:hAnsi="Book Antiqua" w:cs="Book Antiqua"/>
          <w:color w:val="000000"/>
        </w:rPr>
        <w:t>performed. On the other hand, the drainage tube of the pelvic cavity was removed. Unexpectedly, a rare hernia happened (Figure 3). The black stool suddenly appeared 3 wk after the operation, with hemoglobin decreasing to 6.5 g/dL.</w:t>
      </w:r>
      <w:r>
        <w:rPr>
          <w:rFonts w:ascii="Book Antiqua" w:eastAsia="Book Antiqua" w:hAnsi="Book Antiqua" w:cs="Book Antiqua"/>
          <w:color w:val="000000"/>
          <w:szCs w:val="21"/>
        </w:rPr>
        <w:t xml:space="preserve"> </w:t>
      </w:r>
      <w:r>
        <w:rPr>
          <w:rFonts w:ascii="Book Antiqua" w:eastAsia="Book Antiqua" w:hAnsi="Book Antiqua" w:cs="Book Antiqua"/>
          <w:color w:val="000000"/>
        </w:rPr>
        <w:t>Even more disappointing w</w:t>
      </w:r>
      <w:r>
        <w:rPr>
          <w:rFonts w:ascii="Book Antiqua" w:eastAsia="Book Antiqua" w:hAnsi="Book Antiqua" w:cs="Book Antiqua"/>
          <w:color w:val="000000"/>
        </w:rPr>
        <w:t>as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radiography from percutaneous catheter revealed anastomotic fistula (Figure 4). The condition worsened because the thrombus was aggravated, and the patient developed a severe bacterial infection with repeated fever to 40 ºC and platelets dropped to 3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/mL (Table 1). </w:t>
      </w:r>
    </w:p>
    <w:p w14:paraId="75DA7586" w14:textId="77777777" w:rsidR="00765724" w:rsidRDefault="00CD684D">
      <w:pPr>
        <w:spacing w:line="360" w:lineRule="auto"/>
        <w:ind w:firstLineChars="100" w:firstLine="240"/>
        <w:jc w:val="both"/>
      </w:pPr>
      <w:r>
        <w:rPr>
          <w:rFonts w:ascii="Book Antiqua" w:eastAsia="Book Antiqua" w:hAnsi="Book Antiqua" w:cs="Book Antiqua"/>
          <w:color w:val="000000"/>
        </w:rPr>
        <w:t xml:space="preserve">Considering the possibility of exacerbating intestinal ischemia, </w:t>
      </w:r>
      <w:r>
        <w:rPr>
          <w:rFonts w:ascii="Book Antiqua" w:eastAsia="Book Antiqua" w:hAnsi="Book Antiqua" w:cs="Book Antiqua"/>
          <w:color w:val="000000"/>
          <w:shd w:val="clear" w:color="auto" w:fill="FFFFFF"/>
        </w:rPr>
        <w:t>the use of vasopressors and somatostatin was avoided. Anticoagulant therapy was also temporarily discontinued due to the risk of massive bleeding. To balance the healing of</w:t>
      </w:r>
      <w:r>
        <w:rPr>
          <w:rFonts w:ascii="Book Antiqua" w:eastAsia="Book Antiqua" w:hAnsi="Book Antiqua" w:cs="Book Antiqua"/>
          <w:color w:val="000000"/>
          <w:shd w:val="clear" w:color="auto" w:fill="FFFFFF"/>
        </w:rPr>
        <w:t xml:space="preserve"> the anastomosis, the hormones for immunosuppression therapy were reduced.</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Anti-infective therapy had also been strengthened, and the bleeding was finally stopped after a whole week of blood transfusion and mucosal protection treatment.</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condition was gradually controlled in the following 2 wk, and anticoagulation therapy with dalteparin sodium was initiated. CT scan showed decreased portal vein thrombosis, and thrombosis in the splenic vein was completely absorbed. Although still with int</w:t>
      </w:r>
      <w:r>
        <w:rPr>
          <w:rFonts w:ascii="Book Antiqua" w:eastAsia="Book Antiqua" w:hAnsi="Book Antiqua" w:cs="Book Antiqua"/>
          <w:color w:val="000000"/>
          <w:shd w:val="clear" w:color="auto" w:fill="FFFFFF"/>
        </w:rPr>
        <w:t>estinal fistula, the patient gradually returned to a normal diet, and anticoagulation therapy was changed to rivaroxaban. The patient was discharged when another CT demonstrated all thrombi were completely absorbed 2 mo after operation (</w:t>
      </w:r>
      <w:r>
        <w:rPr>
          <w:rFonts w:ascii="Book Antiqua" w:eastAsia="Book Antiqua" w:hAnsi="Book Antiqua" w:cs="Book Antiqua"/>
          <w:color w:val="000000"/>
        </w:rPr>
        <w:t xml:space="preserve">Figure </w:t>
      </w:r>
      <w:r>
        <w:rPr>
          <w:rFonts w:ascii="Book Antiqua" w:eastAsia="Book Antiqua" w:hAnsi="Book Antiqua" w:cs="Book Antiqua"/>
          <w:color w:val="000000"/>
          <w:shd w:val="clear" w:color="auto" w:fill="FFFFFF"/>
        </w:rPr>
        <w:t xml:space="preserve">1B). </w:t>
      </w:r>
    </w:p>
    <w:p w14:paraId="58DB955B" w14:textId="77777777" w:rsidR="00765724" w:rsidRDefault="00765724">
      <w:pPr>
        <w:spacing w:line="360" w:lineRule="auto"/>
        <w:jc w:val="both"/>
      </w:pPr>
    </w:p>
    <w:p w14:paraId="7AFDB1AD" w14:textId="77777777" w:rsidR="00765724" w:rsidRDefault="00CD684D">
      <w:pPr>
        <w:spacing w:line="360" w:lineRule="auto"/>
        <w:jc w:val="both"/>
      </w:pPr>
      <w:r>
        <w:rPr>
          <w:rFonts w:ascii="Book Antiqua" w:eastAsia="Book Antiqua" w:hAnsi="Book Antiqua" w:cs="Book Antiqua"/>
          <w:b/>
          <w:caps/>
          <w:color w:val="000000"/>
          <w:u w:val="single"/>
        </w:rPr>
        <w:t>OUTCO</w:t>
      </w:r>
      <w:r>
        <w:rPr>
          <w:rFonts w:ascii="Book Antiqua" w:eastAsia="Book Antiqua" w:hAnsi="Book Antiqua" w:cs="Book Antiqua"/>
          <w:b/>
          <w:caps/>
          <w:color w:val="000000"/>
          <w:u w:val="single"/>
        </w:rPr>
        <w:t>ME AND FOLLOW-UP</w:t>
      </w:r>
    </w:p>
    <w:p w14:paraId="71963015" w14:textId="77777777" w:rsidR="00765724" w:rsidRDefault="00CD684D">
      <w:pPr>
        <w:spacing w:line="360" w:lineRule="auto"/>
        <w:jc w:val="both"/>
      </w:pPr>
      <w:r>
        <w:rPr>
          <w:rFonts w:ascii="Book Antiqua" w:eastAsia="Book Antiqua" w:hAnsi="Book Antiqua" w:cs="Book Antiqua"/>
          <w:color w:val="000000"/>
        </w:rPr>
        <w:lastRenderedPageBreak/>
        <w:t>On follow-up, the anticoagulation therapy was continued for an additional 4 mo, and the drainage tube for the anastomotic fistula was removed. Until now, no abnormalities were observed in the 2-year follow-up.</w:t>
      </w:r>
    </w:p>
    <w:p w14:paraId="29BF87BF" w14:textId="77777777" w:rsidR="00765724" w:rsidRDefault="00765724">
      <w:pPr>
        <w:spacing w:line="360" w:lineRule="auto"/>
        <w:jc w:val="both"/>
      </w:pPr>
    </w:p>
    <w:p w14:paraId="33C77671" w14:textId="77777777" w:rsidR="00765724" w:rsidRDefault="00CD684D">
      <w:pPr>
        <w:spacing w:line="360" w:lineRule="auto"/>
        <w:jc w:val="both"/>
      </w:pPr>
      <w:r>
        <w:rPr>
          <w:rFonts w:ascii="Book Antiqua" w:eastAsia="Book Antiqua" w:hAnsi="Book Antiqua" w:cs="Book Antiqua"/>
          <w:b/>
          <w:caps/>
          <w:color w:val="000000"/>
          <w:u w:val="single"/>
        </w:rPr>
        <w:t>DISCUSSION</w:t>
      </w:r>
    </w:p>
    <w:p w14:paraId="06178E8B" w14:textId="77777777" w:rsidR="00765724" w:rsidRDefault="00CD684D">
      <w:pPr>
        <w:spacing w:line="360" w:lineRule="auto"/>
        <w:jc w:val="both"/>
      </w:pPr>
      <w:r>
        <w:rPr>
          <w:rFonts w:ascii="Book Antiqua" w:eastAsia="Book Antiqua" w:hAnsi="Book Antiqua" w:cs="Book Antiqua"/>
          <w:color w:val="000000"/>
          <w:shd w:val="clear" w:color="auto" w:fill="FFFFFF"/>
        </w:rPr>
        <w:t xml:space="preserve">MVT </w:t>
      </w:r>
      <w:r>
        <w:rPr>
          <w:rFonts w:ascii="Book Antiqua" w:eastAsia="Book Antiqua" w:hAnsi="Book Antiqua" w:cs="Book Antiqua"/>
          <w:color w:val="000000"/>
        </w:rPr>
        <w:t>is an uncommo</w:t>
      </w:r>
      <w:r>
        <w:rPr>
          <w:rFonts w:ascii="Book Antiqua" w:eastAsia="Book Antiqua" w:hAnsi="Book Antiqua" w:cs="Book Antiqua"/>
          <w:color w:val="000000"/>
        </w:rPr>
        <w:t>n, life-threatening disease,</w:t>
      </w:r>
      <w:r>
        <w:rPr>
          <w:rFonts w:ascii="Book Antiqua" w:eastAsia="Book Antiqua" w:hAnsi="Book Antiqua" w:cs="Book Antiqua"/>
          <w:color w:val="000000"/>
          <w:shd w:val="clear" w:color="auto" w:fill="FFFFFF"/>
        </w:rPr>
        <w:t xml:space="preserve"> which accounts for less than 10% of cases of </w:t>
      </w:r>
      <w:r>
        <w:rPr>
          <w:rFonts w:ascii="Book Antiqua" w:eastAsia="Book Antiqua" w:hAnsi="Book Antiqua" w:cs="Book Antiqua"/>
          <w:color w:val="000000"/>
        </w:rPr>
        <w:t>acute mesenteric ischemia</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It is characterized by an insidious onset, and early non-specific clinical presentation but can progress rapidly.</w:t>
      </w:r>
      <w:r>
        <w:rPr>
          <w:rFonts w:ascii="Book Antiqua" w:eastAsia="Book Antiqua" w:hAnsi="Book Antiqua" w:cs="Book Antiqua"/>
          <w:color w:val="000000"/>
        </w:rPr>
        <w:t xml:space="preserve"> The superior mesenteric vein </w:t>
      </w:r>
      <w:r>
        <w:rPr>
          <w:rFonts w:ascii="Book Antiqua" w:eastAsia="Book Antiqua" w:hAnsi="Book Antiqua" w:cs="Book Antiqua"/>
          <w:color w:val="000000"/>
          <w:shd w:val="clear" w:color="auto" w:fill="FFFFFF"/>
        </w:rPr>
        <w:t xml:space="preserve">does not </w:t>
      </w:r>
      <w:r>
        <w:rPr>
          <w:rFonts w:ascii="Book Antiqua" w:eastAsia="Book Antiqua" w:hAnsi="Book Antiqua" w:cs="Book Antiqua"/>
          <w:color w:val="000000"/>
          <w:shd w:val="clear" w:color="auto" w:fill="FFFFFF"/>
        </w:rPr>
        <w:t xml:space="preserve">have collateral vessels; its complete obstruction accompanied by improper venous drainage can easily result in bowel </w:t>
      </w:r>
      <w:r>
        <w:rPr>
          <w:rFonts w:ascii="Book Antiqua" w:eastAsia="Book Antiqua" w:hAnsi="Book Antiqua" w:cs="Book Antiqua"/>
          <w:color w:val="000000"/>
        </w:rPr>
        <w:t>infarction. A</w:t>
      </w:r>
      <w:r>
        <w:rPr>
          <w:rFonts w:ascii="Book Antiqua" w:eastAsia="Book Antiqua" w:hAnsi="Book Antiqua" w:cs="Book Antiqua"/>
          <w:color w:val="000000"/>
          <w:shd w:val="clear" w:color="auto" w:fill="FFFFFF"/>
        </w:rPr>
        <w:t xml:space="preserve">bdominal pain is the most common clinical manifestation of acute superior MVT (SMVT) and is </w:t>
      </w:r>
      <w:r>
        <w:rPr>
          <w:rFonts w:ascii="Book Antiqua" w:eastAsia="Book Antiqua" w:hAnsi="Book Antiqua" w:cs="Book Antiqua"/>
          <w:color w:val="000000"/>
        </w:rPr>
        <w:t>largely determined by the location</w:t>
      </w:r>
      <w:r>
        <w:rPr>
          <w:rFonts w:ascii="Book Antiqua" w:eastAsia="Book Antiqua" w:hAnsi="Book Antiqua" w:cs="Book Antiqua"/>
          <w:color w:val="000000"/>
        </w:rPr>
        <w:t xml:space="preserve"> and extent of the thrombus, the size of the involved vessels, and the depth of bowel-wall ischemia</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For this patient, abdominal symptoms gradually worsened with the development of peritonitis, which indicated a complete embolization of a wide range of </w:t>
      </w:r>
      <w:r>
        <w:rPr>
          <w:rFonts w:ascii="Book Antiqua" w:eastAsia="Book Antiqua" w:hAnsi="Book Antiqua" w:cs="Book Antiqua"/>
          <w:color w:val="000000"/>
        </w:rPr>
        <w:t>blood vessels.</w:t>
      </w:r>
    </w:p>
    <w:p w14:paraId="50C41488" w14:textId="77777777" w:rsidR="00765724" w:rsidRDefault="00CD684D">
      <w:pPr>
        <w:spacing w:line="360" w:lineRule="auto"/>
        <w:ind w:firstLineChars="100" w:firstLine="240"/>
        <w:jc w:val="both"/>
      </w:pPr>
      <w:r>
        <w:rPr>
          <w:rFonts w:ascii="Book Antiqua" w:eastAsia="Book Antiqua" w:hAnsi="Book Antiqua" w:cs="Book Antiqua"/>
          <w:color w:val="000000"/>
          <w:shd w:val="clear" w:color="auto" w:fill="FFFFFF"/>
        </w:rPr>
        <w:t xml:space="preserve">Successful treatment of acute SMVT relies on prompt diagnosis. Until now, there has been no single laboratory marker that is sensitive and specific for SMVT. D-dimer testing has the potential to detect thrombosis, and the level in the blood </w:t>
      </w:r>
      <w:r>
        <w:rPr>
          <w:rFonts w:ascii="Book Antiqua" w:eastAsia="Book Antiqua" w:hAnsi="Book Antiqua" w:cs="Book Antiqua"/>
          <w:color w:val="000000"/>
          <w:shd w:val="clear" w:color="auto" w:fill="FFFFFF"/>
        </w:rPr>
        <w:t>can significantly rise when a thrombus is present</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However, D-dimer testing is non-specific, can be elevated duo to abdominal inflammation, and has not been well studied in the evaluation of SMVT. CT scan with arterial and portal phase is the most effec</w:t>
      </w:r>
      <w:r>
        <w:rPr>
          <w:rFonts w:ascii="Book Antiqua" w:eastAsia="Book Antiqua" w:hAnsi="Book Antiqua" w:cs="Book Antiqua"/>
          <w:color w:val="000000"/>
          <w:shd w:val="clear" w:color="auto" w:fill="FFFFFF"/>
        </w:rPr>
        <w:t>tive tool, with high sensitivity (96%) and specificity (94%). Image features of CT for bowel ischemia can be divided into mural, vascular, and extramural-nonvascular signs, from which one can make a timely and accurate diagnosis easily</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w:t>
      </w:r>
    </w:p>
    <w:p w14:paraId="0D547B6D" w14:textId="77777777" w:rsidR="00765724" w:rsidRDefault="00CD684D">
      <w:pPr>
        <w:spacing w:line="360" w:lineRule="auto"/>
        <w:ind w:firstLineChars="100" w:firstLine="240"/>
        <w:jc w:val="both"/>
      </w:pPr>
      <w:r>
        <w:rPr>
          <w:rFonts w:ascii="Book Antiqua" w:eastAsia="Book Antiqua" w:hAnsi="Book Antiqua" w:cs="Book Antiqua"/>
          <w:color w:val="000000"/>
        </w:rPr>
        <w:t xml:space="preserve">In general, MVT </w:t>
      </w:r>
      <w:r>
        <w:rPr>
          <w:rFonts w:ascii="Book Antiqua" w:eastAsia="Book Antiqua" w:hAnsi="Book Antiqua" w:cs="Book Antiqua"/>
          <w:color w:val="000000"/>
        </w:rPr>
        <w:t>can be classified as primary or secondary depending based on its cause.</w:t>
      </w:r>
      <w:r>
        <w:rPr>
          <w:rFonts w:ascii="Book Antiqua" w:eastAsia="Book Antiqua" w:hAnsi="Book Antiqua" w:cs="Book Antiqua"/>
          <w:color w:val="000000"/>
          <w:szCs w:val="21"/>
        </w:rPr>
        <w:t xml:space="preserve"> S</w:t>
      </w:r>
      <w:r>
        <w:rPr>
          <w:rFonts w:ascii="Book Antiqua" w:eastAsia="Book Antiqua" w:hAnsi="Book Antiqua" w:cs="Book Antiqua"/>
          <w:color w:val="000000"/>
          <w:shd w:val="clear" w:color="auto" w:fill="FFFFFF"/>
        </w:rPr>
        <w:t>econdary MVT can result from various underlying diseases and acquired risk factors, including primary hypercoagulable states or prothrombotic disorders</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shd w:val="clear" w:color="auto" w:fill="FFFFFF"/>
        </w:rPr>
        <w:t>, myeloproliferative neoplasm</w:t>
      </w:r>
      <w:r>
        <w:rPr>
          <w:rFonts w:ascii="Book Antiqua" w:eastAsia="Book Antiqua" w:hAnsi="Book Antiqua" w:cs="Book Antiqua"/>
          <w:color w:val="000000"/>
          <w:shd w:val="clear" w:color="auto" w:fill="FFFFFF"/>
        </w:rPr>
        <w:t>s, cancer, diverse inflammatory conditions, trauma, post-operative condition, portal hypertension, or pregnancy</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8,9]</w:t>
      </w:r>
      <w:r>
        <w:rPr>
          <w:rFonts w:ascii="Book Antiqua" w:eastAsia="Book Antiqua" w:hAnsi="Book Antiqua" w:cs="Book Antiqua"/>
          <w:color w:val="000000"/>
          <w:shd w:val="clear" w:color="auto" w:fill="FFFFFF"/>
        </w:rPr>
        <w:t xml:space="preserve">. When no etiologic or </w:t>
      </w:r>
      <w:r>
        <w:rPr>
          <w:rFonts w:ascii="Book Antiqua" w:eastAsia="Book Antiqua" w:hAnsi="Book Antiqua" w:cs="Book Antiqua"/>
          <w:color w:val="000000"/>
          <w:shd w:val="clear" w:color="auto" w:fill="FFFFFF"/>
        </w:rPr>
        <w:lastRenderedPageBreak/>
        <w:t>predisposing factor has been found, it is considered primary or idiopathic.</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proportion of primary patients contin</w:t>
      </w:r>
      <w:r>
        <w:rPr>
          <w:rFonts w:ascii="Book Antiqua" w:eastAsia="Book Antiqua" w:hAnsi="Book Antiqua" w:cs="Book Antiqua"/>
          <w:color w:val="000000"/>
          <w:shd w:val="clear" w:color="auto" w:fill="FFFFFF"/>
        </w:rPr>
        <w:t>ues to decline due to increased awareness of predisposing disorders and a growing ability to diagnose technique</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As we were able to rule out any coagulation factor deficiency or other risks that could be the cause,</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we identified the diagnosis for idiopa</w:t>
      </w:r>
      <w:r>
        <w:rPr>
          <w:rFonts w:ascii="Book Antiqua" w:eastAsia="Book Antiqua" w:hAnsi="Book Antiqua" w:cs="Book Antiqua"/>
          <w:color w:val="000000"/>
          <w:shd w:val="clear" w:color="auto" w:fill="FFFFFF"/>
        </w:rPr>
        <w:t>thic MVT.</w:t>
      </w:r>
    </w:p>
    <w:p w14:paraId="7D0FCC27" w14:textId="77777777" w:rsidR="00765724" w:rsidRDefault="00CD684D">
      <w:pPr>
        <w:spacing w:line="360" w:lineRule="auto"/>
        <w:ind w:firstLineChars="100" w:firstLine="240"/>
        <w:jc w:val="both"/>
      </w:pPr>
      <w:r>
        <w:rPr>
          <w:rFonts w:ascii="Book Antiqua" w:eastAsia="Book Antiqua" w:hAnsi="Book Antiqua" w:cs="Book Antiqua"/>
          <w:color w:val="000000"/>
          <w:shd w:val="clear" w:color="auto" w:fill="FFFFFF"/>
        </w:rPr>
        <w:t xml:space="preserve">Alander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 xml:space="preserve"> reported the first case of MVT after renal transplantation in 1974. Due to the hypercoagulable state, the patient developed an iliofemoral venous thrombosis 1 mo after transplantation, worsened 8 mo later, and eventually died. Another case with sudden abd</w:t>
      </w:r>
      <w:r>
        <w:rPr>
          <w:rFonts w:ascii="Book Antiqua" w:eastAsia="Book Antiqua" w:hAnsi="Book Antiqua" w:cs="Book Antiqua"/>
          <w:color w:val="000000"/>
          <w:shd w:val="clear" w:color="auto" w:fill="FFFFFF"/>
        </w:rPr>
        <w:t>ominal pain 10 years after successful renal transplantation was also confirmed as an acute portal MVT. The patient was recovered after anticoagulation, and the authors attribute the thrombosis to lupus anticoagulant without lupus erythematodes</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shd w:val="clear" w:color="auto" w:fill="FFFFFF"/>
        </w:rPr>
        <w:t>. The rea</w:t>
      </w:r>
      <w:r>
        <w:rPr>
          <w:rFonts w:ascii="Book Antiqua" w:eastAsia="Book Antiqua" w:hAnsi="Book Antiqua" w:cs="Book Antiqua"/>
          <w:color w:val="000000"/>
          <w:shd w:val="clear" w:color="auto" w:fill="FFFFFF"/>
        </w:rPr>
        <w:t>son why the patient in this study developed acute SMVT</w:t>
      </w:r>
      <w:r>
        <w:rPr>
          <w:rFonts w:ascii="Book Antiqua" w:eastAsia="Book Antiqua" w:hAnsi="Book Antiqua" w:cs="Book Antiqua"/>
          <w:color w:val="000000"/>
        </w:rPr>
        <w:t xml:space="preserve"> after </w:t>
      </w:r>
      <w:r>
        <w:rPr>
          <w:rFonts w:ascii="Book Antiqua" w:eastAsia="Book Antiqua" w:hAnsi="Book Antiqua" w:cs="Book Antiqua"/>
          <w:color w:val="000000"/>
          <w:shd w:val="clear" w:color="auto" w:fill="FFFFFF"/>
        </w:rPr>
        <w:t>successful kidney transplantation is unclear. The thrombophilic state is well known in cases with nephrotic syndrome but not chronic kidney disease</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xml:space="preserve">. Although </w:t>
      </w:r>
      <w:r>
        <w:rPr>
          <w:rFonts w:ascii="Book Antiqua" w:eastAsia="Book Antiqua" w:hAnsi="Book Antiqua" w:cs="Book Antiqua"/>
          <w:color w:val="000000"/>
        </w:rPr>
        <w:t xml:space="preserve">the overall period of </w:t>
      </w:r>
      <w:r>
        <w:rPr>
          <w:rFonts w:ascii="Book Antiqua" w:eastAsia="Book Antiqua" w:hAnsi="Book Antiqua" w:cs="Book Antiqua"/>
          <w:color w:val="000000"/>
          <w:shd w:val="clear" w:color="auto" w:fill="FFFFFF"/>
        </w:rPr>
        <w:t>hemodialysi</w:t>
      </w:r>
      <w:r>
        <w:rPr>
          <w:rFonts w:ascii="Book Antiqua" w:eastAsia="Book Antiqua" w:hAnsi="Book Antiqua" w:cs="Book Antiqua"/>
          <w:color w:val="000000"/>
          <w:shd w:val="clear" w:color="auto" w:fill="FFFFFF"/>
        </w:rPr>
        <w:t>s</w:t>
      </w:r>
      <w:r>
        <w:rPr>
          <w:rFonts w:ascii="Book Antiqua" w:eastAsia="Book Antiqua" w:hAnsi="Book Antiqua" w:cs="Book Antiqua"/>
          <w:color w:val="000000"/>
        </w:rPr>
        <w:t xml:space="preserve"> had been 10 mo, there is no thrombosis in his </w:t>
      </w:r>
      <w:r>
        <w:rPr>
          <w:rFonts w:ascii="Book Antiqua" w:eastAsia="Book Antiqua" w:hAnsi="Book Antiqua" w:cs="Book Antiqua"/>
          <w:color w:val="000000"/>
          <w:shd w:val="clear" w:color="auto" w:fill="FFFFFF"/>
        </w:rPr>
        <w:t>arterio-venous shunts.</w:t>
      </w:r>
      <w:r>
        <w:rPr>
          <w:rFonts w:ascii="Book Antiqua" w:eastAsia="Book Antiqua" w:hAnsi="Book Antiqua" w:cs="Book Antiqua"/>
          <w:color w:val="000000"/>
        </w:rPr>
        <w:t xml:space="preserve"> Although the mechanism involved remains speculative, many prothrombotic effects might be responsible.</w:t>
      </w:r>
      <w:r>
        <w:rPr>
          <w:rFonts w:ascii="Book Antiqua" w:eastAsia="Book Antiqua" w:hAnsi="Book Antiqua" w:cs="Book Antiqua"/>
          <w:color w:val="000000"/>
          <w:shd w:val="clear" w:color="auto" w:fill="FFFFFF"/>
        </w:rPr>
        <w:t xml:space="preserve"> Iliac veins are used for venous drainage of allografts, and the corresponding chang</w:t>
      </w:r>
      <w:r>
        <w:rPr>
          <w:rFonts w:ascii="Book Antiqua" w:eastAsia="Book Antiqua" w:hAnsi="Book Antiqua" w:cs="Book Antiqua"/>
          <w:color w:val="000000"/>
          <w:shd w:val="clear" w:color="auto" w:fill="FFFFFF"/>
        </w:rPr>
        <w:t>es in blood flow may be an inevitable risk factor. It is not clear whether</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immunosuppressive drugs increase the risk of thrombosis in renal transplant recipients. In principle, tacrolimus can trigger thrombotic microangiopathy</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Additional factors might</w:t>
      </w:r>
      <w:r>
        <w:rPr>
          <w:rFonts w:ascii="Book Antiqua" w:eastAsia="Book Antiqua" w:hAnsi="Book Antiqua" w:cs="Book Antiqua"/>
          <w:color w:val="000000"/>
        </w:rPr>
        <w:t xml:space="preserve"> be endothelial </w:t>
      </w:r>
      <w:r>
        <w:rPr>
          <w:rFonts w:ascii="Book Antiqua" w:eastAsia="Book Antiqua" w:hAnsi="Book Antiqua" w:cs="Book Antiqua"/>
          <w:color w:val="000000"/>
          <w:shd w:val="clear" w:color="auto" w:fill="FFFFFF"/>
        </w:rPr>
        <w:t>injury caused by hypertension, an essential factor for thrombosis formation</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w:t>
      </w:r>
    </w:p>
    <w:p w14:paraId="6217DFEA" w14:textId="77777777" w:rsidR="00765724" w:rsidRDefault="00CD684D">
      <w:pPr>
        <w:spacing w:line="360" w:lineRule="auto"/>
        <w:ind w:firstLineChars="100" w:firstLine="240"/>
        <w:jc w:val="both"/>
      </w:pPr>
      <w:r>
        <w:rPr>
          <w:rFonts w:ascii="Book Antiqua" w:eastAsia="Book Antiqua" w:hAnsi="Book Antiqua" w:cs="Book Antiqua"/>
          <w:color w:val="000000"/>
        </w:rPr>
        <w:t>Despite advances in treating thromboembolic disease over the past 40 years, acute MVT has an average 30 d mortality of up to 32.1% in severe cases</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Managem</w:t>
      </w:r>
      <w:r>
        <w:rPr>
          <w:rFonts w:ascii="Book Antiqua" w:eastAsia="Book Antiqua" w:hAnsi="Book Antiqua" w:cs="Book Antiqua"/>
          <w:color w:val="000000"/>
          <w:shd w:val="clear" w:color="auto" w:fill="FFFFFF"/>
        </w:rPr>
        <w:t>ent for MVT includes surgery, anticoagulation and supportive treatment.</w:t>
      </w:r>
      <w:r>
        <w:rPr>
          <w:rFonts w:ascii="Book Antiqua" w:eastAsia="Book Antiqua" w:hAnsi="Book Antiqua" w:cs="Book Antiqua"/>
          <w:color w:val="000000"/>
        </w:rPr>
        <w:t xml:space="preserve"> When exploratory laparotomy is performed in the acute stage, the boundary between ischemic bowel and viable bowel is often diffuse. Segments of nonviable bowel are resected and areas o</w:t>
      </w:r>
      <w:r>
        <w:rPr>
          <w:rFonts w:ascii="Book Antiqua" w:eastAsia="Book Antiqua" w:hAnsi="Book Antiqua" w:cs="Book Antiqua"/>
          <w:color w:val="000000"/>
        </w:rPr>
        <w:t xml:space="preserve">f bowel with questionable viability are left for this patient. This more conservative strategy is favored over aggressive resection because of the long-term risks associated with short </w:t>
      </w:r>
      <w:r>
        <w:rPr>
          <w:rFonts w:ascii="Book Antiqua" w:eastAsia="Book Antiqua" w:hAnsi="Book Antiqua" w:cs="Book Antiqua"/>
          <w:color w:val="000000"/>
        </w:rPr>
        <w:lastRenderedPageBreak/>
        <w:t>bowel syndrome. However, this also increases the risk of anastomotic le</w:t>
      </w:r>
      <w:r>
        <w:rPr>
          <w:rFonts w:ascii="Book Antiqua" w:eastAsia="Book Antiqua" w:hAnsi="Book Antiqua" w:cs="Book Antiqua"/>
          <w:color w:val="000000"/>
        </w:rPr>
        <w:t>akage, especially together with the application of methylprednisolone. The contradictory treatment forced us to reduce the dose for the further treatment of anastomotic fistula. Fortunately,</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graft showed excellent renal function without episodes of gra</w:t>
      </w:r>
      <w:r>
        <w:rPr>
          <w:rFonts w:ascii="Book Antiqua" w:eastAsia="Book Antiqua" w:hAnsi="Book Antiqua" w:cs="Book Antiqua"/>
          <w:color w:val="000000"/>
        </w:rPr>
        <w:t>ft rejection.</w:t>
      </w:r>
    </w:p>
    <w:p w14:paraId="48F5F5A4" w14:textId="77777777" w:rsidR="00765724" w:rsidRDefault="00CD684D">
      <w:pPr>
        <w:spacing w:line="360" w:lineRule="auto"/>
        <w:ind w:firstLineChars="100" w:firstLine="240"/>
        <w:jc w:val="both"/>
      </w:pPr>
      <w:r>
        <w:rPr>
          <w:rFonts w:ascii="Book Antiqua" w:eastAsia="Book Antiqua" w:hAnsi="Book Antiqua" w:cs="Book Antiqua"/>
          <w:color w:val="000000"/>
        </w:rPr>
        <w:t>Systemic anticoagulation</w:t>
      </w:r>
      <w:r>
        <w:rPr>
          <w:rFonts w:ascii="Book Antiqua" w:eastAsia="Book Antiqua" w:hAnsi="Book Antiqua" w:cs="Book Antiqua"/>
          <w:color w:val="000000"/>
          <w:shd w:val="clear" w:color="auto" w:fill="FFFFFF"/>
        </w:rPr>
        <w:t xml:space="preserve"> as the first-line therapy in MVT should be initiated as soon as the diagnosis is made</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Anticoagulation can effectively prevent thrombosis, recanalize occluded veins, and improve intestinal reperfusion. There is suf</w:t>
      </w:r>
      <w:r>
        <w:rPr>
          <w:rFonts w:ascii="Book Antiqua" w:eastAsia="Book Antiqua" w:hAnsi="Book Antiqua" w:cs="Book Antiqua"/>
          <w:color w:val="000000"/>
        </w:rPr>
        <w:t>ficient time for venous collateral vessels to develop when the thrombus evolves slowly, and the risk of bowel infarction can be decreased. Low molecular weight heparin is preferable over unfractionated heparin due to its better safety profile, ease of admi</w:t>
      </w:r>
      <w:r>
        <w:rPr>
          <w:rFonts w:ascii="Book Antiqua" w:eastAsia="Book Antiqua" w:hAnsi="Book Antiqua" w:cs="Book Antiqua"/>
          <w:color w:val="000000"/>
        </w:rPr>
        <w:t>nistration, and not requiring regular laboratory monitoring. For long-term management, anticoagulation with warfarin with a targeted international normalized ratio of 2.0 to 3.0 is the standard of care. Although most researchers recommend maintaining antic</w:t>
      </w:r>
      <w:r>
        <w:rPr>
          <w:rFonts w:ascii="Book Antiqua" w:eastAsia="Book Antiqua" w:hAnsi="Book Antiqua" w:cs="Book Antiqua"/>
          <w:color w:val="000000"/>
        </w:rPr>
        <w:t>oagulation therapy for at least 6 mo after diagnosis to prevent the recurrence of the thrombosis, its benefit is still questioned in some reports</w:t>
      </w:r>
      <w:r>
        <w:rPr>
          <w:rFonts w:ascii="Book Antiqua" w:eastAsia="Book Antiqua" w:hAnsi="Book Antiqua" w:cs="Book Antiqua"/>
          <w:color w:val="000000"/>
          <w:vertAlign w:val="superscript"/>
        </w:rPr>
        <w:t>[16]</w:t>
      </w:r>
      <w:r>
        <w:rPr>
          <w:rFonts w:ascii="Book Antiqua" w:eastAsia="Book Antiqua" w:hAnsi="Book Antiqua" w:cs="Book Antiqua"/>
          <w:color w:val="000000"/>
          <w:shd w:val="clear" w:color="auto" w:fill="FFFFFF"/>
        </w:rPr>
        <w:t>.</w:t>
      </w:r>
    </w:p>
    <w:p w14:paraId="1EDD620E" w14:textId="77777777" w:rsidR="00765724" w:rsidRDefault="00765724">
      <w:pPr>
        <w:spacing w:line="360" w:lineRule="auto"/>
        <w:jc w:val="both"/>
      </w:pPr>
    </w:p>
    <w:p w14:paraId="2E0785E2" w14:textId="77777777" w:rsidR="00765724" w:rsidRDefault="00CD684D">
      <w:pPr>
        <w:spacing w:line="360" w:lineRule="auto"/>
        <w:jc w:val="both"/>
      </w:pPr>
      <w:r>
        <w:rPr>
          <w:rFonts w:ascii="Book Antiqua" w:eastAsia="Book Antiqua" w:hAnsi="Book Antiqua" w:cs="Book Antiqua"/>
          <w:b/>
          <w:caps/>
          <w:color w:val="000000"/>
          <w:u w:val="single"/>
        </w:rPr>
        <w:t>CONCLUSION</w:t>
      </w:r>
    </w:p>
    <w:p w14:paraId="71A7FDEC" w14:textId="77777777" w:rsidR="00765724" w:rsidRDefault="00CD684D">
      <w:pPr>
        <w:spacing w:line="360" w:lineRule="auto"/>
        <w:jc w:val="both"/>
      </w:pPr>
      <w:r>
        <w:rPr>
          <w:rFonts w:ascii="Book Antiqua" w:eastAsia="Book Antiqua" w:hAnsi="Book Antiqua" w:cs="Book Antiqua"/>
          <w:color w:val="000000"/>
        </w:rPr>
        <w:t>Despite its infrequency, idiopathic acute MVT after renal transplantation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should be considere</w:t>
      </w:r>
      <w:r>
        <w:rPr>
          <w:rFonts w:ascii="Book Antiqua" w:eastAsia="Book Antiqua" w:hAnsi="Book Antiqua" w:cs="Book Antiqua"/>
          <w:color w:val="000000"/>
        </w:rPr>
        <w:t>d seriously. An accurate diagnosis and timely surgical treatment</w:t>
      </w:r>
      <w:r>
        <w:rPr>
          <w:rFonts w:ascii="Book Antiqua" w:eastAsia="Book Antiqua" w:hAnsi="Book Antiqua" w:cs="Book Antiqua"/>
          <w:color w:val="000000"/>
          <w:shd w:val="clear" w:color="auto" w:fill="FFFFFF"/>
        </w:rPr>
        <w:t xml:space="preserve"> are important to improve a patient’s survival rate and conserve as much of the bowel as possible.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Bleeding and anastomotic fistula during treatment need to be treated with caution </w:t>
      </w:r>
      <w:r>
        <w:rPr>
          <w:rFonts w:ascii="Book Antiqua" w:eastAsia="Book Antiqua" w:hAnsi="Book Antiqua" w:cs="Book Antiqua"/>
          <w:color w:val="000000"/>
          <w:shd w:val="clear" w:color="auto" w:fill="FFFFFF"/>
        </w:rPr>
        <w:t>because of grafts.</w:t>
      </w:r>
    </w:p>
    <w:p w14:paraId="54C54A3C" w14:textId="77777777" w:rsidR="00765724" w:rsidRDefault="00765724">
      <w:pPr>
        <w:spacing w:line="360" w:lineRule="auto"/>
        <w:jc w:val="both"/>
      </w:pPr>
    </w:p>
    <w:p w14:paraId="2FBDB13F" w14:textId="77777777" w:rsidR="00765724" w:rsidRDefault="00CD684D">
      <w:pPr>
        <w:spacing w:line="360" w:lineRule="auto"/>
        <w:jc w:val="both"/>
      </w:pPr>
      <w:r>
        <w:rPr>
          <w:rFonts w:ascii="Book Antiqua" w:eastAsia="Book Antiqua" w:hAnsi="Book Antiqua" w:cs="Book Antiqua"/>
          <w:b/>
          <w:color w:val="000000"/>
        </w:rPr>
        <w:t>REFERENCES</w:t>
      </w:r>
    </w:p>
    <w:p w14:paraId="1B458260" w14:textId="77777777" w:rsidR="00765724" w:rsidRDefault="00CD684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Bala M</w:t>
      </w:r>
      <w:r>
        <w:rPr>
          <w:rFonts w:ascii="Book Antiqua" w:eastAsia="Book Antiqua" w:hAnsi="Book Antiqua" w:cs="Book Antiqua"/>
          <w:color w:val="000000"/>
        </w:rPr>
        <w:t>, Kashuk J, Moore EE, Kluger Y, Biffl W, Gomes CA, Ben-Ishay O, Rubinstein C, Balogh ZJ, Civil I, Coccolini F, Leppaniemi A, Peitzman A, Ansaloni L, Sugrue M, Sartelli M, Di Saverio S, Fraga GP, Catena F. Acute mesent</w:t>
      </w:r>
      <w:r>
        <w:rPr>
          <w:rFonts w:ascii="Book Antiqua" w:eastAsia="Book Antiqua" w:hAnsi="Book Antiqua" w:cs="Book Antiqua"/>
          <w:color w:val="000000"/>
        </w:rPr>
        <w:t xml:space="preserve">eric ischemia: guidelines of the World Society of Emergency Surgery. </w:t>
      </w:r>
      <w:r>
        <w:rPr>
          <w:rFonts w:ascii="Book Antiqua" w:eastAsia="Book Antiqua" w:hAnsi="Book Antiqua" w:cs="Book Antiqua"/>
          <w:i/>
          <w:iCs/>
          <w:color w:val="000000"/>
        </w:rPr>
        <w:t>World J Emerg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38 [PMID: 28794797 DOI: 10.1186/s13017-017-0150-5]</w:t>
      </w:r>
    </w:p>
    <w:p w14:paraId="54A75119" w14:textId="77777777" w:rsidR="00765724" w:rsidRDefault="00CD684D">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Singal AK</w:t>
      </w:r>
      <w:r>
        <w:rPr>
          <w:rFonts w:ascii="Book Antiqua" w:eastAsia="Book Antiqua" w:hAnsi="Book Antiqua" w:cs="Book Antiqua"/>
          <w:color w:val="000000"/>
        </w:rPr>
        <w:t xml:space="preserve">, Kamath PS, Tefferi A. Mesenteric venous thrombosis.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2013; </w:t>
      </w:r>
      <w:r>
        <w:rPr>
          <w:rFonts w:ascii="Book Antiqua" w:eastAsia="Book Antiqua" w:hAnsi="Book Antiqua" w:cs="Book Antiqua"/>
          <w:b/>
          <w:bCs/>
          <w:color w:val="000000"/>
        </w:rPr>
        <w:t>88</w:t>
      </w:r>
      <w:r>
        <w:rPr>
          <w:rFonts w:ascii="Book Antiqua" w:eastAsia="Book Antiqua" w:hAnsi="Book Antiqua" w:cs="Book Antiqua"/>
          <w:color w:val="000000"/>
        </w:rPr>
        <w:t>: 285-294 [PMID: 23</w:t>
      </w:r>
      <w:r>
        <w:rPr>
          <w:rFonts w:ascii="Book Antiqua" w:eastAsia="Book Antiqua" w:hAnsi="Book Antiqua" w:cs="Book Antiqua"/>
          <w:color w:val="000000"/>
        </w:rPr>
        <w:t>489453 DOI: 10.1016/j.mayocp.2013.01.012]</w:t>
      </w:r>
    </w:p>
    <w:p w14:paraId="31DF1D13" w14:textId="77777777" w:rsidR="00765724" w:rsidRDefault="00CD684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Gross PL</w:t>
      </w:r>
      <w:r>
        <w:rPr>
          <w:rFonts w:ascii="Book Antiqua" w:eastAsia="Book Antiqua" w:hAnsi="Book Antiqua" w:cs="Book Antiqua"/>
          <w:color w:val="000000"/>
        </w:rPr>
        <w:t xml:space="preserve">, Weitz JI. New anticoagulants for treatment of venous thromboembolism. </w:t>
      </w:r>
      <w:r>
        <w:rPr>
          <w:rFonts w:ascii="Book Antiqua" w:eastAsia="Book Antiqua" w:hAnsi="Book Antiqua" w:cs="Book Antiqua"/>
          <w:i/>
          <w:iCs/>
          <w:color w:val="000000"/>
        </w:rPr>
        <w:t>Arterioscler Thromb Vasc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380-386 [PMID: 18296593 DOI: 10.1161/ATVBAHA.108.162677]</w:t>
      </w:r>
    </w:p>
    <w:p w14:paraId="576B3872" w14:textId="77777777" w:rsidR="00765724" w:rsidRDefault="00CD684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Kumar S</w:t>
      </w:r>
      <w:r>
        <w:rPr>
          <w:rFonts w:ascii="Book Antiqua" w:eastAsia="Book Antiqua" w:hAnsi="Book Antiqua" w:cs="Book Antiqua"/>
          <w:color w:val="000000"/>
        </w:rPr>
        <w:t>, Sarr MG, Kamath PS. Mese</w:t>
      </w:r>
      <w:r>
        <w:rPr>
          <w:rFonts w:ascii="Book Antiqua" w:eastAsia="Book Antiqua" w:hAnsi="Book Antiqua" w:cs="Book Antiqua"/>
          <w:color w:val="000000"/>
        </w:rPr>
        <w:t xml:space="preserve">nteric venous thrombosis.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345</w:t>
      </w:r>
      <w:r>
        <w:rPr>
          <w:rFonts w:ascii="Book Antiqua" w:eastAsia="Book Antiqua" w:hAnsi="Book Antiqua" w:cs="Book Antiqua"/>
          <w:color w:val="000000"/>
        </w:rPr>
        <w:t>: 1683-1688 [PMID: 11759648 DOI: 10.1056/NEJMra010076]</w:t>
      </w:r>
    </w:p>
    <w:p w14:paraId="47613F63" w14:textId="77777777" w:rsidR="00765724" w:rsidRDefault="00CD684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Kamath PS. Acute superior mesenteric venous thrombosis: one disease or two?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1299-1304 [PMID: 12818273 DOI: 10.111</w:t>
      </w:r>
      <w:r>
        <w:rPr>
          <w:rFonts w:ascii="Book Antiqua" w:eastAsia="Book Antiqua" w:hAnsi="Book Antiqua" w:cs="Book Antiqua"/>
          <w:color w:val="000000"/>
        </w:rPr>
        <w:t>1/j.1572-0241.2003.07338.x]</w:t>
      </w:r>
    </w:p>
    <w:p w14:paraId="78C987DC" w14:textId="77777777" w:rsidR="00765724" w:rsidRDefault="00CD684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Li J, Liu Y, Zhang W. Diagnostic accuracy of deep vein thrombosis is increased by analysis using combined optimal cut-off values of postoperative plasma D-dimer levels. </w:t>
      </w:r>
      <w:r>
        <w:rPr>
          <w:rFonts w:ascii="Book Antiqua" w:eastAsia="Book Antiqua" w:hAnsi="Book Antiqua" w:cs="Book Antiqua"/>
          <w:i/>
          <w:iCs/>
          <w:color w:val="000000"/>
        </w:rPr>
        <w:t>Exp Ther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1716-1720 [PMID: 27168793</w:t>
      </w:r>
      <w:r>
        <w:rPr>
          <w:rFonts w:ascii="Book Antiqua" w:eastAsia="Book Antiqua" w:hAnsi="Book Antiqua" w:cs="Book Antiqua"/>
          <w:color w:val="000000"/>
        </w:rPr>
        <w:t xml:space="preserve"> DOI: 10.3892/etm.2016.3125]</w:t>
      </w:r>
    </w:p>
    <w:p w14:paraId="666E0D63" w14:textId="77777777" w:rsidR="00765724" w:rsidRDefault="00CD684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Duran R</w:t>
      </w:r>
      <w:r>
        <w:rPr>
          <w:rFonts w:ascii="Book Antiqua" w:eastAsia="Book Antiqua" w:hAnsi="Book Antiqua" w:cs="Book Antiqua"/>
          <w:color w:val="000000"/>
        </w:rPr>
        <w:t xml:space="preserve">, Denys AL, Letovanec I, Meuli RA, Schmidt S. Multidetector CT features of mesenteric vein thrombosis.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1503-1522 [PMID: 22977032 DOI: 10.1148/rg.325115100]</w:t>
      </w:r>
    </w:p>
    <w:p w14:paraId="27048295" w14:textId="77777777" w:rsidR="00765724" w:rsidRDefault="00CD684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Hmoud B</w:t>
      </w:r>
      <w:r>
        <w:rPr>
          <w:rFonts w:ascii="Book Antiqua" w:eastAsia="Book Antiqua" w:hAnsi="Book Antiqua" w:cs="Book Antiqua"/>
          <w:color w:val="000000"/>
        </w:rPr>
        <w:t xml:space="preserve">, Singal AK, Kamath PS. Mesenteric venous thrombosis.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257-263 [PMID: 25755568 DOI: 10.1016/j.jceh.2014.03.052]</w:t>
      </w:r>
    </w:p>
    <w:p w14:paraId="73124C04" w14:textId="77777777" w:rsidR="00765724" w:rsidRDefault="00CD684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Harnik IG</w:t>
      </w:r>
      <w:r>
        <w:rPr>
          <w:rFonts w:ascii="Book Antiqua" w:eastAsia="Book Antiqua" w:hAnsi="Book Antiqua" w:cs="Book Antiqua"/>
          <w:color w:val="000000"/>
        </w:rPr>
        <w:t xml:space="preserve">, Brandt LJ. Mesenteric venous thrombosis. </w:t>
      </w:r>
      <w:r>
        <w:rPr>
          <w:rFonts w:ascii="Book Antiqua" w:eastAsia="Book Antiqua" w:hAnsi="Book Antiqua" w:cs="Book Antiqua"/>
          <w:i/>
          <w:iCs/>
          <w:color w:val="000000"/>
        </w:rPr>
        <w:t>Vasc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15</w:t>
      </w:r>
      <w:r>
        <w:rPr>
          <w:rFonts w:ascii="Book Antiqua" w:eastAsia="Book Antiqua" w:hAnsi="Book Antiqua" w:cs="Book Antiqua"/>
          <w:color w:val="000000"/>
        </w:rPr>
        <w:t xml:space="preserve">: 407-418 [PMID: 20926500 DOI: </w:t>
      </w:r>
      <w:r>
        <w:rPr>
          <w:rFonts w:ascii="Book Antiqua" w:eastAsia="Book Antiqua" w:hAnsi="Book Antiqua" w:cs="Book Antiqua"/>
          <w:color w:val="000000"/>
        </w:rPr>
        <w:t>10.1177/1358863X10379673]</w:t>
      </w:r>
    </w:p>
    <w:p w14:paraId="1FFB3702" w14:textId="77777777" w:rsidR="00765724" w:rsidRDefault="00CD684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Alander JT</w:t>
      </w:r>
      <w:r>
        <w:rPr>
          <w:rFonts w:ascii="Book Antiqua" w:eastAsia="Book Antiqua" w:hAnsi="Book Antiqua" w:cs="Book Antiqua"/>
          <w:color w:val="000000"/>
        </w:rPr>
        <w:t xml:space="preserve">, Kaartinen I, Laakso A, Pätilä T, Spillmann T, Tuchin VV, Venermo M, Välisuo P. A review of indocyanine green fluorescent imaging in surgery. </w:t>
      </w:r>
      <w:r>
        <w:rPr>
          <w:rFonts w:ascii="Book Antiqua" w:eastAsia="Book Antiqua" w:hAnsi="Book Antiqua" w:cs="Book Antiqua"/>
          <w:i/>
          <w:iCs/>
          <w:color w:val="000000"/>
        </w:rPr>
        <w:t>Int J Biomed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940585 [PMID: 22577366 DOI: 10.1155/2012/</w:t>
      </w:r>
      <w:r>
        <w:rPr>
          <w:rFonts w:ascii="Book Antiqua" w:eastAsia="Book Antiqua" w:hAnsi="Book Antiqua" w:cs="Book Antiqua"/>
          <w:color w:val="000000"/>
        </w:rPr>
        <w:t>940585]</w:t>
      </w:r>
    </w:p>
    <w:p w14:paraId="0379FD74" w14:textId="77777777" w:rsidR="00765724" w:rsidRDefault="00CD684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Hauser AC</w:t>
      </w:r>
      <w:r>
        <w:rPr>
          <w:rFonts w:ascii="Book Antiqua" w:eastAsia="Book Antiqua" w:hAnsi="Book Antiqua" w:cs="Book Antiqua"/>
          <w:color w:val="000000"/>
        </w:rPr>
        <w:t xml:space="preserve">, Pabinger-Fasching I, Quehenberger P, Kettenbach J, Hörl WH. A patient with sudden abdominal pain 10 years after successful renal transplantation.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2003; </w:t>
      </w:r>
      <w:r>
        <w:rPr>
          <w:rFonts w:ascii="Book Antiqua" w:eastAsia="Book Antiqua" w:hAnsi="Book Antiqua" w:cs="Book Antiqua"/>
          <w:b/>
          <w:bCs/>
          <w:color w:val="000000"/>
        </w:rPr>
        <w:t>18</w:t>
      </w:r>
      <w:r>
        <w:rPr>
          <w:rFonts w:ascii="Book Antiqua" w:eastAsia="Book Antiqua" w:hAnsi="Book Antiqua" w:cs="Book Antiqua"/>
          <w:color w:val="000000"/>
        </w:rPr>
        <w:t>: 1021-1025 [PMID: 12686684 DOI: 10.1093/ndt/gfg047]</w:t>
      </w:r>
    </w:p>
    <w:p w14:paraId="79FD07AE" w14:textId="77777777" w:rsidR="00765724" w:rsidRDefault="00CD684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Kerlin BA</w:t>
      </w:r>
      <w:r>
        <w:rPr>
          <w:rFonts w:ascii="Book Antiqua" w:eastAsia="Book Antiqua" w:hAnsi="Book Antiqua" w:cs="Book Antiqua"/>
          <w:color w:val="000000"/>
        </w:rPr>
        <w:t xml:space="preserve">, Ayoob R, Smoyer WE. Epidemiology and pathophysiology of nephrotic syndrome-associated thromboembolic disease.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513-520 [PMID: 22344511 DOI: 10.2215/CJN.10131011]</w:t>
      </w:r>
    </w:p>
    <w:p w14:paraId="7B1C956B" w14:textId="77777777" w:rsidR="00765724" w:rsidRDefault="00CD684D">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Pham PT</w:t>
      </w:r>
      <w:r>
        <w:rPr>
          <w:rFonts w:ascii="Book Antiqua" w:eastAsia="Book Antiqua" w:hAnsi="Book Antiqua" w:cs="Book Antiqua"/>
          <w:color w:val="000000"/>
        </w:rPr>
        <w:t>, Peng A, Wilkinson AH, Gritsch HA, Lassman</w:t>
      </w:r>
      <w:r>
        <w:rPr>
          <w:rFonts w:ascii="Book Antiqua" w:eastAsia="Book Antiqua" w:hAnsi="Book Antiqua" w:cs="Book Antiqua"/>
          <w:color w:val="000000"/>
        </w:rPr>
        <w:t xml:space="preserve"> C, Pham PC, Danovitch GM. Cyclosporine and tacrolimus-associated thrombotic microangiopathy.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2000; </w:t>
      </w:r>
      <w:r>
        <w:rPr>
          <w:rFonts w:ascii="Book Antiqua" w:eastAsia="Book Antiqua" w:hAnsi="Book Antiqua" w:cs="Book Antiqua"/>
          <w:b/>
          <w:bCs/>
          <w:color w:val="000000"/>
        </w:rPr>
        <w:t>36</w:t>
      </w:r>
      <w:r>
        <w:rPr>
          <w:rFonts w:ascii="Book Antiqua" w:eastAsia="Book Antiqua" w:hAnsi="Book Antiqua" w:cs="Book Antiqua"/>
          <w:color w:val="000000"/>
        </w:rPr>
        <w:t>: 844-850 [PMID: 11007689 DOI: 10.1053/ajkd.2000.17690]</w:t>
      </w:r>
    </w:p>
    <w:p w14:paraId="129D29C7" w14:textId="77777777" w:rsidR="00765724" w:rsidRDefault="00CD684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Previtali E</w:t>
      </w:r>
      <w:r>
        <w:rPr>
          <w:rFonts w:ascii="Book Antiqua" w:eastAsia="Book Antiqua" w:hAnsi="Book Antiqua" w:cs="Book Antiqua"/>
          <w:color w:val="000000"/>
        </w:rPr>
        <w:t>, Bucciarelli P, Passamonti SM, Martinelli I. Risk factors for venou</w:t>
      </w:r>
      <w:r>
        <w:rPr>
          <w:rFonts w:ascii="Book Antiqua" w:eastAsia="Book Antiqua" w:hAnsi="Book Antiqua" w:cs="Book Antiqua"/>
          <w:color w:val="000000"/>
        </w:rPr>
        <w:t xml:space="preserve">s and arterial thrombosis. </w:t>
      </w:r>
      <w:r>
        <w:rPr>
          <w:rFonts w:ascii="Book Antiqua" w:eastAsia="Book Antiqua" w:hAnsi="Book Antiqua" w:cs="Book Antiqua"/>
          <w:i/>
          <w:iCs/>
          <w:color w:val="000000"/>
        </w:rPr>
        <w:t>Blood Transfus</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120-138 [PMID: 21084000 DOI: 10.2450/2010.0066-10]</w:t>
      </w:r>
    </w:p>
    <w:p w14:paraId="32586D2B" w14:textId="77777777" w:rsidR="00765724" w:rsidRDefault="00CD684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Schoots IG</w:t>
      </w:r>
      <w:r>
        <w:rPr>
          <w:rFonts w:ascii="Book Antiqua" w:eastAsia="Book Antiqua" w:hAnsi="Book Antiqua" w:cs="Book Antiqua"/>
          <w:color w:val="000000"/>
        </w:rPr>
        <w:t>, Koffeman GI, Legemate DA, Levi M, van Gulik TM. Systematic review of survival after acute mesenteric ischaemia according to disease aetiolo</w:t>
      </w:r>
      <w:r>
        <w:rPr>
          <w:rFonts w:ascii="Book Antiqua" w:eastAsia="Book Antiqua" w:hAnsi="Book Antiqua" w:cs="Book Antiqua"/>
          <w:color w:val="000000"/>
        </w:rPr>
        <w:t xml:space="preserve">gy.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91</w:t>
      </w:r>
      <w:r>
        <w:rPr>
          <w:rFonts w:ascii="Book Antiqua" w:eastAsia="Book Antiqua" w:hAnsi="Book Antiqua" w:cs="Book Antiqua"/>
          <w:color w:val="000000"/>
        </w:rPr>
        <w:t>: 17-27 [PMID: 14716789 DOI: 10.1002/bjs.4459]</w:t>
      </w:r>
    </w:p>
    <w:p w14:paraId="0560D51B" w14:textId="77777777" w:rsidR="00765724" w:rsidRDefault="00CD684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van der Hulle T</w:t>
      </w:r>
      <w:r>
        <w:rPr>
          <w:rFonts w:ascii="Book Antiqua" w:eastAsia="Book Antiqua" w:hAnsi="Book Antiqua" w:cs="Book Antiqua"/>
          <w:color w:val="000000"/>
        </w:rPr>
        <w:t>, Tan M, den Exter PL, van Roosmalen MJ, van der Meer FJ, Eikenboom J, Huisman MV, Klok FA. Recurrence risk after anticoagulant treatment of limited duration for late, s</w:t>
      </w:r>
      <w:r>
        <w:rPr>
          <w:rFonts w:ascii="Book Antiqua" w:eastAsia="Book Antiqua" w:hAnsi="Book Antiqua" w:cs="Book Antiqua"/>
          <w:color w:val="000000"/>
        </w:rPr>
        <w:t xml:space="preserve">econd venous thromboembolism. </w:t>
      </w:r>
      <w:r>
        <w:rPr>
          <w:rFonts w:ascii="Book Antiqua" w:eastAsia="Book Antiqua" w:hAnsi="Book Antiqua" w:cs="Book Antiqua"/>
          <w:i/>
          <w:iCs/>
          <w:color w:val="000000"/>
        </w:rPr>
        <w:t>Haematologica</w:t>
      </w:r>
      <w:r>
        <w:rPr>
          <w:rFonts w:ascii="Book Antiqua" w:eastAsia="Book Antiqua" w:hAnsi="Book Antiqua" w:cs="Book Antiqua"/>
          <w:color w:val="000000"/>
        </w:rPr>
        <w:t xml:space="preserve"> 2015; </w:t>
      </w:r>
      <w:r>
        <w:rPr>
          <w:rFonts w:ascii="Book Antiqua" w:eastAsia="Book Antiqua" w:hAnsi="Book Antiqua" w:cs="Book Antiqua"/>
          <w:b/>
          <w:bCs/>
          <w:color w:val="000000"/>
        </w:rPr>
        <w:t>100</w:t>
      </w:r>
      <w:r>
        <w:rPr>
          <w:rFonts w:ascii="Book Antiqua" w:eastAsia="Book Antiqua" w:hAnsi="Book Antiqua" w:cs="Book Antiqua"/>
          <w:color w:val="000000"/>
        </w:rPr>
        <w:t>: 188-193 [PMID: 25261098 DOI: 10.3324/haematol.2014.112896]</w:t>
      </w:r>
    </w:p>
    <w:p w14:paraId="6EDC0F0C" w14:textId="77777777" w:rsidR="00765724" w:rsidRDefault="00765724">
      <w:pPr>
        <w:spacing w:line="360" w:lineRule="auto"/>
        <w:jc w:val="both"/>
        <w:sectPr w:rsidR="00765724">
          <w:pgSz w:w="12240" w:h="15840"/>
          <w:pgMar w:top="1440" w:right="1440" w:bottom="1440" w:left="1440" w:header="720" w:footer="720" w:gutter="0"/>
          <w:cols w:space="720"/>
          <w:docGrid w:linePitch="360"/>
        </w:sectPr>
      </w:pPr>
    </w:p>
    <w:p w14:paraId="0B3A3FF1" w14:textId="77777777" w:rsidR="00765724" w:rsidRDefault="00CD684D">
      <w:pPr>
        <w:spacing w:line="360" w:lineRule="auto"/>
        <w:jc w:val="both"/>
      </w:pPr>
      <w:r>
        <w:rPr>
          <w:rFonts w:ascii="Book Antiqua" w:eastAsia="Book Antiqua" w:hAnsi="Book Antiqua" w:cs="Book Antiqua"/>
          <w:b/>
          <w:color w:val="000000"/>
        </w:rPr>
        <w:lastRenderedPageBreak/>
        <w:t>Footnotes</w:t>
      </w:r>
    </w:p>
    <w:p w14:paraId="54B3A856" w14:textId="77777777" w:rsidR="00765724" w:rsidRDefault="00CD684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Informed written consent was obtained from the patient for publication of this report and any ac</w:t>
      </w:r>
      <w:r>
        <w:rPr>
          <w:rFonts w:ascii="Book Antiqua" w:eastAsia="Book Antiqua" w:hAnsi="Book Antiqua" w:cs="Book Antiqua"/>
          <w:color w:val="000000"/>
          <w:shd w:val="clear" w:color="auto" w:fill="FFFFFF"/>
        </w:rPr>
        <w:t>companying images.</w:t>
      </w:r>
    </w:p>
    <w:p w14:paraId="0B4DD665" w14:textId="77777777" w:rsidR="00765724" w:rsidRDefault="00765724">
      <w:pPr>
        <w:spacing w:line="360" w:lineRule="auto"/>
        <w:jc w:val="both"/>
      </w:pPr>
    </w:p>
    <w:p w14:paraId="44268A6D" w14:textId="77777777" w:rsidR="00765724" w:rsidRDefault="00CD684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hd w:val="clear" w:color="auto" w:fill="FFFFFF"/>
        </w:rPr>
        <w:t>The authors declare that they have no conflict of interest.</w:t>
      </w:r>
    </w:p>
    <w:p w14:paraId="1599581C" w14:textId="77777777" w:rsidR="00765724" w:rsidRDefault="00765724">
      <w:pPr>
        <w:spacing w:line="360" w:lineRule="auto"/>
        <w:jc w:val="both"/>
      </w:pPr>
    </w:p>
    <w:p w14:paraId="36D5DBDA" w14:textId="77777777" w:rsidR="00765724" w:rsidRDefault="00CD684D">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hd w:val="clear" w:color="auto" w:fill="FFFFFF"/>
        </w:rPr>
        <w:t xml:space="preserve">The authors have read the CARE Checklist (2016), and the manuscript was prepared and revised </w:t>
      </w:r>
      <w:r>
        <w:rPr>
          <w:rFonts w:ascii="Book Antiqua" w:eastAsia="Book Antiqua" w:hAnsi="Book Antiqua" w:cs="Book Antiqua"/>
          <w:color w:val="000000"/>
          <w:shd w:val="clear" w:color="auto" w:fill="FFFFFF"/>
        </w:rPr>
        <w:t>according to the CARE Checklist (2016).</w:t>
      </w:r>
    </w:p>
    <w:p w14:paraId="455FFE15" w14:textId="77777777" w:rsidR="00765724" w:rsidRDefault="00765724">
      <w:pPr>
        <w:spacing w:line="360" w:lineRule="auto"/>
        <w:jc w:val="both"/>
      </w:pPr>
    </w:p>
    <w:p w14:paraId="0EA334D6" w14:textId="77777777" w:rsidR="00765724" w:rsidRDefault="00CD684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w:t>
      </w:r>
      <w:r>
        <w:rPr>
          <w:rFonts w:ascii="Book Antiqua" w:eastAsia="Book Antiqua" w:hAnsi="Book Antiqua" w:cs="Book Antiqua"/>
          <w:color w:val="000000"/>
        </w:rPr>
        <w:t>mercial (CC BY-NC 4.0) license, which permits others to distribute, remix, adapt, build upon this work non-commercially, and license their derivative works on different terms, provided the original work is properly cited and the use is non-commercial. See:</w:t>
      </w:r>
      <w:r>
        <w:rPr>
          <w:rFonts w:ascii="Book Antiqua" w:eastAsia="Book Antiqua" w:hAnsi="Book Antiqua" w:cs="Book Antiqua"/>
          <w:color w:val="000000"/>
        </w:rPr>
        <w:t xml:space="preserve"> http://creativecommons.org/Licenses/by-nc/4.0/</w:t>
      </w:r>
    </w:p>
    <w:p w14:paraId="262EBAFA" w14:textId="77777777" w:rsidR="00765724" w:rsidRDefault="00765724">
      <w:pPr>
        <w:spacing w:line="360" w:lineRule="auto"/>
        <w:jc w:val="both"/>
      </w:pPr>
    </w:p>
    <w:p w14:paraId="69C7DC5D" w14:textId="77777777" w:rsidR="00765724" w:rsidRDefault="00CD684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35DC9EE" w14:textId="77777777" w:rsidR="00765724" w:rsidRDefault="00765724">
      <w:pPr>
        <w:spacing w:line="360" w:lineRule="auto"/>
        <w:jc w:val="both"/>
      </w:pPr>
    </w:p>
    <w:p w14:paraId="301889C0" w14:textId="77777777" w:rsidR="00765724" w:rsidRDefault="00CD684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9, 2021</w:t>
      </w:r>
    </w:p>
    <w:p w14:paraId="38695FDF" w14:textId="77777777" w:rsidR="00765724" w:rsidRDefault="00CD684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3D8FAEAD" w14:textId="77777777" w:rsidR="00765724" w:rsidRDefault="00CD684D">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August 31, 2021</w:t>
      </w:r>
    </w:p>
    <w:p w14:paraId="4C2CF352" w14:textId="77777777" w:rsidR="00765724" w:rsidRDefault="00765724">
      <w:pPr>
        <w:spacing w:line="360" w:lineRule="auto"/>
        <w:jc w:val="both"/>
      </w:pPr>
    </w:p>
    <w:p w14:paraId="737F6DC6" w14:textId="77777777" w:rsidR="00765724" w:rsidRDefault="00CD684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7AA32EBA" w14:textId="77777777" w:rsidR="00765724" w:rsidRDefault="00CD684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14481B1" w14:textId="77777777" w:rsidR="00765724" w:rsidRDefault="00CD684D">
      <w:pPr>
        <w:spacing w:line="360" w:lineRule="auto"/>
        <w:jc w:val="both"/>
      </w:pPr>
      <w:r>
        <w:rPr>
          <w:rFonts w:ascii="Book Antiqua" w:eastAsia="Book Antiqua" w:hAnsi="Book Antiqua" w:cs="Book Antiqua"/>
          <w:b/>
          <w:color w:val="000000"/>
        </w:rPr>
        <w:t>Peer-r</w:t>
      </w:r>
      <w:r>
        <w:rPr>
          <w:rFonts w:ascii="Book Antiqua" w:eastAsia="Book Antiqua" w:hAnsi="Book Antiqua" w:cs="Book Antiqua"/>
          <w:b/>
          <w:color w:val="000000"/>
        </w:rPr>
        <w:t>eview report’s scientific quality classification</w:t>
      </w:r>
    </w:p>
    <w:p w14:paraId="1C304157" w14:textId="77777777" w:rsidR="00765724" w:rsidRDefault="00CD684D">
      <w:pPr>
        <w:spacing w:line="360" w:lineRule="auto"/>
        <w:jc w:val="both"/>
      </w:pPr>
      <w:r>
        <w:rPr>
          <w:rFonts w:ascii="Book Antiqua" w:eastAsia="Book Antiqua" w:hAnsi="Book Antiqua" w:cs="Book Antiqua"/>
          <w:color w:val="000000"/>
        </w:rPr>
        <w:t>Grade A (Excellent): 0</w:t>
      </w:r>
    </w:p>
    <w:p w14:paraId="02475883" w14:textId="77777777" w:rsidR="00765724" w:rsidRDefault="00CD684D">
      <w:pPr>
        <w:spacing w:line="360" w:lineRule="auto"/>
        <w:jc w:val="both"/>
      </w:pPr>
      <w:r>
        <w:rPr>
          <w:rFonts w:ascii="Book Antiqua" w:eastAsia="Book Antiqua" w:hAnsi="Book Antiqua" w:cs="Book Antiqua"/>
          <w:color w:val="000000"/>
        </w:rPr>
        <w:t>Grade B (Very good): 0</w:t>
      </w:r>
    </w:p>
    <w:p w14:paraId="061B4C05" w14:textId="77777777" w:rsidR="00765724" w:rsidRDefault="00CD684D">
      <w:pPr>
        <w:spacing w:line="360" w:lineRule="auto"/>
        <w:jc w:val="both"/>
      </w:pPr>
      <w:r>
        <w:rPr>
          <w:rFonts w:ascii="Book Antiqua" w:eastAsia="Book Antiqua" w:hAnsi="Book Antiqua" w:cs="Book Antiqua"/>
          <w:color w:val="000000"/>
        </w:rPr>
        <w:t>Grade C (Good): C, C</w:t>
      </w:r>
    </w:p>
    <w:p w14:paraId="604018A9" w14:textId="77777777" w:rsidR="00765724" w:rsidRDefault="00CD684D">
      <w:pPr>
        <w:spacing w:line="360" w:lineRule="auto"/>
        <w:jc w:val="both"/>
      </w:pPr>
      <w:r>
        <w:rPr>
          <w:rFonts w:ascii="Book Antiqua" w:eastAsia="Book Antiqua" w:hAnsi="Book Antiqua" w:cs="Book Antiqua"/>
          <w:color w:val="000000"/>
        </w:rPr>
        <w:t>Grade D (Fair): 0</w:t>
      </w:r>
    </w:p>
    <w:p w14:paraId="15FEE8C0" w14:textId="77777777" w:rsidR="00765724" w:rsidRDefault="00CD684D">
      <w:pPr>
        <w:spacing w:line="360" w:lineRule="auto"/>
        <w:jc w:val="both"/>
      </w:pPr>
      <w:r>
        <w:rPr>
          <w:rFonts w:ascii="Book Antiqua" w:eastAsia="Book Antiqua" w:hAnsi="Book Antiqua" w:cs="Book Antiqua"/>
          <w:color w:val="000000"/>
        </w:rPr>
        <w:lastRenderedPageBreak/>
        <w:t>Grade E (Poor): 0</w:t>
      </w:r>
    </w:p>
    <w:p w14:paraId="6F33BE60" w14:textId="77777777" w:rsidR="00765724" w:rsidRDefault="00765724">
      <w:pPr>
        <w:spacing w:line="360" w:lineRule="auto"/>
        <w:jc w:val="both"/>
      </w:pPr>
    </w:p>
    <w:p w14:paraId="2F1B64A8" w14:textId="77777777" w:rsidR="00765724" w:rsidRDefault="00CD684D">
      <w:pPr>
        <w:spacing w:line="360" w:lineRule="auto"/>
        <w:jc w:val="both"/>
        <w:rPr>
          <w:rFonts w:ascii="Book Antiqua" w:eastAsia="宋体"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Maglangit SACA, Parajuli S</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Pr>
          <w:rFonts w:ascii="Book Antiqua" w:eastAsia="宋体" w:hAnsi="Book Antiqua" w:cs="Book Antiqua" w:hint="eastAsia"/>
          <w:bCs/>
          <w:color w:val="000000"/>
          <w:lang w:eastAsia="zh-CN"/>
        </w:rPr>
        <w:t>Guo X</w:t>
      </w:r>
    </w:p>
    <w:p w14:paraId="48F15D91" w14:textId="77777777" w:rsidR="00765724" w:rsidRDefault="00765724">
      <w:pPr>
        <w:spacing w:line="360" w:lineRule="auto"/>
        <w:jc w:val="both"/>
        <w:rPr>
          <w:rFonts w:ascii="Book Antiqua" w:eastAsia="Book Antiqua" w:hAnsi="Book Antiqua" w:cs="Book Antiqua"/>
          <w:b/>
          <w:color w:val="000000"/>
        </w:rPr>
        <w:sectPr w:rsidR="00765724">
          <w:pgSz w:w="12240" w:h="15840"/>
          <w:pgMar w:top="1440" w:right="1440" w:bottom="1440" w:left="1440" w:header="720" w:footer="720" w:gutter="0"/>
          <w:cols w:space="720"/>
          <w:docGrid w:linePitch="360"/>
        </w:sectPr>
      </w:pPr>
    </w:p>
    <w:p w14:paraId="6E9F6A06" w14:textId="77777777" w:rsidR="00765724" w:rsidRDefault="00CD684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4B36D06" w14:textId="77777777" w:rsidR="00765724" w:rsidRDefault="00CD684D">
      <w:pPr>
        <w:spacing w:line="360" w:lineRule="auto"/>
        <w:jc w:val="both"/>
        <w:rPr>
          <w:rFonts w:ascii="Book Antiqua" w:eastAsia="Book Antiqua" w:hAnsi="Book Antiqua" w:cs="Book Antiqua"/>
          <w:b/>
          <w:color w:val="000000"/>
        </w:rPr>
      </w:pPr>
      <w:r>
        <w:rPr>
          <w:noProof/>
        </w:rPr>
        <w:drawing>
          <wp:inline distT="0" distB="0" distL="0" distR="0" wp14:anchorId="1A09087F" wp14:editId="6797A7CE">
            <wp:extent cx="3897630" cy="28746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898261" cy="2875188"/>
                    </a:xfrm>
                    <a:prstGeom prst="rect">
                      <a:avLst/>
                    </a:prstGeom>
                  </pic:spPr>
                </pic:pic>
              </a:graphicData>
            </a:graphic>
          </wp:inline>
        </w:drawing>
      </w:r>
    </w:p>
    <w:p w14:paraId="226A8155" w14:textId="77777777" w:rsidR="00765724" w:rsidRDefault="00CD684D">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Whole abdomen enhanced computed tomography scan.</w:t>
      </w:r>
      <w:r>
        <w:rPr>
          <w:rFonts w:ascii="Book Antiqua" w:eastAsia="Book Antiqua" w:hAnsi="Book Antiqua" w:cs="Book Antiqua"/>
          <w:bCs/>
          <w:color w:val="000000"/>
        </w:rPr>
        <w:t xml:space="preserve"> A: An acute mesenteric venous thrombosis (</w:t>
      </w:r>
      <w:r>
        <w:rPr>
          <w:rFonts w:ascii="Book Antiqua" w:eastAsia="Book Antiqua" w:hAnsi="Book Antiqua" w:cs="Book Antiqua" w:hint="eastAsia"/>
          <w:bCs/>
          <w:color w:val="000000"/>
        </w:rPr>
        <w:t>orange</w:t>
      </w:r>
      <w:r>
        <w:rPr>
          <w:rFonts w:ascii="Book Antiqua" w:eastAsia="Book Antiqua" w:hAnsi="Book Antiqua" w:cs="Book Antiqua"/>
          <w:bCs/>
          <w:color w:val="000000"/>
        </w:rPr>
        <w:t xml:space="preserve"> arrow); B: Recanalization after 2 mo of anticoagulation (</w:t>
      </w:r>
      <w:r>
        <w:rPr>
          <w:rFonts w:ascii="Book Antiqua" w:eastAsia="Book Antiqua" w:hAnsi="Book Antiqua" w:cs="Book Antiqua" w:hint="eastAsia"/>
          <w:bCs/>
          <w:color w:val="000000"/>
        </w:rPr>
        <w:t>orange</w:t>
      </w:r>
      <w:r>
        <w:rPr>
          <w:rFonts w:ascii="Book Antiqua" w:eastAsia="Book Antiqua" w:hAnsi="Book Antiqua" w:cs="Book Antiqua"/>
          <w:bCs/>
          <w:color w:val="000000"/>
        </w:rPr>
        <w:t xml:space="preserve"> arrow).</w:t>
      </w:r>
    </w:p>
    <w:p w14:paraId="6AF060FC" w14:textId="77777777" w:rsidR="00765724" w:rsidRDefault="00765724">
      <w:pPr>
        <w:spacing w:line="360" w:lineRule="auto"/>
        <w:jc w:val="both"/>
        <w:rPr>
          <w:rFonts w:ascii="Book Antiqua" w:eastAsia="Book Antiqua" w:hAnsi="Book Antiqua" w:cs="Book Antiqua"/>
          <w:b/>
          <w:color w:val="000000"/>
        </w:rPr>
        <w:sectPr w:rsidR="00765724">
          <w:pgSz w:w="12240" w:h="15840"/>
          <w:pgMar w:top="1440" w:right="1440" w:bottom="1440" w:left="1440" w:header="720" w:footer="720" w:gutter="0"/>
          <w:cols w:space="720"/>
          <w:docGrid w:linePitch="360"/>
        </w:sectPr>
      </w:pPr>
    </w:p>
    <w:p w14:paraId="22C58BD9" w14:textId="77777777" w:rsidR="00765724" w:rsidRDefault="00CD684D">
      <w:pPr>
        <w:spacing w:line="360" w:lineRule="auto"/>
        <w:jc w:val="both"/>
        <w:rPr>
          <w:rFonts w:ascii="Book Antiqua" w:eastAsia="Book Antiqua" w:hAnsi="Book Antiqua" w:cs="Book Antiqua"/>
          <w:b/>
          <w:color w:val="000000"/>
        </w:rPr>
      </w:pPr>
      <w:r>
        <w:rPr>
          <w:noProof/>
        </w:rPr>
        <w:lastRenderedPageBreak/>
        <w:drawing>
          <wp:inline distT="0" distB="0" distL="0" distR="0" wp14:anchorId="400D8877" wp14:editId="62391605">
            <wp:extent cx="4494530" cy="22212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494910" cy="2221523"/>
                    </a:xfrm>
                    <a:prstGeom prst="rect">
                      <a:avLst/>
                    </a:prstGeom>
                  </pic:spPr>
                </pic:pic>
              </a:graphicData>
            </a:graphic>
          </wp:inline>
        </w:drawing>
      </w:r>
    </w:p>
    <w:p w14:paraId="0F92D7AE" w14:textId="77777777" w:rsidR="00765724" w:rsidRDefault="00CD684D">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2 </w:t>
      </w:r>
      <w:r>
        <w:rPr>
          <w:rFonts w:ascii="Book Antiqua" w:eastAsia="Book Antiqua" w:hAnsi="Book Antiqua" w:cs="Book Antiqua"/>
          <w:b/>
          <w:color w:val="000000"/>
        </w:rPr>
        <w:t xml:space="preserve">Intraoperative images of infarcted small </w:t>
      </w:r>
      <w:r>
        <w:rPr>
          <w:rFonts w:ascii="Book Antiqua" w:eastAsia="Book Antiqua" w:hAnsi="Book Antiqua" w:cs="Book Antiqua"/>
          <w:b/>
          <w:color w:val="000000"/>
        </w:rPr>
        <w:t>bowel secondary to thrombosis of mesenteric vein (as indicated by white arrow).</w:t>
      </w:r>
    </w:p>
    <w:p w14:paraId="0F68EB81" w14:textId="77777777" w:rsidR="00765724" w:rsidRDefault="00765724">
      <w:pPr>
        <w:spacing w:line="360" w:lineRule="auto"/>
        <w:jc w:val="both"/>
        <w:rPr>
          <w:rFonts w:ascii="Book Antiqua" w:eastAsia="Book Antiqua" w:hAnsi="Book Antiqua" w:cs="Book Antiqua"/>
          <w:b/>
          <w:color w:val="000000"/>
        </w:rPr>
        <w:sectPr w:rsidR="00765724">
          <w:pgSz w:w="12240" w:h="15840"/>
          <w:pgMar w:top="1440" w:right="1440" w:bottom="1440" w:left="1440" w:header="720" w:footer="720" w:gutter="0"/>
          <w:cols w:space="720"/>
          <w:docGrid w:linePitch="360"/>
        </w:sectPr>
      </w:pPr>
    </w:p>
    <w:p w14:paraId="471F7DAB" w14:textId="77777777" w:rsidR="00765724" w:rsidRDefault="00CD684D">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430EA106" wp14:editId="2344298A">
            <wp:extent cx="2391410" cy="2378710"/>
            <wp:effectExtent l="0" t="0" r="0" b="0"/>
            <wp:docPr id="4100" name="Picture 2" descr="C:\Users\Administrator\Desktop\梁宝光\WJCC\投稿文件\最后的修改\figure\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 descr="C:\Users\Administrator\Desktop\梁宝光\WJCC\投稿文件\最后的修改\figure\Fig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91508" cy="2379271"/>
                    </a:xfrm>
                    <a:prstGeom prst="rect">
                      <a:avLst/>
                    </a:prstGeom>
                    <a:noFill/>
                    <a:ln>
                      <a:noFill/>
                    </a:ln>
                  </pic:spPr>
                </pic:pic>
              </a:graphicData>
            </a:graphic>
          </wp:inline>
        </w:drawing>
      </w:r>
    </w:p>
    <w:p w14:paraId="1E24DFBE" w14:textId="77777777" w:rsidR="00765724" w:rsidRDefault="00CD684D">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A rare hernia, partial intestinal wall (white arrow) incarcerated in the hole of drainage tube.</w:t>
      </w:r>
    </w:p>
    <w:p w14:paraId="07A82E9B" w14:textId="77777777" w:rsidR="00765724" w:rsidRDefault="00765724">
      <w:pPr>
        <w:spacing w:line="360" w:lineRule="auto"/>
        <w:jc w:val="both"/>
        <w:rPr>
          <w:rFonts w:ascii="Book Antiqua" w:eastAsia="Book Antiqua" w:hAnsi="Book Antiqua" w:cs="Book Antiqua"/>
          <w:b/>
          <w:color w:val="000000"/>
        </w:rPr>
        <w:sectPr w:rsidR="00765724">
          <w:pgSz w:w="12240" w:h="15840"/>
          <w:pgMar w:top="1440" w:right="1440" w:bottom="1440" w:left="1440" w:header="720" w:footer="720" w:gutter="0"/>
          <w:cols w:space="720"/>
          <w:docGrid w:linePitch="360"/>
        </w:sectPr>
      </w:pPr>
    </w:p>
    <w:p w14:paraId="5A1094B9" w14:textId="77777777" w:rsidR="00765724" w:rsidRDefault="00CD684D">
      <w:pPr>
        <w:spacing w:line="360" w:lineRule="auto"/>
        <w:jc w:val="both"/>
        <w:rPr>
          <w:rFonts w:ascii="Book Antiqua" w:eastAsia="Book Antiqua" w:hAnsi="Book Antiqua" w:cs="Book Antiqua"/>
          <w:b/>
          <w:color w:val="000000"/>
        </w:rPr>
      </w:pPr>
      <w:r>
        <w:rPr>
          <w:noProof/>
        </w:rPr>
        <w:lastRenderedPageBreak/>
        <w:drawing>
          <wp:inline distT="0" distB="0" distL="0" distR="0" wp14:anchorId="08FA5C1E" wp14:editId="07AC9B3B">
            <wp:extent cx="2344420" cy="2339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344818" cy="2340043"/>
                    </a:xfrm>
                    <a:prstGeom prst="rect">
                      <a:avLst/>
                    </a:prstGeom>
                  </pic:spPr>
                </pic:pic>
              </a:graphicData>
            </a:graphic>
          </wp:inline>
        </w:drawing>
      </w:r>
    </w:p>
    <w:p w14:paraId="492661B0" w14:textId="77777777" w:rsidR="00765724" w:rsidRDefault="00CD684D">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4 </w:t>
      </w:r>
      <w:r>
        <w:rPr>
          <w:rFonts w:ascii="Book Antiqua" w:eastAsia="Book Antiqua" w:hAnsi="Book Antiqua" w:cs="Book Antiqua"/>
          <w:b/>
          <w:color w:val="000000"/>
        </w:rPr>
        <w:t>Fistula formation at the anastomotic site.</w:t>
      </w:r>
    </w:p>
    <w:p w14:paraId="607E66AA" w14:textId="77777777" w:rsidR="00765724" w:rsidRDefault="00765724">
      <w:pPr>
        <w:spacing w:line="360" w:lineRule="auto"/>
        <w:jc w:val="both"/>
        <w:rPr>
          <w:rFonts w:ascii="Book Antiqua" w:eastAsia="Book Antiqua" w:hAnsi="Book Antiqua" w:cs="Book Antiqua"/>
          <w:b/>
          <w:color w:val="000000"/>
        </w:rPr>
        <w:sectPr w:rsidR="00765724">
          <w:pgSz w:w="12240" w:h="15840"/>
          <w:pgMar w:top="1440" w:right="1440" w:bottom="1440" w:left="1440" w:header="720" w:footer="720" w:gutter="0"/>
          <w:cols w:space="720"/>
          <w:docGrid w:linePitch="360"/>
        </w:sectPr>
      </w:pPr>
    </w:p>
    <w:p w14:paraId="6C357DC4" w14:textId="77777777" w:rsidR="00765724" w:rsidRDefault="00CD684D">
      <w:pPr>
        <w:spacing w:line="360" w:lineRule="auto"/>
        <w:jc w:val="both"/>
        <w:rPr>
          <w:rFonts w:ascii="Book Antiqua" w:hAnsi="Book Antiqua"/>
          <w:bCs/>
        </w:rPr>
      </w:pPr>
      <w:r>
        <w:rPr>
          <w:rFonts w:ascii="Book Antiqua" w:hAnsi="Book Antiqua"/>
          <w:b/>
          <w:shd w:val="clear" w:color="auto" w:fill="FFFFFF"/>
        </w:rPr>
        <w:lastRenderedPageBreak/>
        <w:t xml:space="preserve">Table 1 </w:t>
      </w:r>
      <w:r>
        <w:rPr>
          <w:rFonts w:ascii="Book Antiqua" w:hAnsi="Book Antiqua"/>
          <w:b/>
        </w:rPr>
        <w:t>Progress of labs during hospitalization</w:t>
      </w:r>
    </w:p>
    <w:tbl>
      <w:tblPr>
        <w:tblW w:w="9666" w:type="dxa"/>
        <w:tblLook w:val="04A0" w:firstRow="1" w:lastRow="0" w:firstColumn="1" w:lastColumn="0" w:noHBand="0" w:noVBand="1"/>
      </w:tblPr>
      <w:tblGrid>
        <w:gridCol w:w="1740"/>
        <w:gridCol w:w="1392"/>
        <w:gridCol w:w="1630"/>
        <w:gridCol w:w="692"/>
        <w:gridCol w:w="692"/>
        <w:gridCol w:w="692"/>
        <w:gridCol w:w="707"/>
        <w:gridCol w:w="707"/>
        <w:gridCol w:w="707"/>
        <w:gridCol w:w="707"/>
      </w:tblGrid>
      <w:tr w:rsidR="00765724" w14:paraId="4A42509E" w14:textId="77777777">
        <w:trPr>
          <w:trHeight w:val="258"/>
        </w:trPr>
        <w:tc>
          <w:tcPr>
            <w:tcW w:w="0" w:type="auto"/>
            <w:vMerge w:val="restart"/>
            <w:tcBorders>
              <w:top w:val="single" w:sz="4" w:space="0" w:color="auto"/>
            </w:tcBorders>
          </w:tcPr>
          <w:p w14:paraId="5B26CBA0" w14:textId="77777777" w:rsidR="00765724" w:rsidRDefault="00CD684D">
            <w:pPr>
              <w:spacing w:line="360" w:lineRule="auto"/>
              <w:jc w:val="both"/>
              <w:rPr>
                <w:rFonts w:ascii="Book Antiqua" w:hAnsi="Book Antiqua"/>
                <w:b/>
              </w:rPr>
            </w:pPr>
            <w:r>
              <w:rPr>
                <w:rFonts w:ascii="Book Antiqua" w:hAnsi="Book Antiqua"/>
                <w:b/>
                <w:iCs/>
                <w:color w:val="000000"/>
              </w:rPr>
              <w:t>Lab examinations</w:t>
            </w:r>
          </w:p>
        </w:tc>
        <w:tc>
          <w:tcPr>
            <w:tcW w:w="0" w:type="auto"/>
            <w:vMerge w:val="restart"/>
            <w:tcBorders>
              <w:top w:val="single" w:sz="4" w:space="0" w:color="auto"/>
            </w:tcBorders>
          </w:tcPr>
          <w:p w14:paraId="7A5EAA0A" w14:textId="77777777" w:rsidR="00765724" w:rsidRDefault="00CD684D">
            <w:pPr>
              <w:spacing w:line="360" w:lineRule="auto"/>
              <w:jc w:val="both"/>
              <w:rPr>
                <w:rFonts w:ascii="Book Antiqua" w:hAnsi="Book Antiqua"/>
                <w:b/>
              </w:rPr>
            </w:pPr>
            <w:r>
              <w:rPr>
                <w:rFonts w:ascii="Book Antiqua" w:hAnsi="Book Antiqua"/>
                <w:b/>
              </w:rPr>
              <w:t>Reference range</w:t>
            </w:r>
          </w:p>
        </w:tc>
        <w:tc>
          <w:tcPr>
            <w:tcW w:w="0" w:type="auto"/>
            <w:vMerge w:val="restart"/>
            <w:tcBorders>
              <w:top w:val="single" w:sz="4" w:space="0" w:color="auto"/>
            </w:tcBorders>
          </w:tcPr>
          <w:p w14:paraId="1CAE3793" w14:textId="77777777" w:rsidR="00765724" w:rsidRDefault="00CD684D">
            <w:pPr>
              <w:spacing w:line="360" w:lineRule="auto"/>
              <w:jc w:val="both"/>
              <w:rPr>
                <w:rFonts w:ascii="Book Antiqua" w:hAnsi="Book Antiqua"/>
                <w:b/>
              </w:rPr>
            </w:pPr>
            <w:r>
              <w:rPr>
                <w:rFonts w:ascii="Book Antiqua" w:hAnsi="Book Antiqua"/>
                <w:b/>
              </w:rPr>
              <w:t>Preoperation</w:t>
            </w:r>
          </w:p>
        </w:tc>
        <w:tc>
          <w:tcPr>
            <w:tcW w:w="0" w:type="auto"/>
            <w:gridSpan w:val="7"/>
            <w:tcBorders>
              <w:top w:val="single" w:sz="4" w:space="0" w:color="auto"/>
              <w:bottom w:val="single" w:sz="4" w:space="0" w:color="auto"/>
            </w:tcBorders>
          </w:tcPr>
          <w:p w14:paraId="6296B248" w14:textId="77777777" w:rsidR="00765724" w:rsidRDefault="00CD684D">
            <w:pPr>
              <w:spacing w:line="360" w:lineRule="auto"/>
              <w:jc w:val="both"/>
              <w:rPr>
                <w:rFonts w:ascii="Book Antiqua" w:hAnsi="Book Antiqua"/>
                <w:b/>
              </w:rPr>
            </w:pPr>
            <w:r>
              <w:rPr>
                <w:rFonts w:ascii="Book Antiqua" w:hAnsi="Book Antiqua"/>
                <w:b/>
              </w:rPr>
              <w:t>Postoperation</w:t>
            </w:r>
          </w:p>
        </w:tc>
      </w:tr>
      <w:tr w:rsidR="00765724" w14:paraId="5A51DACC" w14:textId="77777777">
        <w:trPr>
          <w:trHeight w:val="258"/>
        </w:trPr>
        <w:tc>
          <w:tcPr>
            <w:tcW w:w="0" w:type="auto"/>
            <w:vMerge/>
            <w:tcBorders>
              <w:bottom w:val="single" w:sz="4" w:space="0" w:color="auto"/>
            </w:tcBorders>
          </w:tcPr>
          <w:p w14:paraId="6D1B9CC8" w14:textId="77777777" w:rsidR="00765724" w:rsidRDefault="00765724">
            <w:pPr>
              <w:spacing w:line="360" w:lineRule="auto"/>
              <w:jc w:val="both"/>
              <w:rPr>
                <w:rFonts w:ascii="Book Antiqua" w:hAnsi="Book Antiqua"/>
                <w:b/>
                <w:iCs/>
                <w:color w:val="000000"/>
              </w:rPr>
            </w:pPr>
          </w:p>
        </w:tc>
        <w:tc>
          <w:tcPr>
            <w:tcW w:w="0" w:type="auto"/>
            <w:vMerge/>
            <w:tcBorders>
              <w:bottom w:val="single" w:sz="4" w:space="0" w:color="auto"/>
            </w:tcBorders>
          </w:tcPr>
          <w:p w14:paraId="575A8743" w14:textId="77777777" w:rsidR="00765724" w:rsidRDefault="00765724">
            <w:pPr>
              <w:spacing w:line="360" w:lineRule="auto"/>
              <w:jc w:val="both"/>
              <w:rPr>
                <w:rFonts w:ascii="Book Antiqua" w:hAnsi="Book Antiqua"/>
                <w:b/>
              </w:rPr>
            </w:pPr>
          </w:p>
        </w:tc>
        <w:tc>
          <w:tcPr>
            <w:tcW w:w="0" w:type="auto"/>
            <w:vMerge/>
            <w:tcBorders>
              <w:bottom w:val="single" w:sz="4" w:space="0" w:color="auto"/>
            </w:tcBorders>
          </w:tcPr>
          <w:p w14:paraId="4703F0AD" w14:textId="77777777" w:rsidR="00765724" w:rsidRDefault="00765724">
            <w:pPr>
              <w:spacing w:line="360" w:lineRule="auto"/>
              <w:jc w:val="both"/>
              <w:rPr>
                <w:rFonts w:ascii="Book Antiqua" w:hAnsi="Book Antiqua"/>
                <w:b/>
              </w:rPr>
            </w:pPr>
          </w:p>
        </w:tc>
        <w:tc>
          <w:tcPr>
            <w:tcW w:w="0" w:type="auto"/>
            <w:tcBorders>
              <w:top w:val="single" w:sz="4" w:space="0" w:color="auto"/>
              <w:bottom w:val="single" w:sz="4" w:space="0" w:color="auto"/>
            </w:tcBorders>
          </w:tcPr>
          <w:p w14:paraId="7D3506CB" w14:textId="77777777" w:rsidR="00765724" w:rsidRDefault="00CD684D">
            <w:pPr>
              <w:spacing w:line="360" w:lineRule="auto"/>
              <w:jc w:val="both"/>
              <w:rPr>
                <w:rFonts w:ascii="Book Antiqua" w:hAnsi="Book Antiqua"/>
                <w:b/>
              </w:rPr>
            </w:pPr>
            <w:r>
              <w:rPr>
                <w:rFonts w:ascii="Book Antiqua" w:hAnsi="Book Antiqua"/>
                <w:b/>
              </w:rPr>
              <w:t>Day 1</w:t>
            </w:r>
          </w:p>
        </w:tc>
        <w:tc>
          <w:tcPr>
            <w:tcW w:w="0" w:type="auto"/>
            <w:tcBorders>
              <w:top w:val="single" w:sz="4" w:space="0" w:color="auto"/>
              <w:bottom w:val="single" w:sz="4" w:space="0" w:color="auto"/>
            </w:tcBorders>
          </w:tcPr>
          <w:p w14:paraId="765293CD" w14:textId="77777777" w:rsidR="00765724" w:rsidRDefault="00CD684D">
            <w:pPr>
              <w:spacing w:line="360" w:lineRule="auto"/>
              <w:jc w:val="both"/>
              <w:rPr>
                <w:rFonts w:ascii="Book Antiqua" w:hAnsi="Book Antiqua"/>
                <w:b/>
              </w:rPr>
            </w:pPr>
            <w:r>
              <w:rPr>
                <w:rFonts w:ascii="Book Antiqua" w:hAnsi="Book Antiqua"/>
                <w:b/>
              </w:rPr>
              <w:t>Day 3</w:t>
            </w:r>
          </w:p>
        </w:tc>
        <w:tc>
          <w:tcPr>
            <w:tcW w:w="0" w:type="auto"/>
            <w:tcBorders>
              <w:top w:val="single" w:sz="4" w:space="0" w:color="auto"/>
              <w:bottom w:val="single" w:sz="4" w:space="0" w:color="auto"/>
            </w:tcBorders>
          </w:tcPr>
          <w:p w14:paraId="58FD1BA1" w14:textId="77777777" w:rsidR="00765724" w:rsidRDefault="00CD684D">
            <w:pPr>
              <w:spacing w:line="360" w:lineRule="auto"/>
              <w:jc w:val="both"/>
              <w:rPr>
                <w:rFonts w:ascii="Book Antiqua" w:hAnsi="Book Antiqua"/>
                <w:b/>
              </w:rPr>
            </w:pPr>
            <w:r>
              <w:rPr>
                <w:rFonts w:ascii="Book Antiqua" w:hAnsi="Book Antiqua"/>
                <w:b/>
              </w:rPr>
              <w:t>Day 6</w:t>
            </w:r>
          </w:p>
        </w:tc>
        <w:tc>
          <w:tcPr>
            <w:tcW w:w="0" w:type="auto"/>
            <w:tcBorders>
              <w:top w:val="single" w:sz="4" w:space="0" w:color="auto"/>
              <w:bottom w:val="single" w:sz="4" w:space="0" w:color="auto"/>
            </w:tcBorders>
          </w:tcPr>
          <w:p w14:paraId="0119C895" w14:textId="77777777" w:rsidR="00765724" w:rsidRDefault="00CD684D">
            <w:pPr>
              <w:spacing w:line="360" w:lineRule="auto"/>
              <w:jc w:val="both"/>
              <w:rPr>
                <w:rFonts w:ascii="Book Antiqua" w:hAnsi="Book Antiqua"/>
                <w:b/>
              </w:rPr>
            </w:pPr>
            <w:r>
              <w:rPr>
                <w:rFonts w:ascii="Book Antiqua" w:hAnsi="Book Antiqua"/>
                <w:b/>
              </w:rPr>
              <w:t>Day 10</w:t>
            </w:r>
          </w:p>
        </w:tc>
        <w:tc>
          <w:tcPr>
            <w:tcW w:w="0" w:type="auto"/>
            <w:tcBorders>
              <w:top w:val="single" w:sz="4" w:space="0" w:color="auto"/>
              <w:bottom w:val="single" w:sz="4" w:space="0" w:color="auto"/>
            </w:tcBorders>
          </w:tcPr>
          <w:p w14:paraId="5530AE7B" w14:textId="77777777" w:rsidR="00765724" w:rsidRDefault="00CD684D">
            <w:pPr>
              <w:spacing w:line="360" w:lineRule="auto"/>
              <w:jc w:val="both"/>
              <w:rPr>
                <w:rFonts w:ascii="Book Antiqua" w:hAnsi="Book Antiqua"/>
                <w:b/>
              </w:rPr>
            </w:pPr>
            <w:r>
              <w:rPr>
                <w:rFonts w:ascii="Book Antiqua" w:hAnsi="Book Antiqua"/>
                <w:b/>
              </w:rPr>
              <w:t>Day 26</w:t>
            </w:r>
          </w:p>
        </w:tc>
        <w:tc>
          <w:tcPr>
            <w:tcW w:w="0" w:type="auto"/>
            <w:tcBorders>
              <w:top w:val="single" w:sz="4" w:space="0" w:color="auto"/>
              <w:bottom w:val="single" w:sz="4" w:space="0" w:color="auto"/>
            </w:tcBorders>
          </w:tcPr>
          <w:p w14:paraId="47A280EC" w14:textId="77777777" w:rsidR="00765724" w:rsidRDefault="00CD684D">
            <w:pPr>
              <w:spacing w:line="360" w:lineRule="auto"/>
              <w:jc w:val="both"/>
              <w:rPr>
                <w:rFonts w:ascii="Book Antiqua" w:hAnsi="Book Antiqua"/>
                <w:b/>
              </w:rPr>
            </w:pPr>
            <w:r>
              <w:rPr>
                <w:rFonts w:ascii="Book Antiqua" w:hAnsi="Book Antiqua"/>
                <w:b/>
              </w:rPr>
              <w:t>Day 28</w:t>
            </w:r>
          </w:p>
        </w:tc>
        <w:tc>
          <w:tcPr>
            <w:tcW w:w="0" w:type="auto"/>
            <w:tcBorders>
              <w:top w:val="single" w:sz="4" w:space="0" w:color="auto"/>
              <w:bottom w:val="single" w:sz="4" w:space="0" w:color="auto"/>
            </w:tcBorders>
          </w:tcPr>
          <w:p w14:paraId="4038B3AD" w14:textId="77777777" w:rsidR="00765724" w:rsidRDefault="00CD684D">
            <w:pPr>
              <w:spacing w:line="360" w:lineRule="auto"/>
              <w:jc w:val="both"/>
              <w:rPr>
                <w:rFonts w:ascii="Book Antiqua" w:hAnsi="Book Antiqua"/>
                <w:b/>
              </w:rPr>
            </w:pPr>
            <w:r>
              <w:rPr>
                <w:rFonts w:ascii="Book Antiqua" w:hAnsi="Book Antiqua"/>
                <w:b/>
              </w:rPr>
              <w:t>Day 42</w:t>
            </w:r>
          </w:p>
        </w:tc>
      </w:tr>
      <w:tr w:rsidR="00765724" w14:paraId="6D9CA14E" w14:textId="77777777">
        <w:trPr>
          <w:trHeight w:val="128"/>
        </w:trPr>
        <w:tc>
          <w:tcPr>
            <w:tcW w:w="0" w:type="auto"/>
            <w:tcBorders>
              <w:top w:val="single" w:sz="4" w:space="0" w:color="auto"/>
            </w:tcBorders>
          </w:tcPr>
          <w:p w14:paraId="1143B3FB" w14:textId="77777777" w:rsidR="00765724" w:rsidRDefault="00CD684D">
            <w:pPr>
              <w:spacing w:line="360" w:lineRule="auto"/>
              <w:jc w:val="both"/>
              <w:rPr>
                <w:rFonts w:ascii="Book Antiqua" w:hAnsi="Book Antiqua"/>
              </w:rPr>
            </w:pPr>
            <w:r>
              <w:rPr>
                <w:rFonts w:ascii="Book Antiqua" w:hAnsi="Book Antiqua"/>
              </w:rPr>
              <w:t>WBC (× 10</w:t>
            </w:r>
            <w:r>
              <w:rPr>
                <w:rFonts w:ascii="Book Antiqua" w:hAnsi="Book Antiqua"/>
                <w:vertAlign w:val="superscript"/>
              </w:rPr>
              <w:t>9</w:t>
            </w:r>
            <w:r>
              <w:rPr>
                <w:rFonts w:ascii="Book Antiqua" w:hAnsi="Book Antiqua"/>
              </w:rPr>
              <w:t>/L)</w:t>
            </w:r>
          </w:p>
        </w:tc>
        <w:tc>
          <w:tcPr>
            <w:tcW w:w="0" w:type="auto"/>
            <w:tcBorders>
              <w:top w:val="single" w:sz="4" w:space="0" w:color="auto"/>
            </w:tcBorders>
          </w:tcPr>
          <w:p w14:paraId="6D5C5EED" w14:textId="77777777" w:rsidR="00765724" w:rsidRDefault="00CD684D">
            <w:pPr>
              <w:spacing w:line="360" w:lineRule="auto"/>
              <w:jc w:val="both"/>
              <w:rPr>
                <w:rFonts w:ascii="Book Antiqua" w:hAnsi="Book Antiqua"/>
              </w:rPr>
            </w:pPr>
            <w:r>
              <w:rPr>
                <w:rFonts w:ascii="Book Antiqua" w:hAnsi="Book Antiqua"/>
              </w:rPr>
              <w:t>3-9</w:t>
            </w:r>
          </w:p>
        </w:tc>
        <w:tc>
          <w:tcPr>
            <w:tcW w:w="0" w:type="auto"/>
            <w:tcBorders>
              <w:top w:val="single" w:sz="4" w:space="0" w:color="auto"/>
            </w:tcBorders>
          </w:tcPr>
          <w:p w14:paraId="0BB29386" w14:textId="77777777" w:rsidR="00765724" w:rsidRDefault="00CD684D">
            <w:pPr>
              <w:spacing w:line="360" w:lineRule="auto"/>
              <w:jc w:val="both"/>
              <w:rPr>
                <w:rFonts w:ascii="Book Antiqua" w:hAnsi="Book Antiqua"/>
              </w:rPr>
            </w:pPr>
            <w:r>
              <w:rPr>
                <w:rFonts w:ascii="Book Antiqua" w:hAnsi="Book Antiqua"/>
              </w:rPr>
              <w:t>30</w:t>
            </w:r>
          </w:p>
        </w:tc>
        <w:tc>
          <w:tcPr>
            <w:tcW w:w="0" w:type="auto"/>
            <w:tcBorders>
              <w:top w:val="single" w:sz="4" w:space="0" w:color="auto"/>
            </w:tcBorders>
          </w:tcPr>
          <w:p w14:paraId="5CD24508" w14:textId="77777777" w:rsidR="00765724" w:rsidRDefault="00CD684D">
            <w:pPr>
              <w:spacing w:line="360" w:lineRule="auto"/>
              <w:jc w:val="both"/>
              <w:rPr>
                <w:rFonts w:ascii="Book Antiqua" w:hAnsi="Book Antiqua"/>
              </w:rPr>
            </w:pPr>
            <w:r>
              <w:rPr>
                <w:rFonts w:ascii="Book Antiqua" w:hAnsi="Book Antiqua"/>
              </w:rPr>
              <w:t>6</w:t>
            </w:r>
          </w:p>
        </w:tc>
        <w:tc>
          <w:tcPr>
            <w:tcW w:w="0" w:type="auto"/>
            <w:tcBorders>
              <w:top w:val="single" w:sz="4" w:space="0" w:color="auto"/>
            </w:tcBorders>
          </w:tcPr>
          <w:p w14:paraId="09AF3D72" w14:textId="77777777" w:rsidR="00765724" w:rsidRDefault="00CD684D">
            <w:pPr>
              <w:spacing w:line="360" w:lineRule="auto"/>
              <w:jc w:val="both"/>
              <w:rPr>
                <w:rFonts w:ascii="Book Antiqua" w:hAnsi="Book Antiqua"/>
              </w:rPr>
            </w:pPr>
            <w:r>
              <w:rPr>
                <w:rFonts w:ascii="Book Antiqua" w:hAnsi="Book Antiqua"/>
              </w:rPr>
              <w:t>11</w:t>
            </w:r>
          </w:p>
        </w:tc>
        <w:tc>
          <w:tcPr>
            <w:tcW w:w="0" w:type="auto"/>
            <w:tcBorders>
              <w:top w:val="single" w:sz="4" w:space="0" w:color="auto"/>
            </w:tcBorders>
          </w:tcPr>
          <w:p w14:paraId="22D4E35B" w14:textId="77777777" w:rsidR="00765724" w:rsidRDefault="00CD684D">
            <w:pPr>
              <w:spacing w:line="360" w:lineRule="auto"/>
              <w:jc w:val="both"/>
              <w:rPr>
                <w:rFonts w:ascii="Book Antiqua" w:hAnsi="Book Antiqua"/>
              </w:rPr>
            </w:pPr>
            <w:r>
              <w:rPr>
                <w:rFonts w:ascii="Book Antiqua" w:hAnsi="Book Antiqua"/>
              </w:rPr>
              <w:t>15</w:t>
            </w:r>
          </w:p>
        </w:tc>
        <w:tc>
          <w:tcPr>
            <w:tcW w:w="0" w:type="auto"/>
            <w:tcBorders>
              <w:top w:val="single" w:sz="4" w:space="0" w:color="auto"/>
            </w:tcBorders>
          </w:tcPr>
          <w:p w14:paraId="5C22E296" w14:textId="77777777" w:rsidR="00765724" w:rsidRDefault="00CD684D">
            <w:pPr>
              <w:spacing w:line="360" w:lineRule="auto"/>
              <w:jc w:val="both"/>
              <w:rPr>
                <w:rFonts w:ascii="Book Antiqua" w:hAnsi="Book Antiqua"/>
              </w:rPr>
            </w:pPr>
            <w:r>
              <w:rPr>
                <w:rFonts w:ascii="Book Antiqua" w:hAnsi="Book Antiqua"/>
              </w:rPr>
              <w:t>21</w:t>
            </w:r>
          </w:p>
        </w:tc>
        <w:tc>
          <w:tcPr>
            <w:tcW w:w="0" w:type="auto"/>
            <w:tcBorders>
              <w:top w:val="single" w:sz="4" w:space="0" w:color="auto"/>
            </w:tcBorders>
          </w:tcPr>
          <w:p w14:paraId="415B8E1A" w14:textId="77777777" w:rsidR="00765724" w:rsidRDefault="00CD684D">
            <w:pPr>
              <w:spacing w:line="360" w:lineRule="auto"/>
              <w:jc w:val="both"/>
              <w:rPr>
                <w:rFonts w:ascii="Book Antiqua" w:hAnsi="Book Antiqua"/>
              </w:rPr>
            </w:pPr>
            <w:r>
              <w:rPr>
                <w:rFonts w:ascii="Book Antiqua" w:hAnsi="Book Antiqua"/>
              </w:rPr>
              <w:t>11</w:t>
            </w:r>
          </w:p>
        </w:tc>
        <w:tc>
          <w:tcPr>
            <w:tcW w:w="0" w:type="auto"/>
            <w:tcBorders>
              <w:top w:val="single" w:sz="4" w:space="0" w:color="auto"/>
            </w:tcBorders>
          </w:tcPr>
          <w:p w14:paraId="70674DB7" w14:textId="77777777" w:rsidR="00765724" w:rsidRDefault="00CD684D">
            <w:pPr>
              <w:spacing w:line="360" w:lineRule="auto"/>
              <w:jc w:val="both"/>
              <w:rPr>
                <w:rFonts w:ascii="Book Antiqua" w:hAnsi="Book Antiqua"/>
              </w:rPr>
            </w:pPr>
            <w:r>
              <w:rPr>
                <w:rFonts w:ascii="Book Antiqua" w:hAnsi="Book Antiqua"/>
              </w:rPr>
              <w:t>8</w:t>
            </w:r>
          </w:p>
        </w:tc>
        <w:tc>
          <w:tcPr>
            <w:tcW w:w="0" w:type="auto"/>
            <w:tcBorders>
              <w:top w:val="single" w:sz="4" w:space="0" w:color="auto"/>
            </w:tcBorders>
          </w:tcPr>
          <w:p w14:paraId="461D5041" w14:textId="77777777" w:rsidR="00765724" w:rsidRDefault="00CD684D">
            <w:pPr>
              <w:spacing w:line="360" w:lineRule="auto"/>
              <w:jc w:val="both"/>
              <w:rPr>
                <w:rFonts w:ascii="Book Antiqua" w:hAnsi="Book Antiqua"/>
              </w:rPr>
            </w:pPr>
            <w:r>
              <w:rPr>
                <w:rFonts w:ascii="Book Antiqua" w:hAnsi="Book Antiqua"/>
              </w:rPr>
              <w:t>10</w:t>
            </w:r>
          </w:p>
        </w:tc>
      </w:tr>
      <w:tr w:rsidR="00765724" w14:paraId="31850851" w14:textId="77777777">
        <w:trPr>
          <w:trHeight w:val="128"/>
        </w:trPr>
        <w:tc>
          <w:tcPr>
            <w:tcW w:w="0" w:type="auto"/>
          </w:tcPr>
          <w:p w14:paraId="2CE5296B" w14:textId="77777777" w:rsidR="00765724" w:rsidRDefault="00CD684D">
            <w:pPr>
              <w:spacing w:line="360" w:lineRule="auto"/>
              <w:jc w:val="both"/>
              <w:rPr>
                <w:rFonts w:ascii="Book Antiqua" w:hAnsi="Book Antiqua"/>
              </w:rPr>
            </w:pPr>
            <w:r>
              <w:rPr>
                <w:rFonts w:ascii="Book Antiqua" w:hAnsi="Book Antiqua"/>
              </w:rPr>
              <w:t>Hb (g/L)</w:t>
            </w:r>
          </w:p>
        </w:tc>
        <w:tc>
          <w:tcPr>
            <w:tcW w:w="0" w:type="auto"/>
          </w:tcPr>
          <w:p w14:paraId="6E72BFEA" w14:textId="77777777" w:rsidR="00765724" w:rsidRDefault="00CD684D">
            <w:pPr>
              <w:spacing w:line="360" w:lineRule="auto"/>
              <w:jc w:val="both"/>
              <w:rPr>
                <w:rFonts w:ascii="Book Antiqua" w:hAnsi="Book Antiqua"/>
              </w:rPr>
            </w:pPr>
            <w:r>
              <w:rPr>
                <w:rFonts w:ascii="Book Antiqua" w:hAnsi="Book Antiqua"/>
              </w:rPr>
              <w:t>130-175</w:t>
            </w:r>
          </w:p>
        </w:tc>
        <w:tc>
          <w:tcPr>
            <w:tcW w:w="0" w:type="auto"/>
          </w:tcPr>
          <w:p w14:paraId="4339703D" w14:textId="77777777" w:rsidR="00765724" w:rsidRDefault="00CD684D">
            <w:pPr>
              <w:spacing w:line="360" w:lineRule="auto"/>
              <w:jc w:val="both"/>
              <w:rPr>
                <w:rFonts w:ascii="Book Antiqua" w:hAnsi="Book Antiqua"/>
              </w:rPr>
            </w:pPr>
            <w:r>
              <w:rPr>
                <w:rFonts w:ascii="Book Antiqua" w:hAnsi="Book Antiqua"/>
              </w:rPr>
              <w:t>184</w:t>
            </w:r>
          </w:p>
        </w:tc>
        <w:tc>
          <w:tcPr>
            <w:tcW w:w="0" w:type="auto"/>
          </w:tcPr>
          <w:p w14:paraId="0D93B44C" w14:textId="77777777" w:rsidR="00765724" w:rsidRDefault="00CD684D">
            <w:pPr>
              <w:spacing w:line="360" w:lineRule="auto"/>
              <w:jc w:val="both"/>
              <w:rPr>
                <w:rFonts w:ascii="Book Antiqua" w:hAnsi="Book Antiqua"/>
              </w:rPr>
            </w:pPr>
            <w:r>
              <w:rPr>
                <w:rFonts w:ascii="Book Antiqua" w:hAnsi="Book Antiqua"/>
              </w:rPr>
              <w:t>126</w:t>
            </w:r>
          </w:p>
        </w:tc>
        <w:tc>
          <w:tcPr>
            <w:tcW w:w="0" w:type="auto"/>
          </w:tcPr>
          <w:p w14:paraId="76787CCE" w14:textId="77777777" w:rsidR="00765724" w:rsidRDefault="00CD684D">
            <w:pPr>
              <w:spacing w:line="360" w:lineRule="auto"/>
              <w:jc w:val="both"/>
              <w:rPr>
                <w:rFonts w:ascii="Book Antiqua" w:hAnsi="Book Antiqua"/>
              </w:rPr>
            </w:pPr>
            <w:r>
              <w:rPr>
                <w:rFonts w:ascii="Book Antiqua" w:hAnsi="Book Antiqua"/>
              </w:rPr>
              <w:t>123</w:t>
            </w:r>
          </w:p>
        </w:tc>
        <w:tc>
          <w:tcPr>
            <w:tcW w:w="0" w:type="auto"/>
          </w:tcPr>
          <w:p w14:paraId="0758E9B1" w14:textId="77777777" w:rsidR="00765724" w:rsidRDefault="00CD684D">
            <w:pPr>
              <w:spacing w:line="360" w:lineRule="auto"/>
              <w:jc w:val="both"/>
              <w:rPr>
                <w:rFonts w:ascii="Book Antiqua" w:hAnsi="Book Antiqua"/>
              </w:rPr>
            </w:pPr>
            <w:r>
              <w:rPr>
                <w:rFonts w:ascii="Book Antiqua" w:hAnsi="Book Antiqua"/>
              </w:rPr>
              <w:t>125</w:t>
            </w:r>
          </w:p>
        </w:tc>
        <w:tc>
          <w:tcPr>
            <w:tcW w:w="0" w:type="auto"/>
          </w:tcPr>
          <w:p w14:paraId="7909F2B4" w14:textId="77777777" w:rsidR="00765724" w:rsidRDefault="00CD684D">
            <w:pPr>
              <w:spacing w:line="360" w:lineRule="auto"/>
              <w:jc w:val="both"/>
              <w:rPr>
                <w:rFonts w:ascii="Book Antiqua" w:hAnsi="Book Antiqua"/>
              </w:rPr>
            </w:pPr>
            <w:r>
              <w:rPr>
                <w:rFonts w:ascii="Book Antiqua" w:hAnsi="Book Antiqua"/>
              </w:rPr>
              <w:t>117</w:t>
            </w:r>
          </w:p>
        </w:tc>
        <w:tc>
          <w:tcPr>
            <w:tcW w:w="0" w:type="auto"/>
          </w:tcPr>
          <w:p w14:paraId="0DB0E791" w14:textId="77777777" w:rsidR="00765724" w:rsidRDefault="00CD684D">
            <w:pPr>
              <w:spacing w:line="360" w:lineRule="auto"/>
              <w:jc w:val="both"/>
              <w:rPr>
                <w:rFonts w:ascii="Book Antiqua" w:hAnsi="Book Antiqua"/>
              </w:rPr>
            </w:pPr>
            <w:r>
              <w:rPr>
                <w:rFonts w:ascii="Book Antiqua" w:hAnsi="Book Antiqua"/>
              </w:rPr>
              <w:t>61</w:t>
            </w:r>
          </w:p>
        </w:tc>
        <w:tc>
          <w:tcPr>
            <w:tcW w:w="0" w:type="auto"/>
          </w:tcPr>
          <w:p w14:paraId="56B06909" w14:textId="77777777" w:rsidR="00765724" w:rsidRDefault="00CD684D">
            <w:pPr>
              <w:spacing w:line="360" w:lineRule="auto"/>
              <w:jc w:val="both"/>
              <w:rPr>
                <w:rFonts w:ascii="Book Antiqua" w:hAnsi="Book Antiqua"/>
              </w:rPr>
            </w:pPr>
            <w:r>
              <w:rPr>
                <w:rFonts w:ascii="Book Antiqua" w:hAnsi="Book Antiqua"/>
              </w:rPr>
              <w:t>75</w:t>
            </w:r>
          </w:p>
        </w:tc>
        <w:tc>
          <w:tcPr>
            <w:tcW w:w="0" w:type="auto"/>
          </w:tcPr>
          <w:p w14:paraId="48BA636C" w14:textId="77777777" w:rsidR="00765724" w:rsidRDefault="00CD684D">
            <w:pPr>
              <w:spacing w:line="360" w:lineRule="auto"/>
              <w:jc w:val="both"/>
              <w:rPr>
                <w:rFonts w:ascii="Book Antiqua" w:hAnsi="Book Antiqua"/>
              </w:rPr>
            </w:pPr>
            <w:r>
              <w:rPr>
                <w:rFonts w:ascii="Book Antiqua" w:hAnsi="Book Antiqua"/>
              </w:rPr>
              <w:t>96</w:t>
            </w:r>
          </w:p>
        </w:tc>
      </w:tr>
      <w:tr w:rsidR="00765724" w14:paraId="3D1E7FFF" w14:textId="77777777">
        <w:trPr>
          <w:trHeight w:val="128"/>
        </w:trPr>
        <w:tc>
          <w:tcPr>
            <w:tcW w:w="0" w:type="auto"/>
          </w:tcPr>
          <w:p w14:paraId="579CDC59" w14:textId="77777777" w:rsidR="00765724" w:rsidRDefault="00CD684D">
            <w:pPr>
              <w:spacing w:line="360" w:lineRule="auto"/>
              <w:jc w:val="both"/>
              <w:rPr>
                <w:rFonts w:ascii="Book Antiqua" w:hAnsi="Book Antiqua"/>
              </w:rPr>
            </w:pPr>
            <w:r>
              <w:rPr>
                <w:rFonts w:ascii="Book Antiqua" w:hAnsi="Book Antiqua"/>
              </w:rPr>
              <w:t>PLT (× 10</w:t>
            </w:r>
            <w:r>
              <w:rPr>
                <w:rFonts w:ascii="Book Antiqua" w:hAnsi="Book Antiqua"/>
                <w:vertAlign w:val="superscript"/>
              </w:rPr>
              <w:t>9</w:t>
            </w:r>
            <w:r>
              <w:rPr>
                <w:rFonts w:ascii="Book Antiqua" w:hAnsi="Book Antiqua"/>
              </w:rPr>
              <w:t xml:space="preserve">/L) </w:t>
            </w:r>
          </w:p>
        </w:tc>
        <w:tc>
          <w:tcPr>
            <w:tcW w:w="0" w:type="auto"/>
          </w:tcPr>
          <w:p w14:paraId="37BE22C4" w14:textId="77777777" w:rsidR="00765724" w:rsidRDefault="00CD684D">
            <w:pPr>
              <w:spacing w:line="360" w:lineRule="auto"/>
              <w:jc w:val="both"/>
              <w:rPr>
                <w:rFonts w:ascii="Book Antiqua" w:hAnsi="Book Antiqua"/>
              </w:rPr>
            </w:pPr>
            <w:r>
              <w:rPr>
                <w:rFonts w:ascii="Book Antiqua" w:hAnsi="Book Antiqua"/>
              </w:rPr>
              <w:t>100-350</w:t>
            </w:r>
          </w:p>
        </w:tc>
        <w:tc>
          <w:tcPr>
            <w:tcW w:w="0" w:type="auto"/>
          </w:tcPr>
          <w:p w14:paraId="14488A47" w14:textId="77777777" w:rsidR="00765724" w:rsidRDefault="00CD684D">
            <w:pPr>
              <w:spacing w:line="360" w:lineRule="auto"/>
              <w:jc w:val="both"/>
              <w:rPr>
                <w:rFonts w:ascii="Book Antiqua" w:hAnsi="Book Antiqua"/>
              </w:rPr>
            </w:pPr>
            <w:r>
              <w:rPr>
                <w:rFonts w:ascii="Book Antiqua" w:hAnsi="Book Antiqua"/>
              </w:rPr>
              <w:t>199</w:t>
            </w:r>
          </w:p>
        </w:tc>
        <w:tc>
          <w:tcPr>
            <w:tcW w:w="0" w:type="auto"/>
          </w:tcPr>
          <w:p w14:paraId="3DED8DCD" w14:textId="77777777" w:rsidR="00765724" w:rsidRDefault="00CD684D">
            <w:pPr>
              <w:spacing w:line="360" w:lineRule="auto"/>
              <w:jc w:val="both"/>
              <w:rPr>
                <w:rFonts w:ascii="Book Antiqua" w:hAnsi="Book Antiqua"/>
              </w:rPr>
            </w:pPr>
            <w:r>
              <w:rPr>
                <w:rFonts w:ascii="Book Antiqua" w:hAnsi="Book Antiqua"/>
              </w:rPr>
              <w:t>90</w:t>
            </w:r>
          </w:p>
        </w:tc>
        <w:tc>
          <w:tcPr>
            <w:tcW w:w="0" w:type="auto"/>
          </w:tcPr>
          <w:p w14:paraId="5D65BA4D" w14:textId="77777777" w:rsidR="00765724" w:rsidRDefault="00CD684D">
            <w:pPr>
              <w:spacing w:line="360" w:lineRule="auto"/>
              <w:jc w:val="both"/>
              <w:rPr>
                <w:rFonts w:ascii="Book Antiqua" w:hAnsi="Book Antiqua"/>
              </w:rPr>
            </w:pPr>
            <w:r>
              <w:rPr>
                <w:rFonts w:ascii="Book Antiqua" w:hAnsi="Book Antiqua"/>
              </w:rPr>
              <w:t>78</w:t>
            </w:r>
          </w:p>
        </w:tc>
        <w:tc>
          <w:tcPr>
            <w:tcW w:w="0" w:type="auto"/>
          </w:tcPr>
          <w:p w14:paraId="22A90B18" w14:textId="77777777" w:rsidR="00765724" w:rsidRDefault="00CD684D">
            <w:pPr>
              <w:spacing w:line="360" w:lineRule="auto"/>
              <w:jc w:val="both"/>
              <w:rPr>
                <w:rFonts w:ascii="Book Antiqua" w:hAnsi="Book Antiqua"/>
              </w:rPr>
            </w:pPr>
            <w:r>
              <w:rPr>
                <w:rFonts w:ascii="Book Antiqua" w:hAnsi="Book Antiqua"/>
              </w:rPr>
              <w:t>224</w:t>
            </w:r>
          </w:p>
        </w:tc>
        <w:tc>
          <w:tcPr>
            <w:tcW w:w="0" w:type="auto"/>
          </w:tcPr>
          <w:p w14:paraId="4A1B5981" w14:textId="77777777" w:rsidR="00765724" w:rsidRDefault="00CD684D">
            <w:pPr>
              <w:spacing w:line="360" w:lineRule="auto"/>
              <w:jc w:val="both"/>
              <w:rPr>
                <w:rFonts w:ascii="Book Antiqua" w:hAnsi="Book Antiqua"/>
              </w:rPr>
            </w:pPr>
            <w:r>
              <w:rPr>
                <w:rFonts w:ascii="Book Antiqua" w:hAnsi="Book Antiqua"/>
              </w:rPr>
              <w:t>125</w:t>
            </w:r>
          </w:p>
        </w:tc>
        <w:tc>
          <w:tcPr>
            <w:tcW w:w="0" w:type="auto"/>
          </w:tcPr>
          <w:p w14:paraId="16459623" w14:textId="77777777" w:rsidR="00765724" w:rsidRDefault="00CD684D">
            <w:pPr>
              <w:spacing w:line="360" w:lineRule="auto"/>
              <w:jc w:val="both"/>
              <w:rPr>
                <w:rFonts w:ascii="Book Antiqua" w:hAnsi="Book Antiqua"/>
              </w:rPr>
            </w:pPr>
            <w:r>
              <w:rPr>
                <w:rFonts w:ascii="Book Antiqua" w:hAnsi="Book Antiqua"/>
              </w:rPr>
              <w:t>26</w:t>
            </w:r>
          </w:p>
        </w:tc>
        <w:tc>
          <w:tcPr>
            <w:tcW w:w="0" w:type="auto"/>
          </w:tcPr>
          <w:p w14:paraId="069D8241" w14:textId="77777777" w:rsidR="00765724" w:rsidRDefault="00CD684D">
            <w:pPr>
              <w:spacing w:line="360" w:lineRule="auto"/>
              <w:jc w:val="both"/>
              <w:rPr>
                <w:rFonts w:ascii="Book Antiqua" w:hAnsi="Book Antiqua"/>
              </w:rPr>
            </w:pPr>
            <w:r>
              <w:rPr>
                <w:rFonts w:ascii="Book Antiqua" w:hAnsi="Book Antiqua"/>
              </w:rPr>
              <w:t>3</w:t>
            </w:r>
          </w:p>
        </w:tc>
        <w:tc>
          <w:tcPr>
            <w:tcW w:w="0" w:type="auto"/>
          </w:tcPr>
          <w:p w14:paraId="639A9A4E" w14:textId="77777777" w:rsidR="00765724" w:rsidRDefault="00CD684D">
            <w:pPr>
              <w:spacing w:line="360" w:lineRule="auto"/>
              <w:jc w:val="both"/>
              <w:rPr>
                <w:rFonts w:ascii="Book Antiqua" w:hAnsi="Book Antiqua"/>
              </w:rPr>
            </w:pPr>
            <w:r>
              <w:rPr>
                <w:rFonts w:ascii="Book Antiqua" w:hAnsi="Book Antiqua"/>
              </w:rPr>
              <w:t>122</w:t>
            </w:r>
          </w:p>
        </w:tc>
      </w:tr>
      <w:tr w:rsidR="00765724" w14:paraId="34550340" w14:textId="77777777">
        <w:trPr>
          <w:trHeight w:val="128"/>
        </w:trPr>
        <w:tc>
          <w:tcPr>
            <w:tcW w:w="0" w:type="auto"/>
          </w:tcPr>
          <w:p w14:paraId="5621356C" w14:textId="77777777" w:rsidR="00765724" w:rsidRDefault="00CD684D">
            <w:pPr>
              <w:spacing w:line="360" w:lineRule="auto"/>
              <w:jc w:val="both"/>
              <w:rPr>
                <w:rFonts w:ascii="Book Antiqua" w:hAnsi="Book Antiqua"/>
              </w:rPr>
            </w:pPr>
            <w:r>
              <w:rPr>
                <w:rFonts w:ascii="Book Antiqua" w:hAnsi="Book Antiqua"/>
              </w:rPr>
              <w:t>PT (sec)</w:t>
            </w:r>
          </w:p>
        </w:tc>
        <w:tc>
          <w:tcPr>
            <w:tcW w:w="0" w:type="auto"/>
          </w:tcPr>
          <w:p w14:paraId="530B5DA1" w14:textId="77777777" w:rsidR="00765724" w:rsidRDefault="00CD684D">
            <w:pPr>
              <w:spacing w:line="360" w:lineRule="auto"/>
              <w:jc w:val="both"/>
              <w:rPr>
                <w:rFonts w:ascii="Book Antiqua" w:hAnsi="Book Antiqua"/>
              </w:rPr>
            </w:pPr>
            <w:r>
              <w:rPr>
                <w:rFonts w:ascii="Book Antiqua" w:hAnsi="Book Antiqua"/>
              </w:rPr>
              <w:t>11-14</w:t>
            </w:r>
          </w:p>
        </w:tc>
        <w:tc>
          <w:tcPr>
            <w:tcW w:w="0" w:type="auto"/>
          </w:tcPr>
          <w:p w14:paraId="7613CAD1" w14:textId="77777777" w:rsidR="00765724" w:rsidRDefault="00CD684D">
            <w:pPr>
              <w:spacing w:line="360" w:lineRule="auto"/>
              <w:jc w:val="both"/>
              <w:rPr>
                <w:rFonts w:ascii="Book Antiqua" w:hAnsi="Book Antiqua"/>
              </w:rPr>
            </w:pPr>
            <w:r>
              <w:rPr>
                <w:rFonts w:ascii="Book Antiqua" w:hAnsi="Book Antiqua"/>
              </w:rPr>
              <w:t>15</w:t>
            </w:r>
          </w:p>
        </w:tc>
        <w:tc>
          <w:tcPr>
            <w:tcW w:w="0" w:type="auto"/>
          </w:tcPr>
          <w:p w14:paraId="7058B241" w14:textId="77777777" w:rsidR="00765724" w:rsidRDefault="00CD684D">
            <w:pPr>
              <w:spacing w:line="360" w:lineRule="auto"/>
              <w:jc w:val="both"/>
              <w:rPr>
                <w:rFonts w:ascii="Book Antiqua" w:hAnsi="Book Antiqua"/>
              </w:rPr>
            </w:pPr>
            <w:r>
              <w:rPr>
                <w:rFonts w:ascii="Book Antiqua" w:hAnsi="Book Antiqua"/>
              </w:rPr>
              <w:t>18</w:t>
            </w:r>
          </w:p>
        </w:tc>
        <w:tc>
          <w:tcPr>
            <w:tcW w:w="0" w:type="auto"/>
          </w:tcPr>
          <w:p w14:paraId="15BB4B0C" w14:textId="77777777" w:rsidR="00765724" w:rsidRDefault="00CD684D">
            <w:pPr>
              <w:spacing w:line="360" w:lineRule="auto"/>
              <w:jc w:val="both"/>
              <w:rPr>
                <w:rFonts w:ascii="Book Antiqua" w:hAnsi="Book Antiqua"/>
              </w:rPr>
            </w:pPr>
            <w:r>
              <w:rPr>
                <w:rFonts w:ascii="Book Antiqua" w:hAnsi="Book Antiqua"/>
              </w:rPr>
              <w:t>17</w:t>
            </w:r>
          </w:p>
        </w:tc>
        <w:tc>
          <w:tcPr>
            <w:tcW w:w="0" w:type="auto"/>
          </w:tcPr>
          <w:p w14:paraId="4D3AC055" w14:textId="77777777" w:rsidR="00765724" w:rsidRDefault="00CD684D">
            <w:pPr>
              <w:spacing w:line="360" w:lineRule="auto"/>
              <w:jc w:val="both"/>
              <w:rPr>
                <w:rFonts w:ascii="Book Antiqua" w:hAnsi="Book Antiqua"/>
              </w:rPr>
            </w:pPr>
            <w:r>
              <w:rPr>
                <w:rFonts w:ascii="Book Antiqua" w:hAnsi="Book Antiqua"/>
              </w:rPr>
              <w:t>16</w:t>
            </w:r>
          </w:p>
        </w:tc>
        <w:tc>
          <w:tcPr>
            <w:tcW w:w="0" w:type="auto"/>
          </w:tcPr>
          <w:p w14:paraId="61F166D3" w14:textId="77777777" w:rsidR="00765724" w:rsidRDefault="00CD684D">
            <w:pPr>
              <w:spacing w:line="360" w:lineRule="auto"/>
              <w:jc w:val="both"/>
              <w:rPr>
                <w:rFonts w:ascii="Book Antiqua" w:hAnsi="Book Antiqua"/>
              </w:rPr>
            </w:pPr>
            <w:r>
              <w:rPr>
                <w:rFonts w:ascii="Book Antiqua" w:hAnsi="Book Antiqua"/>
              </w:rPr>
              <w:t>14</w:t>
            </w:r>
          </w:p>
        </w:tc>
        <w:tc>
          <w:tcPr>
            <w:tcW w:w="0" w:type="auto"/>
          </w:tcPr>
          <w:p w14:paraId="0502A6B7" w14:textId="77777777" w:rsidR="00765724" w:rsidRDefault="00CD684D">
            <w:pPr>
              <w:spacing w:line="360" w:lineRule="auto"/>
              <w:jc w:val="both"/>
              <w:rPr>
                <w:rFonts w:ascii="Book Antiqua" w:hAnsi="Book Antiqua"/>
              </w:rPr>
            </w:pPr>
            <w:r>
              <w:rPr>
                <w:rFonts w:ascii="Book Antiqua" w:hAnsi="Book Antiqua"/>
              </w:rPr>
              <w:t>18</w:t>
            </w:r>
          </w:p>
        </w:tc>
        <w:tc>
          <w:tcPr>
            <w:tcW w:w="0" w:type="auto"/>
          </w:tcPr>
          <w:p w14:paraId="51C269D6" w14:textId="77777777" w:rsidR="00765724" w:rsidRDefault="00CD684D">
            <w:pPr>
              <w:spacing w:line="360" w:lineRule="auto"/>
              <w:jc w:val="both"/>
              <w:rPr>
                <w:rFonts w:ascii="Book Antiqua" w:hAnsi="Book Antiqua"/>
              </w:rPr>
            </w:pPr>
            <w:r>
              <w:rPr>
                <w:rFonts w:ascii="Book Antiqua" w:hAnsi="Book Antiqua"/>
              </w:rPr>
              <w:t>17</w:t>
            </w:r>
          </w:p>
        </w:tc>
        <w:tc>
          <w:tcPr>
            <w:tcW w:w="0" w:type="auto"/>
          </w:tcPr>
          <w:p w14:paraId="2A6308CA" w14:textId="77777777" w:rsidR="00765724" w:rsidRDefault="00CD684D">
            <w:pPr>
              <w:spacing w:line="360" w:lineRule="auto"/>
              <w:jc w:val="both"/>
              <w:rPr>
                <w:rFonts w:ascii="Book Antiqua" w:hAnsi="Book Antiqua"/>
              </w:rPr>
            </w:pPr>
            <w:r>
              <w:rPr>
                <w:rFonts w:ascii="Book Antiqua" w:hAnsi="Book Antiqua"/>
              </w:rPr>
              <w:t>14</w:t>
            </w:r>
          </w:p>
        </w:tc>
      </w:tr>
      <w:tr w:rsidR="00765724" w14:paraId="10A053A6" w14:textId="77777777">
        <w:trPr>
          <w:trHeight w:val="128"/>
        </w:trPr>
        <w:tc>
          <w:tcPr>
            <w:tcW w:w="0" w:type="auto"/>
          </w:tcPr>
          <w:p w14:paraId="3C6A8E3C" w14:textId="77777777" w:rsidR="00765724" w:rsidRDefault="00CD684D">
            <w:pPr>
              <w:spacing w:line="360" w:lineRule="auto"/>
              <w:jc w:val="both"/>
              <w:rPr>
                <w:rFonts w:ascii="Book Antiqua" w:hAnsi="Book Antiqua"/>
              </w:rPr>
            </w:pPr>
            <w:r>
              <w:rPr>
                <w:rFonts w:ascii="Book Antiqua" w:hAnsi="Book Antiqua"/>
              </w:rPr>
              <w:t>Tbili (μmol/L)</w:t>
            </w:r>
          </w:p>
        </w:tc>
        <w:tc>
          <w:tcPr>
            <w:tcW w:w="0" w:type="auto"/>
          </w:tcPr>
          <w:p w14:paraId="5EDF616C" w14:textId="77777777" w:rsidR="00765724" w:rsidRDefault="00CD684D">
            <w:pPr>
              <w:spacing w:line="360" w:lineRule="auto"/>
              <w:jc w:val="both"/>
              <w:rPr>
                <w:rFonts w:ascii="Book Antiqua" w:hAnsi="Book Antiqua"/>
              </w:rPr>
            </w:pPr>
            <w:r>
              <w:rPr>
                <w:rFonts w:ascii="Book Antiqua" w:hAnsi="Book Antiqua"/>
              </w:rPr>
              <w:t>4-23</w:t>
            </w:r>
          </w:p>
        </w:tc>
        <w:tc>
          <w:tcPr>
            <w:tcW w:w="0" w:type="auto"/>
          </w:tcPr>
          <w:p w14:paraId="3AA94CF8" w14:textId="77777777" w:rsidR="00765724" w:rsidRDefault="00CD684D">
            <w:pPr>
              <w:spacing w:line="360" w:lineRule="auto"/>
              <w:jc w:val="both"/>
              <w:rPr>
                <w:rFonts w:ascii="Book Antiqua" w:hAnsi="Book Antiqua"/>
              </w:rPr>
            </w:pPr>
            <w:r>
              <w:rPr>
                <w:rFonts w:ascii="Book Antiqua" w:hAnsi="Book Antiqua"/>
              </w:rPr>
              <w:t>28</w:t>
            </w:r>
          </w:p>
        </w:tc>
        <w:tc>
          <w:tcPr>
            <w:tcW w:w="0" w:type="auto"/>
          </w:tcPr>
          <w:p w14:paraId="0BFA8CAE" w14:textId="77777777" w:rsidR="00765724" w:rsidRDefault="00CD684D">
            <w:pPr>
              <w:spacing w:line="360" w:lineRule="auto"/>
              <w:jc w:val="both"/>
              <w:rPr>
                <w:rFonts w:ascii="Book Antiqua" w:hAnsi="Book Antiqua"/>
              </w:rPr>
            </w:pPr>
            <w:r>
              <w:rPr>
                <w:rFonts w:ascii="Book Antiqua" w:hAnsi="Book Antiqua"/>
              </w:rPr>
              <w:t>46</w:t>
            </w:r>
          </w:p>
        </w:tc>
        <w:tc>
          <w:tcPr>
            <w:tcW w:w="0" w:type="auto"/>
          </w:tcPr>
          <w:p w14:paraId="25F3A6BC" w14:textId="77777777" w:rsidR="00765724" w:rsidRDefault="00CD684D">
            <w:pPr>
              <w:spacing w:line="360" w:lineRule="auto"/>
              <w:jc w:val="both"/>
              <w:rPr>
                <w:rFonts w:ascii="Book Antiqua" w:hAnsi="Book Antiqua"/>
              </w:rPr>
            </w:pPr>
            <w:r>
              <w:rPr>
                <w:rFonts w:ascii="Book Antiqua" w:hAnsi="Book Antiqua"/>
              </w:rPr>
              <w:t>111</w:t>
            </w:r>
          </w:p>
        </w:tc>
        <w:tc>
          <w:tcPr>
            <w:tcW w:w="0" w:type="auto"/>
          </w:tcPr>
          <w:p w14:paraId="0F5044A1" w14:textId="77777777" w:rsidR="00765724" w:rsidRDefault="00CD684D">
            <w:pPr>
              <w:spacing w:line="360" w:lineRule="auto"/>
              <w:jc w:val="both"/>
              <w:rPr>
                <w:rFonts w:ascii="Book Antiqua" w:hAnsi="Book Antiqua"/>
              </w:rPr>
            </w:pPr>
            <w:r>
              <w:rPr>
                <w:rFonts w:ascii="Book Antiqua" w:hAnsi="Book Antiqua"/>
              </w:rPr>
              <w:t>89</w:t>
            </w:r>
          </w:p>
        </w:tc>
        <w:tc>
          <w:tcPr>
            <w:tcW w:w="0" w:type="auto"/>
          </w:tcPr>
          <w:p w14:paraId="15658F29" w14:textId="77777777" w:rsidR="00765724" w:rsidRDefault="00CD684D">
            <w:pPr>
              <w:spacing w:line="360" w:lineRule="auto"/>
              <w:jc w:val="both"/>
              <w:rPr>
                <w:rFonts w:ascii="Book Antiqua" w:hAnsi="Book Antiqua"/>
              </w:rPr>
            </w:pPr>
            <w:r>
              <w:rPr>
                <w:rFonts w:ascii="Book Antiqua" w:hAnsi="Book Antiqua"/>
              </w:rPr>
              <w:t>54</w:t>
            </w:r>
          </w:p>
        </w:tc>
        <w:tc>
          <w:tcPr>
            <w:tcW w:w="0" w:type="auto"/>
          </w:tcPr>
          <w:p w14:paraId="7431D3FC" w14:textId="77777777" w:rsidR="00765724" w:rsidRDefault="00CD684D">
            <w:pPr>
              <w:spacing w:line="360" w:lineRule="auto"/>
              <w:jc w:val="both"/>
              <w:rPr>
                <w:rFonts w:ascii="Book Antiqua" w:hAnsi="Book Antiqua"/>
              </w:rPr>
            </w:pPr>
            <w:r>
              <w:rPr>
                <w:rFonts w:ascii="Book Antiqua" w:hAnsi="Book Antiqua"/>
              </w:rPr>
              <w:t>15</w:t>
            </w:r>
          </w:p>
        </w:tc>
        <w:tc>
          <w:tcPr>
            <w:tcW w:w="0" w:type="auto"/>
          </w:tcPr>
          <w:p w14:paraId="369E5E50" w14:textId="77777777" w:rsidR="00765724" w:rsidRDefault="00CD684D">
            <w:pPr>
              <w:spacing w:line="360" w:lineRule="auto"/>
              <w:jc w:val="both"/>
              <w:rPr>
                <w:rFonts w:ascii="Book Antiqua" w:hAnsi="Book Antiqua"/>
              </w:rPr>
            </w:pPr>
            <w:r>
              <w:rPr>
                <w:rFonts w:ascii="Book Antiqua" w:hAnsi="Book Antiqua"/>
              </w:rPr>
              <w:t>45</w:t>
            </w:r>
          </w:p>
        </w:tc>
        <w:tc>
          <w:tcPr>
            <w:tcW w:w="0" w:type="auto"/>
          </w:tcPr>
          <w:p w14:paraId="7494EEF6" w14:textId="77777777" w:rsidR="00765724" w:rsidRDefault="00CD684D">
            <w:pPr>
              <w:spacing w:line="360" w:lineRule="auto"/>
              <w:jc w:val="both"/>
              <w:rPr>
                <w:rFonts w:ascii="Book Antiqua" w:hAnsi="Book Antiqua"/>
              </w:rPr>
            </w:pPr>
            <w:r>
              <w:rPr>
                <w:rFonts w:ascii="Book Antiqua" w:hAnsi="Book Antiqua"/>
              </w:rPr>
              <w:t>20</w:t>
            </w:r>
          </w:p>
        </w:tc>
      </w:tr>
      <w:tr w:rsidR="00765724" w14:paraId="1CBCFA5E" w14:textId="77777777">
        <w:trPr>
          <w:trHeight w:val="128"/>
        </w:trPr>
        <w:tc>
          <w:tcPr>
            <w:tcW w:w="0" w:type="auto"/>
            <w:tcBorders>
              <w:bottom w:val="single" w:sz="4" w:space="0" w:color="auto"/>
            </w:tcBorders>
          </w:tcPr>
          <w:p w14:paraId="71B5B994" w14:textId="77777777" w:rsidR="00765724" w:rsidRDefault="00CD684D">
            <w:pPr>
              <w:spacing w:line="360" w:lineRule="auto"/>
              <w:jc w:val="both"/>
              <w:rPr>
                <w:rFonts w:ascii="Book Antiqua" w:hAnsi="Book Antiqua"/>
              </w:rPr>
            </w:pPr>
            <w:r>
              <w:rPr>
                <w:rFonts w:ascii="Book Antiqua" w:hAnsi="Book Antiqua"/>
              </w:rPr>
              <w:t>CreaT (μmol/L)</w:t>
            </w:r>
          </w:p>
        </w:tc>
        <w:tc>
          <w:tcPr>
            <w:tcW w:w="0" w:type="auto"/>
            <w:tcBorders>
              <w:bottom w:val="single" w:sz="4" w:space="0" w:color="auto"/>
            </w:tcBorders>
          </w:tcPr>
          <w:p w14:paraId="639D5E65" w14:textId="77777777" w:rsidR="00765724" w:rsidRDefault="00CD684D">
            <w:pPr>
              <w:spacing w:line="360" w:lineRule="auto"/>
              <w:jc w:val="both"/>
              <w:rPr>
                <w:rFonts w:ascii="Book Antiqua" w:hAnsi="Book Antiqua"/>
              </w:rPr>
            </w:pPr>
            <w:r>
              <w:rPr>
                <w:rFonts w:ascii="Book Antiqua" w:hAnsi="Book Antiqua"/>
              </w:rPr>
              <w:t>31-116</w:t>
            </w:r>
          </w:p>
        </w:tc>
        <w:tc>
          <w:tcPr>
            <w:tcW w:w="0" w:type="auto"/>
            <w:tcBorders>
              <w:bottom w:val="single" w:sz="4" w:space="0" w:color="auto"/>
            </w:tcBorders>
          </w:tcPr>
          <w:p w14:paraId="273B3DCE" w14:textId="77777777" w:rsidR="00765724" w:rsidRDefault="00CD684D">
            <w:pPr>
              <w:spacing w:line="360" w:lineRule="auto"/>
              <w:jc w:val="both"/>
              <w:rPr>
                <w:rFonts w:ascii="Book Antiqua" w:hAnsi="Book Antiqua"/>
              </w:rPr>
            </w:pPr>
            <w:r>
              <w:rPr>
                <w:rFonts w:ascii="Book Antiqua" w:hAnsi="Book Antiqua"/>
              </w:rPr>
              <w:t>115.0</w:t>
            </w:r>
          </w:p>
        </w:tc>
        <w:tc>
          <w:tcPr>
            <w:tcW w:w="0" w:type="auto"/>
            <w:tcBorders>
              <w:bottom w:val="single" w:sz="4" w:space="0" w:color="auto"/>
            </w:tcBorders>
          </w:tcPr>
          <w:p w14:paraId="26BEDE01" w14:textId="77777777" w:rsidR="00765724" w:rsidRDefault="00CD684D">
            <w:pPr>
              <w:spacing w:line="360" w:lineRule="auto"/>
              <w:jc w:val="both"/>
              <w:rPr>
                <w:rFonts w:ascii="Book Antiqua" w:hAnsi="Book Antiqua"/>
              </w:rPr>
            </w:pPr>
            <w:r>
              <w:rPr>
                <w:rFonts w:ascii="Book Antiqua" w:hAnsi="Book Antiqua"/>
              </w:rPr>
              <w:t>178</w:t>
            </w:r>
          </w:p>
        </w:tc>
        <w:tc>
          <w:tcPr>
            <w:tcW w:w="0" w:type="auto"/>
            <w:tcBorders>
              <w:bottom w:val="single" w:sz="4" w:space="0" w:color="auto"/>
            </w:tcBorders>
          </w:tcPr>
          <w:p w14:paraId="0357A1DC" w14:textId="77777777" w:rsidR="00765724" w:rsidRDefault="00CD684D">
            <w:pPr>
              <w:spacing w:line="360" w:lineRule="auto"/>
              <w:jc w:val="both"/>
              <w:rPr>
                <w:rFonts w:ascii="Book Antiqua" w:hAnsi="Book Antiqua"/>
              </w:rPr>
            </w:pPr>
            <w:r>
              <w:rPr>
                <w:rFonts w:ascii="Book Antiqua" w:hAnsi="Book Antiqua"/>
              </w:rPr>
              <w:t>118</w:t>
            </w:r>
          </w:p>
        </w:tc>
        <w:tc>
          <w:tcPr>
            <w:tcW w:w="0" w:type="auto"/>
            <w:tcBorders>
              <w:bottom w:val="single" w:sz="4" w:space="0" w:color="auto"/>
            </w:tcBorders>
          </w:tcPr>
          <w:p w14:paraId="53E93210" w14:textId="77777777" w:rsidR="00765724" w:rsidRDefault="00CD684D">
            <w:pPr>
              <w:spacing w:line="360" w:lineRule="auto"/>
              <w:jc w:val="both"/>
              <w:rPr>
                <w:rFonts w:ascii="Book Antiqua" w:hAnsi="Book Antiqua"/>
              </w:rPr>
            </w:pPr>
            <w:r>
              <w:rPr>
                <w:rFonts w:ascii="Book Antiqua" w:hAnsi="Book Antiqua"/>
              </w:rPr>
              <w:t>109</w:t>
            </w:r>
          </w:p>
        </w:tc>
        <w:tc>
          <w:tcPr>
            <w:tcW w:w="0" w:type="auto"/>
            <w:tcBorders>
              <w:bottom w:val="single" w:sz="4" w:space="0" w:color="auto"/>
            </w:tcBorders>
          </w:tcPr>
          <w:p w14:paraId="3432720B" w14:textId="77777777" w:rsidR="00765724" w:rsidRDefault="00CD684D">
            <w:pPr>
              <w:spacing w:line="360" w:lineRule="auto"/>
              <w:jc w:val="both"/>
              <w:rPr>
                <w:rFonts w:ascii="Book Antiqua" w:hAnsi="Book Antiqua"/>
              </w:rPr>
            </w:pPr>
            <w:r>
              <w:rPr>
                <w:rFonts w:ascii="Book Antiqua" w:hAnsi="Book Antiqua"/>
              </w:rPr>
              <w:t>82</w:t>
            </w:r>
          </w:p>
        </w:tc>
        <w:tc>
          <w:tcPr>
            <w:tcW w:w="0" w:type="auto"/>
            <w:tcBorders>
              <w:bottom w:val="single" w:sz="4" w:space="0" w:color="auto"/>
            </w:tcBorders>
          </w:tcPr>
          <w:p w14:paraId="0E4DEEDC" w14:textId="77777777" w:rsidR="00765724" w:rsidRDefault="00CD684D">
            <w:pPr>
              <w:spacing w:line="360" w:lineRule="auto"/>
              <w:jc w:val="both"/>
              <w:rPr>
                <w:rFonts w:ascii="Book Antiqua" w:hAnsi="Book Antiqua"/>
              </w:rPr>
            </w:pPr>
            <w:r>
              <w:rPr>
                <w:rFonts w:ascii="Book Antiqua" w:hAnsi="Book Antiqua"/>
              </w:rPr>
              <w:t>102</w:t>
            </w:r>
          </w:p>
        </w:tc>
        <w:tc>
          <w:tcPr>
            <w:tcW w:w="0" w:type="auto"/>
            <w:tcBorders>
              <w:bottom w:val="single" w:sz="4" w:space="0" w:color="auto"/>
            </w:tcBorders>
          </w:tcPr>
          <w:p w14:paraId="5ED11FBF" w14:textId="77777777" w:rsidR="00765724" w:rsidRDefault="00CD684D">
            <w:pPr>
              <w:spacing w:line="360" w:lineRule="auto"/>
              <w:jc w:val="both"/>
              <w:rPr>
                <w:rFonts w:ascii="Book Antiqua" w:hAnsi="Book Antiqua"/>
              </w:rPr>
            </w:pPr>
            <w:r>
              <w:rPr>
                <w:rFonts w:ascii="Book Antiqua" w:hAnsi="Book Antiqua"/>
              </w:rPr>
              <w:t>82</w:t>
            </w:r>
          </w:p>
        </w:tc>
        <w:tc>
          <w:tcPr>
            <w:tcW w:w="0" w:type="auto"/>
            <w:tcBorders>
              <w:bottom w:val="single" w:sz="4" w:space="0" w:color="auto"/>
            </w:tcBorders>
          </w:tcPr>
          <w:p w14:paraId="17BBDA93" w14:textId="77777777" w:rsidR="00765724" w:rsidRDefault="00CD684D">
            <w:pPr>
              <w:spacing w:line="360" w:lineRule="auto"/>
              <w:jc w:val="both"/>
              <w:rPr>
                <w:rFonts w:ascii="Book Antiqua" w:hAnsi="Book Antiqua"/>
              </w:rPr>
            </w:pPr>
            <w:r>
              <w:rPr>
                <w:rFonts w:ascii="Book Antiqua" w:hAnsi="Book Antiqua"/>
              </w:rPr>
              <w:t>47</w:t>
            </w:r>
          </w:p>
        </w:tc>
      </w:tr>
    </w:tbl>
    <w:p w14:paraId="18DDAE22" w14:textId="77777777" w:rsidR="00765724" w:rsidRDefault="00CD684D">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W</w:t>
      </w:r>
      <w:r>
        <w:rPr>
          <w:rFonts w:ascii="Book Antiqua" w:hAnsi="Book Antiqua" w:cs="Book Antiqua"/>
          <w:bCs/>
          <w:color w:val="000000"/>
          <w:lang w:eastAsia="zh-CN"/>
        </w:rPr>
        <w:t>BC: White blood cell; Hb: Hemoglobin; PLT: Platelet; PT:</w:t>
      </w:r>
      <w:r>
        <w:t xml:space="preserve"> </w:t>
      </w:r>
      <w:r>
        <w:rPr>
          <w:rFonts w:ascii="Book Antiqua" w:hAnsi="Book Antiqua" w:cs="Book Antiqua"/>
          <w:bCs/>
          <w:color w:val="000000"/>
          <w:lang w:eastAsia="zh-CN"/>
        </w:rPr>
        <w:t>Prothrombin time; CreaT: Creatinine; Tbili: Total bilirubin</w:t>
      </w:r>
      <w:r>
        <w:rPr>
          <w:rFonts w:ascii="Book Antiqua" w:hAnsi="Book Antiqua" w:cs="Book Antiqua" w:hint="eastAsia"/>
          <w:bCs/>
          <w:color w:val="000000"/>
          <w:lang w:eastAsia="zh-CN"/>
        </w:rPr>
        <w:t>.</w:t>
      </w:r>
    </w:p>
    <w:p w14:paraId="0B6E1ADB" w14:textId="6E0B9987" w:rsidR="000A58A3" w:rsidRDefault="000A58A3">
      <w:r>
        <w:br w:type="page"/>
      </w:r>
    </w:p>
    <w:p w14:paraId="7EE76180" w14:textId="77777777" w:rsidR="000A58A3" w:rsidRDefault="000A58A3" w:rsidP="000A58A3">
      <w:pPr>
        <w:jc w:val="center"/>
        <w:rPr>
          <w:rFonts w:ascii="Book Antiqua" w:hAnsi="Book Antiqua"/>
          <w:lang w:eastAsia="zh-CN"/>
        </w:rPr>
      </w:pPr>
    </w:p>
    <w:p w14:paraId="0D946B08" w14:textId="77777777" w:rsidR="000A58A3" w:rsidRDefault="000A58A3" w:rsidP="000A58A3">
      <w:pPr>
        <w:jc w:val="center"/>
        <w:rPr>
          <w:rFonts w:ascii="Book Antiqua" w:hAnsi="Book Antiqua"/>
          <w:lang w:eastAsia="zh-CN"/>
        </w:rPr>
      </w:pPr>
    </w:p>
    <w:p w14:paraId="11DACB61" w14:textId="77777777" w:rsidR="000A58A3" w:rsidRDefault="000A58A3" w:rsidP="000A58A3">
      <w:pPr>
        <w:jc w:val="center"/>
        <w:rPr>
          <w:rFonts w:ascii="Book Antiqua" w:hAnsi="Book Antiqua"/>
          <w:lang w:eastAsia="zh-CN"/>
        </w:rPr>
      </w:pPr>
    </w:p>
    <w:p w14:paraId="11B907EE" w14:textId="77777777" w:rsidR="000A58A3" w:rsidRDefault="000A58A3" w:rsidP="000A58A3">
      <w:pPr>
        <w:jc w:val="center"/>
        <w:rPr>
          <w:rFonts w:ascii="Book Antiqua" w:hAnsi="Book Antiqua"/>
          <w:lang w:eastAsia="zh-CN"/>
        </w:rPr>
      </w:pPr>
    </w:p>
    <w:p w14:paraId="0271F814" w14:textId="77777777" w:rsidR="000A58A3" w:rsidRDefault="000A58A3" w:rsidP="000A58A3">
      <w:pPr>
        <w:jc w:val="center"/>
        <w:rPr>
          <w:rFonts w:ascii="Book Antiqua" w:hAnsi="Book Antiqua"/>
          <w:lang w:eastAsia="zh-CN"/>
        </w:rPr>
      </w:pPr>
    </w:p>
    <w:p w14:paraId="6946B6BC" w14:textId="77777777" w:rsidR="000A58A3" w:rsidRDefault="000A58A3" w:rsidP="000A58A3">
      <w:pPr>
        <w:jc w:val="center"/>
        <w:rPr>
          <w:rFonts w:ascii="Book Antiqua" w:hAnsi="Book Antiqua"/>
          <w:lang w:eastAsia="zh-CN"/>
        </w:rPr>
      </w:pPr>
      <w:r>
        <w:rPr>
          <w:rFonts w:ascii="Book Antiqua" w:hAnsi="Book Antiqua"/>
          <w:noProof/>
          <w:lang w:eastAsia="zh-CN"/>
        </w:rPr>
        <w:drawing>
          <wp:inline distT="0" distB="0" distL="0" distR="0" wp14:anchorId="795D12A7" wp14:editId="02A198A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DD2F3A" w14:textId="77777777" w:rsidR="000A58A3" w:rsidRDefault="000A58A3" w:rsidP="000A58A3">
      <w:pPr>
        <w:jc w:val="center"/>
        <w:rPr>
          <w:rFonts w:ascii="Book Antiqua" w:hAnsi="Book Antiqua"/>
          <w:lang w:eastAsia="zh-CN"/>
        </w:rPr>
      </w:pPr>
    </w:p>
    <w:p w14:paraId="3869A840" w14:textId="77777777" w:rsidR="000A58A3" w:rsidRPr="00763D22" w:rsidRDefault="000A58A3" w:rsidP="000A58A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8687378" w14:textId="77777777" w:rsidR="000A58A3" w:rsidRPr="00763D22" w:rsidRDefault="000A58A3" w:rsidP="000A58A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A22A2B9" w14:textId="77777777" w:rsidR="000A58A3" w:rsidRPr="00763D22" w:rsidRDefault="000A58A3" w:rsidP="000A58A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C99522" w14:textId="77777777" w:rsidR="000A58A3" w:rsidRPr="00763D22" w:rsidRDefault="000A58A3" w:rsidP="000A58A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96B11D7" w14:textId="77777777" w:rsidR="000A58A3" w:rsidRPr="00763D22" w:rsidRDefault="000A58A3" w:rsidP="000A58A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B9852CD" w14:textId="77777777" w:rsidR="000A58A3" w:rsidRPr="00763D22" w:rsidRDefault="000A58A3" w:rsidP="000A58A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DAD5951" w14:textId="77777777" w:rsidR="000A58A3" w:rsidRDefault="000A58A3" w:rsidP="000A58A3">
      <w:pPr>
        <w:jc w:val="center"/>
        <w:rPr>
          <w:rFonts w:ascii="Book Antiqua" w:hAnsi="Book Antiqua"/>
          <w:lang w:eastAsia="zh-CN"/>
        </w:rPr>
      </w:pPr>
    </w:p>
    <w:p w14:paraId="4E483FE8" w14:textId="77777777" w:rsidR="000A58A3" w:rsidRDefault="000A58A3" w:rsidP="000A58A3">
      <w:pPr>
        <w:jc w:val="center"/>
        <w:rPr>
          <w:rFonts w:ascii="Book Antiqua" w:hAnsi="Book Antiqua"/>
          <w:lang w:eastAsia="zh-CN"/>
        </w:rPr>
      </w:pPr>
    </w:p>
    <w:p w14:paraId="44C88C0F" w14:textId="77777777" w:rsidR="000A58A3" w:rsidRDefault="000A58A3" w:rsidP="000A58A3">
      <w:pPr>
        <w:jc w:val="center"/>
        <w:rPr>
          <w:rFonts w:ascii="Book Antiqua" w:hAnsi="Book Antiqua"/>
          <w:lang w:eastAsia="zh-CN"/>
        </w:rPr>
      </w:pPr>
    </w:p>
    <w:p w14:paraId="5CB2010D" w14:textId="77777777" w:rsidR="000A58A3" w:rsidRDefault="000A58A3" w:rsidP="000A58A3">
      <w:pPr>
        <w:jc w:val="center"/>
        <w:rPr>
          <w:rFonts w:ascii="Book Antiqua" w:hAnsi="Book Antiqua"/>
          <w:lang w:eastAsia="zh-CN"/>
        </w:rPr>
      </w:pPr>
      <w:r>
        <w:rPr>
          <w:rFonts w:ascii="Book Antiqua" w:hAnsi="Book Antiqua"/>
          <w:noProof/>
          <w:lang w:eastAsia="zh-CN"/>
        </w:rPr>
        <w:drawing>
          <wp:inline distT="0" distB="0" distL="0" distR="0" wp14:anchorId="0C6A7F50" wp14:editId="6CA2D37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DF3540" w14:textId="77777777" w:rsidR="000A58A3" w:rsidRDefault="000A58A3" w:rsidP="000A58A3">
      <w:pPr>
        <w:jc w:val="center"/>
        <w:rPr>
          <w:rFonts w:ascii="Book Antiqua" w:hAnsi="Book Antiqua"/>
          <w:lang w:eastAsia="zh-CN"/>
        </w:rPr>
      </w:pPr>
    </w:p>
    <w:p w14:paraId="150AB6D0" w14:textId="77777777" w:rsidR="000A58A3" w:rsidRDefault="000A58A3" w:rsidP="000A58A3">
      <w:pPr>
        <w:jc w:val="center"/>
        <w:rPr>
          <w:rFonts w:ascii="Book Antiqua" w:hAnsi="Book Antiqua"/>
          <w:lang w:eastAsia="zh-CN"/>
        </w:rPr>
      </w:pPr>
    </w:p>
    <w:p w14:paraId="571405E1" w14:textId="77777777" w:rsidR="000A58A3" w:rsidRDefault="000A58A3" w:rsidP="000A58A3">
      <w:pPr>
        <w:jc w:val="center"/>
        <w:rPr>
          <w:rFonts w:ascii="Book Antiqua" w:hAnsi="Book Antiqua"/>
          <w:lang w:eastAsia="zh-CN"/>
        </w:rPr>
      </w:pPr>
    </w:p>
    <w:p w14:paraId="36326B0C" w14:textId="77777777" w:rsidR="000A58A3" w:rsidRDefault="000A58A3" w:rsidP="000A58A3">
      <w:pPr>
        <w:jc w:val="center"/>
        <w:rPr>
          <w:rFonts w:ascii="Book Antiqua" w:hAnsi="Book Antiqua"/>
          <w:lang w:eastAsia="zh-CN"/>
        </w:rPr>
      </w:pPr>
    </w:p>
    <w:p w14:paraId="47416AD3" w14:textId="77777777" w:rsidR="000A58A3" w:rsidRDefault="000A58A3" w:rsidP="000A58A3">
      <w:pPr>
        <w:jc w:val="center"/>
        <w:rPr>
          <w:rFonts w:ascii="Book Antiqua" w:hAnsi="Book Antiqua"/>
          <w:lang w:eastAsia="zh-CN"/>
        </w:rPr>
      </w:pPr>
    </w:p>
    <w:p w14:paraId="33ABF4B9" w14:textId="77777777" w:rsidR="000A58A3" w:rsidRDefault="000A58A3" w:rsidP="000A58A3">
      <w:pPr>
        <w:jc w:val="center"/>
        <w:rPr>
          <w:rFonts w:ascii="Book Antiqua" w:hAnsi="Book Antiqua"/>
          <w:lang w:eastAsia="zh-CN"/>
        </w:rPr>
      </w:pPr>
    </w:p>
    <w:p w14:paraId="66D82F67" w14:textId="77777777" w:rsidR="000A58A3" w:rsidRDefault="000A58A3" w:rsidP="000A58A3">
      <w:pPr>
        <w:jc w:val="center"/>
        <w:rPr>
          <w:rFonts w:ascii="Book Antiqua" w:hAnsi="Book Antiqua"/>
          <w:lang w:eastAsia="zh-CN"/>
        </w:rPr>
      </w:pPr>
    </w:p>
    <w:p w14:paraId="0E9F663A" w14:textId="77777777" w:rsidR="000A58A3" w:rsidRDefault="000A58A3" w:rsidP="000A58A3">
      <w:pPr>
        <w:jc w:val="center"/>
        <w:rPr>
          <w:rFonts w:ascii="Book Antiqua" w:hAnsi="Book Antiqua"/>
          <w:lang w:eastAsia="zh-CN"/>
        </w:rPr>
      </w:pPr>
    </w:p>
    <w:p w14:paraId="14217073" w14:textId="77777777" w:rsidR="000A58A3" w:rsidRDefault="000A58A3" w:rsidP="000A58A3">
      <w:pPr>
        <w:jc w:val="center"/>
        <w:rPr>
          <w:rFonts w:ascii="Book Antiqua" w:hAnsi="Book Antiqua"/>
          <w:lang w:eastAsia="zh-CN"/>
        </w:rPr>
      </w:pPr>
    </w:p>
    <w:p w14:paraId="61E3BA27" w14:textId="77777777" w:rsidR="000A58A3" w:rsidRPr="00763D22" w:rsidRDefault="000A58A3" w:rsidP="000A58A3">
      <w:pPr>
        <w:jc w:val="right"/>
        <w:rPr>
          <w:rFonts w:ascii="Book Antiqua" w:hAnsi="Book Antiqua"/>
          <w:color w:val="000000" w:themeColor="text1"/>
          <w:lang w:eastAsia="zh-CN"/>
        </w:rPr>
      </w:pPr>
    </w:p>
    <w:p w14:paraId="786943DB" w14:textId="77777777" w:rsidR="000A58A3" w:rsidRPr="00763D22" w:rsidRDefault="000A58A3" w:rsidP="000A58A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E0DB50C" w14:textId="77777777" w:rsidR="00765724" w:rsidRDefault="00765724">
      <w:pPr>
        <w:spacing w:line="360" w:lineRule="auto"/>
        <w:jc w:val="both"/>
      </w:pPr>
    </w:p>
    <w:sectPr w:rsidR="007657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61065" w14:textId="77777777" w:rsidR="00CD684D" w:rsidRDefault="00CD684D">
      <w:r>
        <w:separator/>
      </w:r>
    </w:p>
  </w:endnote>
  <w:endnote w:type="continuationSeparator" w:id="0">
    <w:p w14:paraId="59B345E5" w14:textId="77777777" w:rsidR="00CD684D" w:rsidRDefault="00CD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843210750"/>
      <w:docPartObj>
        <w:docPartGallery w:val="AutoText"/>
      </w:docPartObj>
    </w:sdtPr>
    <w:sdtEndPr/>
    <w:sdtContent>
      <w:p w14:paraId="7F811DA8" w14:textId="77777777" w:rsidR="00765724" w:rsidRDefault="00CD684D">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19</w:t>
        </w:r>
      </w:p>
    </w:sdtContent>
  </w:sdt>
  <w:p w14:paraId="175BA5D4" w14:textId="77777777" w:rsidR="00765724" w:rsidRDefault="00765724">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67FE6" w14:textId="77777777" w:rsidR="00CD684D" w:rsidRDefault="00CD684D">
      <w:r>
        <w:separator/>
      </w:r>
    </w:p>
  </w:footnote>
  <w:footnote w:type="continuationSeparator" w:id="0">
    <w:p w14:paraId="14F47CD6" w14:textId="77777777" w:rsidR="00CD684D" w:rsidRDefault="00CD68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54B"/>
    <w:rsid w:val="00037E6C"/>
    <w:rsid w:val="00061EDE"/>
    <w:rsid w:val="0007602E"/>
    <w:rsid w:val="000802F4"/>
    <w:rsid w:val="00090266"/>
    <w:rsid w:val="000935A7"/>
    <w:rsid w:val="000A5125"/>
    <w:rsid w:val="000A58A3"/>
    <w:rsid w:val="000D1C40"/>
    <w:rsid w:val="000D383D"/>
    <w:rsid w:val="00112971"/>
    <w:rsid w:val="00124065"/>
    <w:rsid w:val="00135E63"/>
    <w:rsid w:val="0014489C"/>
    <w:rsid w:val="00180025"/>
    <w:rsid w:val="001B5838"/>
    <w:rsid w:val="001C73E9"/>
    <w:rsid w:val="00206EDF"/>
    <w:rsid w:val="00246966"/>
    <w:rsid w:val="002A26A8"/>
    <w:rsid w:val="002B3E99"/>
    <w:rsid w:val="002C2FA0"/>
    <w:rsid w:val="002E4AC1"/>
    <w:rsid w:val="003000CC"/>
    <w:rsid w:val="00314D71"/>
    <w:rsid w:val="00335B8E"/>
    <w:rsid w:val="003417B6"/>
    <w:rsid w:val="00353795"/>
    <w:rsid w:val="00362B91"/>
    <w:rsid w:val="00376E46"/>
    <w:rsid w:val="003820EC"/>
    <w:rsid w:val="003A0F8F"/>
    <w:rsid w:val="003D1617"/>
    <w:rsid w:val="003E246D"/>
    <w:rsid w:val="00417EF4"/>
    <w:rsid w:val="00437274"/>
    <w:rsid w:val="00444675"/>
    <w:rsid w:val="004C4EC3"/>
    <w:rsid w:val="00507278"/>
    <w:rsid w:val="00507636"/>
    <w:rsid w:val="00516CF1"/>
    <w:rsid w:val="00524C0F"/>
    <w:rsid w:val="00534F27"/>
    <w:rsid w:val="005365D2"/>
    <w:rsid w:val="00537536"/>
    <w:rsid w:val="005446D6"/>
    <w:rsid w:val="00547E58"/>
    <w:rsid w:val="00553AB2"/>
    <w:rsid w:val="005750AB"/>
    <w:rsid w:val="005A5438"/>
    <w:rsid w:val="005A697D"/>
    <w:rsid w:val="00605CF7"/>
    <w:rsid w:val="00605F4B"/>
    <w:rsid w:val="00624584"/>
    <w:rsid w:val="00624A74"/>
    <w:rsid w:val="00652EAB"/>
    <w:rsid w:val="006E79C2"/>
    <w:rsid w:val="00704B70"/>
    <w:rsid w:val="00763A37"/>
    <w:rsid w:val="00765724"/>
    <w:rsid w:val="0078380E"/>
    <w:rsid w:val="00792A86"/>
    <w:rsid w:val="00797268"/>
    <w:rsid w:val="007A7E7C"/>
    <w:rsid w:val="007E15EA"/>
    <w:rsid w:val="007F41CA"/>
    <w:rsid w:val="00816AB1"/>
    <w:rsid w:val="00833974"/>
    <w:rsid w:val="00836754"/>
    <w:rsid w:val="008543E8"/>
    <w:rsid w:val="00867706"/>
    <w:rsid w:val="008903B0"/>
    <w:rsid w:val="008A3A35"/>
    <w:rsid w:val="008A40F1"/>
    <w:rsid w:val="008B7B6D"/>
    <w:rsid w:val="008F1AB6"/>
    <w:rsid w:val="008F6828"/>
    <w:rsid w:val="008F7C81"/>
    <w:rsid w:val="00920ADD"/>
    <w:rsid w:val="00941FEF"/>
    <w:rsid w:val="00966575"/>
    <w:rsid w:val="00992143"/>
    <w:rsid w:val="009A4FB9"/>
    <w:rsid w:val="009C74F3"/>
    <w:rsid w:val="009F3DFC"/>
    <w:rsid w:val="00A351EC"/>
    <w:rsid w:val="00A42F30"/>
    <w:rsid w:val="00A543CE"/>
    <w:rsid w:val="00A74F0C"/>
    <w:rsid w:val="00A77B3E"/>
    <w:rsid w:val="00A87C0E"/>
    <w:rsid w:val="00B05749"/>
    <w:rsid w:val="00B275F6"/>
    <w:rsid w:val="00B36C7C"/>
    <w:rsid w:val="00BC0C48"/>
    <w:rsid w:val="00BC58FD"/>
    <w:rsid w:val="00BE44F9"/>
    <w:rsid w:val="00C0124C"/>
    <w:rsid w:val="00C03B8E"/>
    <w:rsid w:val="00C40B8B"/>
    <w:rsid w:val="00C51021"/>
    <w:rsid w:val="00C535E8"/>
    <w:rsid w:val="00C725FF"/>
    <w:rsid w:val="00CA2A55"/>
    <w:rsid w:val="00CC5799"/>
    <w:rsid w:val="00CD684D"/>
    <w:rsid w:val="00CE5160"/>
    <w:rsid w:val="00CF790F"/>
    <w:rsid w:val="00D027D7"/>
    <w:rsid w:val="00D6391F"/>
    <w:rsid w:val="00D67652"/>
    <w:rsid w:val="00D9087B"/>
    <w:rsid w:val="00D9222B"/>
    <w:rsid w:val="00D93BAA"/>
    <w:rsid w:val="00DA4E44"/>
    <w:rsid w:val="00DE200A"/>
    <w:rsid w:val="00DF5329"/>
    <w:rsid w:val="00E3093A"/>
    <w:rsid w:val="00E473AE"/>
    <w:rsid w:val="00EC0EDC"/>
    <w:rsid w:val="00EE5A7E"/>
    <w:rsid w:val="00F03915"/>
    <w:rsid w:val="00F9194C"/>
    <w:rsid w:val="00FA360D"/>
    <w:rsid w:val="2AD33F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6DFBDF"/>
  <w15:docId w15:val="{FD05ACE8-4D5B-47C8-8A3B-741A6C90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unhideWhenUsed/>
    <w:rPr>
      <w:sz w:val="21"/>
      <w:szCs w:val="21"/>
    </w:rPr>
  </w:style>
  <w:style w:type="character" w:customStyle="1" w:styleId="fontstyle0">
    <w:name w:val="fontstyle0"/>
    <w:basedOn w:val="a0"/>
  </w:style>
  <w:style w:type="character" w:customStyle="1" w:styleId="highlight">
    <w:name w:val="highlight"/>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qFormat/>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3206</Words>
  <Characters>18277</Characters>
  <Application>Microsoft Office Word</Application>
  <DocSecurity>0</DocSecurity>
  <Lines>152</Lines>
  <Paragraphs>42</Paragraphs>
  <ScaleCrop>false</ScaleCrop>
  <Company/>
  <LinksUpToDate>false</LinksUpToDate>
  <CharactersWithSpaces>21441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 Jia-Hui</cp:lastModifiedBy>
  <cp:revision>7</cp:revision>
  <dcterms:created xsi:type="dcterms:W3CDTF">2021-09-11T01:39:00Z</dcterms:created>
  <dcterms:modified xsi:type="dcterms:W3CDTF">2021-11-04T03:24:00Z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C6B7075E6A404F45A548EE5FF56F2BC1</vt:lpwstr>
  </property>
</Properties>
</file>