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0" w:name="OLE_LINK3935"/>
      <w:bookmarkStart w:id="1" w:name="OLE_LINK3934"/>
      <w:bookmarkStart w:id="2" w:name="OLE_LINK3933"/>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68042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bCs/>
          <w:color w:val="000000"/>
        </w:rPr>
        <w:t xml:space="preserve">Long-term outcomes of high-risk percutaneous coronary interventions under extracorporeal membrane oxygenation support: </w:t>
      </w:r>
      <w:r>
        <w:rPr>
          <w:rFonts w:ascii="Book Antiqua" w:hAnsi="Book Antiqua" w:cs="Book Antiqua"/>
          <w:b/>
          <w:bCs/>
          <w:color w:val="000000"/>
          <w:lang w:eastAsia="zh-CN"/>
        </w:rPr>
        <w:t>A</w:t>
      </w:r>
      <w:r>
        <w:rPr>
          <w:rFonts w:ascii="Book Antiqua" w:hAnsi="Book Antiqua" w:eastAsia="Book Antiqua" w:cs="Book Antiqua"/>
          <w:b/>
          <w:bCs/>
          <w:color w:val="000000"/>
        </w:rPr>
        <w:t>n observational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Cs/>
          <w:color w:val="000000"/>
          <w:lang w:eastAsia="zh-CN"/>
        </w:rPr>
        <w:t xml:space="preserve">Huang YX </w:t>
      </w:r>
      <w:r>
        <w:rPr>
          <w:rFonts w:ascii="Book Antiqua" w:hAnsi="Book Antiqua" w:cs="Book Antiqua"/>
          <w:bCs/>
          <w:i/>
          <w:color w:val="000000"/>
          <w:lang w:eastAsia="zh-CN"/>
        </w:rPr>
        <w:t>et al</w:t>
      </w:r>
      <w:r>
        <w:rPr>
          <w:rFonts w:ascii="Book Antiqua" w:hAnsi="Book Antiqua" w:cs="Book Antiqua"/>
          <w:bCs/>
          <w:color w:val="000000"/>
          <w:lang w:eastAsia="zh-CN"/>
        </w:rPr>
        <w:t xml:space="preserve">. </w:t>
      </w:r>
      <w:r>
        <w:rPr>
          <w:rFonts w:ascii="Book Antiqua" w:hAnsi="Book Antiqua" w:eastAsia="Book Antiqua" w:cs="Book Antiqua"/>
          <w:bCs/>
          <w:color w:val="000000"/>
        </w:rPr>
        <w:t>Long</w:t>
      </w:r>
      <w:r>
        <w:rPr>
          <w:rFonts w:ascii="Book Antiqua" w:hAnsi="Book Antiqua" w:cs="Book Antiqua"/>
          <w:bCs/>
          <w:color w:val="000000"/>
          <w:lang w:eastAsia="zh-CN"/>
        </w:rPr>
        <w:t>-</w:t>
      </w:r>
      <w:r>
        <w:rPr>
          <w:rFonts w:ascii="Book Antiqua" w:hAnsi="Book Antiqua" w:eastAsia="Book Antiqua" w:cs="Book Antiqua"/>
          <w:bCs/>
          <w:color w:val="000000"/>
        </w:rPr>
        <w:t>term outcomes of ECMO supported PCI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Yi-Xiong Huang, Zheng-</w:t>
      </w:r>
      <w:r>
        <w:rPr>
          <w:rFonts w:ascii="Book Antiqua" w:hAnsi="Book Antiqua" w:cs="Book Antiqua"/>
          <w:color w:val="000000"/>
          <w:lang w:eastAsia="zh-CN"/>
        </w:rPr>
        <w:t>M</w:t>
      </w:r>
      <w:r>
        <w:rPr>
          <w:rFonts w:ascii="Book Antiqua" w:hAnsi="Book Antiqua" w:eastAsia="Book Antiqua" w:cs="Book Antiqua"/>
          <w:color w:val="000000"/>
        </w:rPr>
        <w:t>ing Xu, Li Zhao, Yi Cao, Yu Chen, Yi-Gang Qiu, Ying-</w:t>
      </w:r>
      <w:r>
        <w:rPr>
          <w:rFonts w:ascii="Book Antiqua" w:hAnsi="Book Antiqua" w:cs="Book Antiqua"/>
          <w:color w:val="000000"/>
          <w:lang w:eastAsia="zh-CN"/>
        </w:rPr>
        <w:t>M</w:t>
      </w:r>
      <w:r>
        <w:rPr>
          <w:rFonts w:ascii="Book Antiqua" w:hAnsi="Book Antiqua" w:eastAsia="Book Antiqua" w:cs="Book Antiqua"/>
          <w:color w:val="000000"/>
        </w:rPr>
        <w:t>ing Liu, Peng-</w:t>
      </w:r>
      <w:r>
        <w:rPr>
          <w:rFonts w:ascii="Book Antiqua" w:hAnsi="Book Antiqua" w:cs="Book Antiqua"/>
          <w:color w:val="000000"/>
          <w:lang w:eastAsia="zh-CN"/>
        </w:rPr>
        <w:t>Y</w:t>
      </w:r>
      <w:r>
        <w:rPr>
          <w:rFonts w:ascii="Book Antiqua" w:hAnsi="Book Antiqua" w:eastAsia="Book Antiqua" w:cs="Book Antiqua"/>
          <w:color w:val="000000"/>
        </w:rPr>
        <w:t>u Zhang, Jiang</w:t>
      </w:r>
      <w:r>
        <w:rPr>
          <w:rFonts w:ascii="Book Antiqua" w:hAnsi="Book Antiqua" w:cs="Book Antiqua"/>
          <w:color w:val="000000"/>
          <w:lang w:eastAsia="zh-CN"/>
        </w:rPr>
        <w:t>-C</w:t>
      </w:r>
      <w:r>
        <w:rPr>
          <w:rFonts w:ascii="Book Antiqua" w:hAnsi="Book Antiqua" w:eastAsia="Book Antiqua" w:cs="Book Antiqua"/>
          <w:color w:val="000000"/>
        </w:rPr>
        <w:t>hun He, Tian-Chang 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Yi-Xiong Huang, </w:t>
      </w:r>
      <w:r>
        <w:rPr>
          <w:rFonts w:ascii="Book Antiqua" w:hAnsi="Book Antiqua" w:eastAsia="Book Antiqua" w:cs="Book Antiqua"/>
          <w:color w:val="000000"/>
        </w:rPr>
        <w:t>Medical School of Chinese People</w:t>
      </w:r>
      <w:r>
        <w:rPr>
          <w:rFonts w:ascii="Book Antiqua" w:hAnsi="Book Antiqua" w:cs="Book Antiqua"/>
          <w:color w:val="000000"/>
          <w:lang w:eastAsia="zh-CN"/>
        </w:rPr>
        <w:t>’</w:t>
      </w:r>
      <w:r>
        <w:rPr>
          <w:rFonts w:ascii="Book Antiqua" w:hAnsi="Book Antiqua" w:eastAsia="Book Antiqua" w:cs="Book Antiqua"/>
          <w:color w:val="000000"/>
        </w:rPr>
        <w:t>s Liberation Army, Beijing 100853,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Yi-Xiong Huang, </w:t>
      </w:r>
      <w:r>
        <w:rPr>
          <w:rFonts w:ascii="Book Antiqua" w:hAnsi="Book Antiqua" w:eastAsia="Book Antiqua" w:cs="Book Antiqua"/>
          <w:b/>
          <w:color w:val="000000"/>
        </w:rPr>
        <w:t>Zheng-</w:t>
      </w:r>
      <w:r>
        <w:rPr>
          <w:rFonts w:ascii="Book Antiqua" w:hAnsi="Book Antiqua" w:cs="Book Antiqua"/>
          <w:b/>
          <w:color w:val="000000"/>
          <w:lang w:eastAsia="zh-CN"/>
        </w:rPr>
        <w:t>M</w:t>
      </w:r>
      <w:r>
        <w:rPr>
          <w:rFonts w:ascii="Book Antiqua" w:hAnsi="Book Antiqua" w:eastAsia="Book Antiqua" w:cs="Book Antiqua"/>
          <w:b/>
          <w:color w:val="000000"/>
        </w:rPr>
        <w:t>ing Xu, Li Zhao, Yi Cao, Yu Chen, Yi-Gang Qiu, Ying-</w:t>
      </w:r>
      <w:r>
        <w:rPr>
          <w:rFonts w:ascii="Book Antiqua" w:hAnsi="Book Antiqua" w:cs="Book Antiqua"/>
          <w:b/>
          <w:color w:val="000000"/>
          <w:lang w:eastAsia="zh-CN"/>
        </w:rPr>
        <w:t>M</w:t>
      </w:r>
      <w:r>
        <w:rPr>
          <w:rFonts w:ascii="Book Antiqua" w:hAnsi="Book Antiqua" w:eastAsia="Book Antiqua" w:cs="Book Antiqua"/>
          <w:b/>
          <w:color w:val="000000"/>
        </w:rPr>
        <w:t>ing Liu, Peng-</w:t>
      </w:r>
      <w:r>
        <w:rPr>
          <w:rFonts w:ascii="Book Antiqua" w:hAnsi="Book Antiqua" w:cs="Book Antiqua"/>
          <w:b/>
          <w:color w:val="000000"/>
          <w:lang w:eastAsia="zh-CN"/>
        </w:rPr>
        <w:t>Y</w:t>
      </w:r>
      <w:r>
        <w:rPr>
          <w:rFonts w:ascii="Book Antiqua" w:hAnsi="Book Antiqua" w:eastAsia="Book Antiqua" w:cs="Book Antiqua"/>
          <w:b/>
          <w:color w:val="000000"/>
        </w:rPr>
        <w:t>u Zhang, Jiang</w:t>
      </w:r>
      <w:r>
        <w:rPr>
          <w:rFonts w:ascii="Book Antiqua" w:hAnsi="Book Antiqua" w:cs="Book Antiqua"/>
          <w:b/>
          <w:color w:val="000000"/>
          <w:lang w:eastAsia="zh-CN"/>
        </w:rPr>
        <w:t>-C</w:t>
      </w:r>
      <w:r>
        <w:rPr>
          <w:rFonts w:ascii="Book Antiqua" w:hAnsi="Book Antiqua" w:eastAsia="Book Antiqua" w:cs="Book Antiqua"/>
          <w:b/>
          <w:color w:val="000000"/>
        </w:rPr>
        <w:t>hun He, Tian-Chang Li</w:t>
      </w:r>
      <w:r>
        <w:rPr>
          <w:rFonts w:ascii="Book Antiqua" w:hAnsi="Book Antiqua" w:cs="Book Antiqua"/>
          <w:b/>
          <w:color w:val="000000"/>
          <w:lang w:eastAsia="zh-CN"/>
        </w:rPr>
        <w:t>,</w:t>
      </w:r>
      <w:r>
        <w:rPr>
          <w:rFonts w:ascii="Book Antiqua" w:hAnsi="Book Antiqua" w:eastAsia="Book Antiqua" w:cs="Book Antiqua"/>
          <w:color w:val="000000"/>
        </w:rPr>
        <w:t xml:space="preserve"> Department of Cardiology</w:t>
      </w:r>
      <w:r>
        <w:rPr>
          <w:rFonts w:ascii="Book Antiqua" w:hAnsi="Book Antiqua" w:cs="Book Antiqua"/>
          <w:color w:val="000000"/>
          <w:lang w:eastAsia="zh-CN"/>
        </w:rPr>
        <w:t xml:space="preserve">, </w:t>
      </w:r>
      <w:r>
        <w:rPr>
          <w:rFonts w:ascii="Book Antiqua" w:hAnsi="Book Antiqua" w:eastAsia="Book Antiqua" w:cs="Book Antiqua"/>
          <w:color w:val="000000"/>
        </w:rPr>
        <w:t>Sixth Medical Center of Chinese People</w:t>
      </w:r>
      <w:r>
        <w:rPr>
          <w:rFonts w:ascii="Book Antiqua" w:hAnsi="Book Antiqua" w:cs="Book Antiqua"/>
          <w:color w:val="000000"/>
          <w:lang w:eastAsia="zh-CN"/>
        </w:rPr>
        <w:t>’</w:t>
      </w:r>
      <w:r>
        <w:rPr>
          <w:rFonts w:ascii="Book Antiqua" w:hAnsi="Book Antiqua" w:eastAsia="Book Antiqua" w:cs="Book Antiqua"/>
          <w:color w:val="000000"/>
        </w:rPr>
        <w:t>s Liberation Army General Hospital, Beijing 100048,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Huang YX, Chen</w:t>
      </w:r>
      <w:r>
        <w:rPr>
          <w:rFonts w:hint="eastAsia" w:ascii="Book Antiqua" w:hAnsi="Book Antiqua" w:cs="Book Antiqua"/>
          <w:color w:val="000000"/>
          <w:lang w:eastAsia="zh-CN"/>
        </w:rPr>
        <w:t xml:space="preserve"> Y</w:t>
      </w:r>
      <w:r>
        <w:rPr>
          <w:rFonts w:ascii="Book Antiqua" w:hAnsi="Book Antiqua" w:eastAsia="Book Antiqua" w:cs="Book Antiqua"/>
          <w:color w:val="000000"/>
        </w:rPr>
        <w:t xml:space="preserve">, and Li </w:t>
      </w:r>
      <w:r>
        <w:rPr>
          <w:rFonts w:hint="eastAsia" w:ascii="Book Antiqua" w:hAnsi="Book Antiqua" w:cs="Book Antiqua"/>
          <w:color w:val="000000"/>
          <w:lang w:eastAsia="zh-CN"/>
        </w:rPr>
        <w:t xml:space="preserve">TC </w:t>
      </w:r>
      <w:r>
        <w:rPr>
          <w:rFonts w:ascii="Book Antiqua" w:hAnsi="Book Antiqua" w:eastAsia="Book Antiqua" w:cs="Book Antiqua"/>
          <w:color w:val="000000"/>
        </w:rPr>
        <w:t>designed the study</w:t>
      </w:r>
      <w:r>
        <w:rPr>
          <w:rFonts w:ascii="Book Antiqua" w:hAnsi="Book Antiqua" w:cs="Book Antiqua"/>
          <w:color w:val="000000"/>
          <w:lang w:eastAsia="zh-CN"/>
        </w:rPr>
        <w:t>;</w:t>
      </w:r>
      <w:r>
        <w:rPr>
          <w:rFonts w:ascii="Book Antiqua" w:hAnsi="Book Antiqua" w:eastAsia="Book Antiqua" w:cs="Book Antiqua"/>
          <w:color w:val="000000"/>
        </w:rPr>
        <w:t xml:space="preserve"> Huang </w:t>
      </w:r>
      <w:r>
        <w:rPr>
          <w:rFonts w:hint="eastAsia" w:ascii="Book Antiqua" w:hAnsi="Book Antiqua" w:cs="Book Antiqua"/>
          <w:color w:val="000000"/>
          <w:lang w:eastAsia="zh-CN"/>
        </w:rPr>
        <w:t xml:space="preserve">YX </w:t>
      </w:r>
      <w:r>
        <w:rPr>
          <w:rFonts w:ascii="Book Antiqua" w:hAnsi="Book Antiqua" w:eastAsia="Book Antiqua" w:cs="Book Antiqua"/>
          <w:color w:val="000000"/>
        </w:rPr>
        <w:t>drafted the manuscript</w:t>
      </w:r>
      <w:r>
        <w:rPr>
          <w:rFonts w:ascii="Book Antiqua" w:hAnsi="Book Antiqua" w:cs="Book Antiqua"/>
          <w:color w:val="000000"/>
          <w:lang w:eastAsia="zh-CN"/>
        </w:rPr>
        <w:t>;</w:t>
      </w:r>
      <w:r>
        <w:rPr>
          <w:rFonts w:ascii="Book Antiqua" w:hAnsi="Book Antiqua" w:eastAsia="Book Antiqua" w:cs="Book Antiqua"/>
          <w:color w:val="000000"/>
        </w:rPr>
        <w:t xml:space="preserve"> Cao</w:t>
      </w:r>
      <w:r>
        <w:rPr>
          <w:rFonts w:hint="eastAsia" w:ascii="Book Antiqua" w:hAnsi="Book Antiqua" w:cs="Book Antiqua"/>
          <w:color w:val="000000"/>
          <w:lang w:eastAsia="zh-CN"/>
        </w:rPr>
        <w:t xml:space="preserve"> Y</w:t>
      </w:r>
      <w:r>
        <w:rPr>
          <w:rFonts w:ascii="Book Antiqua" w:hAnsi="Book Antiqua" w:eastAsia="Book Antiqua" w:cs="Book Antiqua"/>
          <w:color w:val="000000"/>
        </w:rPr>
        <w:t>, Qiu</w:t>
      </w:r>
      <w:r>
        <w:rPr>
          <w:rFonts w:hint="eastAsia" w:ascii="Book Antiqua" w:hAnsi="Book Antiqua" w:cs="Book Antiqua"/>
          <w:color w:val="000000"/>
          <w:lang w:eastAsia="zh-CN"/>
        </w:rPr>
        <w:t xml:space="preserve"> YG</w:t>
      </w:r>
      <w:r>
        <w:rPr>
          <w:rFonts w:ascii="Book Antiqua" w:hAnsi="Book Antiqua" w:eastAsia="Book Antiqua" w:cs="Book Antiqua"/>
          <w:color w:val="000000"/>
        </w:rPr>
        <w:t xml:space="preserve">, Liu </w:t>
      </w:r>
      <w:r>
        <w:rPr>
          <w:rFonts w:hint="eastAsia" w:ascii="Book Antiqua" w:hAnsi="Book Antiqua" w:cs="Book Antiqua"/>
          <w:color w:val="000000"/>
          <w:lang w:eastAsia="zh-CN"/>
        </w:rPr>
        <w:t>YM,</w:t>
      </w:r>
      <w:r>
        <w:rPr>
          <w:rFonts w:ascii="Book Antiqua" w:hAnsi="Book Antiqua" w:eastAsia="Book Antiqua" w:cs="Book Antiqua"/>
          <w:color w:val="000000"/>
        </w:rPr>
        <w:t xml:space="preserve"> and He</w:t>
      </w:r>
      <w:r>
        <w:rPr>
          <w:rFonts w:hint="eastAsia" w:ascii="Book Antiqua" w:hAnsi="Book Antiqua" w:cs="Book Antiqua"/>
          <w:color w:val="000000"/>
          <w:lang w:eastAsia="zh-CN"/>
        </w:rPr>
        <w:t xml:space="preserve"> JC</w:t>
      </w:r>
      <w:r>
        <w:rPr>
          <w:rFonts w:ascii="Book Antiqua" w:hAnsi="Book Antiqua" w:eastAsia="Book Antiqua" w:cs="Book Antiqua"/>
          <w:color w:val="000000"/>
        </w:rPr>
        <w:t xml:space="preserve"> revised it critically for important intellectual content</w:t>
      </w:r>
      <w:r>
        <w:rPr>
          <w:rFonts w:ascii="Book Antiqua" w:hAnsi="Book Antiqua" w:cs="Book Antiqua"/>
          <w:color w:val="000000"/>
          <w:lang w:eastAsia="zh-CN"/>
        </w:rPr>
        <w:t>;</w:t>
      </w:r>
      <w:r>
        <w:rPr>
          <w:rFonts w:ascii="Book Antiqua" w:hAnsi="Book Antiqua" w:eastAsia="Book Antiqua" w:cs="Book Antiqua"/>
          <w:color w:val="000000"/>
        </w:rPr>
        <w:t xml:space="preserve"> Xu </w:t>
      </w:r>
      <w:r>
        <w:rPr>
          <w:rFonts w:hint="eastAsia" w:ascii="Book Antiqua" w:hAnsi="Book Antiqua" w:cs="Book Antiqua"/>
          <w:color w:val="000000"/>
          <w:lang w:eastAsia="zh-CN"/>
        </w:rPr>
        <w:t>ZM,</w:t>
      </w:r>
      <w:r>
        <w:rPr>
          <w:rFonts w:ascii="Book Antiqua" w:hAnsi="Book Antiqua" w:eastAsia="Book Antiqua" w:cs="Book Antiqua"/>
          <w:color w:val="000000"/>
        </w:rPr>
        <w:t xml:space="preserve"> Zhao</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and Zhang </w:t>
      </w:r>
      <w:r>
        <w:rPr>
          <w:rFonts w:hint="eastAsia" w:ascii="Book Antiqua" w:hAnsi="Book Antiqua" w:cs="Book Antiqua"/>
          <w:color w:val="000000"/>
          <w:lang w:eastAsia="zh-CN"/>
        </w:rPr>
        <w:t xml:space="preserve">PY </w:t>
      </w:r>
      <w:r>
        <w:rPr>
          <w:rFonts w:ascii="Book Antiqua" w:hAnsi="Book Antiqua" w:eastAsia="Book Antiqua" w:cs="Book Antiqua"/>
          <w:color w:val="000000"/>
        </w:rPr>
        <w:t>contributed to the analysis and interpretation of data</w:t>
      </w:r>
      <w:r>
        <w:rPr>
          <w:rFonts w:ascii="Book Antiqua" w:hAnsi="Book Antiqua" w:cs="Book Antiqua"/>
          <w:color w:val="000000"/>
          <w:lang w:eastAsia="zh-CN"/>
        </w:rPr>
        <w:t>;</w:t>
      </w:r>
      <w:r>
        <w:rPr>
          <w:rFonts w:ascii="Book Antiqua" w:hAnsi="Book Antiqua" w:eastAsia="Book Antiqua" w:cs="Book Antiqua"/>
          <w:color w:val="000000"/>
        </w:rPr>
        <w:t xml:space="preserve"> Li</w:t>
      </w:r>
      <w:r>
        <w:rPr>
          <w:rFonts w:hint="eastAsia" w:ascii="Book Antiqua" w:hAnsi="Book Antiqua" w:cs="Book Antiqua"/>
          <w:color w:val="000000"/>
          <w:lang w:eastAsia="zh-CN"/>
        </w:rPr>
        <w:t xml:space="preserve"> TC</w:t>
      </w:r>
      <w:r>
        <w:rPr>
          <w:rFonts w:ascii="Book Antiqua" w:hAnsi="Book Antiqua" w:eastAsia="Book Antiqua" w:cs="Book Antiqua"/>
          <w:color w:val="000000"/>
        </w:rPr>
        <w:t>, the corresponding author of this manuscript, gave final approval of the manuscript submitted.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Tian-Chang Li, MD, PhD, Chief Physician, </w:t>
      </w:r>
      <w:r>
        <w:rPr>
          <w:rFonts w:ascii="Book Antiqua" w:hAnsi="Book Antiqua" w:eastAsia="Book Antiqua" w:cs="Book Antiqua"/>
          <w:color w:val="000000"/>
        </w:rPr>
        <w:t>Department of Cardiology, Sixth Medical Center of Chinese People</w:t>
      </w:r>
      <w:r>
        <w:rPr>
          <w:rFonts w:ascii="Book Antiqua" w:hAnsi="Book Antiqua" w:cs="Book Antiqua"/>
          <w:color w:val="000000"/>
          <w:lang w:eastAsia="zh-CN"/>
        </w:rPr>
        <w:t>’</w:t>
      </w:r>
      <w:r>
        <w:rPr>
          <w:rFonts w:ascii="Book Antiqua" w:hAnsi="Book Antiqua" w:eastAsia="Book Antiqua" w:cs="Book Antiqua"/>
          <w:color w:val="000000"/>
        </w:rPr>
        <w:t xml:space="preserve">s Liberation Army General Hospital, </w:t>
      </w:r>
      <w:r>
        <w:rPr>
          <w:rFonts w:ascii="Book Antiqua" w:hAnsi="Book Antiqua" w:cs="Book Antiqua"/>
          <w:color w:val="000000"/>
          <w:lang w:eastAsia="zh-CN"/>
        </w:rPr>
        <w:t xml:space="preserve">No. </w:t>
      </w:r>
      <w:r>
        <w:rPr>
          <w:rFonts w:ascii="Book Antiqua" w:hAnsi="Book Antiqua" w:eastAsia="Book Antiqua" w:cs="Book Antiqua"/>
          <w:color w:val="000000"/>
        </w:rPr>
        <w:t xml:space="preserve">6 Fucheng Road, Beijing 100048, China. </w:t>
      </w:r>
      <w:r>
        <w:rPr>
          <w:rFonts w:ascii="Book Antiqua" w:hAnsi="Book Antiqua" w:cs="Book Antiqua"/>
          <w:color w:val="000000"/>
          <w:lang w:eastAsia="zh-CN"/>
        </w:rPr>
        <w:t>i</w:t>
      </w:r>
      <w:r>
        <w:rPr>
          <w:rFonts w:ascii="Book Antiqua" w:hAnsi="Book Antiqua" w:eastAsia="Book Antiqua" w:cs="Book Antiqua"/>
          <w:color w:val="000000"/>
        </w:rPr>
        <w:t>tc909@163.com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30, 2021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hint="eastAsia" w:ascii="Book Antiqua" w:hAnsi="Book Antiqua" w:cs="Book Antiqua"/>
          <w:b/>
          <w:bCs/>
          <w:color w:val="000000"/>
          <w:lang w:eastAsia="zh-CN"/>
        </w:rPr>
        <w:t xml:space="preserve"> </w:t>
      </w:r>
      <w:r>
        <w:rPr>
          <w:rFonts w:ascii="Book Antiqua" w:hAnsi="Book Antiqua" w:cs="Book Antiqua"/>
          <w:b w:val="0"/>
          <w:bCs w:val="0"/>
          <w:color w:val="000000"/>
          <w:lang w:eastAsia="zh-CN"/>
        </w:rPr>
        <w:t>April 2, 2022</w:t>
      </w:r>
    </w:p>
    <w:p>
      <w:pPr>
        <w:spacing w:line="360" w:lineRule="auto"/>
        <w:jc w:val="both"/>
        <w:rPr>
          <w:rFonts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color w:val="000000" w:themeColor="text1"/>
          <w:lang w:eastAsia="zh-CN"/>
          <w14:textFill>
            <w14:solidFill>
              <w14:schemeClr w14:val="tx1"/>
            </w14:solidFill>
          </w14:textFill>
        </w:rPr>
        <w:t>June 6</w:t>
      </w:r>
      <w:r>
        <w:rPr>
          <w:rFonts w:ascii="Book Antiqua" w:hAnsi="Book Antiqua" w:eastAsia="Book Antiqua" w:cs="Book Antiqua"/>
          <w:color w:val="000000" w:themeColor="text1"/>
          <w14:textFill>
            <w14:solidFill>
              <w14:schemeClr w14:val="tx1"/>
            </w14:solidFill>
          </w14:textFill>
        </w:rPr>
        <w:t>, 202</w:t>
      </w:r>
      <w:r>
        <w:rPr>
          <w:rFonts w:hint="eastAsia" w:ascii="Book Antiqua" w:hAnsi="Book Antiqua" w:cs="Book Antiqua"/>
          <w:color w:val="000000" w:themeColor="text1"/>
          <w:lang w:eastAsia="zh-CN"/>
          <w14:textFill>
            <w14:solidFill>
              <w14:schemeClr w14:val="tx1"/>
            </w14:solidFill>
          </w14:textFill>
        </w:rPr>
        <w:t>2</w:t>
      </w:r>
      <w:r>
        <w:rPr>
          <w:rFonts w:hint="eastAsia" w:ascii="Book Antiqua" w:hAnsi="Book Antiqua" w:cs="Book Antiqua"/>
          <w:b/>
          <w:bCs/>
          <w:color w:val="000000"/>
          <w:lang w:eastAsia="zh-CN"/>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cs="Book Antiqua"/>
          <w:color w:val="000000"/>
          <w:lang w:eastAsia="zh-CN"/>
        </w:rPr>
        <w:t>V</w:t>
      </w:r>
      <w:r>
        <w:rPr>
          <w:rFonts w:ascii="Book Antiqua" w:hAnsi="Book Antiqua" w:eastAsia="Book Antiqua" w:cs="Book Antiqua"/>
          <w:color w:val="000000"/>
        </w:rPr>
        <w:t xml:space="preserve">enoarterial extracorporeal membrane oxygenation </w:t>
      </w:r>
      <w:r>
        <w:rPr>
          <w:rFonts w:ascii="Book Antiqua" w:hAnsi="Book Antiqua" w:cs="Book Antiqua"/>
          <w:color w:val="000000"/>
          <w:lang w:eastAsia="zh-CN"/>
        </w:rPr>
        <w:t>(</w:t>
      </w:r>
      <w:r>
        <w:rPr>
          <w:rFonts w:ascii="Book Antiqua" w:hAnsi="Book Antiqua" w:eastAsia="Book Antiqua" w:cs="Book Antiqua"/>
          <w:color w:val="000000"/>
        </w:rPr>
        <w:t>VA-ECMO</w:t>
      </w:r>
      <w:r>
        <w:rPr>
          <w:rFonts w:ascii="Book Antiqua" w:hAnsi="Book Antiqua" w:cs="Book Antiqua"/>
          <w:color w:val="000000"/>
          <w:lang w:eastAsia="zh-CN"/>
        </w:rPr>
        <w:t>)</w:t>
      </w:r>
      <w:r>
        <w:rPr>
          <w:rFonts w:ascii="Book Antiqua" w:hAnsi="Book Antiqua" w:eastAsia="Book Antiqua" w:cs="Book Antiqua"/>
          <w:color w:val="000000"/>
        </w:rPr>
        <w:t xml:space="preserve"> offers hemodynamic support for patients undergoing high-risk </w:t>
      </w:r>
      <w:r>
        <w:rPr>
          <w:rFonts w:ascii="Book Antiqua" w:hAnsi="Book Antiqua" w:eastAsia="Book Antiqua" w:cs="Book Antiqua"/>
          <w:bCs/>
          <w:color w:val="000000"/>
        </w:rPr>
        <w:t>percutaneous coronary interventions</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PCI</w:t>
      </w:r>
      <w:r>
        <w:rPr>
          <w:rFonts w:ascii="Book Antiqua" w:hAnsi="Book Antiqua" w:cs="Book Antiqua"/>
          <w:color w:val="000000"/>
          <w:lang w:eastAsia="zh-CN"/>
        </w:rPr>
        <w:t>s)</w:t>
      </w:r>
      <w:r>
        <w:rPr>
          <w:rFonts w:ascii="Book Antiqua" w:hAnsi="Book Antiqua" w:eastAsia="Book Antiqua" w:cs="Book Antiqua"/>
          <w:color w:val="000000"/>
        </w:rPr>
        <w:t>. However, long-term outcomes associated with VA-ECMO have not previously been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explore long-term outcomes in high-risk cases undergoing PCI supported by VA-ECMO.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lang w:eastAsia="zh-CN"/>
        </w:rPr>
      </w:pPr>
      <w:r>
        <w:rPr>
          <w:rFonts w:ascii="Book Antiqua" w:hAnsi="Book Antiqua" w:eastAsia="Book Antiqua" w:cs="Book Antiqua"/>
          <w:color w:val="000000"/>
        </w:rPr>
        <w:t>In the present observational cohort study, 61 patients who received VA-ECMO-supported high-risk PCI between April 2012 and January 2020 at the Sixth Medical Center of Chinese People</w:t>
      </w:r>
      <w:r>
        <w:rPr>
          <w:rFonts w:ascii="Book Antiqua" w:hAnsi="Book Antiqua" w:cs="Book Antiqua"/>
          <w:color w:val="000000"/>
          <w:lang w:eastAsia="zh-CN"/>
        </w:rPr>
        <w:t>’</w:t>
      </w:r>
      <w:r>
        <w:rPr>
          <w:rFonts w:ascii="Book Antiqua" w:hAnsi="Book Antiqua" w:eastAsia="Book Antiqua" w:cs="Book Antiqua"/>
          <w:color w:val="000000"/>
        </w:rPr>
        <w:t>s Liberation Army General Hospital were enrolled. The endpoint characteristics such as all-cause mortality, repeated cardiovascular diseases, and cardiac death were examined.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lang w:eastAsia="zh-CN"/>
        </w:rPr>
      </w:pPr>
      <w:r>
        <w:rPr>
          <w:rFonts w:ascii="Book Antiqua" w:hAnsi="Book Antiqua" w:eastAsia="Book Antiqua" w:cs="Book Antiqua"/>
          <w:color w:val="000000"/>
        </w:rPr>
        <w:t>Among 61 patients, three failed stent implantation due to chronic total occlusions with severely calcified lesions. One patient showed VA-ECMO intolerance because of high left ventricular afterload. PCI was successfully performed in 57 patients (93.4%). The in-hospital mortality was 23.0%, and the overall survival was 45.9%, with a median follow-up period of 38.6 (8.6-62.1)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eastAsia="Book Antiqua" w:cs="Book Antiqua"/>
          <w:color w:val="000000"/>
        </w:rPr>
        <w:t>VA-ECMO can be used as a support in patients undergoing high-risk PCI as it is associated with favorable long-term patient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High-risk percutaneous coronary intervention</w:t>
      </w:r>
      <w:r>
        <w:rPr>
          <w:rFonts w:ascii="Book Antiqua" w:hAnsi="Book Antiqua" w:cs="Book Antiqua"/>
          <w:color w:val="000000"/>
          <w:lang w:eastAsia="zh-CN"/>
        </w:rPr>
        <w:t>;</w:t>
      </w:r>
      <w:r>
        <w:rPr>
          <w:rFonts w:ascii="Book Antiqua" w:hAnsi="Book Antiqua" w:eastAsia="Book Antiqua" w:cs="Book Antiqua"/>
          <w:color w:val="000000"/>
        </w:rPr>
        <w:t xml:space="preserve"> Venoarterial extracorporeal membrane oxygenation</w:t>
      </w:r>
      <w:r>
        <w:rPr>
          <w:rFonts w:ascii="Book Antiqua" w:hAnsi="Book Antiqua" w:cs="Book Antiqua"/>
          <w:color w:val="000000"/>
          <w:lang w:eastAsia="zh-CN"/>
        </w:rPr>
        <w:t>;</w:t>
      </w:r>
      <w:r>
        <w:rPr>
          <w:rFonts w:ascii="Book Antiqua" w:hAnsi="Book Antiqua" w:eastAsia="Book Antiqua" w:cs="Book Antiqua"/>
          <w:color w:val="000000"/>
        </w:rPr>
        <w:t xml:space="preserve"> Overall survival</w:t>
      </w:r>
      <w:r>
        <w:rPr>
          <w:rFonts w:ascii="Book Antiqua" w:hAnsi="Book Antiqua" w:cs="Book Antiqua"/>
          <w:color w:val="000000"/>
          <w:lang w:eastAsia="zh-CN"/>
        </w:rPr>
        <w:t>;</w:t>
      </w:r>
      <w:r>
        <w:rPr>
          <w:rFonts w:ascii="Book Antiqua" w:hAnsi="Book Antiqua" w:eastAsia="Book Antiqua" w:cs="Book Antiqua"/>
          <w:color w:val="000000"/>
        </w:rPr>
        <w:t xml:space="preserve"> Long-term survival</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iCs/>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 xml:space="preserve">Huang YX, Xu ZM, Zhao L, Cao Y, Chen Y, Qiu YG, Liu YM, Zhang PY, He JC, Li TC. Long-term outcomes of high-risk percutaneous coronary interventions under extracorporeal membrane oxygenation support: </w:t>
      </w:r>
      <w:r>
        <w:rPr>
          <w:rFonts w:ascii="Book Antiqua" w:hAnsi="Book Antiqua" w:cs="Book Antiqua"/>
          <w:color w:val="000000"/>
          <w:lang w:eastAsia="zh-CN"/>
        </w:rPr>
        <w:t>A</w:t>
      </w:r>
      <w:r>
        <w:rPr>
          <w:rFonts w:ascii="Book Antiqua" w:hAnsi="Book Antiqua" w:eastAsia="Book Antiqua" w:cs="Book Antiqua"/>
          <w:color w:val="000000"/>
        </w:rPr>
        <w:t xml:space="preserve">n observational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iCs/>
          <w:lang w:eastAsia="zh-CN"/>
        </w:rPr>
        <w:t>10</w:t>
      </w:r>
      <w:r>
        <w:rPr>
          <w:rFonts w:ascii="Book Antiqua" w:hAnsi="Book Antiqua"/>
          <w:iCs/>
        </w:rPr>
        <w:t>(</w:t>
      </w:r>
      <w:r>
        <w:rPr>
          <w:rFonts w:hint="eastAsia" w:ascii="Book Antiqua" w:hAnsi="Book Antiqua"/>
          <w:iCs/>
          <w:lang w:eastAsia="zh-CN"/>
        </w:rPr>
        <w:t>16</w:t>
      </w:r>
      <w:r>
        <w:rPr>
          <w:rFonts w:ascii="Book Antiqua" w:hAnsi="Book Antiqua"/>
          <w:iCs/>
        </w:rPr>
        <w:t xml:space="preserve">): </w:t>
      </w:r>
      <w:r>
        <w:rPr>
          <w:rFonts w:hint="default" w:ascii="Book Antiqua" w:hAnsi="Book Antiqua" w:eastAsia="Book Antiqua" w:cs="Book Antiqua"/>
          <w:i w:val="0"/>
          <w:iCs w:val="0"/>
          <w:color w:val="000000"/>
          <w:kern w:val="0"/>
          <w:sz w:val="24"/>
          <w:szCs w:val="24"/>
          <w:u w:val="none"/>
          <w:lang w:val="en-US" w:eastAsia="zh-CN" w:bidi="ar"/>
        </w:rPr>
        <w:t>5266-5274</w:t>
      </w:r>
    </w:p>
    <w:p>
      <w:pPr>
        <w:spacing w:line="360" w:lineRule="auto"/>
        <w:jc w:val="both"/>
        <w:rPr>
          <w:rFonts w:hint="eastAsia" w:ascii="Book Antiqua" w:hAnsi="Book Antiqua"/>
          <w:iCs/>
        </w:rPr>
      </w:pPr>
      <w:r>
        <w:rPr>
          <w:rFonts w:ascii="Book Antiqua" w:hAnsi="Book Antiqua"/>
          <w:b/>
          <w:bCs/>
          <w:iCs/>
        </w:rPr>
        <w:t>URL</w:t>
      </w:r>
      <w:r>
        <w:rPr>
          <w:rFonts w:ascii="Book Antiqua" w:hAnsi="Book Antiqua"/>
          <w:iCs/>
        </w:rPr>
        <w:t>: https://www.wjgnet.com/2307-8960/full/v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16</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5266</w:t>
      </w:r>
      <w:r>
        <w:rPr>
          <w:rFonts w:ascii="Book Antiqua" w:hAnsi="Book Antiqua"/>
          <w:iCs/>
        </w:rPr>
        <w:t>.htm</w:t>
      </w:r>
      <w:r>
        <w:rPr>
          <w:rFonts w:hint="eastAsia" w:ascii="Book Antiqua" w:hAnsi="Book Antiqua"/>
          <w:iCs/>
        </w:rPr>
        <w:t xml:space="preserve"> </w:t>
      </w:r>
    </w:p>
    <w:p>
      <w:pPr>
        <w:spacing w:line="360" w:lineRule="auto"/>
        <w:jc w:val="both"/>
        <w:rPr>
          <w:rFonts w:ascii="Book Antiqua" w:hAnsi="Book Antiqua"/>
        </w:rPr>
      </w:pPr>
      <w:r>
        <w:rPr>
          <w:rFonts w:ascii="Book Antiqua" w:hAnsi="Book Antiqua"/>
          <w:b/>
          <w:bCs/>
          <w:iCs/>
        </w:rPr>
        <w:t>DOI</w:t>
      </w:r>
      <w:r>
        <w:rPr>
          <w:rFonts w:ascii="Book Antiqua" w:hAnsi="Book Antiqua"/>
          <w:iCs/>
        </w:rPr>
        <w:t>: https://dx.doi.org/10.12998/wjcc.v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16</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5266</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High-risk percutaneous coronary intervention (PCI) can result in hemodynamic instability during the perioperative period and is associated with poor outcomes. Venoarterial extracorporeal membrane oxygenation (VA-ECMO) can provide hemodynamic support for patients who undergo high-risk PCI. The main role of VA-ECMO in high-risk PCI is to prevent profound hypotension or low cardiac output episodes and allow sufficient time to achieve optimal and complete revascularization. We present a single-center, observational cohort study of all patients undergoing high-risk PCI supported by VA-ECMO. PCI was successfully performed in 57 patients (93.4%). The in-hospital mortality was 23.0%. The overall survival was 45.9% with a median follow</w:t>
      </w:r>
      <w:r>
        <w:rPr>
          <w:rFonts w:ascii="Book Antiqua" w:hAnsi="Book Antiqua" w:cs="Book Antiqua"/>
          <w:color w:val="000000"/>
          <w:lang w:eastAsia="zh-CN"/>
        </w:rPr>
        <w:t>-</w:t>
      </w:r>
      <w:r>
        <w:rPr>
          <w:rFonts w:ascii="Book Antiqua" w:hAnsi="Book Antiqua" w:eastAsia="Book Antiqua" w:cs="Book Antiqua"/>
          <w:color w:val="000000"/>
        </w:rPr>
        <w:t>up time of 38.6 (8.6-62.1) mo. VA-ECMO can be successfully used in patients undergoing high-risk PCI with good long-term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The use of percutaneous coronary intervention (PCI) has shown an increasing trend worldwide due to the anatomic and clinical complexity of cases experiencing coronary artery disease</w:t>
      </w:r>
      <w:r>
        <w:rPr>
          <w:rFonts w:ascii="Book Antiqua" w:hAnsi="Book Antiqua" w:eastAsia="Book Antiqua" w:cs="Book Antiqua"/>
          <w:color w:val="000000"/>
          <w:vertAlign w:val="superscript"/>
        </w:rPr>
        <w:t>[1,2]</w:t>
      </w:r>
      <w:r>
        <w:rPr>
          <w:rFonts w:ascii="Book Antiqua" w:hAnsi="Book Antiqua" w:eastAsia="Book Antiqua" w:cs="Book Antiqua"/>
          <w:color w:val="000000"/>
        </w:rPr>
        <w:t>. Coronary artery bypass graft (CABG) represents the first revascularization strategy recommended for patients with an acceptable surgical risk and multivessel disease in line with myocardial revascularization guidelines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However, due to severe clinical and anatomic conditions, CABG is not possible in some patients. In such cases, PCI is the only available revascularization strategy. High-risk PCI can cause hemodynamic instability </w:t>
      </w:r>
      <w:r>
        <w:rPr>
          <w:rFonts w:ascii="Book Antiqua" w:hAnsi="Book Antiqua" w:eastAsia="Book Antiqua" w:cs="Book Antiqua"/>
          <w:i/>
          <w:iCs/>
          <w:color w:val="000000"/>
        </w:rPr>
        <w:t>via</w:t>
      </w:r>
      <w:r>
        <w:rPr>
          <w:rFonts w:ascii="Book Antiqua" w:hAnsi="Book Antiqua" w:eastAsia="Book Antiqua" w:cs="Book Antiqua"/>
          <w:color w:val="000000"/>
        </w:rPr>
        <w:t xml:space="preserve"> procedure-induced cardiac ischemia, especially in the case of coronary dissection with no-reflow or vascular closure. Therefore, temporary circulatory support is required in the perioperative period if high-risk PCI is planned. Impella CP and Impella 2.5 have been reported to be safe, feasible, and potentially beneficial support devices for high-risk PCI</w:t>
      </w:r>
      <w:r>
        <w:rPr>
          <w:rFonts w:ascii="Book Antiqua" w:hAnsi="Book Antiqua" w:eastAsia="Book Antiqua" w:cs="Book Antiqua"/>
          <w:color w:val="000000"/>
          <w:vertAlign w:val="superscript"/>
        </w:rPr>
        <w:t>[4-6]</w:t>
      </w:r>
      <w:r>
        <w:rPr>
          <w:rFonts w:ascii="Book Antiqua" w:hAnsi="Book Antiqua" w:eastAsia="Book Antiqua" w:cs="Book Antiqua"/>
          <w:color w:val="000000"/>
        </w:rPr>
        <w:t>. However, the cost of Impella is higher than that of extracorporeal membrane oxygenation (ECMO) and is not covered in public medical insurance in most regions of China, thereby restricting the use of this device. Some studies have reported the feasibility of ECMO application in high-risk PCI, and showed good short-term outcomes in patients</w:t>
      </w:r>
      <w:r>
        <w:rPr>
          <w:rFonts w:ascii="Book Antiqua" w:hAnsi="Book Antiqua" w:eastAsia="Book Antiqua" w:cs="Book Antiqua"/>
          <w:color w:val="000000"/>
          <w:vertAlign w:val="superscript"/>
        </w:rPr>
        <w:t>[7-11]</w:t>
      </w:r>
      <w:r>
        <w:rPr>
          <w:rFonts w:ascii="Book Antiqua" w:hAnsi="Book Antiqua" w:eastAsia="Book Antiqua" w:cs="Book Antiqua"/>
          <w:color w:val="000000"/>
        </w:rPr>
        <w:t>. However, the long-term outcomes among cases undergoing high-risk PCI supported by ECMO have not been studied. Therefore, this work focused on the long-term outcomes of patients who underwent high-risk PCI supported by venoarterial ECMO (VA-ECMO).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In the present unicentric, retrospective, and observational cohort study, 61 patients who received VA-ECMO-supported high-risk PCI at the Sixth Medical Center of Chinese People’s Liberation Army General Hospital between April 2012 and January 2020 were enrolled. High-risk PCI was defined according to the patient’s hemodynamic status (shock or dysfunction of the left ventricle), clinical features, and underlying diseases such as heart failure, diabetes mellitus (DM), peripheral vascular disease, advanced chronic kidney disease (CKD), prior history of cardiac surgery, chronic obstructive pulmonary disease (COPD), or coronary anatomy/</w:t>
      </w:r>
      <w:r>
        <w:rPr>
          <w:rFonts w:ascii="Book Antiqua" w:hAnsi="Book Antiqua" w:cs="Book Antiqua"/>
          <w:color w:val="000000"/>
          <w:lang w:eastAsia="zh-CN"/>
        </w:rPr>
        <w:t>l</w:t>
      </w:r>
      <w:r>
        <w:rPr>
          <w:rFonts w:ascii="Book Antiqua" w:hAnsi="Book Antiqua" w:eastAsia="Book Antiqua" w:cs="Book Antiqua"/>
          <w:color w:val="000000"/>
        </w:rPr>
        <w:t>esion complexities such as saphenous vein graft degeneration, unprotected three-vessel or left main vessel disease, last patent conduit, severe calcified lesions, and chronic total occlusions (CTO) among multivessel disease patients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Procedure for venoarterial extracorporeal membrane oxygenation</w:t>
      </w:r>
    </w:p>
    <w:p>
      <w:pPr>
        <w:spacing w:line="360" w:lineRule="auto"/>
        <w:jc w:val="both"/>
        <w:rPr>
          <w:rFonts w:ascii="Book Antiqua" w:hAnsi="Book Antiqua"/>
        </w:rPr>
      </w:pPr>
      <w:r>
        <w:rPr>
          <w:rFonts w:ascii="Book Antiqua" w:hAnsi="Book Antiqua" w:eastAsia="Book Antiqua" w:cs="Book Antiqua"/>
          <w:color w:val="000000"/>
        </w:rPr>
        <w:t xml:space="preserve">The VA-ECMO support (Bio-Medicus, Medtronic Inc., </w:t>
      </w:r>
      <w:bookmarkStart w:id="3" w:name="OLE_LINK3925"/>
      <w:bookmarkStart w:id="4" w:name="OLE_LINK3924"/>
      <w:r>
        <w:rPr>
          <w:rFonts w:ascii="Book Antiqua" w:hAnsi="Book Antiqua" w:eastAsia="Book Antiqua" w:cs="Book Antiqua"/>
          <w:color w:val="000000"/>
        </w:rPr>
        <w:t>Minneapolis</w:t>
      </w:r>
      <w:bookmarkEnd w:id="3"/>
      <w:bookmarkEnd w:id="4"/>
      <w:r>
        <w:rPr>
          <w:rFonts w:ascii="Book Antiqua" w:hAnsi="Book Antiqua" w:eastAsia="Book Antiqua" w:cs="Book Antiqua"/>
          <w:color w:val="000000"/>
        </w:rPr>
        <w:t>, MN, U</w:t>
      </w:r>
      <w:r>
        <w:rPr>
          <w:rFonts w:ascii="Book Antiqua" w:hAnsi="Book Antiqua" w:cs="Book Antiqua"/>
          <w:color w:val="000000"/>
          <w:lang w:eastAsia="zh-CN"/>
        </w:rPr>
        <w:t>nited States</w:t>
      </w:r>
      <w:r>
        <w:rPr>
          <w:rFonts w:ascii="Book Antiqua" w:hAnsi="Book Antiqua" w:eastAsia="Book Antiqua" w:cs="Book Antiqua"/>
          <w:color w:val="000000"/>
        </w:rPr>
        <w:t>) comprises a circuit constituted by arterial and venous cannulas, a membrane oxygenator used for gas exchange and a centrifugal pump used for blood propulsion. VA-ECMO cannulation was performed by cardiothoracic surgeons in the catheterization laboratory using Seldinger’s technique. The tips of venous and arterial cannulas were placed in the inferior vena cava and descending aorta, respectively. The patients were administered heparin to achieve and maintain an activated clotting time of &gt;</w:t>
      </w:r>
      <w:r>
        <w:rPr>
          <w:rFonts w:ascii="Book Antiqua" w:hAnsi="Book Antiqua" w:cs="Book Antiqua"/>
          <w:color w:val="000000"/>
          <w:lang w:eastAsia="zh-CN"/>
        </w:rPr>
        <w:t xml:space="preserve"> </w:t>
      </w:r>
      <w:r>
        <w:rPr>
          <w:rFonts w:ascii="Book Antiqua" w:hAnsi="Book Antiqua" w:eastAsia="Book Antiqua" w:cs="Book Antiqua"/>
          <w:color w:val="000000"/>
        </w:rPr>
        <w:t>300 s after ECMO cannulation. The ECMO flow in the arterial line was maintained at 1.5</w:t>
      </w:r>
      <w:r>
        <w:rPr>
          <w:rFonts w:ascii="Book Antiqua" w:hAnsi="Book Antiqua" w:cs="Book Antiqua"/>
          <w:color w:val="000000"/>
          <w:lang w:eastAsia="zh-CN"/>
        </w:rPr>
        <w:t>-</w:t>
      </w:r>
      <w:r>
        <w:rPr>
          <w:rFonts w:ascii="Book Antiqua" w:hAnsi="Book Antiqua" w:eastAsia="Book Antiqua" w:cs="Book Antiqua"/>
          <w:color w:val="000000"/>
        </w:rPr>
        <w:t>2 L/min during the PCI procedure. If the patient had severe hypotension, a higher flow of ECMO was considered. The concomitant use of an intra-aortic balloon pump (IABP) was determined by the operator.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color w:val="000000"/>
        </w:rPr>
        <w:t>Procedure for percutaneous coronary intervention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revascularization strategy was developed by a multidisciplinary heart team consisting of cardiologists, cardiothoracic surgeons, anesthesiologists, perfusionists, critical care physicians, as well as specialized nurses. All the patients were considered unsuitable for surgery according to the heart team and were approved to undergo high-risk PCI under VA-ECMO hemodynamic support. Dual-antiplatelet treatment (loading doses: </w:t>
      </w:r>
      <w:r>
        <w:rPr>
          <w:rFonts w:ascii="Book Antiqua" w:hAnsi="Book Antiqua" w:cs="Book Antiqua"/>
          <w:color w:val="000000"/>
          <w:lang w:eastAsia="zh-CN"/>
        </w:rPr>
        <w:t>A</w:t>
      </w:r>
      <w:r>
        <w:rPr>
          <w:rFonts w:ascii="Book Antiqua" w:hAnsi="Book Antiqua" w:eastAsia="Book Antiqua" w:cs="Book Antiqua"/>
          <w:color w:val="000000"/>
        </w:rPr>
        <w:t>spirin: 300 mg; ticagrelor: 180 mg; or P2Y</w:t>
      </w:r>
      <w:r>
        <w:rPr>
          <w:rFonts w:ascii="Book Antiqua" w:hAnsi="Book Antiqua" w:eastAsia="Book Antiqua" w:cs="Book Antiqua"/>
          <w:color w:val="000000"/>
          <w:vertAlign w:val="subscript"/>
        </w:rPr>
        <w:t>12</w:t>
      </w:r>
      <w:r>
        <w:rPr>
          <w:rFonts w:ascii="Book Antiqua" w:hAnsi="Book Antiqua" w:eastAsia="Book Antiqua" w:cs="Book Antiqua"/>
          <w:color w:val="000000"/>
        </w:rPr>
        <w:t xml:space="preserve"> receptor inhibitor clopidogrel</w:t>
      </w:r>
      <w:r>
        <w:rPr>
          <w:rFonts w:ascii="Book Antiqua" w:hAnsi="Book Antiqua" w:cs="Book Antiqua"/>
          <w:color w:val="000000"/>
          <w:lang w:eastAsia="zh-CN"/>
        </w:rPr>
        <w:t xml:space="preserve"> (</w:t>
      </w:r>
      <w:r>
        <w:rPr>
          <w:rFonts w:ascii="Book Antiqua" w:hAnsi="Book Antiqua" w:eastAsia="Book Antiqua" w:cs="Book Antiqua"/>
          <w:color w:val="000000"/>
        </w:rPr>
        <w:t>300/600 mg) was initiated prior to coronary angiography. Guidewires, balloons, and stents were selected by the operator.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definitions and endpoint determination</w:t>
      </w:r>
    </w:p>
    <w:p>
      <w:pPr>
        <w:spacing w:line="360" w:lineRule="auto"/>
        <w:jc w:val="both"/>
        <w:rPr>
          <w:rFonts w:ascii="Book Antiqua" w:hAnsi="Book Antiqua"/>
        </w:rPr>
      </w:pPr>
      <w:r>
        <w:rPr>
          <w:rFonts w:ascii="Book Antiqua" w:hAnsi="Book Antiqua" w:eastAsia="Book Antiqua" w:cs="Book Antiqua"/>
          <w:color w:val="000000"/>
        </w:rPr>
        <w:t>Intraoperative hypotension was diagnosed according to the threshold of systolic blood pressure (SBP) below 90 mmHg or a reduction in the baseline SBP of more than 40 mmHg, without any other cause of hypotension. PCI success was defined as the residual diameter of stenosis &lt;</w:t>
      </w:r>
      <w:r>
        <w:rPr>
          <w:rFonts w:ascii="Book Antiqua" w:hAnsi="Book Antiqua" w:cs="Book Antiqua"/>
          <w:color w:val="000000"/>
          <w:lang w:eastAsia="zh-CN"/>
        </w:rPr>
        <w:t xml:space="preserve"> </w:t>
      </w:r>
      <w:r>
        <w:rPr>
          <w:rFonts w:ascii="Book Antiqua" w:hAnsi="Book Antiqua" w:eastAsia="Book Antiqua" w:cs="Book Antiqua"/>
          <w:color w:val="000000"/>
        </w:rPr>
        <w:t>30% (according to visual estimation) with translesional pressure gradient with hemodynamic significance or flow-limiting dissection. Patients with cardiac shock after receiving PCI under VA-ECMO support were defined as rescue VA-ECMO use.</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We determined the SYNTAX score by adopting the SYNTAX online score calculator (http://www.syntaxscore.com/calculator/start.htm)</w:t>
      </w:r>
      <w:r>
        <w:rPr>
          <w:rFonts w:ascii="Book Antiqua" w:hAnsi="Book Antiqua" w:eastAsia="Book Antiqua" w:cs="Book Antiqua"/>
          <w:color w:val="000000"/>
          <w:vertAlign w:val="superscript"/>
        </w:rPr>
        <w:t>[13]</w:t>
      </w:r>
      <w:r>
        <w:rPr>
          <w:rFonts w:ascii="Book Antiqua" w:hAnsi="Book Antiqua" w:eastAsia="Book Antiqua" w:cs="Book Antiqua"/>
          <w:color w:val="000000"/>
        </w:rPr>
        <w:t>. EuroSCORE was prospectively evaluated to assess perioperative risk of mortality (http://www.euroscore.org/calc.html). We also determined the GRACE score by adopting the GRACE online score calculator (https://www.merckmanuals.com/medical-calculators/GRACEScore.htm). Baseline characteristics, procedural and vascular access complications were recorded. Patient follow-up consisted of phone calls, hospital record reviews, or outpatient visits.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present work was performed according to the Helsinki declaration. Informed consent was obtained from each patient who participated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Results were analyzed using SPSS</w:t>
      </w:r>
      <w:r>
        <w:rPr>
          <w:rFonts w:hint="eastAsia" w:ascii="Book Antiqua" w:hAnsi="Book Antiqua" w:cs="Book Antiqua"/>
          <w:color w:val="000000"/>
          <w:lang w:eastAsia="zh-CN"/>
        </w:rPr>
        <w:t xml:space="preserve"> </w:t>
      </w:r>
      <w:r>
        <w:rPr>
          <w:rFonts w:ascii="Book Antiqua" w:hAnsi="Book Antiqua" w:eastAsia="Book Antiqua" w:cs="Book Antiqua"/>
          <w:color w:val="000000"/>
        </w:rPr>
        <w:t>26.0 for Windows (SPSS Inc., Chicago, IL, United States). Categorical variables are presented as percentages and counts. Continuous variables with normal distribution are expressed as mean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SD, whereas abnormally distributed variables are shown as medians (interquartile range). Fisher’s exact test or Pearson's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was performed to compare categorical variable frequencies. Each test was two-sided. </w:t>
      </w:r>
      <w:r>
        <w:rPr>
          <w:rFonts w:ascii="Book Antiqua" w:hAnsi="Book Antiqua" w:eastAsia="Book Antiqua" w:cs="Book Antiqua"/>
          <w:i/>
          <w:color w:val="000000"/>
        </w:rPr>
        <w:t>P</w:t>
      </w:r>
      <w:r>
        <w:rPr>
          <w:rFonts w:hint="eastAsia" w:ascii="Book Antiqua" w:hAnsi="Book Antiqua" w:cs="Book Antiqua"/>
          <w:i/>
          <w:color w:val="000000"/>
          <w:lang w:eastAsia="zh-CN"/>
        </w:rPr>
        <w:t xml:space="preserve"> </w:t>
      </w:r>
      <w:r>
        <w:rPr>
          <w:rFonts w:ascii="Book Antiqua" w:hAnsi="Book Antiqua" w:eastAsia="Book Antiqua" w:cs="Book Antiqua"/>
          <w:color w:val="000000"/>
        </w:rPr>
        <w:t>value</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0.05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features</w:t>
      </w:r>
    </w:p>
    <w:p>
      <w:pPr>
        <w:spacing w:line="360" w:lineRule="auto"/>
        <w:jc w:val="both"/>
        <w:rPr>
          <w:rFonts w:ascii="Book Antiqua" w:hAnsi="Book Antiqua"/>
        </w:rPr>
      </w:pPr>
      <w:r>
        <w:rPr>
          <w:rFonts w:ascii="Book Antiqua" w:hAnsi="Book Antiqua" w:eastAsia="Book Antiqua" w:cs="Book Antiqua"/>
          <w:color w:val="000000"/>
        </w:rPr>
        <w:t>Table 1 shows baseline clinical features of the patients who underwent high-risk PCI supported by VA</w:t>
      </w:r>
      <w:r>
        <w:rPr>
          <w:rFonts w:ascii="Book Antiqua" w:hAnsi="Book Antiqua" w:cs="Book Antiqua"/>
          <w:color w:val="000000"/>
          <w:lang w:eastAsia="zh-CN"/>
        </w:rPr>
        <w:t>-</w:t>
      </w:r>
      <w:r>
        <w:rPr>
          <w:rFonts w:ascii="Book Antiqua" w:hAnsi="Book Antiqua" w:eastAsia="Book Antiqua" w:cs="Book Antiqua"/>
          <w:color w:val="000000"/>
        </w:rPr>
        <w:t>ECMO. The age of the patients ranged from 64 to 79 years (median: 74 years), and most patients (73.8%) were male. The average body mass index (BMI) and median left ventricular ejection fraction (LVEF) were 25.0 ±</w:t>
      </w:r>
      <w:r>
        <w:rPr>
          <w:rFonts w:ascii="Book Antiqua" w:hAnsi="Book Antiqua" w:cs="Book Antiqua"/>
          <w:color w:val="000000"/>
          <w:lang w:eastAsia="zh-CN"/>
        </w:rPr>
        <w:t xml:space="preserve"> </w:t>
      </w:r>
      <w:r>
        <w:rPr>
          <w:rFonts w:ascii="Book Antiqua" w:hAnsi="Book Antiqua" w:eastAsia="Book Antiqua" w:cs="Book Antiqua"/>
          <w:color w:val="000000"/>
        </w:rPr>
        <w:t>3.4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42% (32%-49%), respectively. The LVEF</w:t>
      </w:r>
      <w:r>
        <w:rPr>
          <w:rFonts w:ascii="Book Antiqua" w:hAnsi="Book Antiqua" w:cs="Book Antiqua"/>
          <w:color w:val="000000"/>
          <w:lang w:eastAsia="zh-CN"/>
        </w:rPr>
        <w:t xml:space="preserve"> </w:t>
      </w:r>
      <w:r>
        <w:rPr>
          <w:rFonts w:ascii="Book Antiqua" w:hAnsi="Book Antiqua" w:eastAsia="Book Antiqua" w:cs="Book Antiqua"/>
          <w:color w:val="000000"/>
        </w:rPr>
        <w:t>was 42% (32%</w:t>
      </w:r>
      <w:r>
        <w:rPr>
          <w:rFonts w:ascii="Book Antiqua" w:hAnsi="Book Antiqua" w:cs="Book Antiqua"/>
          <w:color w:val="000000"/>
          <w:lang w:eastAsia="zh-CN"/>
        </w:rPr>
        <w:t>-</w:t>
      </w:r>
      <w:r>
        <w:rPr>
          <w:rFonts w:ascii="Book Antiqua" w:hAnsi="Book Antiqua" w:eastAsia="Book Antiqua" w:cs="Book Antiqua"/>
          <w:color w:val="000000"/>
        </w:rPr>
        <w:t>49%), and 32.8%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 xml:space="preserve"> 20) of patients had a LVEF </w:t>
      </w:r>
      <w:r>
        <w:rPr>
          <w:rFonts w:ascii="Book Antiqua" w:hAnsi="Book Antiqua" w:eastAsia="宋体"/>
        </w:rPr>
        <w:t>≤</w:t>
      </w:r>
      <w:r>
        <w:rPr>
          <w:rFonts w:ascii="Book Antiqua" w:hAnsi="Book Antiqua" w:cs="Book Antiqua"/>
          <w:color w:val="000000"/>
          <w:lang w:eastAsia="zh-CN"/>
        </w:rPr>
        <w:t xml:space="preserve"> </w:t>
      </w:r>
      <w:r>
        <w:rPr>
          <w:rFonts w:ascii="Book Antiqua" w:hAnsi="Book Antiqua" w:eastAsia="Book Antiqua" w:cs="Book Antiqua"/>
          <w:color w:val="000000"/>
        </w:rPr>
        <w:t>35%. Approximately 29.5% of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18) were admitted for ST-elevation myocardial infarction. Twenty cases (32.8%) had a myocardial infarction history. Eleven patients (18.0%) had previously received</w:t>
      </w:r>
      <w:r>
        <w:rPr>
          <w:rFonts w:ascii="Book Antiqua" w:hAnsi="Book Antiqua" w:cs="Book Antiqua"/>
          <w:color w:val="000000"/>
          <w:lang w:eastAsia="zh-CN"/>
        </w:rPr>
        <w:t xml:space="preserve"> </w:t>
      </w:r>
      <w:r>
        <w:rPr>
          <w:rFonts w:ascii="Book Antiqua" w:hAnsi="Book Antiqua" w:eastAsia="Book Antiqua" w:cs="Book Antiqua"/>
          <w:color w:val="000000"/>
        </w:rPr>
        <w:t>CABG. The mean SYNTAX score was 42.5 ±</w:t>
      </w:r>
      <w:r>
        <w:rPr>
          <w:rFonts w:ascii="Book Antiqua" w:hAnsi="Book Antiqua" w:cs="Book Antiqua"/>
          <w:color w:val="000000"/>
          <w:lang w:eastAsia="zh-CN"/>
        </w:rPr>
        <w:t xml:space="preserve"> </w:t>
      </w:r>
      <w:r>
        <w:rPr>
          <w:rFonts w:ascii="Book Antiqua" w:hAnsi="Book Antiqua" w:eastAsia="Book Antiqua" w:cs="Book Antiqua"/>
          <w:color w:val="000000"/>
        </w:rPr>
        <w:t>10.0 in patients who had never undergone CABG (</w:t>
      </w:r>
      <w:r>
        <w:rPr>
          <w:rFonts w:ascii="Book Antiqua" w:hAnsi="Book Antiqua" w:eastAsia="Book Antiqua" w:cs="Book Antiqua"/>
          <w:i/>
          <w:iCs/>
          <w:color w:val="000000"/>
        </w:rPr>
        <w:t>n</w:t>
      </w:r>
      <w:r>
        <w:rPr>
          <w:rFonts w:ascii="Book Antiqua" w:hAnsi="Book Antiqua" w:eastAsia="Book Antiqua" w:cs="Book Antiqua"/>
          <w:color w:val="000000"/>
        </w:rPr>
        <w:t xml:space="preserve"> = 50). The majority of patients had a high risk for cardiac surgery with a median EuroSCORE of 12 (10-15). Most patients had a poor prognosis with a median GRACE score of 163 (145-195).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Procedural characteristics</w:t>
      </w:r>
    </w:p>
    <w:p>
      <w:pPr>
        <w:spacing w:line="360" w:lineRule="auto"/>
        <w:jc w:val="both"/>
        <w:rPr>
          <w:rFonts w:ascii="Book Antiqua" w:hAnsi="Book Antiqua"/>
        </w:rPr>
      </w:pPr>
      <w:r>
        <w:rPr>
          <w:rFonts w:ascii="Book Antiqua" w:hAnsi="Book Antiqua" w:eastAsia="Book Antiqua" w:cs="Book Antiqua"/>
          <w:color w:val="000000"/>
        </w:rPr>
        <w:t>Femoral-femoral VA-ECMO cannulation was performed in all patients. Fifty-two patients (85.2%) received prophylactic VA-ECMO before PCI, whereas nine patients (14.8%) received rescue VA-ECMO support. Twenty-five patients (41.9%) underwent IABP insertion. The stent was not implanted in three patients (4.9%) due to CTO with severely calcified lesions. One patient (1.6%) was intolerant to ECMO because of increased left ventricular afterload. PCI was successfully performed in 93.4% (</w:t>
      </w:r>
      <w:r>
        <w:rPr>
          <w:rFonts w:ascii="Book Antiqua" w:hAnsi="Book Antiqua" w:eastAsia="Book Antiqua" w:cs="Book Antiqua"/>
          <w:i/>
          <w:iCs/>
          <w:color w:val="000000"/>
        </w:rPr>
        <w:t>n</w:t>
      </w:r>
      <w:r>
        <w:rPr>
          <w:rFonts w:ascii="Book Antiqua" w:hAnsi="Book Antiqua" w:eastAsia="Book Antiqua" w:cs="Book Antiqua"/>
          <w:color w:val="000000"/>
        </w:rPr>
        <w:t xml:space="preserve"> = 57) of patients, and the median number of stents implanted per patient was two (1-3). The median amount of contrast was 120 (95-161) mL. The median ECMO run was 1.6 (1.2-2.4) h. The mean residual SYNTAX score after PCI under VA-ECMO support was 18.9 ±</w:t>
      </w:r>
      <w:r>
        <w:rPr>
          <w:rFonts w:ascii="Book Antiqua" w:hAnsi="Book Antiqua" w:cs="Book Antiqua"/>
          <w:color w:val="000000"/>
          <w:lang w:eastAsia="zh-CN"/>
        </w:rPr>
        <w:t xml:space="preserve"> </w:t>
      </w:r>
      <w:r>
        <w:rPr>
          <w:rFonts w:ascii="Book Antiqua" w:hAnsi="Book Antiqua" w:eastAsia="Book Antiqua" w:cs="Book Antiqua"/>
          <w:color w:val="000000"/>
        </w:rPr>
        <w:t>13.1 in patients without CABG (</w:t>
      </w:r>
      <w:r>
        <w:rPr>
          <w:rFonts w:ascii="Book Antiqua" w:hAnsi="Book Antiqua" w:cs="Book Antiqua"/>
          <w:color w:val="000000"/>
          <w:lang w:eastAsia="zh-CN"/>
        </w:rPr>
        <w:t>T</w:t>
      </w:r>
      <w:r>
        <w:rPr>
          <w:rFonts w:ascii="Book Antiqua" w:hAnsi="Book Antiqua" w:eastAsia="Book Antiqua" w:cs="Book Antiqua"/>
          <w:color w:val="000000"/>
        </w:rPr>
        <w:t>able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Fifteen patients (24.6%) experienced intraoperative hypotension, and surgery was performed safely by increasing the ECMO flow. One patient (1.6%) received antegrade perfusion of the leg due to lower extremity ischemia. Hemorrhagic complications occurred in eight patients (13.1%), and six of these patients required blood transfusion (9.8%). The median length of stay was 20 (13-29) </w:t>
      </w:r>
      <w:r>
        <w:rPr>
          <w:rFonts w:ascii="Book Antiqua" w:hAnsi="Book Antiqua" w:cs="Book Antiqua"/>
          <w:color w:val="000000"/>
          <w:lang w:eastAsia="zh-CN"/>
        </w:rPr>
        <w:t>d</w:t>
      </w:r>
      <w:r>
        <w:rPr>
          <w:rFonts w:ascii="Book Antiqua" w:hAnsi="Book Antiqua" w:eastAsia="Book Antiqua" w:cs="Book Antiqua"/>
          <w:color w:val="000000"/>
        </w:rPr>
        <w:t xml:space="preserve">, and the median cardiac care unit stay was 7 (3-18) </w:t>
      </w:r>
      <w:r>
        <w:rPr>
          <w:rFonts w:ascii="Book Antiqua" w:hAnsi="Book Antiqua" w:cs="Book Antiqua"/>
          <w:color w:val="000000"/>
          <w:lang w:eastAsia="zh-CN"/>
        </w:rPr>
        <w:t>d</w:t>
      </w:r>
      <w:r>
        <w:rPr>
          <w:rFonts w:ascii="Book Antiqua" w:hAnsi="Book Antiqua" w:eastAsia="Book Antiqua" w:cs="Book Antiqua"/>
          <w:color w:val="000000"/>
        </w:rPr>
        <w:t xml:space="preserve">. The median hospitalization costs were </w:t>
      </w:r>
      <w:r>
        <w:rPr>
          <w:rFonts w:hint="eastAsia" w:ascii="Book Antiqua" w:hAnsi="Book Antiqua"/>
        </w:rPr>
        <w:t>¥</w:t>
      </w:r>
      <w:r>
        <w:rPr>
          <w:rFonts w:ascii="Book Antiqua" w:hAnsi="Book Antiqua" w:eastAsia="Book Antiqua" w:cs="Book Antiqua"/>
          <w:color w:val="000000"/>
        </w:rPr>
        <w:t>153</w:t>
      </w:r>
      <w:r>
        <w:rPr>
          <w:rFonts w:hint="eastAsia" w:ascii="Book Antiqua" w:hAnsi="Book Antiqua" w:cs="Book Antiqua"/>
          <w:color w:val="000000"/>
          <w:lang w:eastAsia="zh-CN"/>
        </w:rPr>
        <w:t>000</w:t>
      </w:r>
      <w:r>
        <w:rPr>
          <w:rFonts w:ascii="Book Antiqua" w:hAnsi="Book Antiqua" w:eastAsia="Book Antiqua" w:cs="Book Antiqua"/>
          <w:color w:val="000000"/>
        </w:rPr>
        <w:t xml:space="preserve"> (</w:t>
      </w:r>
      <w:r>
        <w:rPr>
          <w:rFonts w:hint="eastAsia" w:ascii="Book Antiqua" w:hAnsi="Book Antiqua"/>
        </w:rPr>
        <w:t>¥</w:t>
      </w:r>
      <w:r>
        <w:rPr>
          <w:rFonts w:ascii="Book Antiqua" w:hAnsi="Book Antiqua" w:eastAsia="Book Antiqua" w:cs="Book Antiqua"/>
          <w:color w:val="000000"/>
        </w:rPr>
        <w:t>118</w:t>
      </w:r>
      <w:r>
        <w:rPr>
          <w:rFonts w:hint="eastAsia" w:ascii="Book Antiqua" w:hAnsi="Book Antiqua" w:cs="Book Antiqua"/>
          <w:color w:val="000000"/>
          <w:lang w:eastAsia="zh-CN"/>
        </w:rPr>
        <w:t>000</w:t>
      </w:r>
      <w:r>
        <w:rPr>
          <w:rFonts w:ascii="Book Antiqua" w:hAnsi="Book Antiqua" w:eastAsia="Book Antiqua" w:cs="Book Antiqua"/>
          <w:color w:val="000000"/>
        </w:rPr>
        <w:t>-</w:t>
      </w:r>
      <w:r>
        <w:rPr>
          <w:rFonts w:hint="eastAsia" w:ascii="Book Antiqua" w:hAnsi="Book Antiqua"/>
        </w:rPr>
        <w:t>¥</w:t>
      </w:r>
      <w:r>
        <w:rPr>
          <w:rFonts w:ascii="Book Antiqua" w:hAnsi="Book Antiqua" w:eastAsia="Book Antiqua" w:cs="Book Antiqua"/>
          <w:color w:val="000000"/>
        </w:rPr>
        <w:t>216</w:t>
      </w:r>
      <w:r>
        <w:rPr>
          <w:rFonts w:hint="eastAsia" w:ascii="Book Antiqua" w:hAnsi="Book Antiqua" w:cs="Book Antiqua"/>
          <w:color w:val="000000"/>
          <w:lang w:eastAsia="zh-CN"/>
        </w:rPr>
        <w:t>000</w:t>
      </w:r>
      <w:r>
        <w:rPr>
          <w:rFonts w:ascii="Book Antiqua" w:hAnsi="Book Antiqua" w:eastAsia="Book Antiqua" w:cs="Book Antiqua"/>
          <w:color w:val="000000"/>
        </w:rPr>
        <w:t xml:space="preserve">) (approximately </w:t>
      </w:r>
      <w:r>
        <w:rPr>
          <w:rFonts w:ascii="Book Antiqua" w:hAnsi="Book Antiqua"/>
        </w:rPr>
        <w:t>$</w:t>
      </w:r>
      <w:r>
        <w:rPr>
          <w:rFonts w:ascii="Book Antiqua" w:hAnsi="Book Antiqua" w:eastAsia="Book Antiqua" w:cs="Book Antiqua"/>
          <w:color w:val="000000"/>
        </w:rPr>
        <w:t>24000).</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Clinical outcomes</w:t>
      </w:r>
    </w:p>
    <w:p>
      <w:pPr>
        <w:spacing w:line="360" w:lineRule="auto"/>
        <w:jc w:val="both"/>
        <w:rPr>
          <w:rFonts w:ascii="Book Antiqua" w:hAnsi="Book Antiqua"/>
        </w:rPr>
      </w:pPr>
      <w:r>
        <w:rPr>
          <w:rFonts w:ascii="Book Antiqua" w:hAnsi="Book Antiqua" w:eastAsia="Book Antiqua" w:cs="Book Antiqua"/>
          <w:color w:val="000000"/>
        </w:rPr>
        <w:t>The total in-hospital mortality was 23% (</w:t>
      </w:r>
      <w:r>
        <w:rPr>
          <w:rFonts w:ascii="Book Antiqua" w:hAnsi="Book Antiqua" w:eastAsia="Book Antiqua" w:cs="Book Antiqua"/>
          <w:i/>
          <w:iCs/>
          <w:color w:val="000000"/>
        </w:rPr>
        <w:t>n</w:t>
      </w:r>
      <w:r>
        <w:rPr>
          <w:rFonts w:ascii="Book Antiqua" w:hAnsi="Book Antiqua" w:eastAsia="Book Antiqua" w:cs="Book Antiqua"/>
          <w:color w:val="000000"/>
        </w:rPr>
        <w:t xml:space="preserve"> = 14). Of which, ten patients died due to cardiac shock, </w:t>
      </w:r>
      <w:r>
        <w:rPr>
          <w:rFonts w:ascii="Book Antiqua" w:hAnsi="Book Antiqua" w:cs="Book Antiqua"/>
          <w:color w:val="000000"/>
          <w:lang w:eastAsia="zh-CN"/>
        </w:rPr>
        <w:t>three</w:t>
      </w:r>
      <w:r>
        <w:rPr>
          <w:rFonts w:ascii="Book Antiqua" w:hAnsi="Book Antiqua" w:eastAsia="Book Antiqua" w:cs="Book Antiqua"/>
          <w:color w:val="000000"/>
        </w:rPr>
        <w:t xml:space="preserve"> due to septic shock, and one patient succumbed to early stent thrombosis. Post-operative cerebral infarction occurred in four patients (6.6%) because of hypoperfusion caused by cardiac or septic shock. The overall mortality was 31.1% at one-year follow-up. Prophylactic VA-ECMO support (</w:t>
      </w:r>
      <w:r>
        <w:rPr>
          <w:rFonts w:ascii="Book Antiqua" w:hAnsi="Book Antiqua" w:eastAsia="Book Antiqua" w:cs="Book Antiqua"/>
          <w:i/>
          <w:iCs/>
          <w:color w:val="000000"/>
        </w:rPr>
        <w:t>n</w:t>
      </w:r>
      <w:r>
        <w:rPr>
          <w:rFonts w:ascii="Book Antiqua" w:hAnsi="Book Antiqua" w:eastAsia="Book Antiqua" w:cs="Book Antiqua"/>
          <w:color w:val="000000"/>
        </w:rPr>
        <w:t xml:space="preserve"> = 52) resulted in lower in-hospital mortality (13.5% </w:t>
      </w:r>
      <w:r>
        <w:rPr>
          <w:rFonts w:ascii="Book Antiqua" w:hAnsi="Book Antiqua" w:cs="Book Antiqua"/>
          <w:i/>
          <w:color w:val="000000"/>
          <w:lang w:eastAsia="zh-CN"/>
        </w:rPr>
        <w:t>vs</w:t>
      </w:r>
      <w:r>
        <w:rPr>
          <w:rFonts w:ascii="Book Antiqua" w:hAnsi="Book Antiqua" w:eastAsia="Book Antiqua" w:cs="Book Antiqua"/>
          <w:color w:val="000000"/>
        </w:rPr>
        <w:t xml:space="preserve"> 77.8%, </w:t>
      </w:r>
      <w:r>
        <w:rPr>
          <w:rFonts w:ascii="Book Antiqua" w:hAnsi="Book Antiqua" w:eastAsia="Book Antiqua" w:cs="Book Antiqua"/>
          <w:i/>
          <w:iCs/>
          <w:color w:val="000000"/>
        </w:rPr>
        <w:t>P</w:t>
      </w:r>
      <w:r>
        <w:rPr>
          <w:rFonts w:ascii="Book Antiqua" w:hAnsi="Book Antiqua" w:eastAsia="Book Antiqua" w:cs="Book Antiqua"/>
          <w:color w:val="000000"/>
        </w:rPr>
        <w:t xml:space="preserve"> = 0.000) and 1-year mortality (21.2% </w:t>
      </w:r>
      <w:r>
        <w:rPr>
          <w:rFonts w:ascii="Book Antiqua" w:hAnsi="Book Antiqua" w:eastAsia="Book Antiqua" w:cs="Book Antiqua"/>
          <w:i/>
          <w:color w:val="000000"/>
        </w:rPr>
        <w:t>vs</w:t>
      </w:r>
      <w:r>
        <w:rPr>
          <w:rFonts w:ascii="Book Antiqua" w:hAnsi="Book Antiqua" w:eastAsia="Book Antiqua" w:cs="Book Antiqua"/>
          <w:color w:val="000000"/>
        </w:rPr>
        <w:t xml:space="preserve"> 77.8%,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compared with patients who received rescue VA-ECMO support.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long-term survival rate was 45.9%, and the median follow-up period was 38.6 (8.6-62.1)</w:t>
      </w:r>
      <w:r>
        <w:rPr>
          <w:rFonts w:ascii="Book Antiqua" w:hAnsi="Book Antiqua" w:cs="Book Antiqua"/>
          <w:color w:val="000000"/>
          <w:lang w:eastAsia="zh-CN"/>
        </w:rPr>
        <w:t xml:space="preserve"> mo</w:t>
      </w:r>
      <w:r>
        <w:rPr>
          <w:rFonts w:ascii="Book Antiqua" w:hAnsi="Book Antiqua" w:eastAsia="Book Antiqua" w:cs="Book Antiqua"/>
          <w:color w:val="000000"/>
        </w:rPr>
        <w:t>. Two patients (3.3%) required further revascularization owing to unstable angina at one-year follow-up. One patient was re-admitted due to symptomatic heart failure (</w:t>
      </w:r>
      <w:r>
        <w:rPr>
          <w:rFonts w:ascii="Book Antiqua" w:hAnsi="Book Antiqua" w:cs="Book Antiqua"/>
          <w:color w:val="000000"/>
          <w:lang w:eastAsia="zh-CN"/>
        </w:rPr>
        <w:t>T</w:t>
      </w:r>
      <w:r>
        <w:rPr>
          <w:rFonts w:ascii="Book Antiqua" w:hAnsi="Book Antiqua" w:eastAsia="Book Antiqua" w:cs="Book Antiqua"/>
          <w:color w:val="000000"/>
        </w:rPr>
        <w:t>able 3).</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lang w:eastAsia="zh-CN"/>
        </w:rPr>
      </w:pPr>
      <w:r>
        <w:rPr>
          <w:rFonts w:ascii="Book Antiqua" w:hAnsi="Book Antiqua" w:eastAsia="Book Antiqua" w:cs="Book Antiqua"/>
          <w:color w:val="000000"/>
        </w:rPr>
        <w:t>Based on our results, high-risk PCI can be considered safe under VA-ECMO support with a promising long-term survival. VA-ECMO can provide hemodynamic support during high-risk PCI, and allows sufficient time to complete the PCI procedure when profound hypotension occurs.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With the rapid development in PCI technology, more and more high-risk cases are being treated worldwide</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High-risk PCI is usually defined by three aspects: </w:t>
      </w:r>
      <w:r>
        <w:rPr>
          <w:rFonts w:ascii="Book Antiqua" w:hAnsi="Book Antiqua" w:cs="Book Antiqua"/>
          <w:color w:val="000000"/>
          <w:lang w:eastAsia="zh-CN"/>
        </w:rPr>
        <w:t>P</w:t>
      </w:r>
      <w:r>
        <w:rPr>
          <w:rFonts w:ascii="Book Antiqua" w:hAnsi="Book Antiqua" w:eastAsia="Book Antiqua" w:cs="Book Antiqua"/>
          <w:color w:val="000000"/>
        </w:rPr>
        <w:t>atient characteristics, lesion characteristics</w:t>
      </w:r>
      <w:r>
        <w:rPr>
          <w:rFonts w:ascii="Book Antiqua" w:hAnsi="Book Antiqua" w:cs="Book Antiqua"/>
          <w:color w:val="000000"/>
          <w:lang w:eastAsia="zh-CN"/>
        </w:rPr>
        <w:t>,</w:t>
      </w:r>
      <w:r>
        <w:rPr>
          <w:rFonts w:ascii="Book Antiqua" w:hAnsi="Book Antiqua" w:eastAsia="Book Antiqua" w:cs="Book Antiqua"/>
          <w:color w:val="000000"/>
        </w:rPr>
        <w:t xml:space="preserve"> and clinical presentation</w:t>
      </w:r>
      <w:r>
        <w:rPr>
          <w:rFonts w:ascii="Book Antiqua" w:hAnsi="Book Antiqua" w:eastAsia="Book Antiqua" w:cs="Book Antiqua"/>
          <w:color w:val="000000"/>
          <w:vertAlign w:val="superscript"/>
        </w:rPr>
        <w:t>[15-17]</w:t>
      </w:r>
      <w:r>
        <w:rPr>
          <w:rFonts w:ascii="Book Antiqua" w:hAnsi="Book Antiqua" w:eastAsia="Book Antiqua" w:cs="Book Antiqua"/>
          <w:color w:val="000000"/>
        </w:rPr>
        <w:t xml:space="preserve">. These characteristics pose a great challenge to cardiologists not only because of the risk of peri-procedural complications but also because of poor outcomes. In our study, most patients were elderly with several comorbidities, including </w:t>
      </w:r>
      <w:r>
        <w:rPr>
          <w:rFonts w:ascii="Book Antiqua" w:hAnsi="Book Antiqua" w:cs="Book Antiqua"/>
          <w:color w:val="000000"/>
          <w:lang w:eastAsia="zh-CN"/>
        </w:rPr>
        <w:t>DM</w:t>
      </w:r>
      <w:r>
        <w:rPr>
          <w:rFonts w:ascii="Book Antiqua" w:hAnsi="Book Antiqua" w:eastAsia="Book Antiqua" w:cs="Book Antiqua"/>
          <w:color w:val="000000"/>
        </w:rPr>
        <w:t>, hypertension, prior myocardial infarction, CKD, serious peripheral arterial disorders, and left ventricular dysfunction. The anatomical complexity of the coronary artery and high SYNTAX score made surgical intervention difficult. Moreover, all the patients had acute coronary syndrome, and the GRACE score was high, which indicated poor outcomes in these patients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Coronary revascularization minimizes unfavorable clinical events in high-risk cases and improves life quality</w:t>
      </w:r>
      <w:r>
        <w:rPr>
          <w:rFonts w:ascii="Book Antiqua" w:hAnsi="Book Antiqua" w:eastAsia="Book Antiqua" w:cs="Book Antiqua"/>
          <w:color w:val="000000"/>
          <w:vertAlign w:val="superscript"/>
        </w:rPr>
        <w:t>[19-21]</w:t>
      </w:r>
      <w:r>
        <w:rPr>
          <w:rFonts w:ascii="Book Antiqua" w:hAnsi="Book Antiqua" w:eastAsia="Book Antiqua" w:cs="Book Antiqua"/>
          <w:color w:val="000000"/>
        </w:rPr>
        <w:t>. Selecting revascularization strategies (PCI or CABG) should be performed by a heart team considering both risks and benefits</w:t>
      </w:r>
      <w:r>
        <w:rPr>
          <w:rFonts w:ascii="Book Antiqua" w:hAnsi="Book Antiqua" w:eastAsia="Book Antiqua" w:cs="Book Antiqua"/>
          <w:color w:val="000000"/>
          <w:vertAlign w:val="superscript"/>
        </w:rPr>
        <w:t>[22]</w:t>
      </w:r>
      <w:r>
        <w:rPr>
          <w:rFonts w:ascii="Book Antiqua" w:hAnsi="Book Antiqua" w:eastAsia="Book Antiqua" w:cs="Book Antiqua"/>
          <w:color w:val="000000"/>
        </w:rPr>
        <w:t>. As suggested by the existing myocardial revascularization guidelines</w:t>
      </w:r>
      <w:r>
        <w:rPr>
          <w:rFonts w:ascii="Book Antiqua" w:hAnsi="Book Antiqua" w:eastAsia="Book Antiqua" w:cs="Book Antiqua"/>
          <w:color w:val="000000"/>
          <w:vertAlign w:val="superscript"/>
        </w:rPr>
        <w:t>[23]</w:t>
      </w:r>
      <w:r>
        <w:rPr>
          <w:rFonts w:ascii="Book Antiqua" w:hAnsi="Book Antiqua" w:eastAsia="Book Antiqua" w:cs="Book Antiqua"/>
          <w:color w:val="000000"/>
        </w:rPr>
        <w:t>, when CAD is anatomically complex (namely, unprotected three-vessel or left main vessel disease), CABG can be considered the first choice for treating patients with a SYNTAX score of more than</w:t>
      </w:r>
      <w:r>
        <w:rPr>
          <w:rFonts w:ascii="Book Antiqua" w:hAnsi="Book Antiqua" w:cs="Book Antiqua"/>
          <w:color w:val="000000"/>
          <w:lang w:eastAsia="zh-CN"/>
        </w:rPr>
        <w:t xml:space="preserve"> </w:t>
      </w:r>
      <w:r>
        <w:rPr>
          <w:rFonts w:ascii="Book Antiqua" w:hAnsi="Book Antiqua" w:eastAsia="Book Antiqua" w:cs="Book Antiqua"/>
          <w:color w:val="000000"/>
        </w:rPr>
        <w:t>32. However, CABG is not recommended in patients with frailty, severe underlying diseases, and a prior history of cardiac surgery due to the risk of high postoperative mortality. PCI under temporary mechanical circulatory support (MCS) could be considered another option for high-risk cases.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At present, the percutaneous MCS instruments are Impella, TandemHeart, and VA-ECMO. Hemodynamic support should have four major objectives, including ventricular unloading, circulatory support, end-organ perfusion, and coronary perfusion</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The Impella device is an axial-flow pump that provides 2.5-5 L cardiac output with rapidly decreasing left ventricular preload. In March 2015, the </w:t>
      </w:r>
      <w:r>
        <w:rPr>
          <w:rFonts w:ascii="Book Antiqua" w:hAnsi="Book Antiqua" w:cs="Book Antiqua"/>
          <w:color w:val="000000"/>
          <w:lang w:eastAsia="zh-CN"/>
        </w:rPr>
        <w:t>United States</w:t>
      </w:r>
      <w:r>
        <w:rPr>
          <w:rFonts w:ascii="Book Antiqua" w:hAnsi="Book Antiqua" w:eastAsia="Book Antiqua" w:cs="Book Antiqua"/>
          <w:color w:val="000000"/>
        </w:rPr>
        <w:t xml:space="preserve"> Food and Drug Administration approved the Impella 2.5 as a transitory ventricular support device for patients undergoing high-risk PCI. As reported in the PROTECT series of studies, Impella 2.5 can offer favorable hemodynamic support during high-risk PCI and better outcomes than those with IABP support</w:t>
      </w:r>
      <w:r>
        <w:rPr>
          <w:rFonts w:ascii="Book Antiqua" w:hAnsi="Book Antiqua" w:eastAsia="Book Antiqua" w:cs="Book Antiqua"/>
          <w:color w:val="000000"/>
          <w:vertAlign w:val="superscript"/>
        </w:rPr>
        <w:t>[25,26]</w:t>
      </w:r>
      <w:r>
        <w:rPr>
          <w:rFonts w:ascii="Book Antiqua" w:hAnsi="Book Antiqua" w:eastAsia="Book Antiqua" w:cs="Book Antiqua"/>
          <w:color w:val="000000"/>
        </w:rPr>
        <w:t>. Some studies performed with a large-sample size reported that Impella is related to a higher incidence of side effects and massive bleeding among patients receiving PCI under MCS</w:t>
      </w:r>
      <w:r>
        <w:rPr>
          <w:rFonts w:ascii="Book Antiqua" w:hAnsi="Book Antiqua" w:eastAsia="Book Antiqua" w:cs="Book Antiqua"/>
          <w:color w:val="000000"/>
          <w:vertAlign w:val="superscript"/>
        </w:rPr>
        <w:t>[27,28]</w:t>
      </w:r>
      <w:r>
        <w:rPr>
          <w:rFonts w:ascii="Book Antiqua" w:hAnsi="Book Antiqua" w:eastAsia="Book Antiqua" w:cs="Book Antiqua"/>
          <w:color w:val="000000"/>
        </w:rPr>
        <w:t>. Furthermore, the application of Impella is associated with higher hospital costs</w:t>
      </w:r>
      <w:r>
        <w:rPr>
          <w:rFonts w:ascii="Book Antiqua" w:hAnsi="Book Antiqua" w:eastAsia="Book Antiqua" w:cs="Book Antiqua"/>
          <w:color w:val="000000"/>
          <w:vertAlign w:val="superscript"/>
        </w:rPr>
        <w:t>[27,29]</w:t>
      </w:r>
      <w:r>
        <w:rPr>
          <w:rFonts w:ascii="Book Antiqua" w:hAnsi="Book Antiqua" w:eastAsia="Book Antiqua" w:cs="Book Antiqua"/>
          <w:color w:val="000000"/>
        </w:rPr>
        <w:t xml:space="preserve">. Currently, the cost of the Impella device is </w:t>
      </w:r>
      <w:r>
        <w:rPr>
          <w:rFonts w:ascii="Book Antiqua" w:hAnsi="Book Antiqua"/>
        </w:rPr>
        <w:t>$</w:t>
      </w:r>
      <w:r>
        <w:rPr>
          <w:rFonts w:ascii="Book Antiqua" w:hAnsi="Book Antiqua" w:eastAsia="Book Antiqua" w:cs="Book Antiqua"/>
          <w:color w:val="000000"/>
        </w:rPr>
        <w:t xml:space="preserve">37000 (approximately </w:t>
      </w:r>
      <w:r>
        <w:rPr>
          <w:rFonts w:hint="eastAsia" w:ascii="Book Antiqua" w:hAnsi="Book Antiqua"/>
        </w:rPr>
        <w:t>¥</w:t>
      </w:r>
      <w:r>
        <w:rPr>
          <w:rFonts w:ascii="Book Antiqua" w:hAnsi="Book Antiqua" w:eastAsia="Book Antiqua" w:cs="Book Antiqua"/>
          <w:color w:val="000000"/>
        </w:rPr>
        <w:t>240</w:t>
      </w:r>
      <w:r>
        <w:rPr>
          <w:rFonts w:hint="eastAsia" w:ascii="Book Antiqua" w:hAnsi="Book Antiqua" w:cs="Book Antiqua"/>
          <w:color w:val="000000"/>
          <w:lang w:eastAsia="zh-CN"/>
        </w:rPr>
        <w:t>000</w:t>
      </w:r>
      <w:r>
        <w:rPr>
          <w:rFonts w:ascii="Book Antiqua" w:hAnsi="Book Antiqua" w:eastAsia="Book Antiqua" w:cs="Book Antiqua"/>
          <w:color w:val="000000"/>
        </w:rPr>
        <w:t>) in China, which is a tremendous burden in high-risk patients, especially in developing countries. Therefore, VA-ECMO should be considered an alternative to the MCS device in high-risk PCI.</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VA-ECMO is an extracorporeal life support, which can provide partial respiratory and circulatory support. F. S. van den Brink and colleagues reported on a few cases who had stable coronary artery disease who received prophylactic VA-ECMO-supported PCI and showed good short-term outcomes</w:t>
      </w:r>
      <w:r>
        <w:rPr>
          <w:rFonts w:ascii="Book Antiqua" w:hAnsi="Book Antiqua" w:eastAsia="Book Antiqua" w:cs="Book Antiqua"/>
          <w:color w:val="000000"/>
          <w:vertAlign w:val="superscript"/>
        </w:rPr>
        <w:t>[7]</w:t>
      </w:r>
      <w:r>
        <w:rPr>
          <w:rFonts w:ascii="Book Antiqua" w:hAnsi="Book Antiqua" w:eastAsia="Book Antiqua" w:cs="Book Antiqua"/>
          <w:color w:val="000000"/>
        </w:rPr>
        <w:t>. Salvatore and coworkers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reported 12 patients who underwent elective ECMO-supported high-risk PCI, and were at high risk for CABG who achieved favorable and immediate mid</w:t>
      </w:r>
      <w:r>
        <w:rPr>
          <w:rFonts w:ascii="Book Antiqua" w:hAnsi="Book Antiqua" w:cs="Book Antiqua"/>
          <w:color w:val="000000"/>
          <w:lang w:eastAsia="zh-CN"/>
        </w:rPr>
        <w:t>-</w:t>
      </w:r>
      <w:r>
        <w:rPr>
          <w:rFonts w:ascii="Book Antiqua" w:hAnsi="Book Antiqua" w:eastAsia="Book Antiqua" w:cs="Book Antiqua"/>
          <w:color w:val="000000"/>
        </w:rPr>
        <w:t>term outcomes. However, long-term survival in ECMO-supported PCI has not yet been reported. As demonstrated in this work, high-risk PCI may be feasible with VA-ECMO support and can lead to good long-term outcomes. Cardiac death occurred in 29.5% (</w:t>
      </w:r>
      <w:r>
        <w:rPr>
          <w:rFonts w:ascii="Book Antiqua" w:hAnsi="Book Antiqua" w:eastAsia="Book Antiqua" w:cs="Book Antiqua"/>
          <w:i/>
          <w:iCs/>
          <w:color w:val="000000"/>
        </w:rPr>
        <w:t>n</w:t>
      </w:r>
      <w:r>
        <w:rPr>
          <w:rFonts w:ascii="Book Antiqua" w:hAnsi="Book Antiqua" w:eastAsia="Book Antiqua" w:cs="Book Antiqua"/>
          <w:color w:val="000000"/>
        </w:rPr>
        <w:t xml:space="preserve"> = 18) of cases with a median follow-up time of 38.6 (8.6-62.1) </w:t>
      </w:r>
      <w:r>
        <w:rPr>
          <w:rFonts w:ascii="Book Antiqua" w:hAnsi="Book Antiqua" w:cs="Book Antiqua"/>
          <w:color w:val="000000"/>
          <w:lang w:eastAsia="zh-CN"/>
        </w:rPr>
        <w:t>mo</w:t>
      </w:r>
      <w:r>
        <w:rPr>
          <w:rFonts w:ascii="Book Antiqua" w:hAnsi="Book Antiqua" w:eastAsia="Book Antiqua" w:cs="Book Antiqua"/>
          <w:color w:val="000000"/>
        </w:rPr>
        <w:t>, and most events occurred within a year.</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High-risk PCI can result in hemodynamic instability during the perioperative period, especially when managing complex coronary anatomy (</w:t>
      </w:r>
      <w:r>
        <w:rPr>
          <w:rFonts w:ascii="Book Antiqua" w:hAnsi="Book Antiqua" w:eastAsia="Book Antiqua" w:cs="Book Antiqua"/>
          <w:i/>
          <w:color w:val="000000"/>
        </w:rPr>
        <w:t>i.e.,</w:t>
      </w:r>
      <w:r>
        <w:rPr>
          <w:rFonts w:ascii="Book Antiqua" w:hAnsi="Book Antiqua" w:cs="Book Antiqua"/>
          <w:color w:val="000000"/>
          <w:lang w:eastAsia="zh-CN"/>
        </w:rPr>
        <w:t xml:space="preserve"> </w:t>
      </w:r>
      <w:r>
        <w:rPr>
          <w:rFonts w:ascii="Book Antiqua" w:hAnsi="Book Antiqua" w:eastAsia="Book Antiqua" w:cs="Book Antiqua"/>
          <w:color w:val="000000"/>
        </w:rPr>
        <w:t>degenerated saphenous vein grafts, unprotected left main vessel disease, last patent conduit, severely calcified lesions with a need for rotational atherectomy, and CTO with multivessel disease). In the present study, 15 patients (24.6%) experienced intraoperative hypotension after a guidewire was placed through the lesion or balloon dilation. Fortunately, VA-ECMO offered cardio-cerebral perfusion and arterial oxygenation during hypotension. Therefore, hemodynamic support was crucial in these patients during high-risk PCI procedures.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 present, large-scale randomized trials are not available to compare the application of prophylactic ECMO with the standby strategies, and no consensus has been reached regarding the optimal timing of ECMO cannulation. Elvis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reported the application of prophylactic ECMO in high-risk patients who received coronary combined with structural percutaneous interventions. The procedure was reported to be safe and successful, considering favorable in-hospital as well as mid-term outcomes. In a study on high-risk coronary angioplasty, </w:t>
      </w:r>
      <w:r>
        <w:rPr>
          <w:rFonts w:ascii="Book Antiqua" w:hAnsi="Book Antiqua"/>
        </w:rPr>
        <w:t>Teirstein</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reported that standby cardiopulmonary support is preferable to prophylactic cardiopulmonary support due to fewer complications with standby cardiopulmonary support. Moreover, those with compromised left ventricular function can gain benefits from prophylactic cardiopulmonary support. Our study found that prophylactic VA-ECMO resulted in low in-hospital and one-year mortality compared with rescue VA-ECMO support. Although the prophylactic group had a lower rate of cardiac shock, early intervention with MCS may prevent progression to cardiac shock in high-risk patients.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VA-ECMO provides retrograde aortic flow for maintaining vital organ perfusion. Such a strategy is significantly limited by its increased left ventricular afterload, resulting in increased left ventricular end</w:t>
      </w:r>
      <w:r>
        <w:rPr>
          <w:rFonts w:ascii="Book Antiqua" w:hAnsi="Book Antiqua" w:cs="Book Antiqua"/>
          <w:color w:val="000000"/>
          <w:lang w:eastAsia="zh-CN"/>
        </w:rPr>
        <w:t>-</w:t>
      </w:r>
      <w:r>
        <w:rPr>
          <w:rFonts w:ascii="Book Antiqua" w:hAnsi="Book Antiqua" w:eastAsia="Book Antiqua" w:cs="Book Antiqua"/>
          <w:color w:val="000000"/>
        </w:rPr>
        <w:t>diastolic pressure, aortic and mitral regurgitation, and pulmonary edema</w:t>
      </w:r>
      <w:r>
        <w:rPr>
          <w:rFonts w:ascii="Book Antiqua" w:hAnsi="Book Antiqua" w:eastAsia="Book Antiqua" w:cs="Book Antiqua"/>
          <w:color w:val="000000"/>
          <w:vertAlign w:val="superscript"/>
        </w:rPr>
        <w:t>[32]</w:t>
      </w:r>
      <w:r>
        <w:rPr>
          <w:rFonts w:ascii="Book Antiqua" w:hAnsi="Book Antiqua" w:eastAsia="Book Antiqua" w:cs="Book Antiqua"/>
          <w:color w:val="000000"/>
        </w:rPr>
        <w:t>. Blood stasis occurred in one patient in our study after VA-ECMO cannulation due to impaired left ejection fraction. VA-ECMO was immediately removed, and IABP was inserted in the contralateral femoral. The strategies to reduce left ventricular afterload include decreased pump flow, inotropes, concomitant use of IABP or Impella, and left ventricular venting</w:t>
      </w:r>
      <w:r>
        <w:rPr>
          <w:rFonts w:ascii="Book Antiqua" w:hAnsi="Book Antiqua" w:eastAsia="Book Antiqua" w:cs="Book Antiqua"/>
          <w:color w:val="000000"/>
          <w:vertAlign w:val="superscript"/>
        </w:rPr>
        <w:t>[33]</w:t>
      </w:r>
      <w:r>
        <w:rPr>
          <w:rFonts w:ascii="Book Antiqua" w:hAnsi="Book Antiqua" w:eastAsia="Book Antiqua" w:cs="Book Antiqua"/>
          <w:color w:val="000000"/>
        </w:rPr>
        <w:t>. As suggested by a meta-analysis, left ventricular unloading is related to reduced mortality among adult cases who have cardiogenic shock and receive VA-ECMO treatment</w:t>
      </w:r>
      <w:r>
        <w:rPr>
          <w:rFonts w:ascii="Book Antiqua" w:hAnsi="Book Antiqua" w:eastAsia="Book Antiqua" w:cs="Book Antiqua"/>
          <w:color w:val="000000"/>
          <w:vertAlign w:val="superscript"/>
        </w:rPr>
        <w:t>[34]</w:t>
      </w:r>
      <w:r>
        <w:rPr>
          <w:rFonts w:ascii="Book Antiqua" w:hAnsi="Book Antiqua" w:eastAsia="Book Antiqua" w:cs="Book Antiqua"/>
          <w:color w:val="000000"/>
        </w:rPr>
        <w:t>. Therefore, left ventricular unloading is probably adopted in some patients who have severe impaired left ejection fraction.</w:t>
      </w:r>
    </w:p>
    <w:p>
      <w:pPr>
        <w:spacing w:line="360" w:lineRule="auto"/>
        <w:ind w:firstLine="4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r>
        <w:rPr>
          <w:rFonts w:ascii="Book Antiqua" w:hAnsi="Book Antiqua" w:eastAsia="Book Antiqua" w:cs="Book Antiqua"/>
          <w:color w:val="000000"/>
        </w:rPr>
        <w:t>VA-ECMO can be used as a support in patients undergoing high-risk PCI as it confers good long-term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Venoarterial extracorporeal membrane oxygenation (VA-ECMO) offers hemodynamic support for patients who undergo high-risk percutaneous coronary intervention (PCI). However, long-term outcomes associated with VA-ECMO have not previously been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r>
        <w:rPr>
          <w:rFonts w:ascii="Book Antiqua" w:hAnsi="Book Antiqua" w:eastAsia="Book Antiqua" w:cs="Book Antiqua"/>
          <w:color w:val="000000"/>
        </w:rPr>
        <w:t>High-risk PCI can result in hemodynamic instability during the perioperative period and is associated with poor outcomes. Hemodynamic support is crucial in patients undergoing high-risk PCI.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investigate long</w:t>
      </w:r>
      <w:r>
        <w:rPr>
          <w:rFonts w:ascii="Book Antiqua" w:hAnsi="Book Antiqua" w:cs="Book Antiqua"/>
          <w:color w:val="000000"/>
          <w:lang w:eastAsia="zh-CN"/>
        </w:rPr>
        <w:t>-</w:t>
      </w:r>
      <w:r>
        <w:rPr>
          <w:rFonts w:ascii="Book Antiqua" w:hAnsi="Book Antiqua" w:eastAsia="Book Antiqua" w:cs="Book Antiqua"/>
          <w:color w:val="000000"/>
        </w:rPr>
        <w:t>term outcomes in high-risk cases receiving PCI supported by VA-ECMO.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Patients who received VA-ECMO-supported high-risk PCI were assessed. High-risk PCI was defined according to the patient’s hemodynamic status, clinical features, underlying diseases, and coronary anatomy/</w:t>
      </w:r>
      <w:r>
        <w:rPr>
          <w:rFonts w:ascii="Book Antiqua" w:hAnsi="Book Antiqua" w:cs="Book Antiqua"/>
          <w:color w:val="000000"/>
          <w:lang w:eastAsia="zh-CN"/>
        </w:rPr>
        <w:t>l</w:t>
      </w:r>
      <w:r>
        <w:rPr>
          <w:rFonts w:ascii="Book Antiqua" w:hAnsi="Book Antiqua" w:eastAsia="Book Antiqua" w:cs="Book Antiqua"/>
          <w:color w:val="000000"/>
        </w:rPr>
        <w:t>esion complexities. The long-term outcomes comprising all</w:t>
      </w:r>
      <w:r>
        <w:rPr>
          <w:rFonts w:ascii="Book Antiqua" w:hAnsi="Book Antiqua" w:cs="Book Antiqua"/>
          <w:color w:val="000000"/>
          <w:lang w:eastAsia="zh-CN"/>
        </w:rPr>
        <w:t>-</w:t>
      </w:r>
      <w:r>
        <w:rPr>
          <w:rFonts w:ascii="Book Antiqua" w:hAnsi="Book Antiqua" w:eastAsia="Book Antiqua" w:cs="Book Antiqua"/>
          <w:color w:val="000000"/>
        </w:rPr>
        <w:t>cause mortality, repeated cardiovascular diseases, and cardiac death were recorded.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Of 61 enrolled patients, 57 patients (93.4%) were successfully treated by VA</w:t>
      </w:r>
      <w:r>
        <w:rPr>
          <w:rFonts w:ascii="Book Antiqua" w:hAnsi="Book Antiqua" w:cs="Book Antiqua"/>
          <w:color w:val="000000"/>
          <w:lang w:eastAsia="zh-CN"/>
        </w:rPr>
        <w:t>-</w:t>
      </w:r>
      <w:r>
        <w:rPr>
          <w:rFonts w:ascii="Book Antiqua" w:hAnsi="Book Antiqua" w:eastAsia="Book Antiqua" w:cs="Book Antiqua"/>
          <w:color w:val="000000"/>
        </w:rPr>
        <w:t>ECMO-supported PCI. The in-hospital mortality was 23.0%, and the overall survival was 45.9% with a median follow-up period of 38.6 (8.6</w:t>
      </w:r>
      <w:r>
        <w:rPr>
          <w:rFonts w:ascii="Book Antiqua" w:hAnsi="Book Antiqua" w:cs="Book Antiqua"/>
          <w:color w:val="000000"/>
          <w:lang w:eastAsia="zh-CN"/>
        </w:rPr>
        <w:t>-</w:t>
      </w:r>
      <w:r>
        <w:rPr>
          <w:rFonts w:ascii="Book Antiqua" w:hAnsi="Book Antiqua" w:eastAsia="Book Antiqua" w:cs="Book Antiqua"/>
          <w:color w:val="000000"/>
        </w:rPr>
        <w:t xml:space="preserve">62.1) </w:t>
      </w:r>
      <w:r>
        <w:rPr>
          <w:rFonts w:ascii="Book Antiqua" w:hAnsi="Book Antiqua" w:cs="Book Antiqua"/>
          <w:color w:val="000000"/>
          <w:lang w:eastAsia="zh-CN"/>
        </w:rPr>
        <w:t>mo</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VA-ECMO can be used as a support for patients undergoing high-risk PCI as it is related to favorable long-term patient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lang w:eastAsia="zh-CN"/>
        </w:rPr>
      </w:pPr>
      <w:r>
        <w:rPr>
          <w:rFonts w:ascii="Book Antiqua" w:hAnsi="Book Antiqua" w:eastAsia="Book Antiqua" w:cs="Book Antiqua"/>
          <w:color w:val="000000"/>
        </w:rPr>
        <w:t>A large multicenter prospective trial is required to confirm the benefit and safety of VA-ECMO-supported high</w:t>
      </w:r>
      <w:r>
        <w:rPr>
          <w:rFonts w:ascii="Book Antiqua" w:hAnsi="Book Antiqua" w:cs="Book Antiqua"/>
          <w:color w:val="000000"/>
          <w:lang w:eastAsia="zh-CN"/>
        </w:rPr>
        <w:t>-</w:t>
      </w:r>
      <w:r>
        <w:rPr>
          <w:rFonts w:ascii="Book Antiqua" w:hAnsi="Book Antiqua" w:eastAsia="Book Antiqua" w:cs="Book Antiqua"/>
          <w:color w:val="000000"/>
        </w:rPr>
        <w:t>risk PCI.</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bookmarkStart w:id="5" w:name="OLE_LINK3927"/>
      <w:bookmarkStart w:id="6" w:name="OLE_LINK3926"/>
      <w:r>
        <w:rPr>
          <w:rFonts w:ascii="Book Antiqua" w:hAnsi="Book Antiqua" w:eastAsia="Book Antiqua" w:cs="Book Antiqua"/>
          <w:color w:val="000000"/>
        </w:rPr>
        <w:t xml:space="preserve">1 </w:t>
      </w:r>
      <w:r>
        <w:rPr>
          <w:rFonts w:ascii="Book Antiqua" w:hAnsi="Book Antiqua" w:eastAsia="Book Antiqua" w:cs="Book Antiqua"/>
          <w:b/>
          <w:bCs/>
          <w:color w:val="000000"/>
        </w:rPr>
        <w:t>Virani SS</w:t>
      </w:r>
      <w:r>
        <w:rPr>
          <w:rFonts w:ascii="Book Antiqua" w:hAnsi="Book Antiqua" w:eastAsia="Book Antiqua" w:cs="Book Antiqua"/>
          <w:color w:val="000000"/>
        </w:rPr>
        <w:t xml:space="preserve">, Alonso A, Benjamin EJ, Bittencourt MS, Callaway CW, Carson AP, Chamberlain AM, Chang AR, Cheng S, Delling FN, Djousse L, Elkind MSV, Ferguson JF, Fornage M, Khan SS, Kissela BM, Knutson KL, Kwan TW, Lackland DT, Lewis TT, Lichtman JH, Longenecker CT, Loop MS, Lutsey PL, Martin SS, Matsushita K, Moran AE, Mussolino ME, Perak AM, Rosamond WD, Roth GA, Sampson UKA, Satou GM, Schroeder EB, Shah SH, Shay CM, Spartano NL, Stokes A, Tirschwell DL, VanWagner LB, Tsao CW; American Heart Association Council on Epidemiology and Prevention Statistics Committee and Stroke Statistics Subcommittee. Heart Disease and Stroke Statistics-2020 Update: A Report From the American Heart Association.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141</w:t>
      </w:r>
      <w:r>
        <w:rPr>
          <w:rFonts w:ascii="Book Antiqua" w:hAnsi="Book Antiqua" w:eastAsia="Book Antiqua" w:cs="Book Antiqua"/>
          <w:color w:val="000000"/>
        </w:rPr>
        <w:t>: e139-e596 [PMID: 31992061 DOI: 10.1161/CIR.0000000000000757]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Bortnick AE</w:t>
      </w:r>
      <w:r>
        <w:rPr>
          <w:rFonts w:ascii="Book Antiqua" w:hAnsi="Book Antiqua" w:eastAsia="Book Antiqua" w:cs="Book Antiqua"/>
          <w:color w:val="000000"/>
        </w:rPr>
        <w:t xml:space="preserve">, Epps KC, Selzer F, Anwaruddin S, Marroquin OC, Srinivas V, Holper EM, Wilensky RL. Five-year follow-up of patients treated for coronary artery disease in the face of an increasing burden of co-morbidity and disease complexity (from the NHLBI Dynamic Registry). </w:t>
      </w:r>
      <w:r>
        <w:rPr>
          <w:rFonts w:ascii="Book Antiqua" w:hAnsi="Book Antiqua" w:eastAsia="Book Antiqua" w:cs="Book Antiqua"/>
          <w:i/>
          <w:iCs/>
          <w:color w:val="000000"/>
        </w:rPr>
        <w:t>Am J Cardiol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113</w:t>
      </w:r>
      <w:r>
        <w:rPr>
          <w:rFonts w:ascii="Book Antiqua" w:hAnsi="Book Antiqua" w:eastAsia="Book Antiqua" w:cs="Book Antiqua"/>
          <w:color w:val="000000"/>
        </w:rPr>
        <w:t>: 573-579 [PMID: 24388624 DOI: 10.1016/j.amjcard.2013.10.039]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Neumann FJ</w:t>
      </w:r>
      <w:r>
        <w:rPr>
          <w:rFonts w:ascii="Book Antiqua" w:hAnsi="Book Antiqua" w:eastAsia="Book Antiqua" w:cs="Book Antiqua"/>
          <w:color w:val="000000"/>
        </w:rPr>
        <w:t xml:space="preserve">, Sousa-Uva M, Ahlsson A, Alfonso F, Banning AP, Benedetto U, Byrne RA, Collet JP, Falk V, Head SJ, Juni P, Kastrati A, Koller A, Kristensen SD, Niebauer J, Richter DJ, Seferović PM, Sibbing D, Stefanini GG, Windecker S, Yadav R, Zembala MO. [2018 ESC/EACTS Guidelines on myocardial revascularization]. </w:t>
      </w:r>
      <w:r>
        <w:rPr>
          <w:rFonts w:ascii="Book Antiqua" w:hAnsi="Book Antiqua" w:eastAsia="Book Antiqua" w:cs="Book Antiqua"/>
          <w:i/>
          <w:iCs/>
          <w:color w:val="000000"/>
        </w:rPr>
        <w:t>Kardiol Pol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76</w:t>
      </w:r>
      <w:r>
        <w:rPr>
          <w:rFonts w:ascii="Book Antiqua" w:hAnsi="Book Antiqua" w:eastAsia="Book Antiqua" w:cs="Book Antiqua"/>
          <w:color w:val="000000"/>
        </w:rPr>
        <w:t>: 1585-1664 [PMID: 30566213 DOI: 10.5603/KP.2018.0228]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Burzotta F</w:t>
      </w:r>
      <w:r>
        <w:rPr>
          <w:rFonts w:ascii="Book Antiqua" w:hAnsi="Book Antiqua" w:eastAsia="Book Antiqua" w:cs="Book Antiqua"/>
          <w:color w:val="000000"/>
        </w:rPr>
        <w:t xml:space="preserve">, Russo G, Ribichini F, Piccoli A, D'Amario D, Paraggio L, Previ L, Pesarini G, Porto I, Leone AM, Niccoli G, Aurigemma C, Verdirosi D, Crea F, Trani C. Long-Term Outcomes of Extent of Revascularization in Complex High Risk and Indicated Patients Undergoing Impella-Protected Percutaneous Coronary Intervention: Report from the Roma-Verona Registry. </w:t>
      </w:r>
      <w:r>
        <w:rPr>
          <w:rFonts w:ascii="Book Antiqua" w:hAnsi="Book Antiqua" w:eastAsia="Book Antiqua" w:cs="Book Antiqua"/>
          <w:i/>
          <w:iCs/>
          <w:color w:val="000000"/>
        </w:rPr>
        <w:t>J Interv Cardiol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5243913 [PMID: 31772533 DOI: 10.1155/2019/5243913]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Briasoulis A</w:t>
      </w:r>
      <w:r>
        <w:rPr>
          <w:rFonts w:ascii="Book Antiqua" w:hAnsi="Book Antiqua" w:eastAsia="Book Antiqua" w:cs="Book Antiqua"/>
          <w:color w:val="000000"/>
        </w:rPr>
        <w:t xml:space="preserve">, Telila T, Palla M, Mercado N, Kondur A, Grines C, Schreiber T. Meta-Analysis of Usefulness of Percutaneous Left Ventricular Assist Devices for High-Risk Percutaneous Coronary Interventions. </w:t>
      </w:r>
      <w:r>
        <w:rPr>
          <w:rFonts w:ascii="Book Antiqua" w:hAnsi="Book Antiqua" w:eastAsia="Book Antiqua" w:cs="Book Antiqua"/>
          <w:i/>
          <w:iCs/>
          <w:color w:val="000000"/>
        </w:rPr>
        <w:t>Am J Cardiol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118</w:t>
      </w:r>
      <w:r>
        <w:rPr>
          <w:rFonts w:ascii="Book Antiqua" w:hAnsi="Book Antiqua" w:eastAsia="Book Antiqua" w:cs="Book Antiqua"/>
          <w:color w:val="000000"/>
        </w:rPr>
        <w:t>: 369-375 [PMID: 27265673 DOI: 10.1016/j.amjcard.2016.05.003]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Maini B</w:t>
      </w:r>
      <w:r>
        <w:rPr>
          <w:rFonts w:ascii="Book Antiqua" w:hAnsi="Book Antiqua" w:eastAsia="Book Antiqua" w:cs="Book Antiqua"/>
          <w:color w:val="000000"/>
        </w:rPr>
        <w:t xml:space="preserve">, Naidu SS, Mulukutla S, Kleiman N, Schreiber T, Wohns D, Dixon S, Rihal C, Dave R, O'Neill W. Real-world use of the Impella 2.5 circulatory support system in complex high-risk percutaneous coronary intervention: the USpella Registry. </w:t>
      </w:r>
      <w:r>
        <w:rPr>
          <w:rFonts w:ascii="Book Antiqua" w:hAnsi="Book Antiqua" w:eastAsia="Book Antiqua" w:cs="Book Antiqua"/>
          <w:i/>
          <w:iCs/>
          <w:color w:val="000000"/>
        </w:rPr>
        <w:t>Catheter Cardiovasc Interv</w:t>
      </w:r>
      <w:r>
        <w:rPr>
          <w:rFonts w:ascii="Book Antiqua" w:hAnsi="Book Antiqua" w:eastAsia="Book Antiqua" w:cs="Book Antiqua"/>
          <w:color w:val="000000"/>
        </w:rPr>
        <w:t xml:space="preserve"> 2012; </w:t>
      </w:r>
      <w:r>
        <w:rPr>
          <w:rFonts w:ascii="Book Antiqua" w:hAnsi="Book Antiqua" w:eastAsia="Book Antiqua" w:cs="Book Antiqua"/>
          <w:b/>
          <w:bCs/>
          <w:color w:val="000000"/>
        </w:rPr>
        <w:t>80</w:t>
      </w:r>
      <w:r>
        <w:rPr>
          <w:rFonts w:ascii="Book Antiqua" w:hAnsi="Book Antiqua" w:eastAsia="Book Antiqua" w:cs="Book Antiqua"/>
          <w:color w:val="000000"/>
        </w:rPr>
        <w:t>: 717-725 [PMID: 22105829 DOI: 10.1002/ccd.23403]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van den Brink FS</w:t>
      </w:r>
      <w:r>
        <w:rPr>
          <w:rFonts w:ascii="Book Antiqua" w:hAnsi="Book Antiqua" w:eastAsia="Book Antiqua" w:cs="Book Antiqua"/>
          <w:color w:val="000000"/>
        </w:rPr>
        <w:t xml:space="preserve">, Meijers TA, Hofma SH, van Boven AJ, Nap A, Vonk A, Symersky P, Sjauw KD, Knaapen P. Prophylactic veno-arterial extracorporeal membrane oxygenation in patients undergoing high-risk percutaneous coronary intervention. </w:t>
      </w:r>
      <w:r>
        <w:rPr>
          <w:rFonts w:ascii="Book Antiqua" w:hAnsi="Book Antiqua" w:eastAsia="Book Antiqua" w:cs="Book Antiqua"/>
          <w:i/>
          <w:iCs/>
          <w:color w:val="000000"/>
        </w:rPr>
        <w:t>Neth Heart J</w:t>
      </w:r>
      <w:r>
        <w:rPr>
          <w:rFonts w:ascii="Book Antiqua" w:hAnsi="Book Antiqua" w:eastAsia="Book Antiqua" w:cs="Book Antiqua"/>
          <w:color w:val="000000"/>
        </w:rPr>
        <w:t xml:space="preserve"> 2020; </w:t>
      </w:r>
      <w:r>
        <w:rPr>
          <w:rFonts w:ascii="Book Antiqua" w:hAnsi="Book Antiqua" w:eastAsia="Book Antiqua" w:cs="Book Antiqua"/>
          <w:b/>
          <w:bCs/>
          <w:color w:val="000000"/>
        </w:rPr>
        <w:t>28</w:t>
      </w:r>
      <w:r>
        <w:rPr>
          <w:rFonts w:ascii="Book Antiqua" w:hAnsi="Book Antiqua" w:eastAsia="Book Antiqua" w:cs="Book Antiqua"/>
          <w:color w:val="000000"/>
        </w:rPr>
        <w:t>: 139-144 [PMID: 31782108 DOI: 10.1007/s12471-019-01350-8]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Shaukat A</w:t>
      </w:r>
      <w:r>
        <w:rPr>
          <w:rFonts w:ascii="Book Antiqua" w:hAnsi="Book Antiqua" w:eastAsia="Book Antiqua" w:cs="Book Antiqua"/>
          <w:color w:val="000000"/>
        </w:rPr>
        <w:t xml:space="preserve">, Hryniewicz-Czeneszew K, Sun B, Mudy K, Wilson K, Tajti P, Stanberry L, Garberich R, Sandoval Y, Burke MN, Chavez I, Gössl M, Henry T, Lips D, Mooney M, Poulose A, Sorajja P, Traverse J, Wang Y, Bradley S, Brilakis ES. Outcomes of Extracorporeal Membrane Oxygenation Support for Complex High-Risk Elective Percutaneous Coronary Interventions: A Single-Center Experience and Review of the Literature. </w:t>
      </w:r>
      <w:r>
        <w:rPr>
          <w:rFonts w:ascii="Book Antiqua" w:hAnsi="Book Antiqua" w:eastAsia="Book Antiqua" w:cs="Book Antiqua"/>
          <w:i/>
          <w:iCs/>
          <w:color w:val="000000"/>
        </w:rPr>
        <w:t>J Invasive Cardiol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456-460 [PMID: 30504514]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Tomasello SD</w:t>
      </w:r>
      <w:r>
        <w:rPr>
          <w:rFonts w:ascii="Book Antiqua" w:hAnsi="Book Antiqua" w:eastAsia="Book Antiqua" w:cs="Book Antiqua"/>
          <w:color w:val="000000"/>
        </w:rPr>
        <w:t xml:space="preserve">, Boukhris M, Ganyukov V, Galassi AR, Shukevich D, Haes B, Kochergin N, Tarasov R, Popov V, Barbarash L. Outcome of extracorporeal membrane oxygenation support for complex high-risk elective percutaneous coronary interventions: A single-center experience. </w:t>
      </w:r>
      <w:r>
        <w:rPr>
          <w:rFonts w:ascii="Book Antiqua" w:hAnsi="Book Antiqua" w:eastAsia="Book Antiqua" w:cs="Book Antiqua"/>
          <w:i/>
          <w:iCs/>
          <w:color w:val="000000"/>
        </w:rPr>
        <w:t>Heart Lung</w:t>
      </w:r>
      <w:r>
        <w:rPr>
          <w:rFonts w:ascii="Book Antiqua" w:hAnsi="Book Antiqua" w:eastAsia="Book Antiqua" w:cs="Book Antiqua"/>
          <w:color w:val="000000"/>
        </w:rPr>
        <w:t xml:space="preserve"> 2015; </w:t>
      </w:r>
      <w:r>
        <w:rPr>
          <w:rFonts w:ascii="Book Antiqua" w:hAnsi="Book Antiqua" w:eastAsia="Book Antiqua" w:cs="Book Antiqua"/>
          <w:b/>
          <w:bCs/>
          <w:color w:val="000000"/>
        </w:rPr>
        <w:t>44</w:t>
      </w:r>
      <w:r>
        <w:rPr>
          <w:rFonts w:ascii="Book Antiqua" w:hAnsi="Book Antiqua" w:eastAsia="Book Antiqua" w:cs="Book Antiqua"/>
          <w:color w:val="000000"/>
        </w:rPr>
        <w:t>: 309-313 [PMID: 25913808 DOI: 10.1016/j.hrtlng.2015.03.005]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Shi WJ</w:t>
      </w:r>
      <w:r>
        <w:rPr>
          <w:rFonts w:ascii="Book Antiqua" w:hAnsi="Book Antiqua" w:eastAsia="Book Antiqua" w:cs="Book Antiqua"/>
          <w:color w:val="000000"/>
        </w:rPr>
        <w:t xml:space="preserve">, Zhang YX, Xu GP, Ma QJ, Qin JH, Wu XH, Wang L. Extracorporeal Membrane Oxygenation-Assisted Percutaneous Coronary Intervention in Extremely High-Risk Patients.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2018; </w:t>
      </w:r>
      <w:r>
        <w:rPr>
          <w:rFonts w:ascii="Book Antiqua" w:hAnsi="Book Antiqua" w:eastAsia="Book Antiqua" w:cs="Book Antiqua"/>
          <w:b/>
          <w:bCs/>
          <w:color w:val="000000"/>
        </w:rPr>
        <w:t>131</w:t>
      </w:r>
      <w:r>
        <w:rPr>
          <w:rFonts w:ascii="Book Antiqua" w:hAnsi="Book Antiqua" w:eastAsia="Book Antiqua" w:cs="Book Antiqua"/>
          <w:color w:val="000000"/>
        </w:rPr>
        <w:t>: 1625-1627 [PMID: 29941718 DOI: 10.4103/0366-6999.235108]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Loskutov OA</w:t>
      </w:r>
      <w:r>
        <w:rPr>
          <w:rFonts w:ascii="Book Antiqua" w:hAnsi="Book Antiqua" w:eastAsia="Book Antiqua" w:cs="Book Antiqua"/>
          <w:color w:val="000000"/>
        </w:rPr>
        <w:t xml:space="preserve">, Druzhyna OM, Dziuba DO, Maruniak SR, Loskutov DO, Veremchuk SF, Kovtun HI, Todurov BM. Extracorporeal Membrane Oxygenation during Percutaneous Coronary Intervention in Patients with Coronary Heart Disease. </w:t>
      </w:r>
      <w:r>
        <w:rPr>
          <w:rFonts w:ascii="Book Antiqua" w:hAnsi="Book Antiqua" w:eastAsia="Book Antiqua" w:cs="Book Antiqua"/>
          <w:i/>
          <w:iCs/>
          <w:color w:val="000000"/>
        </w:rPr>
        <w:t>J Extra Corpor 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xml:space="preserve">: 196-202 [PMID: </w:t>
      </w:r>
      <w:bookmarkStart w:id="7" w:name="OLE_LINK3929"/>
      <w:bookmarkStart w:id="8" w:name="OLE_LINK3928"/>
      <w:r>
        <w:rPr>
          <w:rFonts w:ascii="Book Antiqua" w:hAnsi="Book Antiqua" w:eastAsia="Book Antiqua" w:cs="Book Antiqua"/>
          <w:color w:val="000000"/>
        </w:rPr>
        <w:t>32981957</w:t>
      </w:r>
      <w:bookmarkEnd w:id="7"/>
      <w:bookmarkEnd w:id="8"/>
      <w:r>
        <w:rPr>
          <w:rFonts w:ascii="Book Antiqua" w:hAnsi="Book Antiqua" w:eastAsia="Book Antiqua" w:cs="Book Antiqua"/>
          <w:color w:val="000000"/>
        </w:rPr>
        <w:t xml:space="preserve"> DOI: 10.1182/ject-1900039]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Chieffo A</w:t>
      </w:r>
      <w:r>
        <w:rPr>
          <w:rFonts w:ascii="Book Antiqua" w:hAnsi="Book Antiqua" w:eastAsia="Book Antiqua" w:cs="Book Antiqua"/>
          <w:color w:val="000000"/>
        </w:rPr>
        <w:t xml:space="preserve">, Burzotta F, Pappalardo F, Briguori C, Garbo R, Masiero G, Nicolini E, Ribichini F, Trani C, Álvarez BC, Leor OR, Moreno R, Santos R, Fiarresga A, Silveira JB, de Prado AP, Musumeci G, Esposito G, Tarantini G. Clinical expert consensus document on the use of percutaneous left ventricular assist support devices during complex high-risk indicated PCI: Italian Society of Interventional Cardiology Working Group Endorsed by Spanish and Portuguese Interventional Cardiology Societies.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293</w:t>
      </w:r>
      <w:r>
        <w:rPr>
          <w:rFonts w:ascii="Book Antiqua" w:hAnsi="Book Antiqua" w:eastAsia="Book Antiqua" w:cs="Book Antiqua"/>
          <w:color w:val="000000"/>
        </w:rPr>
        <w:t>: 84-90 [PMID: 31174920 DOI: 10.1016/j.ijcard.2019.05.065]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Serruys PW</w:t>
      </w:r>
      <w:r>
        <w:rPr>
          <w:rFonts w:ascii="Book Antiqua" w:hAnsi="Book Antiqua" w:eastAsia="Book Antiqua" w:cs="Book Antiqua"/>
          <w:color w:val="000000"/>
        </w:rPr>
        <w:t xml:space="preserve">, Morice MC, Kappetein AP, Colombo A, Holmes DR, Mack MJ, Ståhle E, Feldman TE, van den Brand M, Bass EJ, Van Dyck N, Leadley K, Dawkins KD, Mohr FW; SYNTAX Investigators. Percutaneous coronary intervention versus coronary-artery bypass grafting for severe coronary artery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360</w:t>
      </w:r>
      <w:r>
        <w:rPr>
          <w:rFonts w:ascii="Book Antiqua" w:hAnsi="Book Antiqua" w:eastAsia="Book Antiqua" w:cs="Book Antiqua"/>
          <w:color w:val="000000"/>
        </w:rPr>
        <w:t>: 961-972 [PMID: 19228612 DOI: 10.1056/NEJMoa0804626]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Wang HY</w:t>
      </w:r>
      <w:r>
        <w:rPr>
          <w:rFonts w:ascii="Book Antiqua" w:hAnsi="Book Antiqua" w:eastAsia="Book Antiqua" w:cs="Book Antiqua"/>
          <w:color w:val="000000"/>
        </w:rPr>
        <w:t xml:space="preserve">, Dou KF, Yin D, Xu B, Zhang D, Gao RL. Risk/Benefit Tradeoff of Prolonging Dual Antiplatelet Therapy More Than 12 Months in TWILIGHT-Like High-Risk Patients After Complex Percutaneous Coronary Intervention. </w:t>
      </w:r>
      <w:r>
        <w:rPr>
          <w:rFonts w:ascii="Book Antiqua" w:hAnsi="Book Antiqua" w:eastAsia="Book Antiqua" w:cs="Book Antiqua"/>
          <w:i/>
          <w:iCs/>
          <w:color w:val="000000"/>
        </w:rPr>
        <w:t>Am J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133</w:t>
      </w:r>
      <w:r>
        <w:rPr>
          <w:rFonts w:ascii="Book Antiqua" w:hAnsi="Book Antiqua" w:eastAsia="Book Antiqua" w:cs="Book Antiqua"/>
          <w:color w:val="000000"/>
        </w:rPr>
        <w:t>: 61-70 [PMID: 32811654 DOI: 10.1016/j.amjcard.2020.07.033]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Asleh R</w:t>
      </w:r>
      <w:r>
        <w:rPr>
          <w:rFonts w:ascii="Book Antiqua" w:hAnsi="Book Antiqua" w:eastAsia="Book Antiqua" w:cs="Book Antiqua"/>
          <w:color w:val="000000"/>
        </w:rPr>
        <w:t xml:space="preserve">, Resar JR. Utilization of Percutaneous Mechanical Circulatory Support Devices in Cardiogenic Shock Complicating Acute Myocardial Infarction and High-Risk Percutaneous Coronary Interventions.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31412669 DOI: 10.3390/jcm8081209]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Craner RC</w:t>
      </w:r>
      <w:r>
        <w:rPr>
          <w:rFonts w:ascii="Book Antiqua" w:hAnsi="Book Antiqua" w:eastAsia="Book Antiqua" w:cs="Book Antiqua"/>
          <w:color w:val="000000"/>
        </w:rPr>
        <w:t xml:space="preserve">, Carvajal T, Villablanca PA, Jahanyar J, Yang EH, Ramakrishna H. The Increasing Importance of Percutaneous Mechanical Circulatory Support in High-Risk Transcatheter Coronary Interventions: An Evidence-Based Analysis. </w:t>
      </w:r>
      <w:r>
        <w:rPr>
          <w:rFonts w:ascii="Book Antiqua" w:hAnsi="Book Antiqua" w:eastAsia="Book Antiqua" w:cs="Book Antiqua"/>
          <w:i/>
          <w:iCs/>
          <w:color w:val="000000"/>
        </w:rPr>
        <w:t>J Cardiothorac Vasc Anesth</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1507-1524 [PMID: 29126678 DOI: 10.1053/j.jvca.2017.09.036]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Riley RF</w:t>
      </w:r>
      <w:r>
        <w:rPr>
          <w:rFonts w:ascii="Book Antiqua" w:hAnsi="Book Antiqua" w:eastAsia="Book Antiqua" w:cs="Book Antiqua"/>
          <w:color w:val="000000"/>
        </w:rPr>
        <w:t xml:space="preserve">, Henry TD, Mahmud E, Kirtane AJ, Brilakis ES, Goyal A, Grines CL, Lombardi WL, Maran A, Rab T, Tremmel JA, Truesdell AG, Yeh RW, Zhao DX, Jaffer FA. SCAI position statement on optimal percutaneous coronary interventional therapy for complex coronary artery disease. </w:t>
      </w:r>
      <w:r>
        <w:rPr>
          <w:rFonts w:ascii="Book Antiqua" w:hAnsi="Book Antiqua" w:eastAsia="Book Antiqua" w:cs="Book Antiqua"/>
          <w:i/>
          <w:iCs/>
          <w:color w:val="000000"/>
        </w:rPr>
        <w:t>Catheter Cardiovasc Interv</w:t>
      </w:r>
      <w:r>
        <w:rPr>
          <w:rFonts w:ascii="Book Antiqua" w:hAnsi="Book Antiqua" w:eastAsia="Book Antiqua" w:cs="Book Antiqua"/>
          <w:color w:val="000000"/>
        </w:rPr>
        <w:t xml:space="preserve"> 2020; </w:t>
      </w:r>
      <w:r>
        <w:rPr>
          <w:rFonts w:ascii="Book Antiqua" w:hAnsi="Book Antiqua" w:eastAsia="Book Antiqua" w:cs="Book Antiqua"/>
          <w:b/>
          <w:bCs/>
          <w:color w:val="000000"/>
        </w:rPr>
        <w:t>96</w:t>
      </w:r>
      <w:r>
        <w:rPr>
          <w:rFonts w:ascii="Book Antiqua" w:hAnsi="Book Antiqua" w:eastAsia="Book Antiqua" w:cs="Book Antiqua"/>
          <w:color w:val="000000"/>
        </w:rPr>
        <w:t>: 346-362 [PMID: 32406991 DOI: 10.1002/ccd.28994]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Fox KA</w:t>
      </w:r>
      <w:r>
        <w:rPr>
          <w:rFonts w:ascii="Book Antiqua" w:hAnsi="Book Antiqua" w:eastAsia="Book Antiqua" w:cs="Book Antiqua"/>
          <w:color w:val="000000"/>
        </w:rPr>
        <w:t xml:space="preserve">, Dabbous OH, Goldberg RJ, Pieper KS, Eagle KA, Van de Werf F, Avezum A, Goodman SG, Flather MD, Anderson FA Jr, Granger CB. Prediction of risk of death and myocardial infarction in the six months after presentation with acute coronary syndrome: prospective multinational observational study (GRACE). </w:t>
      </w:r>
      <w:r>
        <w:rPr>
          <w:rFonts w:ascii="Book Antiqua" w:hAnsi="Book Antiqua" w:eastAsia="Book Antiqua" w:cs="Book Antiqua"/>
          <w:i/>
          <w:iCs/>
          <w:color w:val="000000"/>
        </w:rPr>
        <w:t>BMJ</w:t>
      </w:r>
      <w:r>
        <w:rPr>
          <w:rFonts w:ascii="Book Antiqua" w:hAnsi="Book Antiqua" w:eastAsia="Book Antiqua" w:cs="Book Antiqua"/>
          <w:color w:val="000000"/>
        </w:rPr>
        <w:t xml:space="preserve"> 2006; </w:t>
      </w:r>
      <w:r>
        <w:rPr>
          <w:rFonts w:ascii="Book Antiqua" w:hAnsi="Book Antiqua" w:eastAsia="Book Antiqua" w:cs="Book Antiqua"/>
          <w:b/>
          <w:bCs/>
          <w:color w:val="000000"/>
        </w:rPr>
        <w:t>333</w:t>
      </w:r>
      <w:r>
        <w:rPr>
          <w:rFonts w:ascii="Book Antiqua" w:hAnsi="Book Antiqua" w:eastAsia="Book Antiqua" w:cs="Book Antiqua"/>
          <w:color w:val="000000"/>
        </w:rPr>
        <w:t>: 1091 [PMID: 17032691 DOI: 10.1136/bmj.38985.646481.55]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Cohen DJ</w:t>
      </w:r>
      <w:r>
        <w:rPr>
          <w:rFonts w:ascii="Book Antiqua" w:hAnsi="Book Antiqua" w:eastAsia="Book Antiqua" w:cs="Book Antiqua"/>
          <w:color w:val="000000"/>
        </w:rPr>
        <w:t xml:space="preserve">, Van Hout B, Serruys PW, Mohr FW, Macaya C, den Heijer P, Vrakking MM, Wang K, Mahoney EM, Audi S, Leadley K, Dawkins KD, Kappetein AP; Synergy between PCI with Taxus and Cardiac Surgery Investigators. Quality of life after PCI with drug-eluting stents or coronary-artery bypass surgery.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364</w:t>
      </w:r>
      <w:r>
        <w:rPr>
          <w:rFonts w:ascii="Book Antiqua" w:hAnsi="Book Antiqua" w:eastAsia="Book Antiqua" w:cs="Book Antiqua"/>
          <w:color w:val="000000"/>
        </w:rPr>
        <w:t>: 1016-1026 [PMID: 21410370 DOI: 10.1056/NEJMoa1001508]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Abdallah MS</w:t>
      </w:r>
      <w:r>
        <w:rPr>
          <w:rFonts w:ascii="Book Antiqua" w:hAnsi="Book Antiqua" w:eastAsia="Book Antiqua" w:cs="Book Antiqua"/>
          <w:color w:val="000000"/>
        </w:rPr>
        <w:t xml:space="preserve">, Wang K, Magnuson EA, Spertus JA, Farkouh ME, Fuster V, Cohen DJ; FREEDOM Trial Investigators. Quality of life after PCI vs CABG among patients with diabetes and multivessel coronary artery disease: a randomized clinical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2013; </w:t>
      </w:r>
      <w:r>
        <w:rPr>
          <w:rFonts w:ascii="Book Antiqua" w:hAnsi="Book Antiqua" w:eastAsia="Book Antiqua" w:cs="Book Antiqua"/>
          <w:b/>
          <w:bCs/>
          <w:color w:val="000000"/>
        </w:rPr>
        <w:t>310</w:t>
      </w:r>
      <w:r>
        <w:rPr>
          <w:rFonts w:ascii="Book Antiqua" w:hAnsi="Book Antiqua" w:eastAsia="Book Antiqua" w:cs="Book Antiqua"/>
          <w:color w:val="000000"/>
        </w:rPr>
        <w:t>: 1581-1590 [PMID: 24129463 DOI: 10.1001/jama.2013.279208]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Velazquez EJ</w:t>
      </w:r>
      <w:r>
        <w:rPr>
          <w:rFonts w:ascii="Book Antiqua" w:hAnsi="Book Antiqua" w:eastAsia="Book Antiqua" w:cs="Book Antiqua"/>
          <w:color w:val="000000"/>
        </w:rPr>
        <w:t xml:space="preserve">, Lee KL, Jones RH, Al-Khalidi HR, Hill JA, Panza JA, Michler RE, Bonow RO, Doenst T, Petrie MC, Oh JK, She L, Moore VL, Desvigne-Nickens P, Sopko G, Rouleau JL; STICHES Investigators. Coronary-Artery Bypass Surgery in Patients with Ischemic Cardiomyopathy.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374</w:t>
      </w:r>
      <w:r>
        <w:rPr>
          <w:rFonts w:ascii="Book Antiqua" w:hAnsi="Book Antiqua" w:eastAsia="Book Antiqua" w:cs="Book Antiqua"/>
          <w:color w:val="000000"/>
        </w:rPr>
        <w:t>: 1511-1520 [PMID: 27040723 DOI: 10.1056/NEJMoa1602001]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Pavlidis AN</w:t>
      </w:r>
      <w:r>
        <w:rPr>
          <w:rFonts w:ascii="Book Antiqua" w:hAnsi="Book Antiqua" w:eastAsia="Book Antiqua" w:cs="Book Antiqua"/>
          <w:color w:val="000000"/>
        </w:rPr>
        <w:t xml:space="preserve">, Perera D, Karamasis GV, Bapat V, Young C, Clapp BR, Blauth C, Roxburgh J, Thomas MR, Redwood SR. Implementation and consistency of Heart Team decision-making in complex coronary revascularisation.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206</w:t>
      </w:r>
      <w:r>
        <w:rPr>
          <w:rFonts w:ascii="Book Antiqua" w:hAnsi="Book Antiqua" w:eastAsia="Book Antiqua" w:cs="Book Antiqua"/>
          <w:color w:val="000000"/>
        </w:rPr>
        <w:t>: 37-41 [PMID: 26774827 DOI: 10.1016/j.ijcard.2016.01.041]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Neumann FJ</w:t>
      </w:r>
      <w:r>
        <w:rPr>
          <w:rFonts w:ascii="Book Antiqua" w:hAnsi="Book Antiqua" w:eastAsia="Book Antiqua" w:cs="Book Antiqua"/>
          <w:color w:val="000000"/>
        </w:rPr>
        <w:t xml:space="preserve">, Sousa-Uva M, Ahlsson A, Alfonso F, Banning AP, Benedetto U, Byrne RA, Collet JP, Falk V, Head SJ, Jüni P, Kastrati A, Koller A, Kristensen SD, Niebauer J, Richter DJ, Seferovic PM, Sibbing D, Stefanini GG, Windecker S, Yadav R, Zembala MO; ESC Scientific Document Group. 2018 ESC/EACTS Guidelines on myocardial revascularization.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87-165 [PMID: 30165437 DOI: 10.1093/eurheartj/ehy394]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Esposito ML</w:t>
      </w:r>
      <w:r>
        <w:rPr>
          <w:rFonts w:ascii="Book Antiqua" w:hAnsi="Book Antiqua" w:eastAsia="Book Antiqua" w:cs="Book Antiqua"/>
          <w:color w:val="000000"/>
        </w:rPr>
        <w:t xml:space="preserve">, Kapur NK. Acute mechanical circulatory support for cardiogenic shock: the "door to support" time. </w:t>
      </w:r>
      <w:r>
        <w:rPr>
          <w:rFonts w:ascii="Book Antiqua" w:hAnsi="Book Antiqua" w:eastAsia="Book Antiqua" w:cs="Book Antiqua"/>
          <w:i/>
          <w:iCs/>
          <w:color w:val="000000"/>
        </w:rPr>
        <w:t>F1000Res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737 [PMID: 28580136 DOI: 10.12688/f1000research.11150.1]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Dixon SR</w:t>
      </w:r>
      <w:r>
        <w:rPr>
          <w:rFonts w:ascii="Book Antiqua" w:hAnsi="Book Antiqua" w:eastAsia="Book Antiqua" w:cs="Book Antiqua"/>
          <w:color w:val="000000"/>
        </w:rPr>
        <w:t xml:space="preserve">, Henriques JP, Mauri L, Sjauw K, Civitello A, Kar B, Loyalka P, Resnic FS, Teirstein P, Makkar R, Palacios IF, Collins M, Moses J, Benali K, O'Neill WW. A prospective feasibility trial investigating the use of the Impella 2.5 system in patients undergoing high-risk percutaneous coronary intervention (The PROTECT I Trial): initial U.S. experience. </w:t>
      </w:r>
      <w:r>
        <w:rPr>
          <w:rFonts w:ascii="Book Antiqua" w:hAnsi="Book Antiqua" w:eastAsia="Book Antiqua" w:cs="Book Antiqua"/>
          <w:i/>
          <w:iCs/>
          <w:color w:val="000000"/>
        </w:rPr>
        <w:t>JACC Cardiovasc Interv</w:t>
      </w:r>
      <w:r>
        <w:rPr>
          <w:rFonts w:ascii="Book Antiqua" w:hAnsi="Book Antiqua" w:eastAsia="Book Antiqua" w:cs="Book Antiqua"/>
          <w:color w:val="000000"/>
        </w:rPr>
        <w:t xml:space="preserve"> 2009; </w:t>
      </w:r>
      <w:r>
        <w:rPr>
          <w:rFonts w:ascii="Book Antiqua" w:hAnsi="Book Antiqua" w:eastAsia="Book Antiqua" w:cs="Book Antiqua"/>
          <w:b/>
          <w:bCs/>
          <w:color w:val="000000"/>
        </w:rPr>
        <w:t>2</w:t>
      </w:r>
      <w:r>
        <w:rPr>
          <w:rFonts w:ascii="Book Antiqua" w:hAnsi="Book Antiqua" w:eastAsia="Book Antiqua" w:cs="Book Antiqua"/>
          <w:color w:val="000000"/>
        </w:rPr>
        <w:t>: 91-96 [PMID: 19463408 DOI: 10.1016/j.jcin.2008.11.005]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O'Neill WW</w:t>
      </w:r>
      <w:r>
        <w:rPr>
          <w:rFonts w:ascii="Book Antiqua" w:hAnsi="Book Antiqua" w:eastAsia="Book Antiqua" w:cs="Book Antiqua"/>
          <w:color w:val="000000"/>
        </w:rPr>
        <w:t xml:space="preserve">, Kleiman NS, Moses J, Henriques JP, Dixon S, Massaro J, Palacios I, Maini B, Mulukutla S, Dzavík V, Popma J, Douglas PS, Ohman M. A prospective, randomized clinical trial of hemodynamic support with Impella 2.5 versus intra-aortic balloon pump in patients undergoing high-risk percutaneous coronary intervention: the PROTECT II study.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2012; </w:t>
      </w:r>
      <w:r>
        <w:rPr>
          <w:rFonts w:ascii="Book Antiqua" w:hAnsi="Book Antiqua" w:eastAsia="Book Antiqua" w:cs="Book Antiqua"/>
          <w:b/>
          <w:bCs/>
          <w:color w:val="000000"/>
        </w:rPr>
        <w:t>126</w:t>
      </w:r>
      <w:r>
        <w:rPr>
          <w:rFonts w:ascii="Book Antiqua" w:hAnsi="Book Antiqua" w:eastAsia="Book Antiqua" w:cs="Book Antiqua"/>
          <w:color w:val="000000"/>
        </w:rPr>
        <w:t>: 1717-1727 [PMID: 22935569 DOI: 10.1161/CIRCULATIONAHA.112.098194]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Amin AP</w:t>
      </w:r>
      <w:r>
        <w:rPr>
          <w:rFonts w:ascii="Book Antiqua" w:hAnsi="Book Antiqua" w:eastAsia="Book Antiqua" w:cs="Book Antiqua"/>
          <w:color w:val="000000"/>
        </w:rPr>
        <w:t xml:space="preserve">, Spertus JA, Curtis JP, Desai N, Masoudi FA, Bach RG, McNeely C, Al-Badarin F, House JA, Kulkarni H, Rao SV. The Evolving Landscape of Impella Use in the United States Among Patients Undergoing Percutaneous Coronary Intervention With Mechanical Circulatory Support.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141</w:t>
      </w:r>
      <w:r>
        <w:rPr>
          <w:rFonts w:ascii="Book Antiqua" w:hAnsi="Book Antiqua" w:eastAsia="Book Antiqua" w:cs="Book Antiqua"/>
          <w:color w:val="000000"/>
        </w:rPr>
        <w:t>: 273-284 [PMID: 31735078 DOI: 10.1161/CIRCULATIONAHA.119.044007]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Dhruva SS</w:t>
      </w:r>
      <w:r>
        <w:rPr>
          <w:rFonts w:ascii="Book Antiqua" w:hAnsi="Book Antiqua" w:eastAsia="Book Antiqua" w:cs="Book Antiqua"/>
          <w:color w:val="000000"/>
        </w:rPr>
        <w:t xml:space="preserve">, Ross JS, Mortazavi BJ, Hurley NC, Krumholz HM, Curtis JP, Berkowitz A, Masoudi FA, Messenger JC, Parzynski CS, Ngufor C, Girotra S, Amin AP, Shah ND, Desai NR. Association of Use of an Intravascular Microaxial Left Ventricular Assist Device vs Intra-aortic Balloon Pump With In-Hospital Mortality and Major Bleeding Among Patients With Acute Myocardial Infarction Complicated by Cardiogenic Shock.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734-745 [PMID: 32040163 DOI: 10.1001/jama.2020.0254]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Khera R</w:t>
      </w:r>
      <w:r>
        <w:rPr>
          <w:rFonts w:ascii="Book Antiqua" w:hAnsi="Book Antiqua" w:eastAsia="Book Antiqua" w:cs="Book Antiqua"/>
          <w:color w:val="000000"/>
        </w:rPr>
        <w:t xml:space="preserve">, Cram P, Lu X, Vyas A, Gerke A, Rosenthal GE, Horwitz PA, Girotra S. Trends in the use of percutaneous ventricular assist devices: analysis of national inpatient sample data, 2007 through 2012.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175</w:t>
      </w:r>
      <w:r>
        <w:rPr>
          <w:rFonts w:ascii="Book Antiqua" w:hAnsi="Book Antiqua" w:eastAsia="Book Antiqua" w:cs="Book Antiqua"/>
          <w:color w:val="000000"/>
        </w:rPr>
        <w:t>: 941-950 [PMID: 25822170 DOI: 10.1001/jamainternmed.2014.7856]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Brscic E</w:t>
      </w:r>
      <w:r>
        <w:rPr>
          <w:rFonts w:ascii="Book Antiqua" w:hAnsi="Book Antiqua" w:eastAsia="Book Antiqua" w:cs="Book Antiqua"/>
          <w:color w:val="000000"/>
        </w:rPr>
        <w:t xml:space="preserve">, Rovero G, Testa K, Sori P, Iannaccone M, Decio A, Russo P, Costa P, Comoglio C, Marra S. In-Hospital and Mid-Term Outcomes of ECMO Support During Coronary, Structural, or Combined Percutaneous Cardiac Intervention in High-Risk Patients - A Single-Center Experience. </w:t>
      </w:r>
      <w:r>
        <w:rPr>
          <w:rFonts w:ascii="Book Antiqua" w:hAnsi="Book Antiqua" w:eastAsia="Book Antiqua" w:cs="Book Antiqua"/>
          <w:i/>
          <w:iCs/>
          <w:color w:val="000000"/>
        </w:rPr>
        <w:t>Cardiovasc Revasc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32</w:t>
      </w:r>
      <w:r>
        <w:rPr>
          <w:rFonts w:ascii="Book Antiqua" w:hAnsi="Book Antiqua" w:eastAsia="Book Antiqua" w:cs="Book Antiqua"/>
          <w:color w:val="000000"/>
        </w:rPr>
        <w:t>: 63-67 [PMID: 33358182 DOI: 10.1016/j.carrev.2020.12.020]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Teirstein PS</w:t>
      </w:r>
      <w:r>
        <w:rPr>
          <w:rFonts w:ascii="Book Antiqua" w:hAnsi="Book Antiqua" w:eastAsia="Book Antiqua" w:cs="Book Antiqua"/>
          <w:color w:val="000000"/>
        </w:rPr>
        <w:t xml:space="preserve">, Vogel RA, Dorros G, Stertzer SH, Vandormael MG, Smith SC Jr, Overlie PA, O'Neill WW. Prophylactic versus standby cardiopulmonary support for high risk percutaneous transluminal coronary angioplasty.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1993; </w:t>
      </w:r>
      <w:r>
        <w:rPr>
          <w:rFonts w:ascii="Book Antiqua" w:hAnsi="Book Antiqua" w:eastAsia="Book Antiqua" w:cs="Book Antiqua"/>
          <w:b/>
          <w:bCs/>
          <w:color w:val="000000"/>
        </w:rPr>
        <w:t>21</w:t>
      </w:r>
      <w:r>
        <w:rPr>
          <w:rFonts w:ascii="Book Antiqua" w:hAnsi="Book Antiqua" w:eastAsia="Book Antiqua" w:cs="Book Antiqua"/>
          <w:color w:val="000000"/>
        </w:rPr>
        <w:t>: 590-596 [PMID: 8436739 DOI: 10.1016/0735-1097(93)90089-j]</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Xie A</w:t>
      </w:r>
      <w:r>
        <w:rPr>
          <w:rFonts w:ascii="Book Antiqua" w:hAnsi="Book Antiqua" w:eastAsia="Book Antiqua" w:cs="Book Antiqua"/>
          <w:color w:val="000000"/>
        </w:rPr>
        <w:t xml:space="preserve">, Forrest P, Loforte A. Left ventricular decompression in veno-arterial extracorporeal membrane oxygenation. </w:t>
      </w:r>
      <w:r>
        <w:rPr>
          <w:rFonts w:ascii="Book Antiqua" w:hAnsi="Book Antiqua" w:eastAsia="Book Antiqua" w:cs="Book Antiqua"/>
          <w:i/>
          <w:iCs/>
          <w:color w:val="000000"/>
        </w:rPr>
        <w:t>Ann Cardiothorac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9-18 [PMID: 30854308 DOI: 10.21037/acs.2018.11.07]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Combes A</w:t>
      </w:r>
      <w:r>
        <w:rPr>
          <w:rFonts w:ascii="Book Antiqua" w:hAnsi="Book Antiqua" w:eastAsia="Book Antiqua" w:cs="Book Antiqua"/>
          <w:color w:val="000000"/>
        </w:rPr>
        <w:t xml:space="preserve">, Price S, Slutsky AS, Brodie D. Temporary circulatory support for cardiogenic shock.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199-212 [PMID: 32682486 DOI: 10.1016/S0140-6736(20)31047-3]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Russo JJ</w:t>
      </w:r>
      <w:r>
        <w:rPr>
          <w:rFonts w:ascii="Book Antiqua" w:hAnsi="Book Antiqua" w:eastAsia="Book Antiqua" w:cs="Book Antiqua"/>
          <w:color w:val="000000"/>
        </w:rPr>
        <w:t xml:space="preserve">, Aleksova N, Pitcher I, Couture E, Parlow S, Faraz M, Visintini S, Simard T, Di Santo P, Mathew R, So DY, Takeda K, Garan AR, Karmpaliotis D, Takayama H, Kirtane AJ, Hibbert B. Left Ventricular Unloading During Extracorporeal Membrane Oxygenation in Patients With Cardiogenic Shock.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73</w:t>
      </w:r>
      <w:r>
        <w:rPr>
          <w:rFonts w:ascii="Book Antiqua" w:hAnsi="Book Antiqua" w:eastAsia="Book Antiqua" w:cs="Book Antiqua"/>
          <w:color w:val="000000"/>
        </w:rPr>
        <w:t>: 654-662 [PMID: 30765031 DOI: 10.1016/j.jacc.2018.10.085]</w:t>
      </w:r>
    </w:p>
    <w:bookmarkEnd w:id="5"/>
    <w:bookmarkEnd w:id="6"/>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Sixth Medical Center of PLA General Hospital Institutional Review Board (</w:t>
      </w:r>
      <w:r>
        <w:rPr>
          <w:rFonts w:ascii="Book Antiqua" w:hAnsi="Book Antiqua" w:cs="Book Antiqua"/>
          <w:color w:val="000000"/>
          <w:lang w:eastAsia="zh-CN"/>
        </w:rPr>
        <w:t>Beijing</w:t>
      </w:r>
      <w:r>
        <w:rPr>
          <w:rFonts w:ascii="Book Antiqua" w:hAnsi="Book Antiqua" w:eastAsia="Book Antiqua" w:cs="Book Antiqua"/>
          <w:color w:val="000000"/>
        </w:rPr>
        <w:t>).</w:t>
      </w:r>
    </w:p>
    <w:p>
      <w:pPr>
        <w:spacing w:line="360" w:lineRule="auto"/>
        <w:jc w:val="both"/>
        <w:rPr>
          <w:rFonts w:ascii="Book Antiqua" w:hAnsi="Book Antiqua"/>
        </w:rPr>
      </w:pPr>
    </w:p>
    <w:p>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rPr>
          <w:rFonts w:ascii="Book Antiqua" w:hAnsi="Book Antiqua"/>
          <w:highlight w:val="yellow"/>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 xml:space="preserve">Technical appendix, statistical code, and dataset are available from the corresponding author at </w:t>
      </w:r>
      <w:r>
        <w:rPr>
          <w:color w:val="000000"/>
        </w:rPr>
        <w:t>itc909@163.com</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bookmarkStart w:id="9" w:name="OLE_LINK506"/>
      <w:bookmarkStart w:id="10" w:name="OLE_LINK496"/>
      <w:bookmarkStart w:id="11" w:name="OLE_LINK507"/>
      <w:bookmarkStart w:id="12" w:name="OLE_LINK3932"/>
      <w:bookmarkStart w:id="13"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9"/>
      <w:bookmarkEnd w:id="10"/>
      <w:bookmarkEnd w:id="11"/>
      <w:bookmarkEnd w:id="12"/>
      <w:bookmarkEnd w:id="13"/>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17, 2021</w:t>
      </w:r>
    </w:p>
    <w:p>
      <w:pPr>
        <w:spacing w:line="360" w:lineRule="auto"/>
        <w:jc w:val="both"/>
        <w:rPr>
          <w:rFonts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cs="Book Antiqua"/>
          <w:b w:val="0"/>
          <w:bCs w:val="0"/>
          <w:color w:val="000000"/>
          <w:lang w:eastAsia="zh-CN"/>
        </w:rPr>
        <w:t>April 2, 2022</w:t>
      </w:r>
      <w:r>
        <w:rPr>
          <w:rFonts w:hint="eastAsia" w:ascii="Book Antiqua" w:hAnsi="Book Antiqua" w:cs="Book Antiqua"/>
          <w:b/>
          <w:color w:val="000000"/>
          <w:lang w:eastAsia="zh-CN"/>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Cardiac and </w:t>
      </w:r>
      <w:r>
        <w:rPr>
          <w:rFonts w:ascii="Book Antiqua" w:hAnsi="Book Antiqua" w:cs="Book Antiqua"/>
          <w:color w:val="000000"/>
          <w:lang w:eastAsia="zh-CN"/>
        </w:rPr>
        <w:t>c</w:t>
      </w:r>
      <w:r>
        <w:rPr>
          <w:rFonts w:ascii="Book Antiqua" w:hAnsi="Book Antiqua" w:eastAsia="Book Antiqua" w:cs="Book Antiqua"/>
          <w:color w:val="000000"/>
        </w:rPr>
        <w:t xml:space="preserve">ardiovascular </w:t>
      </w:r>
      <w:r>
        <w:rPr>
          <w:rFonts w:ascii="Book Antiqua" w:hAnsi="Book Antiqua" w:cs="Book Antiqua"/>
          <w:color w:val="000000"/>
          <w:lang w:eastAsia="zh-CN"/>
        </w:rPr>
        <w:t>s</w:t>
      </w:r>
      <w:r>
        <w:rPr>
          <w:rFonts w:ascii="Book Antiqua" w:hAnsi="Book Antiqua" w:eastAsia="Book Antiqua" w:cs="Book Antiqua"/>
          <w:color w:val="000000"/>
        </w:rPr>
        <w:t>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Lakusic N</w:t>
      </w:r>
      <w:r>
        <w:rPr>
          <w:rFonts w:hint="eastAsia" w:ascii="Book Antiqua" w:hAnsi="Book Antiqua" w:cs="Book Antiqua"/>
          <w:color w:val="000000"/>
          <w:lang w:eastAsia="zh-CN"/>
        </w:rPr>
        <w:t xml:space="preserve">, </w:t>
      </w:r>
      <w:r>
        <w:rPr>
          <w:rFonts w:ascii="Book Antiqua" w:hAnsi="Book Antiqua" w:cs="Book Antiqua"/>
          <w:color w:val="000000"/>
          <w:lang w:eastAsia="zh-CN"/>
        </w:rPr>
        <w:t>Croatia</w:t>
      </w:r>
      <w:r>
        <w:rPr>
          <w:rFonts w:ascii="Book Antiqua" w:hAnsi="Book Antiqua" w:eastAsia="Book Antiqua" w:cs="Book Antiqua"/>
          <w:b/>
          <w:color w:val="000000"/>
        </w:rPr>
        <w:t xml:space="preserve"> S-Editor: </w:t>
      </w:r>
      <w:r>
        <w:rPr>
          <w:rFonts w:ascii="Book Antiqua" w:hAnsi="Book Antiqua" w:cs="Book Antiqua"/>
          <w:color w:val="000000"/>
          <w:lang w:eastAsia="zh-CN"/>
        </w:rPr>
        <w:t>Chen YL</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ascii="Book Antiqua" w:hAnsi="Book Antiqua" w:cs="Book Antiqua"/>
          <w:color w:val="000000"/>
          <w:lang w:eastAsia="zh-CN"/>
        </w:rPr>
        <w:t>Webster JR</w:t>
      </w:r>
      <w:r>
        <w:rPr>
          <w:rFonts w:ascii="Book Antiqua" w:hAnsi="Book Antiqua" w:eastAsia="Book Antiqua" w:cs="Book Antiqua"/>
          <w:b/>
          <w:color w:val="000000"/>
        </w:rPr>
        <w:t xml:space="preserve"> P-Editor: </w:t>
      </w:r>
      <w:r>
        <w:rPr>
          <w:rFonts w:ascii="Book Antiqua" w:hAnsi="Book Antiqua" w:cs="Book Antiqua"/>
          <w:color w:val="000000"/>
          <w:lang w:eastAsia="zh-CN"/>
        </w:rPr>
        <w:t>Chen YL</w:t>
      </w:r>
    </w:p>
    <w:p>
      <w:pPr>
        <w:spacing w:line="360" w:lineRule="auto"/>
        <w:jc w:val="both"/>
        <w:rPr>
          <w:rFonts w:ascii="Book Antiqua" w:hAnsi="Book Antiqua"/>
          <w:b/>
          <w:bCs/>
          <w:lang w:eastAsia="zh-CN"/>
        </w:rPr>
      </w:pPr>
      <w:r>
        <w:rPr>
          <w:rFonts w:ascii="Book Antiqua" w:hAnsi="Book Antiqua"/>
          <w:b/>
          <w:bCs/>
        </w:rPr>
        <w:t>Table 1 Baseline clinical features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6"/>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936" w:type="dxa"/>
            <w:tcBorders>
              <w:bottom w:val="single" w:color="auto" w:sz="4" w:space="0"/>
            </w:tcBorders>
            <w:vAlign w:val="center"/>
          </w:tcPr>
          <w:p>
            <w:pPr>
              <w:spacing w:line="360" w:lineRule="auto"/>
              <w:jc w:val="both"/>
              <w:rPr>
                <w:rFonts w:ascii="Book Antiqua" w:hAnsi="Book Antiqua" w:cs="Times New Roman"/>
                <w:b/>
                <w:lang w:eastAsia="zh-CN"/>
              </w:rPr>
            </w:pPr>
            <w:r>
              <w:rPr>
                <w:rFonts w:ascii="Book Antiqua" w:hAnsi="Book Antiqua" w:cs="Times New Roman"/>
                <w:b/>
                <w:bCs/>
                <w:lang w:eastAsia="zh-CN"/>
              </w:rPr>
              <w:t>Features</w:t>
            </w:r>
          </w:p>
        </w:tc>
        <w:tc>
          <w:tcPr>
            <w:tcW w:w="1701" w:type="dxa"/>
            <w:tcBorders>
              <w:bottom w:val="single" w:color="auto" w:sz="4" w:space="0"/>
            </w:tcBorders>
            <w:vAlign w:val="center"/>
          </w:tcPr>
          <w:p>
            <w:pPr>
              <w:spacing w:line="360" w:lineRule="auto"/>
              <w:jc w:val="both"/>
              <w:rPr>
                <w:rFonts w:ascii="Book Antiqua" w:hAnsi="Book Antiqua" w:cs="Times New Roman"/>
                <w:b/>
                <w:lang w:eastAsia="zh-CN"/>
              </w:rPr>
            </w:pPr>
            <w:r>
              <w:rPr>
                <w:rFonts w:ascii="Book Antiqua" w:hAnsi="Book Antiqua" w:cs="Times New Roman"/>
                <w:b/>
                <w:lang w:eastAsia="zh-CN"/>
              </w:rPr>
              <w:t>Cases (</w:t>
            </w:r>
            <w:r>
              <w:rPr>
                <w:rFonts w:ascii="Book Antiqua" w:hAnsi="Book Antiqua" w:cs="Times New Roman"/>
                <w:b/>
                <w:i/>
                <w:lang w:eastAsia="zh-CN"/>
              </w:rPr>
              <w:t>n</w:t>
            </w:r>
            <w:r>
              <w:rPr>
                <w:rFonts w:ascii="Book Antiqua" w:hAnsi="Book Antiqua" w:cs="Times New Roman"/>
                <w:b/>
                <w:lang w:eastAsia="zh-CN"/>
              </w:rPr>
              <w:t xml:space="preserve"> = 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936" w:type="dxa"/>
            <w:tcBorders>
              <w:top w:val="single" w:color="auto" w:sz="4" w:space="0"/>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Age (yr)</w:t>
            </w:r>
          </w:p>
        </w:tc>
        <w:tc>
          <w:tcPr>
            <w:tcW w:w="1701" w:type="dxa"/>
            <w:tcBorders>
              <w:top w:val="single" w:color="auto" w:sz="4" w:space="0"/>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74 (64-79)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 xml:space="preserve">Male, </w:t>
            </w:r>
            <w:r>
              <w:rPr>
                <w:rFonts w:ascii="Book Antiqua" w:hAnsi="Book Antiqua" w:cstheme="minorBidi"/>
                <w:i/>
                <w:iCs/>
                <w:lang w:eastAsia="zh-CN"/>
              </w:rPr>
              <w:t>n</w:t>
            </w:r>
            <w:r>
              <w:rPr>
                <w:rFonts w:ascii="Book Antiqua" w:hAnsi="Book Antiqua" w:cs="Times New Roman"/>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45 (73.8)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BMI (kg/m</w:t>
            </w:r>
            <w:r>
              <w:rPr>
                <w:rFonts w:ascii="Book Antiqua" w:hAnsi="Book Antiqua" w:cs="Times New Roman"/>
                <w:vertAlign w:val="superscript"/>
                <w:lang w:eastAsia="zh-CN"/>
              </w:rPr>
              <w:t>2</w:t>
            </w:r>
            <w:r>
              <w:rPr>
                <w:rFonts w:ascii="Book Antiqua" w:hAnsi="Book Antiqua" w:cs="Times New Roman"/>
                <w:lang w:eastAsia="zh-CN"/>
              </w:rPr>
              <w:t>)</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25.0 ± 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Diabetes mellitus</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30 (49.2)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Hypertension</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40 (65.6)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Dyslipidemia</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8 (13.1)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Current smoking</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20 (32.8)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Previous MI</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20 (32.8)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Previous PCI</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9 (14.8)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Previous CABG</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11 (18.0)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Previous stroke</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16 (26.2)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COPD</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3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CRF</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30 (49.2)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Peripheral vascular disease</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3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LVEF</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42 (32-49)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LVEF ≤ 35%</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20 (32.8)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Clinical presentation STEMI</w:t>
            </w:r>
            <w:r>
              <w:rPr>
                <w:rFonts w:hint="eastAsia" w:ascii="Book Antiqua" w:hAnsi="Book Antiqua" w:cstheme="minorBidi"/>
                <w:lang w:eastAsia="zh-CN"/>
              </w:rPr>
              <w:t>,</w:t>
            </w:r>
            <w:r>
              <w:rPr>
                <w:rFonts w:hint="eastAsia" w:ascii="Book Antiqua" w:hAnsi="Book Antiqua" w:cstheme="minorBidi"/>
                <w:i/>
                <w:iCs/>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18 (29.5)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NSTEMI</w:t>
            </w:r>
            <w:r>
              <w:rPr>
                <w:rFonts w:hint="eastAsia" w:ascii="Book Antiqua" w:hAnsi="Book Antiqua" w:cstheme="minorBidi"/>
                <w:lang w:eastAsia="zh-CN"/>
              </w:rPr>
              <w:t>,</w:t>
            </w:r>
            <w:r>
              <w:rPr>
                <w:rFonts w:hint="eastAsia" w:ascii="Book Antiqua" w:hAnsi="Book Antiqua" w:cstheme="minorBidi"/>
                <w:i/>
                <w:iCs/>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heme="minorBidi"/>
                <w:lang w:eastAsia="zh-CN"/>
              </w:rPr>
              <w:t>11 (18.0)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UA</w:t>
            </w:r>
            <w:r>
              <w:rPr>
                <w:rFonts w:hint="eastAsia" w:ascii="Book Antiqua" w:hAnsi="Book Antiqua" w:cstheme="minorBidi"/>
                <w:lang w:eastAsia="zh-CN"/>
              </w:rPr>
              <w:t>,</w:t>
            </w:r>
            <w:r>
              <w:rPr>
                <w:rFonts w:hint="eastAsia" w:ascii="Book Antiqua" w:hAnsi="Book Antiqua" w:cstheme="minorBidi"/>
                <w:i/>
                <w:iCs/>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1701"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32 (52.5)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bookmarkStart w:id="14" w:name="OLE_LINK56"/>
            <w:bookmarkStart w:id="15" w:name="OLE_LINK57"/>
            <w:r>
              <w:rPr>
                <w:rFonts w:ascii="Book Antiqua" w:hAnsi="Book Antiqua" w:cs="Times New Roman"/>
                <w:vertAlign w:val="superscript"/>
                <w:lang w:eastAsia="zh-CN"/>
              </w:rPr>
              <w:t>1</w:t>
            </w:r>
            <w:r>
              <w:rPr>
                <w:rFonts w:ascii="Book Antiqua" w:hAnsi="Book Antiqua" w:cs="Times New Roman"/>
                <w:lang w:eastAsia="zh-CN"/>
              </w:rPr>
              <w:t>SYNTAX score</w:t>
            </w:r>
            <w:bookmarkEnd w:id="14"/>
            <w:bookmarkEnd w:id="15"/>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43.2 ±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EuroSCORE</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12 (10-15)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GRACE score</w:t>
            </w:r>
          </w:p>
        </w:tc>
        <w:tc>
          <w:tcPr>
            <w:tcW w:w="1701"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163 (145-195)</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 xml:space="preserve">SYNTAX score was only calculated in patients without prior CABG, </w:t>
      </w:r>
      <w:r>
        <w:rPr>
          <w:rFonts w:ascii="Book Antiqua" w:hAnsi="Book Antiqua"/>
          <w:i/>
        </w:rPr>
        <w:t>n</w:t>
      </w:r>
      <w:r>
        <w:rPr>
          <w:rFonts w:ascii="Book Antiqua" w:hAnsi="Book Antiqua"/>
        </w:rPr>
        <w:t xml:space="preserve"> = 50.</w:t>
      </w:r>
    </w:p>
    <w:p>
      <w:pPr>
        <w:spacing w:line="360" w:lineRule="auto"/>
        <w:jc w:val="both"/>
        <w:rPr>
          <w:rFonts w:ascii="Book Antiqua" w:hAnsi="Book Antiqua"/>
        </w:rPr>
      </w:pPr>
      <w:r>
        <w:rPr>
          <w:rFonts w:ascii="Book Antiqua" w:hAnsi="Book Antiqua"/>
        </w:rPr>
        <w:t xml:space="preserve">BMI: </w:t>
      </w:r>
      <w:r>
        <w:rPr>
          <w:rFonts w:ascii="Book Antiqua" w:hAnsi="Book Antiqua"/>
          <w:lang w:eastAsia="zh-CN"/>
        </w:rPr>
        <w:t>B</w:t>
      </w:r>
      <w:r>
        <w:rPr>
          <w:rFonts w:ascii="Book Antiqua" w:hAnsi="Book Antiqua"/>
        </w:rPr>
        <w:t>ody mass index</w:t>
      </w:r>
      <w:r>
        <w:rPr>
          <w:rFonts w:ascii="Book Antiqua" w:hAnsi="Book Antiqua"/>
          <w:lang w:eastAsia="zh-CN"/>
        </w:rPr>
        <w:t>;</w:t>
      </w:r>
      <w:r>
        <w:rPr>
          <w:rFonts w:ascii="Book Antiqua" w:hAnsi="Book Antiqua"/>
        </w:rPr>
        <w:t xml:space="preserve"> MI: </w:t>
      </w:r>
      <w:r>
        <w:rPr>
          <w:rFonts w:ascii="Book Antiqua" w:hAnsi="Book Antiqua"/>
          <w:lang w:eastAsia="zh-CN"/>
        </w:rPr>
        <w:t>M</w:t>
      </w:r>
      <w:r>
        <w:rPr>
          <w:rFonts w:ascii="Book Antiqua" w:hAnsi="Book Antiqua"/>
        </w:rPr>
        <w:t>yocardial infarction</w:t>
      </w:r>
      <w:r>
        <w:rPr>
          <w:rFonts w:ascii="Book Antiqua" w:hAnsi="Book Antiqua"/>
          <w:lang w:eastAsia="zh-CN"/>
        </w:rPr>
        <w:t>;</w:t>
      </w:r>
      <w:r>
        <w:rPr>
          <w:rFonts w:ascii="Book Antiqua" w:hAnsi="Book Antiqua"/>
        </w:rPr>
        <w:t xml:space="preserve"> PCI: </w:t>
      </w:r>
      <w:r>
        <w:rPr>
          <w:rFonts w:ascii="Book Antiqua" w:hAnsi="Book Antiqua"/>
          <w:lang w:eastAsia="zh-CN"/>
        </w:rPr>
        <w:t>P</w:t>
      </w:r>
      <w:r>
        <w:rPr>
          <w:rFonts w:ascii="Book Antiqua" w:hAnsi="Book Antiqua"/>
        </w:rPr>
        <w:t>ercutaneous coronary intervention</w:t>
      </w:r>
      <w:r>
        <w:rPr>
          <w:rFonts w:ascii="Book Antiqua" w:hAnsi="Book Antiqua"/>
          <w:lang w:eastAsia="zh-CN"/>
        </w:rPr>
        <w:t>;</w:t>
      </w:r>
      <w:r>
        <w:rPr>
          <w:rFonts w:ascii="Book Antiqua" w:hAnsi="Book Antiqua"/>
        </w:rPr>
        <w:t xml:space="preserve"> CABG: </w:t>
      </w:r>
      <w:r>
        <w:rPr>
          <w:rFonts w:ascii="Book Antiqua" w:hAnsi="Book Antiqua"/>
          <w:lang w:eastAsia="zh-CN"/>
        </w:rPr>
        <w:t>C</w:t>
      </w:r>
      <w:r>
        <w:rPr>
          <w:rFonts w:ascii="Book Antiqua" w:hAnsi="Book Antiqua"/>
        </w:rPr>
        <w:t>oronary artery bypass graft</w:t>
      </w:r>
      <w:r>
        <w:rPr>
          <w:rFonts w:ascii="Book Antiqua" w:hAnsi="Book Antiqua"/>
          <w:lang w:eastAsia="zh-CN"/>
        </w:rPr>
        <w:t>;</w:t>
      </w:r>
      <w:r>
        <w:rPr>
          <w:rFonts w:ascii="Book Antiqua" w:hAnsi="Book Antiqua"/>
        </w:rPr>
        <w:t xml:space="preserve"> COPD: </w:t>
      </w:r>
      <w:r>
        <w:rPr>
          <w:rFonts w:ascii="Book Antiqua" w:hAnsi="Book Antiqua"/>
          <w:lang w:eastAsia="zh-CN"/>
        </w:rPr>
        <w:t>C</w:t>
      </w:r>
      <w:r>
        <w:rPr>
          <w:rFonts w:ascii="Book Antiqua" w:hAnsi="Book Antiqua"/>
        </w:rPr>
        <w:t>hronic obstructive pulmonary disease</w:t>
      </w:r>
      <w:r>
        <w:rPr>
          <w:rFonts w:ascii="Book Antiqua" w:hAnsi="Book Antiqua"/>
          <w:lang w:eastAsia="zh-CN"/>
        </w:rPr>
        <w:t>;</w:t>
      </w:r>
      <w:r>
        <w:rPr>
          <w:rFonts w:ascii="Book Antiqua" w:hAnsi="Book Antiqua"/>
        </w:rPr>
        <w:t xml:space="preserve"> CRF: </w:t>
      </w:r>
      <w:r>
        <w:rPr>
          <w:rFonts w:ascii="Book Antiqua" w:hAnsi="Book Antiqua"/>
          <w:lang w:eastAsia="zh-CN"/>
        </w:rPr>
        <w:t>C</w:t>
      </w:r>
      <w:r>
        <w:rPr>
          <w:rFonts w:ascii="Book Antiqua" w:hAnsi="Book Antiqua"/>
        </w:rPr>
        <w:t>hronic renal failure</w:t>
      </w:r>
      <w:r>
        <w:rPr>
          <w:rFonts w:ascii="Book Antiqua" w:hAnsi="Book Antiqua"/>
          <w:lang w:eastAsia="zh-CN"/>
        </w:rPr>
        <w:t>;</w:t>
      </w:r>
      <w:r>
        <w:rPr>
          <w:rFonts w:ascii="Book Antiqua" w:hAnsi="Book Antiqua"/>
        </w:rPr>
        <w:t xml:space="preserve"> LVEF: </w:t>
      </w:r>
      <w:r>
        <w:rPr>
          <w:rFonts w:ascii="Book Antiqua" w:hAnsi="Book Antiqua"/>
          <w:lang w:eastAsia="zh-CN"/>
        </w:rPr>
        <w:t>L</w:t>
      </w:r>
      <w:r>
        <w:rPr>
          <w:rFonts w:ascii="Book Antiqua" w:hAnsi="Book Antiqua"/>
        </w:rPr>
        <w:t>eft ventricular ejection fraction</w:t>
      </w:r>
      <w:r>
        <w:rPr>
          <w:rFonts w:ascii="Book Antiqua" w:hAnsi="Book Antiqua"/>
          <w:lang w:eastAsia="zh-CN"/>
        </w:rPr>
        <w:t>;</w:t>
      </w:r>
      <w:r>
        <w:rPr>
          <w:rFonts w:ascii="Book Antiqua" w:hAnsi="Book Antiqua"/>
        </w:rPr>
        <w:t xml:space="preserve"> STEMI: ST-elevation myocardial infarction</w:t>
      </w:r>
      <w:r>
        <w:rPr>
          <w:rFonts w:ascii="Book Antiqua" w:hAnsi="Book Antiqua"/>
          <w:lang w:eastAsia="zh-CN"/>
        </w:rPr>
        <w:t>;</w:t>
      </w:r>
      <w:r>
        <w:rPr>
          <w:rFonts w:ascii="Book Antiqua" w:hAnsi="Book Antiqua"/>
        </w:rPr>
        <w:t xml:space="preserve"> NSTEMI: </w:t>
      </w:r>
      <w:r>
        <w:rPr>
          <w:rFonts w:ascii="Book Antiqua" w:hAnsi="Book Antiqua"/>
          <w:lang w:eastAsia="zh-CN"/>
        </w:rPr>
        <w:t>N</w:t>
      </w:r>
      <w:r>
        <w:rPr>
          <w:rFonts w:ascii="Book Antiqua" w:hAnsi="Book Antiqua"/>
        </w:rPr>
        <w:t>on-ST-elevation myocardial infarction</w:t>
      </w:r>
      <w:r>
        <w:rPr>
          <w:rFonts w:ascii="Book Antiqua" w:hAnsi="Book Antiqua"/>
          <w:lang w:eastAsia="zh-CN"/>
        </w:rPr>
        <w:t>;</w:t>
      </w:r>
      <w:r>
        <w:rPr>
          <w:rFonts w:ascii="Book Antiqua" w:hAnsi="Book Antiqua"/>
        </w:rPr>
        <w:t xml:space="preserve"> UA: </w:t>
      </w:r>
      <w:r>
        <w:rPr>
          <w:rFonts w:ascii="Book Antiqua" w:hAnsi="Book Antiqua"/>
          <w:lang w:eastAsia="zh-CN"/>
        </w:rPr>
        <w:t>U</w:t>
      </w:r>
      <w:r>
        <w:rPr>
          <w:rFonts w:ascii="Book Antiqua" w:hAnsi="Book Antiqua"/>
        </w:rPr>
        <w:t>nstable angina.</w:t>
      </w:r>
    </w:p>
    <w:p>
      <w:pPr>
        <w:spacing w:line="360" w:lineRule="auto"/>
        <w:jc w:val="both"/>
        <w:rPr>
          <w:rFonts w:ascii="Book Antiqua" w:hAnsi="Book Antiqua"/>
          <w:lang w:eastAsia="zh-CN"/>
        </w:rPr>
      </w:pPr>
    </w:p>
    <w:p>
      <w:pPr>
        <w:spacing w:line="360" w:lineRule="auto"/>
        <w:jc w:val="both"/>
        <w:rPr>
          <w:rFonts w:ascii="Book Antiqua" w:hAnsi="Book Antiqua"/>
          <w:b/>
          <w:bCs/>
        </w:rPr>
      </w:pPr>
      <w:bookmarkStart w:id="16" w:name="OLE_LINK65"/>
      <w:bookmarkStart w:id="17" w:name="OLE_LINK51"/>
      <w:r>
        <w:rPr>
          <w:rFonts w:ascii="Book Antiqua" w:hAnsi="Book Antiqua"/>
          <w:b/>
          <w:bCs/>
        </w:rPr>
        <w:t>Table 2 Procedural characteristics</w:t>
      </w:r>
    </w:p>
    <w:tbl>
      <w:tblPr>
        <w:tblStyle w:val="8"/>
        <w:tblW w:w="59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94"/>
        <w:gridCol w:w="21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794" w:type="dxa"/>
            <w:tcBorders>
              <w:top w:val="single" w:color="auto" w:sz="4" w:space="0"/>
            </w:tcBorders>
            <w:vAlign w:val="center"/>
          </w:tcPr>
          <w:p>
            <w:pPr>
              <w:spacing w:line="360" w:lineRule="auto"/>
              <w:jc w:val="both"/>
              <w:rPr>
                <w:rFonts w:ascii="Book Antiqua" w:hAnsi="Book Antiqua" w:cs="Times New Roman"/>
                <w:b/>
                <w:lang w:eastAsia="zh-CN"/>
              </w:rPr>
            </w:pPr>
            <w:r>
              <w:rPr>
                <w:rFonts w:ascii="Book Antiqua" w:hAnsi="Book Antiqua" w:cs="Times New Roman"/>
                <w:b/>
                <w:bCs/>
                <w:lang w:eastAsia="zh-CN"/>
              </w:rPr>
              <w:t>Characteristics</w:t>
            </w:r>
          </w:p>
        </w:tc>
        <w:tc>
          <w:tcPr>
            <w:tcW w:w="2126" w:type="dxa"/>
            <w:tcBorders>
              <w:top w:val="single" w:color="auto" w:sz="4" w:space="0"/>
            </w:tcBorders>
            <w:vAlign w:val="center"/>
          </w:tcPr>
          <w:p>
            <w:pPr>
              <w:spacing w:line="360" w:lineRule="auto"/>
              <w:jc w:val="both"/>
              <w:rPr>
                <w:rFonts w:ascii="Book Antiqua" w:hAnsi="Book Antiqua" w:cs="Times New Roman"/>
                <w:b/>
                <w:lang w:eastAsia="zh-CN"/>
              </w:rPr>
            </w:pPr>
            <w:r>
              <w:rPr>
                <w:rFonts w:ascii="Book Antiqua" w:hAnsi="Book Antiqua" w:cs="Times New Roman"/>
                <w:b/>
                <w:lang w:eastAsia="zh-CN"/>
              </w:rPr>
              <w:t>Patients (</w:t>
            </w:r>
            <w:r>
              <w:rPr>
                <w:rFonts w:ascii="Book Antiqua" w:hAnsi="Book Antiqua" w:cs="Times New Roman"/>
                <w:b/>
                <w:i/>
                <w:lang w:eastAsia="zh-CN"/>
              </w:rPr>
              <w:t>n</w:t>
            </w:r>
            <w:r>
              <w:rPr>
                <w:rFonts w:ascii="Book Antiqua" w:hAnsi="Book Antiqua" w:cs="Times New Roman"/>
                <w:b/>
                <w:lang w:eastAsia="zh-CN"/>
              </w:rPr>
              <w:t xml:space="preserve"> = 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794" w:type="dxa"/>
            <w:tcBorders>
              <w:top w:val="single" w:color="auto" w:sz="4" w:space="0"/>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IABP</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2126" w:type="dxa"/>
            <w:tcBorders>
              <w:top w:val="single" w:color="auto" w:sz="4" w:space="0"/>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25 (41.0)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Successful PCI</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57 (93.4)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Number of DESs</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2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Duration of VA-ECMO (h)</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1.6 (1.2-2.4)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Dosage of contrast (mL)</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120 (95-161)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Residual SYNTAX score</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18.9 ± 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Intraoperative hypotension</w:t>
            </w:r>
            <w:r>
              <w:rPr>
                <w:rFonts w:hint="eastAsia" w:ascii="Book Antiqua" w:hAnsi="Book Antiqua" w:cstheme="minorBidi"/>
                <w:lang w:eastAsia="zh-CN"/>
              </w:rPr>
              <w:t xml:space="preserve">, </w:t>
            </w:r>
            <w:r>
              <w:rPr>
                <w:rFonts w:ascii="Book Antiqua" w:hAnsi="Book Antiqua" w:cstheme="minorBidi"/>
                <w:i/>
                <w:iCs/>
                <w:lang w:eastAsia="zh-CN"/>
              </w:rPr>
              <w:t>n</w:t>
            </w:r>
            <w:r>
              <w:rPr>
                <w:rFonts w:ascii="Book Antiqua" w:hAnsi="Book Antiqua" w:cstheme="minorBidi"/>
                <w:lang w:eastAsia="zh-CN"/>
              </w:rPr>
              <w:t xml:space="preserve"> (%)</w:t>
            </w:r>
          </w:p>
        </w:tc>
        <w:tc>
          <w:tcPr>
            <w:tcW w:w="2126" w:type="dxa"/>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15 (24.6)</w:t>
            </w:r>
          </w:p>
        </w:tc>
      </w:tr>
    </w:tbl>
    <w:p>
      <w:pPr>
        <w:spacing w:line="360" w:lineRule="auto"/>
        <w:jc w:val="both"/>
        <w:rPr>
          <w:rFonts w:ascii="Book Antiqua" w:hAnsi="Book Antiqua"/>
          <w:lang w:eastAsia="zh-CN"/>
        </w:rPr>
      </w:pPr>
      <w:r>
        <w:rPr>
          <w:rFonts w:ascii="Book Antiqua" w:hAnsi="Book Antiqua"/>
        </w:rPr>
        <w:t xml:space="preserve">IABP: </w:t>
      </w:r>
      <w:r>
        <w:rPr>
          <w:rFonts w:ascii="Book Antiqua" w:hAnsi="Book Antiqua"/>
          <w:lang w:eastAsia="zh-CN"/>
        </w:rPr>
        <w:t>I</w:t>
      </w:r>
      <w:r>
        <w:rPr>
          <w:rFonts w:ascii="Book Antiqua" w:hAnsi="Book Antiqua"/>
        </w:rPr>
        <w:t xml:space="preserve">ntra-aortic balloon pump; PCI: </w:t>
      </w:r>
      <w:r>
        <w:rPr>
          <w:rFonts w:ascii="Book Antiqua" w:hAnsi="Book Antiqua"/>
          <w:lang w:eastAsia="zh-CN"/>
        </w:rPr>
        <w:t>P</w:t>
      </w:r>
      <w:r>
        <w:rPr>
          <w:rFonts w:ascii="Book Antiqua" w:hAnsi="Book Antiqua"/>
        </w:rPr>
        <w:t xml:space="preserve">ercutaneous coronary intervention; DESs: </w:t>
      </w:r>
      <w:r>
        <w:rPr>
          <w:rFonts w:ascii="Book Antiqua" w:hAnsi="Book Antiqua"/>
          <w:lang w:eastAsia="zh-CN"/>
        </w:rPr>
        <w:t>D</w:t>
      </w:r>
      <w:r>
        <w:rPr>
          <w:rFonts w:ascii="Book Antiqua" w:hAnsi="Book Antiqua"/>
        </w:rPr>
        <w:t xml:space="preserve">rug-eluting stents; </w:t>
      </w:r>
      <w:bookmarkEnd w:id="16"/>
      <w:bookmarkEnd w:id="17"/>
      <w:r>
        <w:rPr>
          <w:rFonts w:ascii="Book Antiqua" w:hAnsi="Book Antiqua"/>
        </w:rPr>
        <w:t>VA</w:t>
      </w:r>
      <w:r>
        <w:rPr>
          <w:rFonts w:ascii="Book Antiqua" w:hAnsi="Book Antiqua"/>
          <w:lang w:eastAsia="zh-CN"/>
        </w:rPr>
        <w:t>-</w:t>
      </w:r>
      <w:r>
        <w:rPr>
          <w:rFonts w:ascii="Book Antiqua" w:hAnsi="Book Antiqua"/>
        </w:rPr>
        <w:t xml:space="preserve">ECMO: </w:t>
      </w:r>
      <w:r>
        <w:rPr>
          <w:rFonts w:ascii="Book Antiqua" w:hAnsi="Book Antiqua"/>
          <w:lang w:eastAsia="zh-CN"/>
        </w:rPr>
        <w:t>V</w:t>
      </w:r>
      <w:r>
        <w:rPr>
          <w:rFonts w:ascii="Book Antiqua" w:hAnsi="Book Antiqua"/>
        </w:rPr>
        <w:t>enoarterial extracorporeal membrane oxygenation.</w:t>
      </w:r>
    </w:p>
    <w:p>
      <w:pPr>
        <w:spacing w:line="360" w:lineRule="auto"/>
        <w:jc w:val="both"/>
        <w:rPr>
          <w:rFonts w:ascii="Book Antiqua" w:hAnsi="Book Antiqua"/>
          <w:b/>
          <w:bCs/>
          <w:highlight w:val="yellow"/>
          <w:lang w:eastAsia="zh-CN"/>
        </w:rPr>
      </w:pPr>
    </w:p>
    <w:p>
      <w:pPr>
        <w:spacing w:line="360" w:lineRule="auto"/>
        <w:jc w:val="both"/>
        <w:rPr>
          <w:rFonts w:ascii="Book Antiqua" w:hAnsi="Book Antiqua"/>
          <w:b/>
          <w:bCs/>
          <w:lang w:eastAsia="zh-CN"/>
        </w:rPr>
      </w:pPr>
      <w:r>
        <w:rPr>
          <w:rFonts w:ascii="Book Antiqua" w:hAnsi="Book Antiqua"/>
          <w:b/>
          <w:bCs/>
        </w:rPr>
        <w:t>Table 3 Clinical outcomes</w:t>
      </w:r>
      <w:r>
        <w:rPr>
          <w:rFonts w:ascii="Book Antiqua" w:hAnsi="Book Antiqua"/>
          <w:b/>
          <w:bCs/>
          <w:lang w:eastAsia="zh-CN"/>
        </w:rPr>
        <w:t xml:space="preserve">, </w:t>
      </w:r>
      <w:r>
        <w:rPr>
          <w:rFonts w:ascii="Book Antiqua" w:hAnsi="Book Antiqua"/>
          <w:b/>
          <w:bCs/>
          <w:i/>
          <w:iCs/>
          <w:lang w:eastAsia="zh-CN"/>
        </w:rPr>
        <w:t>n</w:t>
      </w:r>
      <w:r>
        <w:rPr>
          <w:rFonts w:ascii="Book Antiqua" w:hAnsi="Book Antiqua"/>
          <w:b/>
          <w:bCs/>
          <w:lang w:eastAsia="zh-CN"/>
        </w:rPr>
        <w:t xml:space="preserve"> (%)</w:t>
      </w:r>
    </w:p>
    <w:tbl>
      <w:tblPr>
        <w:tblStyle w:val="8"/>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94" w:type="dxa"/>
            <w:tcBorders>
              <w:top w:val="single" w:color="auto" w:sz="4" w:space="0"/>
              <w:left w:val="nil"/>
              <w:bottom w:val="single" w:color="auto" w:sz="4" w:space="0"/>
              <w:right w:val="nil"/>
            </w:tcBorders>
            <w:vAlign w:val="center"/>
          </w:tcPr>
          <w:p>
            <w:pPr>
              <w:spacing w:line="360" w:lineRule="auto"/>
              <w:jc w:val="both"/>
              <w:rPr>
                <w:rFonts w:ascii="Book Antiqua" w:hAnsi="Book Antiqua" w:cs="Times New Roman"/>
                <w:b/>
                <w:lang w:eastAsia="zh-CN"/>
              </w:rPr>
            </w:pPr>
            <w:r>
              <w:rPr>
                <w:rFonts w:ascii="Book Antiqua" w:hAnsi="Book Antiqua" w:cs="Times New Roman"/>
                <w:b/>
                <w:bCs/>
                <w:lang w:eastAsia="zh-CN"/>
              </w:rPr>
              <w:t>Characteristics</w:t>
            </w:r>
          </w:p>
        </w:tc>
        <w:tc>
          <w:tcPr>
            <w:tcW w:w="1984" w:type="dxa"/>
            <w:tcBorders>
              <w:top w:val="single" w:color="auto" w:sz="4" w:space="0"/>
              <w:left w:val="nil"/>
              <w:bottom w:val="single" w:color="auto" w:sz="4" w:space="0"/>
              <w:right w:val="nil"/>
            </w:tcBorders>
            <w:vAlign w:val="center"/>
          </w:tcPr>
          <w:p>
            <w:pPr>
              <w:spacing w:line="360" w:lineRule="auto"/>
              <w:jc w:val="both"/>
              <w:rPr>
                <w:rFonts w:ascii="Book Antiqua" w:hAnsi="Book Antiqua" w:cs="Times New Roman"/>
                <w:b/>
                <w:lang w:eastAsia="zh-CN"/>
              </w:rPr>
            </w:pPr>
            <w:r>
              <w:rPr>
                <w:rFonts w:ascii="Book Antiqua" w:hAnsi="Book Antiqua" w:cs="Times New Roman"/>
                <w:b/>
                <w:lang w:eastAsia="zh-CN"/>
              </w:rPr>
              <w:t>Patients (</w:t>
            </w:r>
            <w:r>
              <w:rPr>
                <w:rFonts w:ascii="Book Antiqua" w:hAnsi="Book Antiqua" w:cs="Times New Roman"/>
                <w:b/>
                <w:i/>
                <w:lang w:eastAsia="zh-CN"/>
              </w:rPr>
              <w:t>n</w:t>
            </w:r>
            <w:r>
              <w:rPr>
                <w:rFonts w:ascii="Book Antiqua" w:hAnsi="Book Antiqua" w:cs="Times New Roman"/>
                <w:b/>
                <w:lang w:eastAsia="zh-CN"/>
              </w:rPr>
              <w:t xml:space="preserve">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94" w:type="dxa"/>
            <w:tcBorders>
              <w:top w:val="single" w:color="auto" w:sz="4" w:space="0"/>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In-hospital mortality</w:t>
            </w:r>
          </w:p>
        </w:tc>
        <w:tc>
          <w:tcPr>
            <w:tcW w:w="1984" w:type="dxa"/>
            <w:tcBorders>
              <w:top w:val="single" w:color="auto" w:sz="4" w:space="0"/>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14 (23.0)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Cardiac shock</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10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Septic shock</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3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Early stent thrombosis</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Postoperative cerebral infarction</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4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One-year mortality</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19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Overall mortality</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33 (54.1)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Cardiac death</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18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Sepsis</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7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Hemorrhage</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Malignant tumor</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3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Fracture</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2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nil"/>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End-stage renal disease</w:t>
            </w:r>
          </w:p>
        </w:tc>
        <w:tc>
          <w:tcPr>
            <w:tcW w:w="1984" w:type="dxa"/>
            <w:tcBorders>
              <w:top w:val="nil"/>
              <w:left w:val="nil"/>
              <w:bottom w:val="nil"/>
              <w:right w:val="nil"/>
            </w:tcBorders>
            <w:vAlign w:val="center"/>
          </w:tcPr>
          <w:p>
            <w:pPr>
              <w:spacing w:line="360" w:lineRule="auto"/>
              <w:jc w:val="both"/>
              <w:rPr>
                <w:rFonts w:ascii="Book Antiqua" w:hAnsi="Book Antiqua" w:cs="Times New Roman"/>
                <w:lang w:eastAsia="zh-CN"/>
              </w:rPr>
            </w:pPr>
            <w:bookmarkStart w:id="18" w:name="OLE_LINK69"/>
            <w:bookmarkStart w:id="19" w:name="OLE_LINK68"/>
            <w:r>
              <w:rPr>
                <w:rFonts w:ascii="Book Antiqua" w:hAnsi="Book Antiqua" w:cs="Times New Roman"/>
                <w:lang w:eastAsia="zh-CN"/>
              </w:rPr>
              <w:t>1 (1.6)</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nil"/>
              <w:left w:val="nil"/>
              <w:bottom w:val="single" w:color="auto" w:sz="4" w:space="0"/>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Aplastic anemia</w:t>
            </w:r>
          </w:p>
        </w:tc>
        <w:tc>
          <w:tcPr>
            <w:tcW w:w="1984" w:type="dxa"/>
            <w:tcBorders>
              <w:top w:val="nil"/>
              <w:left w:val="nil"/>
              <w:bottom w:val="single" w:color="auto" w:sz="4" w:space="0"/>
              <w:right w:val="nil"/>
            </w:tcBorders>
            <w:vAlign w:val="center"/>
          </w:tcPr>
          <w:p>
            <w:pPr>
              <w:spacing w:line="360" w:lineRule="auto"/>
              <w:jc w:val="both"/>
              <w:rPr>
                <w:rFonts w:ascii="Book Antiqua" w:hAnsi="Book Antiqua" w:cs="Times New Roman"/>
                <w:lang w:eastAsia="zh-CN"/>
              </w:rPr>
            </w:pPr>
            <w:r>
              <w:rPr>
                <w:rFonts w:ascii="Book Antiqua" w:hAnsi="Book Antiqua" w:cs="Times New Roman"/>
                <w:lang w:eastAsia="zh-CN"/>
              </w:rPr>
              <w:t>1 (1.6)</w:t>
            </w:r>
          </w:p>
        </w:tc>
      </w:tr>
      <w:bookmarkEnd w:id="0"/>
      <w:bookmarkEnd w:id="1"/>
      <w:bookmarkEnd w:id="2"/>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029322"/>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jIxNTcwNDMxNTJR0lEKTi0uzszPAykwrgUA0CphECwAAAA="/>
    <w:docVar w:name="commondata" w:val="eyJoZGlkIjoiNzQxMjQ0YTQ0ZmU3OTI5ZWNhNzI4MzQxYjA4YWJlOTIifQ=="/>
  </w:docVars>
  <w:rsids>
    <w:rsidRoot w:val="00A77B3E"/>
    <w:rsid w:val="00006F10"/>
    <w:rsid w:val="000122F5"/>
    <w:rsid w:val="00023DAA"/>
    <w:rsid w:val="00042268"/>
    <w:rsid w:val="00056314"/>
    <w:rsid w:val="00056BC8"/>
    <w:rsid w:val="000A0C12"/>
    <w:rsid w:val="000A3D35"/>
    <w:rsid w:val="000A6157"/>
    <w:rsid w:val="000C7F02"/>
    <w:rsid w:val="000D2C0F"/>
    <w:rsid w:val="000E62B4"/>
    <w:rsid w:val="00102047"/>
    <w:rsid w:val="00123552"/>
    <w:rsid w:val="00125911"/>
    <w:rsid w:val="00131A50"/>
    <w:rsid w:val="00141074"/>
    <w:rsid w:val="00141A44"/>
    <w:rsid w:val="00142DBF"/>
    <w:rsid w:val="001626CE"/>
    <w:rsid w:val="001673F9"/>
    <w:rsid w:val="00172D81"/>
    <w:rsid w:val="00196879"/>
    <w:rsid w:val="001E7015"/>
    <w:rsid w:val="002971AE"/>
    <w:rsid w:val="002E2BEA"/>
    <w:rsid w:val="002E7AF2"/>
    <w:rsid w:val="002F69A3"/>
    <w:rsid w:val="00301D8B"/>
    <w:rsid w:val="00313160"/>
    <w:rsid w:val="003353CD"/>
    <w:rsid w:val="00381B49"/>
    <w:rsid w:val="003B00D8"/>
    <w:rsid w:val="003B4513"/>
    <w:rsid w:val="00402FD0"/>
    <w:rsid w:val="00461C9B"/>
    <w:rsid w:val="004920F0"/>
    <w:rsid w:val="004B4259"/>
    <w:rsid w:val="004C2F48"/>
    <w:rsid w:val="004E7877"/>
    <w:rsid w:val="00526D3D"/>
    <w:rsid w:val="005C7D83"/>
    <w:rsid w:val="005D244E"/>
    <w:rsid w:val="005D561E"/>
    <w:rsid w:val="005E2021"/>
    <w:rsid w:val="005E4783"/>
    <w:rsid w:val="006067CC"/>
    <w:rsid w:val="00607EE2"/>
    <w:rsid w:val="00633D7E"/>
    <w:rsid w:val="00656DEB"/>
    <w:rsid w:val="00667EA2"/>
    <w:rsid w:val="006B085B"/>
    <w:rsid w:val="006C2CB9"/>
    <w:rsid w:val="00703E6D"/>
    <w:rsid w:val="00726BB9"/>
    <w:rsid w:val="00744240"/>
    <w:rsid w:val="00753B17"/>
    <w:rsid w:val="007D2B89"/>
    <w:rsid w:val="007F3C2A"/>
    <w:rsid w:val="007F5BB9"/>
    <w:rsid w:val="008A000F"/>
    <w:rsid w:val="008A1696"/>
    <w:rsid w:val="008A78DC"/>
    <w:rsid w:val="008B197A"/>
    <w:rsid w:val="0092642B"/>
    <w:rsid w:val="0093331E"/>
    <w:rsid w:val="00987AA3"/>
    <w:rsid w:val="00993B90"/>
    <w:rsid w:val="009A7550"/>
    <w:rsid w:val="009B7A1B"/>
    <w:rsid w:val="009B7B22"/>
    <w:rsid w:val="009C5E92"/>
    <w:rsid w:val="009C7BCD"/>
    <w:rsid w:val="009D1489"/>
    <w:rsid w:val="009D46D6"/>
    <w:rsid w:val="009E784C"/>
    <w:rsid w:val="00A00DD6"/>
    <w:rsid w:val="00A32572"/>
    <w:rsid w:val="00A64A22"/>
    <w:rsid w:val="00A71A63"/>
    <w:rsid w:val="00A72BF0"/>
    <w:rsid w:val="00A74C0A"/>
    <w:rsid w:val="00A77B3E"/>
    <w:rsid w:val="00AA593F"/>
    <w:rsid w:val="00AC5A20"/>
    <w:rsid w:val="00AE0BAF"/>
    <w:rsid w:val="00B21968"/>
    <w:rsid w:val="00B43094"/>
    <w:rsid w:val="00B47696"/>
    <w:rsid w:val="00B6065D"/>
    <w:rsid w:val="00B74C68"/>
    <w:rsid w:val="00B75D9C"/>
    <w:rsid w:val="00B7781F"/>
    <w:rsid w:val="00B903FB"/>
    <w:rsid w:val="00BC7CFC"/>
    <w:rsid w:val="00BD5D52"/>
    <w:rsid w:val="00BE3BD3"/>
    <w:rsid w:val="00CA2A55"/>
    <w:rsid w:val="00CA70F7"/>
    <w:rsid w:val="00D03036"/>
    <w:rsid w:val="00D06DF6"/>
    <w:rsid w:val="00D8123E"/>
    <w:rsid w:val="00D93FC7"/>
    <w:rsid w:val="00DB7F35"/>
    <w:rsid w:val="00DC3933"/>
    <w:rsid w:val="00DE7373"/>
    <w:rsid w:val="00DE740F"/>
    <w:rsid w:val="00DF3F05"/>
    <w:rsid w:val="00E24973"/>
    <w:rsid w:val="00E63009"/>
    <w:rsid w:val="00E6357F"/>
    <w:rsid w:val="00EA2810"/>
    <w:rsid w:val="00EB7BF5"/>
    <w:rsid w:val="00EE4BB4"/>
    <w:rsid w:val="00F25517"/>
    <w:rsid w:val="00F662AE"/>
    <w:rsid w:val="00FD7988"/>
    <w:rsid w:val="00FE4D4B"/>
    <w:rsid w:val="25B7575C"/>
    <w:rsid w:val="317769AC"/>
    <w:rsid w:val="3C500574"/>
    <w:rsid w:val="6A7D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Balloon Text"/>
    <w:basedOn w:val="1"/>
    <w:link w:val="14"/>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table" w:styleId="8">
    <w:name w:val="Table Grid"/>
    <w:basedOn w:val="7"/>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批注文字 Char"/>
    <w:basedOn w:val="9"/>
    <w:link w:val="2"/>
    <w:semiHidden/>
    <w:qFormat/>
    <w:uiPriority w:val="0"/>
    <w:rPr>
      <w:sz w:val="24"/>
      <w:szCs w:val="24"/>
    </w:rPr>
  </w:style>
  <w:style w:type="character" w:customStyle="1" w:styleId="13">
    <w:name w:val="批注主题 Char"/>
    <w:basedOn w:val="12"/>
    <w:link w:val="6"/>
    <w:semiHidden/>
    <w:qFormat/>
    <w:uiPriority w:val="0"/>
    <w:rPr>
      <w:b/>
      <w:bCs/>
      <w:sz w:val="24"/>
      <w:szCs w:val="24"/>
    </w:rPr>
  </w:style>
  <w:style w:type="character" w:customStyle="1" w:styleId="14">
    <w:name w:val="批注框文本 Char"/>
    <w:basedOn w:val="9"/>
    <w:link w:val="3"/>
    <w:qFormat/>
    <w:uiPriority w:val="0"/>
    <w:rPr>
      <w:sz w:val="18"/>
      <w:szCs w:val="18"/>
    </w:rPr>
  </w:style>
  <w:style w:type="character" w:customStyle="1" w:styleId="15">
    <w:name w:val="页眉 Char"/>
    <w:basedOn w:val="9"/>
    <w:link w:val="5"/>
    <w:uiPriority w:val="0"/>
    <w:rPr>
      <w:sz w:val="18"/>
      <w:szCs w:val="18"/>
    </w:rPr>
  </w:style>
  <w:style w:type="character" w:customStyle="1" w:styleId="16">
    <w:name w:val="页脚 Char"/>
    <w:basedOn w:val="9"/>
    <w:link w:val="4"/>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0C44-B0F7-46EE-811A-ABB44D0DAB2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25</Pages>
  <Words>5380</Words>
  <Characters>32664</Characters>
  <Lines>267</Lines>
  <Paragraphs>75</Paragraphs>
  <TotalTime>0</TotalTime>
  <ScaleCrop>false</ScaleCrop>
  <LinksUpToDate>false</LinksUpToDate>
  <CharactersWithSpaces>37804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2022-04-02T03:21:00Z</dcterms:created>
  <dc:creator>黄毅雄</dc:creator>
  <cp:lastModifiedBy>晓晨</cp:lastModifiedBy>
  <dcterms:modified xsi:type="dcterms:W3CDTF">2022-06-02T14:35:20Z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5CA70EF3FC0F467191358ACECACE9C68</vt:lpwstr>
  </property>
</Properties>
</file>