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C73A" w14:textId="77777777" w:rsidR="00A77B3E" w:rsidRDefault="001F32E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9439C70" w14:textId="77777777" w:rsidR="00A77B3E" w:rsidRDefault="001F32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68171</w:t>
      </w:r>
    </w:p>
    <w:p w14:paraId="31D56083" w14:textId="77777777" w:rsidR="00A77B3E" w:rsidRDefault="001F32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1E443C0" w14:textId="77777777" w:rsidR="00A77B3E" w:rsidRDefault="00A77B3E">
      <w:pPr>
        <w:spacing w:line="360" w:lineRule="auto"/>
        <w:jc w:val="both"/>
      </w:pPr>
    </w:p>
    <w:p w14:paraId="0D080581" w14:textId="77777777" w:rsidR="00A77B3E" w:rsidRDefault="001F32E6">
      <w:pPr>
        <w:spacing w:line="360" w:lineRule="auto"/>
        <w:jc w:val="both"/>
      </w:pPr>
      <w:r>
        <w:rPr>
          <w:rFonts w:ascii="Book Antiqua" w:eastAsia="Book Antiqua" w:hAnsi="Book Antiqua" w:cs="Book Antiqua"/>
          <w:b/>
          <w:bCs/>
          <w:color w:val="000000"/>
        </w:rPr>
        <w:t>Spinocerebellar ataxia type 3 with dopamine-responsive dystonia: A case report</w:t>
      </w:r>
    </w:p>
    <w:p w14:paraId="07C7D6CC" w14:textId="77777777" w:rsidR="00A77B3E" w:rsidRDefault="00A77B3E">
      <w:pPr>
        <w:spacing w:line="360" w:lineRule="auto"/>
        <w:jc w:val="both"/>
      </w:pPr>
    </w:p>
    <w:p w14:paraId="1887F4AD" w14:textId="15DA2E41" w:rsidR="00A77B3E" w:rsidRDefault="001F32E6">
      <w:pPr>
        <w:spacing w:line="360" w:lineRule="auto"/>
        <w:jc w:val="both"/>
      </w:pPr>
      <w:r>
        <w:rPr>
          <w:rFonts w:ascii="Book Antiqua" w:eastAsia="Book Antiqua" w:hAnsi="Book Antiqua" w:cs="Book Antiqua"/>
          <w:color w:val="000000"/>
        </w:rPr>
        <w:t>Zhang X</w:t>
      </w:r>
      <w:r w:rsidR="002D6E4C">
        <w:rPr>
          <w:rFonts w:ascii="Book Antiqua" w:eastAsia="Book Antiqua" w:hAnsi="Book Antiqua" w:cs="Book Antiqua"/>
          <w:color w:val="000000"/>
        </w:rPr>
        <w:t>L</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Rare SCA3 with dopamine-responsive dystonia</w:t>
      </w:r>
    </w:p>
    <w:p w14:paraId="32C25CE7" w14:textId="77777777" w:rsidR="00A77B3E" w:rsidRDefault="00A77B3E">
      <w:pPr>
        <w:spacing w:line="360" w:lineRule="auto"/>
        <w:jc w:val="both"/>
      </w:pPr>
    </w:p>
    <w:p w14:paraId="6572CB67" w14:textId="77777777" w:rsidR="00A77B3E" w:rsidRDefault="001F32E6">
      <w:pPr>
        <w:spacing w:line="360" w:lineRule="auto"/>
        <w:jc w:val="both"/>
      </w:pPr>
      <w:r>
        <w:rPr>
          <w:rFonts w:ascii="Book Antiqua" w:eastAsia="Book Antiqua" w:hAnsi="Book Antiqua" w:cs="Book Antiqua"/>
          <w:color w:val="000000"/>
        </w:rPr>
        <w:t xml:space="preserve">Xiao-Le Zhang, Xiao-Bo Li, Fa-Feng Cheng, Shu-Ling Liu, Wen-Chao Ni, Fei-Fei Tang, Qing-Guo Wang,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-Qian Wang</w:t>
      </w:r>
    </w:p>
    <w:p w14:paraId="7FF2252D" w14:textId="77777777" w:rsidR="00A77B3E" w:rsidRDefault="00A77B3E">
      <w:pPr>
        <w:spacing w:line="360" w:lineRule="auto"/>
        <w:jc w:val="both"/>
      </w:pPr>
    </w:p>
    <w:p w14:paraId="07892BBB" w14:textId="77777777" w:rsidR="00A77B3E" w:rsidRDefault="001F32E6">
      <w:pPr>
        <w:spacing w:line="360" w:lineRule="auto"/>
        <w:jc w:val="both"/>
      </w:pPr>
      <w:r>
        <w:rPr>
          <w:rFonts w:ascii="Book Antiqua" w:eastAsia="Book Antiqua" w:hAnsi="Book Antiqua" w:cs="Book Antiqua"/>
          <w:b/>
          <w:bCs/>
          <w:color w:val="000000"/>
        </w:rPr>
        <w:t xml:space="preserve">Xiao-Le Zhang, Fa-Feng Cheng, Shu-Ling Liu, Wen-Chao Ni, Fei-Fei Tang, Qing-Guo Wang,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-Qian Wang, </w:t>
      </w:r>
      <w:r>
        <w:rPr>
          <w:rFonts w:ascii="Book Antiqua" w:eastAsia="Book Antiqua" w:hAnsi="Book Antiqua" w:cs="Book Antiqua"/>
          <w:color w:val="000000"/>
        </w:rPr>
        <w:t>School of Basic Medical Sciences, Beijing University of Chinese Medicine, Beijing 100029, China</w:t>
      </w:r>
    </w:p>
    <w:p w14:paraId="345F6C7E" w14:textId="77777777" w:rsidR="00A77B3E" w:rsidRDefault="00A77B3E">
      <w:pPr>
        <w:spacing w:line="360" w:lineRule="auto"/>
        <w:jc w:val="both"/>
      </w:pPr>
    </w:p>
    <w:p w14:paraId="4BD1E328" w14:textId="77777777" w:rsidR="00A77B3E" w:rsidRDefault="001F32E6">
      <w:pPr>
        <w:spacing w:line="360" w:lineRule="auto"/>
        <w:jc w:val="both"/>
      </w:pPr>
      <w:r>
        <w:rPr>
          <w:rFonts w:ascii="Book Antiqua" w:eastAsia="Book Antiqua" w:hAnsi="Book Antiqua" w:cs="Book Antiqua"/>
          <w:b/>
          <w:bCs/>
          <w:color w:val="000000"/>
        </w:rPr>
        <w:t xml:space="preserve">Xiao-Bo Li, </w:t>
      </w:r>
      <w:r>
        <w:rPr>
          <w:rFonts w:ascii="Book Antiqua" w:eastAsia="Book Antiqua" w:hAnsi="Book Antiqua" w:cs="Book Antiqua"/>
          <w:color w:val="000000"/>
        </w:rPr>
        <w:t>Internal Medicine-Neurology, Xi'an Third Hospital, Xi'an 710000, Shaanxi Province, China</w:t>
      </w:r>
    </w:p>
    <w:p w14:paraId="4E045703" w14:textId="77777777" w:rsidR="00A77B3E" w:rsidRDefault="00A77B3E">
      <w:pPr>
        <w:spacing w:line="360" w:lineRule="auto"/>
        <w:jc w:val="both"/>
      </w:pPr>
    </w:p>
    <w:p w14:paraId="178AF3FF" w14:textId="3872755B" w:rsidR="00A77B3E" w:rsidRDefault="001F32E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Zhang X</w:t>
      </w:r>
      <w:r w:rsidR="009C0D72">
        <w:rPr>
          <w:rFonts w:ascii="Book Antiqua" w:eastAsia="Book Antiqua" w:hAnsi="Book Antiqua" w:cs="Book Antiqua"/>
          <w:color w:val="000000"/>
        </w:rPr>
        <w:t>L</w:t>
      </w:r>
      <w:r>
        <w:rPr>
          <w:rFonts w:ascii="Book Antiqua" w:eastAsia="Book Antiqua" w:hAnsi="Book Antiqua" w:cs="Book Antiqua"/>
          <w:color w:val="000000"/>
        </w:rPr>
        <w:t xml:space="preserve"> and Li X</w:t>
      </w:r>
      <w:r w:rsidR="009C0D72">
        <w:rPr>
          <w:rFonts w:ascii="Book Antiqua" w:eastAsia="Book Antiqua" w:hAnsi="Book Antiqua" w:cs="Book Antiqua"/>
          <w:color w:val="000000"/>
        </w:rPr>
        <w:t>B</w:t>
      </w:r>
      <w:r>
        <w:rPr>
          <w:rFonts w:ascii="Book Antiqua" w:eastAsia="Book Antiqua" w:hAnsi="Book Antiqua" w:cs="Book Antiqua"/>
          <w:color w:val="000000"/>
        </w:rPr>
        <w:t xml:space="preserve"> contributed equally to this work, and were responsible for research conception and design, data collation and interpretation, and manuscript drafting; Cheng F</w:t>
      </w:r>
      <w:r w:rsidR="009C0D72">
        <w:rPr>
          <w:rFonts w:ascii="Book Antiqua" w:eastAsia="Book Antiqua" w:hAnsi="Book Antiqua" w:cs="Book Antiqua"/>
          <w:color w:val="000000"/>
        </w:rPr>
        <w:t>F</w:t>
      </w:r>
      <w:r>
        <w:rPr>
          <w:rFonts w:ascii="Book Antiqua" w:eastAsia="Book Antiqua" w:hAnsi="Book Antiqua" w:cs="Book Antiqua"/>
          <w:color w:val="000000"/>
        </w:rPr>
        <w:t>, Liu S</w:t>
      </w:r>
      <w:r w:rsidR="009C0D72">
        <w:rPr>
          <w:rFonts w:ascii="Book Antiqua" w:eastAsia="Book Antiqua" w:hAnsi="Book Antiqua" w:cs="Book Antiqua"/>
          <w:color w:val="000000"/>
        </w:rPr>
        <w:t>L</w:t>
      </w:r>
      <w:r>
        <w:rPr>
          <w:rFonts w:ascii="Book Antiqua" w:eastAsia="Book Antiqua" w:hAnsi="Book Antiqua" w:cs="Book Antiqua"/>
          <w:color w:val="000000"/>
        </w:rPr>
        <w:t>, Ni W</w:t>
      </w:r>
      <w:r w:rsidR="009C0D72">
        <w:rPr>
          <w:rFonts w:ascii="Book Antiqua" w:eastAsia="Book Antiqua" w:hAnsi="Book Antiqua" w:cs="Book Antiqua"/>
          <w:color w:val="000000"/>
        </w:rPr>
        <w:t>C</w:t>
      </w:r>
      <w:r>
        <w:rPr>
          <w:rFonts w:ascii="Book Antiqua" w:eastAsia="Book Antiqua" w:hAnsi="Book Antiqua" w:cs="Book Antiqua"/>
          <w:color w:val="000000"/>
        </w:rPr>
        <w:t>, Tang F</w:t>
      </w:r>
      <w:r w:rsidR="009C0D72">
        <w:rPr>
          <w:rFonts w:ascii="Book Antiqua" w:eastAsia="Book Antiqua" w:hAnsi="Book Antiqua" w:cs="Book Antiqua"/>
          <w:color w:val="000000"/>
        </w:rPr>
        <w:t>F</w:t>
      </w:r>
      <w:r>
        <w:rPr>
          <w:rFonts w:ascii="Book Antiqua" w:eastAsia="Book Antiqua" w:hAnsi="Book Antiqua" w:cs="Book Antiqua"/>
          <w:color w:val="000000"/>
        </w:rPr>
        <w:t>, Wang Q</w:t>
      </w:r>
      <w:r w:rsidR="009C0D72">
        <w:rPr>
          <w:rFonts w:ascii="Book Antiqua" w:eastAsia="Book Antiqua" w:hAnsi="Book Antiqua" w:cs="Book Antiqua"/>
          <w:color w:val="000000"/>
        </w:rPr>
        <w:t>G</w:t>
      </w:r>
      <w:r>
        <w:rPr>
          <w:rFonts w:ascii="Book Antiqua" w:eastAsia="Book Antiqua" w:hAnsi="Book Antiqua" w:cs="Book Antiqua"/>
          <w:color w:val="000000"/>
        </w:rPr>
        <w:t xml:space="preserve"> and Wang X</w:t>
      </w:r>
      <w:r w:rsidR="009C0D72">
        <w:rPr>
          <w:rFonts w:ascii="Book Antiqua" w:eastAsia="Book Antiqua" w:hAnsi="Book Antiqua" w:cs="Book Antiqua"/>
          <w:color w:val="000000"/>
        </w:rPr>
        <w:t>Q</w:t>
      </w:r>
      <w:r>
        <w:rPr>
          <w:rFonts w:ascii="Book Antiqua" w:eastAsia="Book Antiqua" w:hAnsi="Book Antiqua" w:cs="Book Antiqua"/>
          <w:color w:val="000000"/>
        </w:rPr>
        <w:t xml:space="preserve"> revised the manuscript for important intellectual content and gave English writing guidance; </w:t>
      </w:r>
      <w:r w:rsidR="009C0D72">
        <w:rPr>
          <w:rFonts w:ascii="Book Antiqua" w:eastAsia="Book Antiqua" w:hAnsi="Book Antiqua" w:cs="Book Antiqua"/>
          <w:color w:val="000000"/>
        </w:rPr>
        <w:t xml:space="preserve">all </w:t>
      </w:r>
      <w:r>
        <w:rPr>
          <w:rFonts w:ascii="Book Antiqua" w:eastAsia="Book Antiqua" w:hAnsi="Book Antiqua" w:cs="Book Antiqua"/>
          <w:color w:val="000000"/>
        </w:rPr>
        <w:t>authors reviewed and approved the final version to be published.</w:t>
      </w:r>
    </w:p>
    <w:p w14:paraId="48BF3250" w14:textId="77777777" w:rsidR="00A77B3E" w:rsidRDefault="00A77B3E">
      <w:pPr>
        <w:spacing w:line="360" w:lineRule="auto"/>
        <w:jc w:val="both"/>
      </w:pPr>
    </w:p>
    <w:p w14:paraId="69F9F523" w14:textId="77777777" w:rsidR="00A77B3E" w:rsidRPr="00FA375D" w:rsidRDefault="001F32E6">
      <w:pPr>
        <w:spacing w:line="360" w:lineRule="auto"/>
        <w:jc w:val="both"/>
      </w:pPr>
      <w:r w:rsidRPr="00FA375D">
        <w:rPr>
          <w:rFonts w:ascii="Book Antiqua" w:eastAsia="Book Antiqua" w:hAnsi="Book Antiqua" w:cs="Book Antiqua"/>
          <w:b/>
          <w:bCs/>
          <w:szCs w:val="21"/>
        </w:rPr>
        <w:t xml:space="preserve">Supported by </w:t>
      </w:r>
      <w:r w:rsidRPr="00FA375D">
        <w:rPr>
          <w:rFonts w:ascii="Book Antiqua" w:eastAsia="Book Antiqua" w:hAnsi="Book Antiqua" w:cs="Book Antiqua"/>
        </w:rPr>
        <w:t xml:space="preserve">the National Natural Science Foundation of China, No. </w:t>
      </w:r>
      <w:proofErr w:type="gramStart"/>
      <w:r w:rsidRPr="00FA375D">
        <w:rPr>
          <w:rFonts w:ascii="Book Antiqua" w:eastAsia="Book Antiqua" w:hAnsi="Book Antiqua" w:cs="Book Antiqua"/>
        </w:rPr>
        <w:t>81874448</w:t>
      </w:r>
      <w:proofErr w:type="gramEnd"/>
      <w:r w:rsidRPr="00FA375D">
        <w:rPr>
          <w:rFonts w:ascii="Book Antiqua" w:eastAsia="Book Antiqua" w:hAnsi="Book Antiqua" w:cs="Book Antiqua"/>
        </w:rPr>
        <w:t xml:space="preserve"> and No. 81973789.</w:t>
      </w:r>
    </w:p>
    <w:p w14:paraId="353E23E5" w14:textId="77777777" w:rsidR="00A77B3E" w:rsidRDefault="00A77B3E">
      <w:pPr>
        <w:spacing w:line="360" w:lineRule="auto"/>
        <w:jc w:val="both"/>
      </w:pPr>
    </w:p>
    <w:p w14:paraId="2BF3DC6A" w14:textId="37396C4B" w:rsidR="00A77B3E" w:rsidRDefault="001F32E6">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-Qian Wang, MD, Chief Doctor, Professor, </w:t>
      </w:r>
      <w:r>
        <w:rPr>
          <w:rFonts w:ascii="Book Antiqua" w:eastAsia="Book Antiqua" w:hAnsi="Book Antiqua" w:cs="Book Antiqua"/>
          <w:color w:val="000000"/>
        </w:rPr>
        <w:t xml:space="preserve">School of Basic Medical Sciences, Beijing University of Chinese Medicine, No. 11 </w:t>
      </w:r>
      <w:proofErr w:type="spellStart"/>
      <w:r>
        <w:rPr>
          <w:rFonts w:ascii="Book Antiqua" w:eastAsia="Book Antiqua" w:hAnsi="Book Antiqua" w:cs="Book Antiqua"/>
          <w:color w:val="000000"/>
        </w:rPr>
        <w:t>Beisanhuandong</w:t>
      </w:r>
      <w:proofErr w:type="spellEnd"/>
      <w:r>
        <w:rPr>
          <w:rFonts w:ascii="Book Antiqua" w:eastAsia="Book Antiqua" w:hAnsi="Book Antiqua" w:cs="Book Antiqua"/>
          <w:color w:val="000000"/>
        </w:rPr>
        <w:t xml:space="preserve"> Road, Beijing 100029, China. wxqbucm@126.com</w:t>
      </w:r>
    </w:p>
    <w:p w14:paraId="455B8847" w14:textId="77777777" w:rsidR="00A77B3E" w:rsidRDefault="00A77B3E">
      <w:pPr>
        <w:spacing w:line="360" w:lineRule="auto"/>
        <w:jc w:val="both"/>
      </w:pPr>
    </w:p>
    <w:p w14:paraId="6387E75A" w14:textId="77777777" w:rsidR="00A77B3E" w:rsidRDefault="001F32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27, 2021</w:t>
      </w:r>
    </w:p>
    <w:p w14:paraId="6FC3668C" w14:textId="77777777" w:rsidR="00A77B3E" w:rsidRDefault="001F32E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3641F68E" w14:textId="4B4F5539" w:rsidR="00A77B3E" w:rsidRDefault="001F32E6">
      <w:pPr>
        <w:spacing w:line="360" w:lineRule="auto"/>
        <w:jc w:val="both"/>
      </w:pPr>
      <w:r>
        <w:rPr>
          <w:rFonts w:ascii="Book Antiqua" w:eastAsia="Book Antiqua" w:hAnsi="Book Antiqua" w:cs="Book Antiqua"/>
          <w:b/>
          <w:bCs/>
          <w:color w:val="000000"/>
        </w:rPr>
        <w:t xml:space="preserve">Accepted: </w:t>
      </w:r>
      <w:r w:rsidR="006B7C95" w:rsidRPr="006B7C95">
        <w:rPr>
          <w:rFonts w:ascii="Book Antiqua" w:eastAsia="Book Antiqua" w:hAnsi="Book Antiqua" w:cs="Book Antiqua"/>
          <w:color w:val="000000"/>
        </w:rPr>
        <w:t>August 18, 2021</w:t>
      </w:r>
    </w:p>
    <w:p w14:paraId="1B9C7C6E" w14:textId="77777777" w:rsidR="00A77B3E" w:rsidRDefault="001F32E6">
      <w:pPr>
        <w:spacing w:line="360" w:lineRule="auto"/>
        <w:jc w:val="both"/>
      </w:pPr>
      <w:r>
        <w:rPr>
          <w:rFonts w:ascii="Book Antiqua" w:eastAsia="Book Antiqua" w:hAnsi="Book Antiqua" w:cs="Book Antiqua"/>
          <w:b/>
          <w:bCs/>
          <w:color w:val="000000"/>
        </w:rPr>
        <w:t xml:space="preserve">Published online: </w:t>
      </w:r>
    </w:p>
    <w:p w14:paraId="5D5E4F7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1A86D5" w14:textId="77777777" w:rsidR="00A77B3E" w:rsidRDefault="001F32E6">
      <w:pPr>
        <w:spacing w:line="360" w:lineRule="auto"/>
        <w:jc w:val="both"/>
      </w:pPr>
      <w:r>
        <w:rPr>
          <w:rFonts w:ascii="Book Antiqua" w:eastAsia="Book Antiqua" w:hAnsi="Book Antiqua" w:cs="Book Antiqua"/>
          <w:b/>
          <w:color w:val="000000"/>
        </w:rPr>
        <w:t>Abstract</w:t>
      </w:r>
    </w:p>
    <w:p w14:paraId="42B3589E" w14:textId="77777777" w:rsidR="00A77B3E" w:rsidRDefault="001F32E6">
      <w:pPr>
        <w:spacing w:line="360" w:lineRule="auto"/>
        <w:jc w:val="both"/>
      </w:pPr>
      <w:r>
        <w:rPr>
          <w:rFonts w:ascii="Book Antiqua" w:eastAsia="Book Antiqua" w:hAnsi="Book Antiqua" w:cs="Book Antiqua"/>
          <w:color w:val="000000"/>
        </w:rPr>
        <w:t>BACKGROUND</w:t>
      </w:r>
    </w:p>
    <w:p w14:paraId="755B8AEC" w14:textId="77777777" w:rsidR="00A77B3E" w:rsidRDefault="001F32E6">
      <w:pPr>
        <w:spacing w:line="360" w:lineRule="auto"/>
        <w:jc w:val="both"/>
      </w:pPr>
      <w:r>
        <w:rPr>
          <w:rFonts w:ascii="Book Antiqua" w:eastAsia="Book Antiqua" w:hAnsi="Book Antiqua" w:cs="Book Antiqua"/>
          <w:color w:val="000000"/>
        </w:rPr>
        <w:t xml:space="preserve">Spinocerebellar ataxia type 3 (SCA3) is a rare neurodegenerative disease with high genetic heterogeneity. SCA3 mainly manifests as progressive cerebellar ataxia accompanied by paralysis of extraocular muscles, dysphagia, lingual fibrillation, pyramidal tract sign, and extrapyramidal system sign. However, it rarely has clinical manifestations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Parkinson-like symptoms, and is even rarer in patients sensitive to dopamine. We report a patient initially diagnosed with dopamine-responsive dystonia who was ultimately diagnosed with SCA3 by genetic testing, which was completely different from the initial diagnosis. </w:t>
      </w:r>
    </w:p>
    <w:p w14:paraId="53ED84A8" w14:textId="77777777" w:rsidR="00A77B3E" w:rsidRDefault="00A77B3E">
      <w:pPr>
        <w:spacing w:line="360" w:lineRule="auto"/>
        <w:jc w:val="both"/>
      </w:pPr>
    </w:p>
    <w:p w14:paraId="5A0703DC" w14:textId="77777777" w:rsidR="00A77B3E" w:rsidRDefault="001F32E6">
      <w:pPr>
        <w:spacing w:line="360" w:lineRule="auto"/>
        <w:jc w:val="both"/>
      </w:pPr>
      <w:r>
        <w:rPr>
          <w:rFonts w:ascii="Book Antiqua" w:eastAsia="Book Antiqua" w:hAnsi="Book Antiqua" w:cs="Book Antiqua"/>
          <w:color w:val="000000"/>
        </w:rPr>
        <w:t>CASE SUMMARY</w:t>
      </w:r>
    </w:p>
    <w:p w14:paraId="5A2BFF2A" w14:textId="77777777" w:rsidR="00A77B3E" w:rsidRDefault="001F32E6">
      <w:pPr>
        <w:spacing w:line="360" w:lineRule="auto"/>
        <w:jc w:val="both"/>
      </w:pPr>
      <w:r>
        <w:rPr>
          <w:rFonts w:ascii="Book Antiqua" w:eastAsia="Book Antiqua" w:hAnsi="Book Antiqua" w:cs="Book Antiqua"/>
          <w:color w:val="000000"/>
        </w:rPr>
        <w:t xml:space="preserve">A 40-year-old Chinese woman was admitted to hospital due to severe inflexibility. At the beginning of the disease, she presented with anxiety and sleep disorder. At the later stage, she presented with gait disorder, which was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Parkinson's disease. Her medical history was unremarkable, but her mother, grandmother, and uncle all had similar illnesses and died due to inability to take care of themselves and related complications. Laboratory and imaging examinations showed no abnormalities, but electromyography and electroencephalography revealed delayed somatosensory evoked potentials and slow background rhythm, respectively. Her symptoms fluctuated during the daytime, and we initially diagnosed her with dopamine-responsive dystonia. After treatment with low-dose levodopa, the patient’s symptoms were significantly improved, but the final genetic diagnosis was SCA3.</w:t>
      </w:r>
    </w:p>
    <w:p w14:paraId="64E8CBD7" w14:textId="77777777" w:rsidR="00A77B3E" w:rsidRDefault="00A77B3E">
      <w:pPr>
        <w:spacing w:line="360" w:lineRule="auto"/>
        <w:jc w:val="both"/>
      </w:pPr>
    </w:p>
    <w:p w14:paraId="51E0F249" w14:textId="77777777" w:rsidR="00A77B3E" w:rsidRDefault="001F32E6">
      <w:pPr>
        <w:spacing w:line="360" w:lineRule="auto"/>
        <w:jc w:val="both"/>
      </w:pPr>
      <w:r>
        <w:rPr>
          <w:rFonts w:ascii="Book Antiqua" w:eastAsia="Book Antiqua" w:hAnsi="Book Antiqua" w:cs="Book Antiqua"/>
          <w:color w:val="000000"/>
        </w:rPr>
        <w:t>CONCLUSION</w:t>
      </w:r>
    </w:p>
    <w:p w14:paraId="3DBBCC09" w14:textId="77777777" w:rsidR="00A77B3E" w:rsidRDefault="001F32E6">
      <w:pPr>
        <w:spacing w:line="360" w:lineRule="auto"/>
        <w:jc w:val="both"/>
      </w:pPr>
      <w:r>
        <w:rPr>
          <w:rFonts w:ascii="Book Antiqua" w:eastAsia="Book Antiqua" w:hAnsi="Book Antiqua" w:cs="Book Antiqua"/>
          <w:color w:val="000000"/>
        </w:rPr>
        <w:t xml:space="preserve">SCA3 has various clinical phenotypes and needs to be differentiated from Parkinson's syndrome and dopamine-responsive dystonia. </w:t>
      </w:r>
    </w:p>
    <w:p w14:paraId="688F5639" w14:textId="77777777" w:rsidR="00A77B3E" w:rsidRDefault="00A77B3E">
      <w:pPr>
        <w:spacing w:line="360" w:lineRule="auto"/>
        <w:jc w:val="both"/>
      </w:pPr>
    </w:p>
    <w:p w14:paraId="5DEBCA8E" w14:textId="77777777" w:rsidR="00A77B3E" w:rsidRDefault="001F32E6">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Spinocerebellar ataxia type 3; Dopamine-responsive dystonia; Gene phenotype; Clinical phenotype; Differential diagnosis; Case report</w:t>
      </w:r>
    </w:p>
    <w:p w14:paraId="39C6A179" w14:textId="77777777" w:rsidR="00A77B3E" w:rsidRDefault="00A77B3E">
      <w:pPr>
        <w:spacing w:line="360" w:lineRule="auto"/>
        <w:jc w:val="both"/>
      </w:pPr>
    </w:p>
    <w:p w14:paraId="142D6A6A" w14:textId="77777777" w:rsidR="00A77B3E" w:rsidRDefault="001F32E6">
      <w:pPr>
        <w:spacing w:line="360" w:lineRule="auto"/>
        <w:jc w:val="both"/>
      </w:pPr>
      <w:r>
        <w:rPr>
          <w:rFonts w:ascii="Book Antiqua" w:eastAsia="Book Antiqua" w:hAnsi="Book Antiqua" w:cs="Book Antiqua"/>
          <w:color w:val="000000"/>
        </w:rPr>
        <w:t xml:space="preserve">Zhang XL, Li XB, Cheng FF, Liu SL, Ni WC, Tang FF, Wang QG, Wang XQ. Spinocerebellar ataxia type 3 with dopamine-responsive dystonia: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D58149D" w14:textId="77777777" w:rsidR="00A77B3E" w:rsidRDefault="00A77B3E">
      <w:pPr>
        <w:spacing w:line="360" w:lineRule="auto"/>
        <w:jc w:val="both"/>
      </w:pPr>
    </w:p>
    <w:p w14:paraId="271B960A" w14:textId="77777777" w:rsidR="00A77B3E" w:rsidRDefault="001F32E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We report a female patient initially diagnosed with dopamine-responsive dystonia. After treatment with low-dose levodopa, the patient’s symptoms were significantly improved, but she was ultimately diagnosed with spinocerebellar ataxia type 3 (SCA3) by genetic testing. Sensitivity to levodopa may be a clinical feature of SCA3, and this report could add to the evidence of the SCA3 clinical phenotypes, which need to be differentiated from Parkinson's syndrome and dopamine-responsive dystonia.</w:t>
      </w:r>
    </w:p>
    <w:p w14:paraId="6857D0A7" w14:textId="77777777" w:rsidR="00A77B3E" w:rsidRDefault="00A77B3E">
      <w:pPr>
        <w:spacing w:line="360" w:lineRule="auto"/>
        <w:jc w:val="both"/>
      </w:pPr>
    </w:p>
    <w:p w14:paraId="0BEC7A67" w14:textId="77777777" w:rsidR="00A77B3E" w:rsidRDefault="001F32E6">
      <w:pPr>
        <w:spacing w:line="360" w:lineRule="auto"/>
        <w:jc w:val="both"/>
      </w:pPr>
      <w:r>
        <w:rPr>
          <w:rFonts w:ascii="Book Antiqua" w:eastAsia="Book Antiqua" w:hAnsi="Book Antiqua" w:cs="Book Antiqua"/>
          <w:b/>
          <w:caps/>
          <w:color w:val="000000"/>
          <w:u w:val="single"/>
        </w:rPr>
        <w:t>INTRODUCTION</w:t>
      </w:r>
    </w:p>
    <w:p w14:paraId="0A206BD5" w14:textId="77777777" w:rsidR="00A77B3E" w:rsidRDefault="001F32E6">
      <w:pPr>
        <w:spacing w:line="360" w:lineRule="auto"/>
        <w:jc w:val="both"/>
      </w:pPr>
      <w:r>
        <w:rPr>
          <w:rFonts w:ascii="Book Antiqua" w:eastAsia="Book Antiqua" w:hAnsi="Book Antiqua" w:cs="Book Antiqua"/>
          <w:color w:val="000000"/>
        </w:rPr>
        <w:t xml:space="preserve">Spinocerebellar ataxia type 3 (SCA3), also known as Machado Joseph disease, is an autosomal dominant genetic disease first described by Nakano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among Portuguese immigrants in the United States in 1972. It is characterized by progressive cerebellar ataxia accompanied by paralysis of extraocular muscles, dysphagia, lingual fibrillation, pyramidal tract signs, extrapyramidal system signs, and other clinical manifestations. However, it rarely presents with symptoms of Parkinson's disease and peripheral nerve lesions and is even less common in patients sensitive to </w:t>
      </w:r>
      <w:proofErr w:type="gramStart"/>
      <w:r>
        <w:rPr>
          <w:rFonts w:ascii="Book Antiqua" w:eastAsia="Book Antiqua" w:hAnsi="Book Antiqua" w:cs="Book Antiqua"/>
          <w:color w:val="000000"/>
        </w:rPr>
        <w:t>levodopa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This phenotype has been described in cases in Singapore, but further evidence on this phenotype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clinical manifestation of the patient described in this report was typical of dopamine-responsive dystonia, with symptoms fluctuating during the daytime. The effect of low-dose levodopa treatment was significant, but unexpectedly, a final diagnosis of SCA3 was confirmed by genetic testing.</w:t>
      </w:r>
    </w:p>
    <w:p w14:paraId="18D57684" w14:textId="77777777" w:rsidR="00A77B3E" w:rsidRDefault="00A77B3E">
      <w:pPr>
        <w:spacing w:line="360" w:lineRule="auto"/>
        <w:jc w:val="both"/>
      </w:pPr>
    </w:p>
    <w:p w14:paraId="503058E7" w14:textId="77777777" w:rsidR="00A77B3E" w:rsidRDefault="001F32E6">
      <w:pPr>
        <w:spacing w:line="360" w:lineRule="auto"/>
        <w:jc w:val="both"/>
      </w:pPr>
      <w:r>
        <w:rPr>
          <w:rFonts w:ascii="Book Antiqua" w:eastAsia="Book Antiqua" w:hAnsi="Book Antiqua" w:cs="Book Antiqua"/>
          <w:b/>
          <w:caps/>
          <w:color w:val="000000"/>
          <w:u w:val="single"/>
        </w:rPr>
        <w:t>CASE PRESENTATION</w:t>
      </w:r>
    </w:p>
    <w:p w14:paraId="69CF8389" w14:textId="77777777" w:rsidR="00A77B3E" w:rsidRDefault="001F32E6">
      <w:pPr>
        <w:spacing w:line="360" w:lineRule="auto"/>
        <w:jc w:val="both"/>
      </w:pPr>
      <w:r>
        <w:rPr>
          <w:rFonts w:ascii="Book Antiqua" w:eastAsia="Book Antiqua" w:hAnsi="Book Antiqua" w:cs="Book Antiqua"/>
          <w:b/>
          <w:i/>
          <w:color w:val="000000"/>
        </w:rPr>
        <w:t>Chief complaints</w:t>
      </w:r>
    </w:p>
    <w:p w14:paraId="58F61501" w14:textId="77777777" w:rsidR="00A77B3E" w:rsidRDefault="001F32E6">
      <w:pPr>
        <w:spacing w:line="360" w:lineRule="auto"/>
        <w:jc w:val="both"/>
      </w:pPr>
      <w:r>
        <w:rPr>
          <w:rFonts w:ascii="Book Antiqua" w:eastAsia="Book Antiqua" w:hAnsi="Book Antiqua" w:cs="Book Antiqua"/>
          <w:color w:val="000000"/>
        </w:rPr>
        <w:t>A 40-year-old Chinese woman was admitted to hospital due to a 3-year history of limb inflexibility, which had become aggravated in the previous year.</w:t>
      </w:r>
    </w:p>
    <w:p w14:paraId="7390B954" w14:textId="77777777" w:rsidR="00A77B3E" w:rsidRDefault="00A77B3E">
      <w:pPr>
        <w:spacing w:line="360" w:lineRule="auto"/>
        <w:jc w:val="both"/>
      </w:pPr>
    </w:p>
    <w:p w14:paraId="1222AFEC" w14:textId="77777777" w:rsidR="00A77B3E" w:rsidRDefault="001F32E6">
      <w:pPr>
        <w:spacing w:line="360" w:lineRule="auto"/>
        <w:jc w:val="both"/>
      </w:pPr>
      <w:r>
        <w:rPr>
          <w:rFonts w:ascii="Book Antiqua" w:eastAsia="Book Antiqua" w:hAnsi="Book Antiqua" w:cs="Book Antiqua"/>
          <w:b/>
          <w:i/>
          <w:color w:val="000000"/>
        </w:rPr>
        <w:t>History of present illness</w:t>
      </w:r>
    </w:p>
    <w:p w14:paraId="57C3B37F" w14:textId="5AECA616" w:rsidR="00A77B3E" w:rsidRDefault="001F32E6">
      <w:pPr>
        <w:spacing w:line="360" w:lineRule="auto"/>
        <w:jc w:val="both"/>
      </w:pPr>
      <w:r>
        <w:rPr>
          <w:rFonts w:ascii="Book Antiqua" w:eastAsia="Book Antiqua" w:hAnsi="Book Antiqua" w:cs="Book Antiqua"/>
          <w:color w:val="000000"/>
        </w:rPr>
        <w:t xml:space="preserve">Three years before presenting to our clinic, the patient developed a feeling of heaviness and inflexibility in the right lower extremity, which was aggravated after fatigue. It could be relieved after getting up in the morning or resting and was accompanied by emotional irritability and insomnia. She went to a local hospital. The doctor diagnosed her with anxiety and depression and administered paroxetine orally.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her symptoms were not alleviated; thus, she discontinued the drug herself. Two years ago, the patient began to gradually experience difficulties with limb movement. One year ago, the patient’s gait disorder progressively aggravated. It manifested as laborious lifting of the feet off the ground, stiffness of the lower limbs, leaning forward and a forward gait, inability to stop immediately, difficulty turning around, reduced arm swing, and other symptoms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Parkinson's disease. She could not take care of herself, so she visited our hospital for treatment. </w:t>
      </w:r>
    </w:p>
    <w:p w14:paraId="09C9E2E9" w14:textId="77777777" w:rsidR="00A77B3E" w:rsidRDefault="00A77B3E">
      <w:pPr>
        <w:spacing w:line="360" w:lineRule="auto"/>
        <w:jc w:val="both"/>
      </w:pPr>
    </w:p>
    <w:p w14:paraId="2112BAF8" w14:textId="77777777" w:rsidR="00A77B3E" w:rsidRDefault="001F32E6">
      <w:pPr>
        <w:spacing w:line="360" w:lineRule="auto"/>
        <w:jc w:val="both"/>
      </w:pPr>
      <w:r>
        <w:rPr>
          <w:rFonts w:ascii="Book Antiqua" w:eastAsia="Book Antiqua" w:hAnsi="Book Antiqua" w:cs="Book Antiqua"/>
          <w:b/>
          <w:i/>
          <w:color w:val="000000"/>
        </w:rPr>
        <w:t>History of past illness</w:t>
      </w:r>
    </w:p>
    <w:p w14:paraId="669B8A04" w14:textId="77777777" w:rsidR="00A77B3E" w:rsidRDefault="001F32E6">
      <w:pPr>
        <w:spacing w:line="360" w:lineRule="auto"/>
        <w:jc w:val="both"/>
      </w:pPr>
      <w:r>
        <w:rPr>
          <w:rFonts w:ascii="Book Antiqua" w:eastAsia="Book Antiqua" w:hAnsi="Book Antiqua" w:cs="Book Antiqua"/>
          <w:color w:val="000000"/>
        </w:rPr>
        <w:t>The patient’s medical history was unremarkable.</w:t>
      </w:r>
    </w:p>
    <w:p w14:paraId="780AB80E" w14:textId="77777777" w:rsidR="00A77B3E" w:rsidRDefault="00A77B3E">
      <w:pPr>
        <w:spacing w:line="360" w:lineRule="auto"/>
        <w:jc w:val="both"/>
      </w:pPr>
    </w:p>
    <w:p w14:paraId="4E43F3E9" w14:textId="77777777" w:rsidR="00A77B3E" w:rsidRDefault="001F32E6">
      <w:pPr>
        <w:spacing w:line="360" w:lineRule="auto"/>
        <w:jc w:val="both"/>
      </w:pPr>
      <w:r>
        <w:rPr>
          <w:rFonts w:ascii="Book Antiqua" w:eastAsia="Book Antiqua" w:hAnsi="Book Antiqua" w:cs="Book Antiqua"/>
          <w:b/>
          <w:i/>
          <w:color w:val="000000"/>
        </w:rPr>
        <w:t>Personal and family history</w:t>
      </w:r>
    </w:p>
    <w:p w14:paraId="1FF1112E" w14:textId="77777777" w:rsidR="00A77B3E" w:rsidRDefault="001F32E6">
      <w:pPr>
        <w:spacing w:line="360" w:lineRule="auto"/>
        <w:jc w:val="both"/>
      </w:pPr>
      <w:r>
        <w:rPr>
          <w:rFonts w:ascii="Book Antiqua" w:eastAsia="Book Antiqua" w:hAnsi="Book Antiqua" w:cs="Book Antiqua"/>
          <w:color w:val="000000"/>
        </w:rPr>
        <w:t>The patient’s mother, grandmother, and uncle all had similar illnesses, and they eventually died because of related complications.</w:t>
      </w:r>
    </w:p>
    <w:p w14:paraId="7E2CDBE3" w14:textId="77777777" w:rsidR="00A77B3E" w:rsidRDefault="00A77B3E">
      <w:pPr>
        <w:spacing w:line="360" w:lineRule="auto"/>
        <w:jc w:val="both"/>
      </w:pPr>
    </w:p>
    <w:p w14:paraId="19FC8CED" w14:textId="77777777" w:rsidR="00A77B3E" w:rsidRDefault="001F32E6">
      <w:pPr>
        <w:spacing w:line="360" w:lineRule="auto"/>
        <w:jc w:val="both"/>
      </w:pPr>
      <w:r>
        <w:rPr>
          <w:rFonts w:ascii="Book Antiqua" w:eastAsia="Book Antiqua" w:hAnsi="Book Antiqua" w:cs="Book Antiqua"/>
          <w:b/>
          <w:i/>
          <w:color w:val="000000"/>
        </w:rPr>
        <w:t>Physical examination</w:t>
      </w:r>
    </w:p>
    <w:p w14:paraId="08B72483" w14:textId="77777777" w:rsidR="00A77B3E" w:rsidRDefault="001F32E6">
      <w:pPr>
        <w:spacing w:line="360" w:lineRule="auto"/>
        <w:jc w:val="both"/>
      </w:pPr>
      <w:r>
        <w:rPr>
          <w:rFonts w:ascii="Book Antiqua" w:eastAsia="Book Antiqua" w:hAnsi="Book Antiqua" w:cs="Book Antiqua"/>
          <w:color w:val="000000"/>
        </w:rPr>
        <w:t xml:space="preserve">The patient’s vital signs were stable, and no abnormalities were found in cardiopulmonary or abdominal examinations. The patient exhibited bradykinesia, and slight horizontal nystagmus could be seen when staring left and right. There was mild lead tube-like increase in the muscle tone of extremities, a positive Romberg sign, hyperreflexia of tendons at extremities, and positive bilateral </w:t>
      </w:r>
      <w:proofErr w:type="spellStart"/>
      <w:r>
        <w:rPr>
          <w:rFonts w:ascii="Book Antiqua" w:eastAsia="Book Antiqua" w:hAnsi="Book Antiqua" w:cs="Book Antiqua"/>
          <w:color w:val="000000"/>
        </w:rPr>
        <w:t>Chaddock</w:t>
      </w:r>
      <w:proofErr w:type="spellEnd"/>
      <w:r>
        <w:rPr>
          <w:rFonts w:ascii="Book Antiqua" w:eastAsia="Book Antiqua" w:hAnsi="Book Antiqua" w:cs="Book Antiqua"/>
          <w:color w:val="000000"/>
        </w:rPr>
        <w:t xml:space="preserve"> sign and Gordon sign.</w:t>
      </w:r>
    </w:p>
    <w:p w14:paraId="750062D8" w14:textId="77777777" w:rsidR="00A77B3E" w:rsidRDefault="00A77B3E">
      <w:pPr>
        <w:spacing w:line="360" w:lineRule="auto"/>
        <w:jc w:val="both"/>
      </w:pPr>
    </w:p>
    <w:p w14:paraId="2ADCED95" w14:textId="77777777" w:rsidR="00A77B3E" w:rsidRDefault="001F32E6">
      <w:pPr>
        <w:spacing w:line="360" w:lineRule="auto"/>
        <w:jc w:val="both"/>
      </w:pPr>
      <w:r>
        <w:rPr>
          <w:rFonts w:ascii="Book Antiqua" w:eastAsia="Book Antiqua" w:hAnsi="Book Antiqua" w:cs="Book Antiqua"/>
          <w:b/>
          <w:i/>
          <w:color w:val="000000"/>
        </w:rPr>
        <w:t>Laboratory examinations</w:t>
      </w:r>
    </w:p>
    <w:p w14:paraId="7893435E" w14:textId="77777777" w:rsidR="00A77B3E" w:rsidRDefault="001F32E6">
      <w:pPr>
        <w:spacing w:line="360" w:lineRule="auto"/>
        <w:jc w:val="both"/>
      </w:pPr>
      <w:r>
        <w:rPr>
          <w:rFonts w:ascii="Book Antiqua" w:eastAsia="Book Antiqua" w:hAnsi="Book Antiqua" w:cs="Book Antiqua"/>
          <w:color w:val="000000"/>
        </w:rPr>
        <w:t>Routine laboratory tests showed no abnormalities, and thyroid function, blood ammonia, and ceruloplasmin were all within the normal range.</w:t>
      </w:r>
    </w:p>
    <w:p w14:paraId="448C6FF9" w14:textId="77777777" w:rsidR="00A77B3E" w:rsidRDefault="00A77B3E">
      <w:pPr>
        <w:spacing w:line="360" w:lineRule="auto"/>
        <w:jc w:val="both"/>
      </w:pPr>
    </w:p>
    <w:p w14:paraId="5AB082FD" w14:textId="77777777" w:rsidR="00A77B3E" w:rsidRDefault="001F32E6">
      <w:pPr>
        <w:spacing w:line="360" w:lineRule="auto"/>
        <w:jc w:val="both"/>
      </w:pPr>
      <w:r>
        <w:rPr>
          <w:rFonts w:ascii="Book Antiqua" w:eastAsia="Book Antiqua" w:hAnsi="Book Antiqua" w:cs="Book Antiqua"/>
          <w:b/>
          <w:i/>
          <w:color w:val="000000"/>
        </w:rPr>
        <w:t>Imaging examinations</w:t>
      </w:r>
    </w:p>
    <w:p w14:paraId="409E1474" w14:textId="77777777" w:rsidR="00A77B3E" w:rsidRDefault="001F32E6">
      <w:pPr>
        <w:spacing w:line="360" w:lineRule="auto"/>
        <w:jc w:val="both"/>
      </w:pPr>
      <w:r>
        <w:rPr>
          <w:rFonts w:ascii="Book Antiqua" w:eastAsia="Book Antiqua" w:hAnsi="Book Antiqua" w:cs="Book Antiqua"/>
          <w:color w:val="000000"/>
        </w:rPr>
        <w:t xml:space="preserve">There were no obvious abnormalities in brain or spinal cord imaging. </w:t>
      </w:r>
    </w:p>
    <w:p w14:paraId="0B83793D" w14:textId="77777777" w:rsidR="00A77B3E" w:rsidRDefault="00A77B3E">
      <w:pPr>
        <w:spacing w:line="360" w:lineRule="auto"/>
        <w:jc w:val="both"/>
      </w:pPr>
    </w:p>
    <w:p w14:paraId="4DCEDD7F" w14:textId="77685CCE" w:rsidR="00A77B3E" w:rsidRPr="000F5467" w:rsidRDefault="000F5467">
      <w:pPr>
        <w:spacing w:line="360" w:lineRule="auto"/>
        <w:jc w:val="both"/>
      </w:pPr>
      <w:proofErr w:type="spellStart"/>
      <w:r>
        <w:rPr>
          <w:rFonts w:ascii="Book Antiqua" w:eastAsia="Book Antiqua" w:hAnsi="Book Antiqua" w:cs="Book Antiqua"/>
          <w:b/>
          <w:bCs/>
          <w:i/>
          <w:iCs/>
          <w:color w:val="000000"/>
        </w:rPr>
        <w:t>N</w:t>
      </w:r>
      <w:r w:rsidRPr="000F5467">
        <w:rPr>
          <w:rFonts w:ascii="Book Antiqua" w:eastAsia="Book Antiqua" w:hAnsi="Book Antiqua" w:cs="Book Antiqua"/>
          <w:b/>
          <w:bCs/>
          <w:i/>
          <w:iCs/>
          <w:color w:val="000000"/>
        </w:rPr>
        <w:t>euroelectrophysiological</w:t>
      </w:r>
      <w:proofErr w:type="spellEnd"/>
      <w:r w:rsidRPr="000F5467">
        <w:rPr>
          <w:rFonts w:ascii="Book Antiqua" w:eastAsia="Book Antiqua" w:hAnsi="Book Antiqua" w:cs="Book Antiqua"/>
          <w:b/>
          <w:bCs/>
          <w:i/>
          <w:iCs/>
          <w:color w:val="000000"/>
        </w:rPr>
        <w:t xml:space="preserve"> examination and genetic test</w:t>
      </w:r>
    </w:p>
    <w:p w14:paraId="14141DCB" w14:textId="77777777" w:rsidR="00A77B3E" w:rsidRDefault="001F32E6">
      <w:pPr>
        <w:spacing w:line="360" w:lineRule="auto"/>
        <w:jc w:val="both"/>
      </w:pPr>
      <w:r>
        <w:rPr>
          <w:rFonts w:ascii="Book Antiqua" w:eastAsia="Book Antiqua" w:hAnsi="Book Antiqua" w:cs="Book Antiqua"/>
          <w:color w:val="000000"/>
        </w:rPr>
        <w:t xml:space="preserve">In an electromyogram, the differentiation of the P15 and N20 somatosensory evoked potentials in both lower extremities was acceptable, with roughly normal incubation periods and reduced amplitudes. The incubation period of the P40 somatosensory evoked potential in both lower extremities was slightly prolonged, the waveform differentiation was poor, and the repeatability was also poor. The patient’s background rhythm in an electroencephalogram was slightly slower than normal. </w:t>
      </w:r>
    </w:p>
    <w:p w14:paraId="62C7A140" w14:textId="77777777" w:rsidR="00A77B3E" w:rsidRDefault="001F32E6">
      <w:pPr>
        <w:spacing w:line="360" w:lineRule="auto"/>
        <w:ind w:firstLine="360"/>
        <w:jc w:val="both"/>
      </w:pPr>
      <w:r>
        <w:rPr>
          <w:rFonts w:ascii="Book Antiqua" w:eastAsia="Book Antiqua" w:hAnsi="Book Antiqua" w:cs="Book Antiqua"/>
          <w:color w:val="000000"/>
        </w:rPr>
        <w:t xml:space="preserve">Genetic test showed 18 and 65 CAG repeat units of the </w:t>
      </w:r>
      <w:r>
        <w:rPr>
          <w:rFonts w:ascii="Book Antiqua" w:eastAsia="Book Antiqua" w:hAnsi="Book Antiqua" w:cs="Book Antiqua"/>
          <w:i/>
          <w:iCs/>
          <w:color w:val="000000"/>
        </w:rPr>
        <w:t>ATXN3</w:t>
      </w:r>
      <w:r>
        <w:rPr>
          <w:rFonts w:ascii="Book Antiqua" w:eastAsia="Book Antiqua" w:hAnsi="Book Antiqua" w:cs="Book Antiqua"/>
          <w:color w:val="000000"/>
        </w:rPr>
        <w:t xml:space="preserve"> gene (Figure 1).</w:t>
      </w:r>
    </w:p>
    <w:p w14:paraId="1F821069" w14:textId="77777777" w:rsidR="00A77B3E" w:rsidRDefault="00A77B3E">
      <w:pPr>
        <w:spacing w:line="360" w:lineRule="auto"/>
        <w:ind w:firstLine="360"/>
        <w:jc w:val="both"/>
      </w:pPr>
    </w:p>
    <w:p w14:paraId="5BBC3ECB" w14:textId="77777777" w:rsidR="00A77B3E" w:rsidRDefault="001F32E6">
      <w:pPr>
        <w:spacing w:line="360" w:lineRule="auto"/>
        <w:jc w:val="both"/>
      </w:pPr>
      <w:r>
        <w:rPr>
          <w:rFonts w:ascii="Book Antiqua" w:eastAsia="Book Antiqua" w:hAnsi="Book Antiqua" w:cs="Book Antiqua"/>
          <w:b/>
          <w:caps/>
          <w:color w:val="000000"/>
          <w:u w:val="single"/>
        </w:rPr>
        <w:t>FINAL DIAGNOSIS</w:t>
      </w:r>
    </w:p>
    <w:p w14:paraId="5FC1E9DB" w14:textId="77777777" w:rsidR="00A77B3E" w:rsidRDefault="001F32E6">
      <w:pPr>
        <w:spacing w:line="360" w:lineRule="auto"/>
        <w:jc w:val="both"/>
      </w:pPr>
      <w:r>
        <w:rPr>
          <w:rFonts w:ascii="Book Antiqua" w:eastAsia="Book Antiqua" w:hAnsi="Book Antiqua" w:cs="Book Antiqua"/>
          <w:color w:val="000000"/>
        </w:rPr>
        <w:t>The final diagnosis was SCA3.</w:t>
      </w:r>
    </w:p>
    <w:p w14:paraId="2D3556EB" w14:textId="77777777" w:rsidR="00A77B3E" w:rsidRDefault="00A77B3E">
      <w:pPr>
        <w:spacing w:line="360" w:lineRule="auto"/>
        <w:jc w:val="both"/>
      </w:pPr>
    </w:p>
    <w:p w14:paraId="72543F79" w14:textId="77777777" w:rsidR="00A77B3E" w:rsidRDefault="001F32E6">
      <w:pPr>
        <w:spacing w:line="360" w:lineRule="auto"/>
        <w:jc w:val="both"/>
      </w:pPr>
      <w:r>
        <w:rPr>
          <w:rFonts w:ascii="Book Antiqua" w:eastAsia="Book Antiqua" w:hAnsi="Book Antiqua" w:cs="Book Antiqua"/>
          <w:b/>
          <w:caps/>
          <w:color w:val="000000"/>
          <w:u w:val="single"/>
        </w:rPr>
        <w:t>TREATMENT</w:t>
      </w:r>
    </w:p>
    <w:p w14:paraId="2513F773" w14:textId="4ADE98CD" w:rsidR="00A77B3E" w:rsidRDefault="001F32E6">
      <w:pPr>
        <w:spacing w:line="360" w:lineRule="auto"/>
        <w:jc w:val="both"/>
      </w:pPr>
      <w:r>
        <w:rPr>
          <w:rFonts w:ascii="Book Antiqua" w:eastAsia="Book Antiqua" w:hAnsi="Book Antiqua" w:cs="Book Antiqua"/>
          <w:color w:val="000000"/>
        </w:rPr>
        <w:t xml:space="preserve">According to the clinical symptoms, the patient was administered a small oral dose (one quarter of a pill) of </w:t>
      </w:r>
      <w:proofErr w:type="spellStart"/>
      <w:r>
        <w:rPr>
          <w:rFonts w:ascii="Book Antiqua" w:eastAsia="Book Antiqua" w:hAnsi="Book Antiqua" w:cs="Book Antiqua"/>
          <w:color w:val="000000"/>
        </w:rPr>
        <w:t>madopar</w:t>
      </w:r>
      <w:proofErr w:type="spellEnd"/>
      <w:r>
        <w:rPr>
          <w:rFonts w:ascii="Book Antiqua" w:eastAsia="Book Antiqua" w:hAnsi="Book Antiqua" w:cs="Book Antiqua"/>
          <w:color w:val="000000"/>
        </w:rPr>
        <w:t xml:space="preserve"> once a day (each pill contains 200 mg levodopa and 50 mg </w:t>
      </w:r>
      <w:proofErr w:type="spellStart"/>
      <w:r>
        <w:rPr>
          <w:rFonts w:ascii="Book Antiqua" w:eastAsia="Book Antiqua" w:hAnsi="Book Antiqua" w:cs="Book Antiqua"/>
          <w:color w:val="000000"/>
        </w:rPr>
        <w:t>benserazide</w:t>
      </w:r>
      <w:proofErr w:type="spellEnd"/>
      <w:r>
        <w:rPr>
          <w:rFonts w:ascii="Book Antiqua" w:eastAsia="Book Antiqua" w:hAnsi="Book Antiqua" w:cs="Book Antiqua"/>
          <w:color w:val="000000"/>
        </w:rPr>
        <w:t xml:space="preserve">). After 14 </w:t>
      </w:r>
      <w:r w:rsidRPr="00FA375D">
        <w:rPr>
          <w:rFonts w:ascii="Book Antiqua" w:eastAsia="Book Antiqua" w:hAnsi="Book Antiqua" w:cs="Book Antiqua"/>
        </w:rPr>
        <w:t>d</w:t>
      </w:r>
      <w:r>
        <w:rPr>
          <w:rFonts w:ascii="Book Antiqua" w:eastAsia="Book Antiqua" w:hAnsi="Book Antiqua" w:cs="Book Antiqua"/>
          <w:color w:val="000000"/>
        </w:rPr>
        <w:t xml:space="preserve"> of treatment, the patient’s limb mobility improved significantly, and she was able to take care of herself and work normally. The final diagnosis was SCA3 by genetic testing in this patient who was sensitive to dopamine, which is extremely </w:t>
      </w:r>
      <w:proofErr w:type="gramStart"/>
      <w:r>
        <w:rPr>
          <w:rFonts w:ascii="Book Antiqua" w:eastAsia="Book Antiqua" w:hAnsi="Book Antiqua" w:cs="Book Antiqua"/>
          <w:color w:val="000000"/>
        </w:rPr>
        <w:t>rare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A08BF3D" w14:textId="77777777" w:rsidR="00A77B3E" w:rsidRDefault="00A77B3E">
      <w:pPr>
        <w:spacing w:line="360" w:lineRule="auto"/>
        <w:jc w:val="both"/>
      </w:pPr>
    </w:p>
    <w:p w14:paraId="0C9D2D14" w14:textId="77777777" w:rsidR="00A77B3E" w:rsidRDefault="001F32E6">
      <w:pPr>
        <w:spacing w:line="360" w:lineRule="auto"/>
        <w:jc w:val="both"/>
      </w:pPr>
      <w:r>
        <w:rPr>
          <w:rFonts w:ascii="Book Antiqua" w:eastAsia="Book Antiqua" w:hAnsi="Book Antiqua" w:cs="Book Antiqua"/>
          <w:b/>
          <w:caps/>
          <w:color w:val="000000"/>
          <w:u w:val="single"/>
        </w:rPr>
        <w:t>OUTCOME AND FOLLOW-UP</w:t>
      </w:r>
    </w:p>
    <w:p w14:paraId="04D7084C" w14:textId="77777777" w:rsidR="00A77B3E" w:rsidRDefault="001F32E6">
      <w:pPr>
        <w:spacing w:line="360" w:lineRule="auto"/>
        <w:jc w:val="both"/>
      </w:pPr>
      <w:r>
        <w:rPr>
          <w:rFonts w:ascii="Book Antiqua" w:eastAsia="Book Antiqua" w:hAnsi="Book Antiqua" w:cs="Book Antiqua"/>
          <w:color w:val="000000"/>
        </w:rPr>
        <w:t xml:space="preserve">After discharge, the patient continued to take the same daily dose of oral </w:t>
      </w:r>
      <w:proofErr w:type="spellStart"/>
      <w:r>
        <w:rPr>
          <w:rFonts w:ascii="Book Antiqua" w:eastAsia="Book Antiqua" w:hAnsi="Book Antiqua" w:cs="Book Antiqua"/>
          <w:color w:val="000000"/>
        </w:rPr>
        <w:t>madopar</w:t>
      </w:r>
      <w:proofErr w:type="spellEnd"/>
      <w:r>
        <w:rPr>
          <w:rFonts w:ascii="Book Antiqua" w:eastAsia="Book Antiqua" w:hAnsi="Book Antiqua" w:cs="Book Antiqua"/>
          <w:color w:val="000000"/>
        </w:rPr>
        <w:t>. She was able to work and perform daily activities normally.</w:t>
      </w:r>
    </w:p>
    <w:p w14:paraId="48660FA5" w14:textId="77777777" w:rsidR="00A77B3E" w:rsidRDefault="00A77B3E">
      <w:pPr>
        <w:spacing w:line="360" w:lineRule="auto"/>
        <w:jc w:val="both"/>
      </w:pPr>
    </w:p>
    <w:p w14:paraId="0E730416" w14:textId="77777777" w:rsidR="00A77B3E" w:rsidRDefault="001F32E6">
      <w:pPr>
        <w:spacing w:line="360" w:lineRule="auto"/>
        <w:jc w:val="both"/>
      </w:pPr>
      <w:r>
        <w:rPr>
          <w:rFonts w:ascii="Book Antiqua" w:eastAsia="Book Antiqua" w:hAnsi="Book Antiqua" w:cs="Book Antiqua"/>
          <w:b/>
          <w:caps/>
          <w:color w:val="000000"/>
          <w:u w:val="single"/>
        </w:rPr>
        <w:t>DISCUSSION</w:t>
      </w:r>
    </w:p>
    <w:p w14:paraId="6D707CFB" w14:textId="77777777" w:rsidR="00A77B3E" w:rsidRDefault="001F32E6">
      <w:pPr>
        <w:spacing w:line="360" w:lineRule="auto"/>
        <w:jc w:val="both"/>
      </w:pPr>
      <w:r>
        <w:rPr>
          <w:rFonts w:ascii="Book Antiqua" w:eastAsia="Book Antiqua" w:hAnsi="Book Antiqua" w:cs="Book Antiqua"/>
          <w:color w:val="000000"/>
        </w:rPr>
        <w:t xml:space="preserve">The present patient had a long clinical course of the disease. The initial manifestation was one-sided limb inflexibility with perceived heaviness, which did not affect the patient’s daily life. She went to a local hospital for medical treatment and was diagnosed with somatization caused by anxiety. Although the symptoms were gradually aggravated in the later stage, she did not comply with the treatment. SCA is characterized by progressive cerebellar ataxia and pyramidal </w:t>
      </w:r>
      <w:proofErr w:type="gramStart"/>
      <w:r>
        <w:rPr>
          <w:rFonts w:ascii="Book Antiqua" w:eastAsia="Book Antiqua" w:hAnsi="Book Antiqua" w:cs="Book Antiqua"/>
          <w:color w:val="000000"/>
        </w:rPr>
        <w:t>signs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is sometimes accompanied by extrapyramidal symptoms and muscle atrophy caused by peripheral nerve damage. In addition, gaze, dystonia, and facial and lingual atrophy are characteristics of SCA3. It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that gait ataxia is the first symptom in 92.4% of patients with SCA3. Our patient did not have these manifestations in the early stage of the disease. The initial presentation was mild anxiety symptoms and sleep disorder. In the later stage, it gradually progressed and manifested as dopamine-responsive dystonia, but Parkinson's disease could not be ruled out. Therefore, the differential diagnosis of this case was complex.</w:t>
      </w:r>
    </w:p>
    <w:p w14:paraId="0F77A3D8" w14:textId="77777777" w:rsidR="00A77B3E" w:rsidRDefault="001F32E6">
      <w:pPr>
        <w:spacing w:line="360" w:lineRule="auto"/>
        <w:ind w:firstLine="480"/>
        <w:jc w:val="both"/>
      </w:pPr>
      <w:r>
        <w:rPr>
          <w:rFonts w:ascii="Book Antiqua" w:eastAsia="Book Antiqua" w:hAnsi="Book Antiqua" w:cs="Book Antiqua"/>
          <w:color w:val="000000"/>
        </w:rPr>
        <w:t xml:space="preserve">During the treatment period, the patient mainly presented with inflexibility and stiffness in the limbs, a toe-first and forward-leaning gait, small strides, difficulty turning around, reduced arm swing, and other symptoms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Parkinson’s disease. Her symptoms fluctuated during the daytime and could be relieved after rest. Based on the family history and the lack of obvious signs of spinal cord or cerebellar atrophy on craniocerebral and spinal cord imaging, we diagnosed the patient with dopamine-responsive dystonia. After treatment with low-dose levodopa, her symptoms were significantly improved and controlled. However, the final genetic test confirmed a diagnosis of SCA3, which was quite different from the initial diagnosis. SCA3 has a wide range of clinical phenotypes, and many researchers believe that there are six clinical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Our patient presented with slow progressive Parkinsonism and was sensitive to low-dose levodopa. Her cerebellar function defect was mild, and gene testing showed short CAG repeats. These are rare in patients with SCA3, so this patient can be classified as SCA3 type IV. The patient had late onset and mild clinical symptoms. Genetic testing showed 18 and 65 CAG repeat units. This is consistent with the fewer CAG repeats reported in the literature in patients with late onset and mild symptoms. SCA3 can present with Parkinsonian symptoms and has characteristics of diurnal fluctuation, which are mainly related to disease progression in the dopaminergic system in the substantia nigra. Some scholars believe that the pathological mechanism of SCA3 is related to lesions of the substantia nigra and dentate nucleus in the </w:t>
      </w:r>
      <w:proofErr w:type="gramStart"/>
      <w:r>
        <w:rPr>
          <w:rFonts w:ascii="Book Antiqua" w:eastAsia="Book Antiqua" w:hAnsi="Book Antiqua" w:cs="Book Antiqua"/>
          <w:color w:val="000000"/>
        </w:rPr>
        <w:t>cerebellum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This may be the main pathological mechanism of SCA3 in the Parkinsonian/ataxia phenotype. Therefore, dopamine is clinically effective in the treatment of this disease.</w:t>
      </w:r>
    </w:p>
    <w:p w14:paraId="7BD55647" w14:textId="77777777" w:rsidR="00A77B3E" w:rsidRDefault="001F32E6">
      <w:pPr>
        <w:spacing w:line="360" w:lineRule="auto"/>
        <w:ind w:firstLine="480"/>
        <w:jc w:val="both"/>
      </w:pPr>
      <w:r>
        <w:rPr>
          <w:rFonts w:ascii="Book Antiqua" w:eastAsia="Book Antiqua" w:hAnsi="Book Antiqua" w:cs="Book Antiqua"/>
          <w:color w:val="000000"/>
        </w:rPr>
        <w:t xml:space="preserve">The onset of this disease was relatively late in the present patient, and there were no obvious signs of spinocerebellar injury. There was no apparent ataxia throughout the clinical course. The clinical manifestation of the patient was dopamine-responsive dystonia, which made the detection of spinocerebellar signs and diagnosis difficult. It is challenging to distinguish between dopamine-responsive dystonia, SCA3, and Parkinson’s disease. Clinicians should carefully enquire about the medical and family history of such patients and conduct a physical examination. Genetic testing is an important technique for the diagnosis of genetic diseases. Clinicians should carry out genetic testing earlier for suspected genetic diseases that are difficult to identify. The patient’s levodopa treatment was delayed for 3 years, and she remained sensitive to </w:t>
      </w:r>
      <w:proofErr w:type="spellStart"/>
      <w:r>
        <w:rPr>
          <w:rFonts w:ascii="Book Antiqua" w:eastAsia="Book Antiqua" w:hAnsi="Book Antiqua" w:cs="Book Antiqua"/>
          <w:color w:val="000000"/>
        </w:rPr>
        <w:t>madopar</w:t>
      </w:r>
      <w:proofErr w:type="spellEnd"/>
      <w:r>
        <w:rPr>
          <w:rFonts w:ascii="Book Antiqua" w:eastAsia="Book Antiqua" w:hAnsi="Book Antiqua" w:cs="Book Antiqua"/>
          <w:color w:val="000000"/>
        </w:rPr>
        <w:t xml:space="preserve">. The treatment was well-tolerated, and she was followed up for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good symptom control. </w:t>
      </w:r>
    </w:p>
    <w:p w14:paraId="425BE691" w14:textId="77777777" w:rsidR="00A77B3E" w:rsidRDefault="00A77B3E">
      <w:pPr>
        <w:spacing w:line="360" w:lineRule="auto"/>
        <w:ind w:firstLine="480"/>
        <w:jc w:val="both"/>
      </w:pPr>
    </w:p>
    <w:p w14:paraId="5AA91D6B" w14:textId="77777777" w:rsidR="00A77B3E" w:rsidRDefault="001F32E6">
      <w:pPr>
        <w:spacing w:line="360" w:lineRule="auto"/>
        <w:jc w:val="both"/>
      </w:pPr>
      <w:r>
        <w:rPr>
          <w:rFonts w:ascii="Book Antiqua" w:eastAsia="Book Antiqua" w:hAnsi="Book Antiqua" w:cs="Book Antiqua"/>
          <w:b/>
          <w:caps/>
          <w:color w:val="000000"/>
          <w:u w:val="single"/>
        </w:rPr>
        <w:t>CONCLUSION</w:t>
      </w:r>
    </w:p>
    <w:p w14:paraId="24DA7C6C" w14:textId="77777777" w:rsidR="00A77B3E" w:rsidRDefault="001F32E6">
      <w:pPr>
        <w:spacing w:line="360" w:lineRule="auto"/>
        <w:jc w:val="both"/>
      </w:pPr>
      <w:r>
        <w:rPr>
          <w:rFonts w:ascii="Book Antiqua" w:eastAsia="Book Antiqua" w:hAnsi="Book Antiqua" w:cs="Book Antiqua"/>
          <w:color w:val="000000"/>
        </w:rPr>
        <w:t>This case suggests that SCA3 has various clinical phenotypes which must be differentiated from Parkinson’s disease and dopamine-responsive dystonia. For patients with atypical SCA3 with anxiety symptoms, sleep disorders, and a relevant family history, clinicians should perform genetic testing as soon as possible. Therefore, sensitivity to levodopa may be a clinical feature of SCA3, and this report could add to the evidence on the clinical phenotype of SCA3.</w:t>
      </w:r>
    </w:p>
    <w:p w14:paraId="6CE3F9F2" w14:textId="77777777" w:rsidR="00A77B3E" w:rsidRDefault="00A77B3E">
      <w:pPr>
        <w:spacing w:line="360" w:lineRule="auto"/>
        <w:jc w:val="both"/>
      </w:pPr>
    </w:p>
    <w:p w14:paraId="00F8BA65" w14:textId="77777777" w:rsidR="00A77B3E" w:rsidRDefault="001F32E6">
      <w:pPr>
        <w:spacing w:line="360" w:lineRule="auto"/>
        <w:jc w:val="both"/>
      </w:pPr>
      <w:r>
        <w:rPr>
          <w:rFonts w:ascii="Book Antiqua" w:eastAsia="Book Antiqua" w:hAnsi="Book Antiqua" w:cs="Book Antiqua"/>
          <w:b/>
          <w:color w:val="000000"/>
        </w:rPr>
        <w:t>REFERENCES</w:t>
      </w:r>
    </w:p>
    <w:p w14:paraId="6113635F" w14:textId="77777777" w:rsidR="00A77B3E" w:rsidRDefault="001F32E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Nakano KK</w:t>
      </w:r>
      <w:r>
        <w:rPr>
          <w:rFonts w:ascii="Book Antiqua" w:eastAsia="Book Antiqua" w:hAnsi="Book Antiqua" w:cs="Book Antiqua"/>
          <w:color w:val="000000"/>
        </w:rPr>
        <w:t xml:space="preserve">, Dawson DM, Spence A. Machado disease. A hereditary ataxia in Portuguese emigrants to Massachusetts.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1972; </w:t>
      </w:r>
      <w:r>
        <w:rPr>
          <w:rFonts w:ascii="Book Antiqua" w:eastAsia="Book Antiqua" w:hAnsi="Book Antiqua" w:cs="Book Antiqua"/>
          <w:b/>
          <w:bCs/>
          <w:color w:val="000000"/>
        </w:rPr>
        <w:t>22</w:t>
      </w:r>
      <w:r>
        <w:rPr>
          <w:rFonts w:ascii="Book Antiqua" w:eastAsia="Book Antiqua" w:hAnsi="Book Antiqua" w:cs="Book Antiqua"/>
          <w:color w:val="000000"/>
        </w:rPr>
        <w:t>: 49-55 [PMID: 5061839 DOI: 10.1212/wnl.22.1.49]</w:t>
      </w:r>
    </w:p>
    <w:p w14:paraId="3FD81392" w14:textId="77777777" w:rsidR="00A77B3E" w:rsidRDefault="001F32E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Xu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QN, Shang XJ, Sikandar A, Lin MT, Wang N, Lin H, Gan SR. The influence of initial symptoms on phenotypes in spinocerebellar ataxia type 3. </w:t>
      </w:r>
      <w:r>
        <w:rPr>
          <w:rFonts w:ascii="Book Antiqua" w:eastAsia="Book Antiqua" w:hAnsi="Book Antiqua" w:cs="Book Antiqua"/>
          <w:i/>
          <w:iCs/>
          <w:color w:val="000000"/>
        </w:rPr>
        <w:t>Mol Genet Genomic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e00719 [PMID: 31124318 DOI: 10.1002/mgg3.719]</w:t>
      </w:r>
    </w:p>
    <w:p w14:paraId="5F73A818" w14:textId="77777777" w:rsidR="00A77B3E" w:rsidRDefault="001F32E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Rosenberg RN</w:t>
      </w:r>
      <w:r>
        <w:rPr>
          <w:rFonts w:ascii="Book Antiqua" w:eastAsia="Book Antiqua" w:hAnsi="Book Antiqua" w:cs="Book Antiqua"/>
          <w:color w:val="000000"/>
        </w:rPr>
        <w:t xml:space="preserve">. Machado-Joseph disease: an autosomal dominant motor system degeneration. </w:t>
      </w:r>
      <w:r>
        <w:rPr>
          <w:rFonts w:ascii="Book Antiqua" w:eastAsia="Book Antiqua" w:hAnsi="Book Antiqua" w:cs="Book Antiqua"/>
          <w:i/>
          <w:iCs/>
          <w:color w:val="000000"/>
        </w:rPr>
        <w:t xml:space="preserve">Mov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193-203 [PMID: 1620135 DOI: 10.1002/mds.870070302]</w:t>
      </w:r>
    </w:p>
    <w:p w14:paraId="73049BAC" w14:textId="77777777" w:rsidR="00A77B3E" w:rsidRDefault="001F32E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Matilla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McCall A, </w:t>
      </w:r>
      <w:proofErr w:type="spellStart"/>
      <w:r>
        <w:rPr>
          <w:rFonts w:ascii="Book Antiqua" w:eastAsia="Book Antiqua" w:hAnsi="Book Antiqua" w:cs="Book Antiqua"/>
          <w:color w:val="000000"/>
        </w:rPr>
        <w:t>Subramony</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Zoghbi</w:t>
      </w:r>
      <w:proofErr w:type="spellEnd"/>
      <w:r>
        <w:rPr>
          <w:rFonts w:ascii="Book Antiqua" w:eastAsia="Book Antiqua" w:hAnsi="Book Antiqua" w:cs="Book Antiqua"/>
          <w:color w:val="000000"/>
        </w:rPr>
        <w:t xml:space="preserve"> HY. Molecular and clinical correlations in spinocerebellar ataxia type 3 and Machado-Joseph disease.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68-72 [PMID: 7611728 DOI: 10.1002/ana.410380113]</w:t>
      </w:r>
    </w:p>
    <w:p w14:paraId="12D51876" w14:textId="77777777" w:rsidR="00A77B3E" w:rsidRDefault="001F32E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Suite 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Sequeiros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McKhann</w:t>
      </w:r>
      <w:proofErr w:type="spellEnd"/>
      <w:r>
        <w:rPr>
          <w:rFonts w:ascii="Book Antiqua" w:eastAsia="Book Antiqua" w:hAnsi="Book Antiqua" w:cs="Book Antiqua"/>
          <w:color w:val="000000"/>
        </w:rPr>
        <w:t xml:space="preserve"> GM. Machado-Joseph disease in a Sicilian-American family.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Neurogenet</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3</w:t>
      </w:r>
      <w:r>
        <w:rPr>
          <w:rFonts w:ascii="Book Antiqua" w:eastAsia="Book Antiqua" w:hAnsi="Book Antiqua" w:cs="Book Antiqua"/>
          <w:color w:val="000000"/>
        </w:rPr>
        <w:t>: 177-182 [PMID: 3734949 DOI: 10.3109/01677068609106847]</w:t>
      </w:r>
    </w:p>
    <w:p w14:paraId="14182DD4" w14:textId="77777777" w:rsidR="00A77B3E" w:rsidRDefault="001F32E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Berthier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Douady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Marcille</w:t>
      </w:r>
      <w:proofErr w:type="spellEnd"/>
      <w:r>
        <w:rPr>
          <w:rFonts w:ascii="Book Antiqua" w:eastAsia="Book Antiqua" w:hAnsi="Book Antiqua" w:cs="Book Antiqua"/>
          <w:color w:val="000000"/>
        </w:rPr>
        <w:t xml:space="preserve"> G, Sotto JJ, </w:t>
      </w:r>
      <w:proofErr w:type="spellStart"/>
      <w:r>
        <w:rPr>
          <w:rFonts w:ascii="Book Antiqua" w:eastAsia="Book Antiqua" w:hAnsi="Book Antiqua" w:cs="Book Antiqua"/>
          <w:color w:val="000000"/>
        </w:rPr>
        <w:t>Schaerer</w:t>
      </w:r>
      <w:proofErr w:type="spellEnd"/>
      <w:r>
        <w:rPr>
          <w:rFonts w:ascii="Book Antiqua" w:eastAsia="Book Antiqua" w:hAnsi="Book Antiqua" w:cs="Book Antiqua"/>
          <w:color w:val="000000"/>
        </w:rPr>
        <w:t xml:space="preserve"> R, Hollard D. [Study of colony forming cells and aggregates (CFCA)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blood and bone marrow of patients with chronic myeloid leukemia: simplified bovine serum albumin gradient centrifugation]. </w:t>
      </w:r>
      <w:proofErr w:type="spellStart"/>
      <w:r>
        <w:rPr>
          <w:rFonts w:ascii="Book Antiqua" w:eastAsia="Book Antiqua" w:hAnsi="Book Antiqua" w:cs="Book Antiqua"/>
          <w:i/>
          <w:iCs/>
          <w:color w:val="000000"/>
        </w:rPr>
        <w:t>Nouv</w:t>
      </w:r>
      <w:proofErr w:type="spellEnd"/>
      <w:r>
        <w:rPr>
          <w:rFonts w:ascii="Book Antiqua" w:eastAsia="Book Antiqua" w:hAnsi="Book Antiqua" w:cs="Book Antiqua"/>
          <w:i/>
          <w:iCs/>
          <w:color w:val="000000"/>
        </w:rPr>
        <w:t xml:space="preserve"> Rev Fr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15</w:t>
      </w:r>
      <w:r>
        <w:rPr>
          <w:rFonts w:ascii="Book Antiqua" w:eastAsia="Book Antiqua" w:hAnsi="Book Antiqua" w:cs="Book Antiqua"/>
          <w:color w:val="000000"/>
        </w:rPr>
        <w:t>: 365-374 [PMID: 128737 DOI: 10.1016/s0022-510</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03)00129-1]</w:t>
      </w:r>
    </w:p>
    <w:p w14:paraId="7EA2D203" w14:textId="77777777" w:rsidR="00A77B3E" w:rsidRDefault="001F32E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Lee WW</w:t>
      </w:r>
      <w:r>
        <w:rPr>
          <w:rFonts w:ascii="Book Antiqua" w:eastAsia="Book Antiqua" w:hAnsi="Book Antiqua" w:cs="Book Antiqua"/>
          <w:color w:val="000000"/>
        </w:rPr>
        <w:t xml:space="preserve">, Jeon B, Kim R. Expanding the Spectrum of Dopa-Responsive Dystonia (DRD) and Proposal for New Definition: DRD, DRD-plus, and DRD Look-alike.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e184 [PMID: 29983692 DOI: 10.3346/jkms.2018.</w:t>
      </w:r>
      <w:proofErr w:type="gramStart"/>
      <w:r>
        <w:rPr>
          <w:rFonts w:ascii="Book Antiqua" w:eastAsia="Book Antiqua" w:hAnsi="Book Antiqua" w:cs="Book Antiqua"/>
          <w:color w:val="000000"/>
        </w:rPr>
        <w:t>33.e</w:t>
      </w:r>
      <w:proofErr w:type="gramEnd"/>
      <w:r>
        <w:rPr>
          <w:rFonts w:ascii="Book Antiqua" w:eastAsia="Book Antiqua" w:hAnsi="Book Antiqua" w:cs="Book Antiqua"/>
          <w:color w:val="000000"/>
        </w:rPr>
        <w:t>184]</w:t>
      </w:r>
    </w:p>
    <w:p w14:paraId="475FBF8A" w14:textId="77777777" w:rsidR="00A77B3E" w:rsidRDefault="001F32E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Coutinho P</w:t>
      </w:r>
      <w:r>
        <w:rPr>
          <w:rFonts w:ascii="Book Antiqua" w:eastAsia="Book Antiqua" w:hAnsi="Book Antiqua" w:cs="Book Antiqua"/>
          <w:color w:val="000000"/>
        </w:rPr>
        <w:t xml:space="preserve">, Andrade C. Autosomal dominant system degeneration in Portuguese families of the Azores Islands. A new genetic disorder involving cerebellar, pyramidal, </w:t>
      </w:r>
      <w:proofErr w:type="gramStart"/>
      <w:r>
        <w:rPr>
          <w:rFonts w:ascii="Book Antiqua" w:eastAsia="Book Antiqua" w:hAnsi="Book Antiqua" w:cs="Book Antiqua"/>
          <w:color w:val="000000"/>
        </w:rPr>
        <w:t>extrapyramidal</w:t>
      </w:r>
      <w:proofErr w:type="gramEnd"/>
      <w:r>
        <w:rPr>
          <w:rFonts w:ascii="Book Antiqua" w:eastAsia="Book Antiqua" w:hAnsi="Book Antiqua" w:cs="Book Antiqua"/>
          <w:color w:val="000000"/>
        </w:rPr>
        <w:t xml:space="preserve"> and spinal cord motor functions.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1978; </w:t>
      </w:r>
      <w:r>
        <w:rPr>
          <w:rFonts w:ascii="Book Antiqua" w:eastAsia="Book Antiqua" w:hAnsi="Book Antiqua" w:cs="Book Antiqua"/>
          <w:b/>
          <w:bCs/>
          <w:color w:val="000000"/>
        </w:rPr>
        <w:t>28</w:t>
      </w:r>
      <w:r>
        <w:rPr>
          <w:rFonts w:ascii="Book Antiqua" w:eastAsia="Book Antiqua" w:hAnsi="Book Antiqua" w:cs="Book Antiqua"/>
          <w:color w:val="000000"/>
        </w:rPr>
        <w:t>: 703-709 [PMID: 566869 DOI: 10.1212/wnl.28.7.703]</w:t>
      </w:r>
    </w:p>
    <w:p w14:paraId="3F43F41D" w14:textId="77777777" w:rsidR="00A77B3E" w:rsidRDefault="001F32E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Dahl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Gratzl</w:t>
      </w:r>
      <w:proofErr w:type="spellEnd"/>
      <w:r>
        <w:rPr>
          <w:rFonts w:ascii="Book Antiqua" w:eastAsia="Book Antiqua" w:hAnsi="Book Antiqua" w:cs="Book Antiqua"/>
          <w:color w:val="000000"/>
        </w:rPr>
        <w:t xml:space="preserve"> M. Fusion of isolated myoblast plasma membranes. An approach to the mechanism.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1978; </w:t>
      </w:r>
      <w:r>
        <w:rPr>
          <w:rFonts w:ascii="Book Antiqua" w:eastAsia="Book Antiqua" w:hAnsi="Book Antiqua" w:cs="Book Antiqua"/>
          <w:b/>
          <w:bCs/>
          <w:color w:val="000000"/>
        </w:rPr>
        <w:t>514</w:t>
      </w:r>
      <w:r>
        <w:rPr>
          <w:rFonts w:ascii="Book Antiqua" w:eastAsia="Book Antiqua" w:hAnsi="Book Antiqua" w:cs="Book Antiqua"/>
          <w:color w:val="000000"/>
        </w:rPr>
        <w:t>: 105-116 [PMID: 718903 DOI: 10.1212/wnl.30.3.319]</w:t>
      </w:r>
    </w:p>
    <w:p w14:paraId="2CF8D45A" w14:textId="77777777" w:rsidR="00A77B3E" w:rsidRDefault="001F32E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Méndez-Guerrero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Uriarte</w:t>
      </w:r>
      <w:proofErr w:type="spellEnd"/>
      <w:r>
        <w:rPr>
          <w:rFonts w:ascii="Book Antiqua" w:eastAsia="Book Antiqua" w:hAnsi="Book Antiqua" w:cs="Book Antiqua"/>
          <w:color w:val="000000"/>
        </w:rPr>
        <w:t xml:space="preserve">-Pérez de </w:t>
      </w:r>
      <w:proofErr w:type="spellStart"/>
      <w:r>
        <w:rPr>
          <w:rFonts w:ascii="Book Antiqua" w:eastAsia="Book Antiqua" w:hAnsi="Book Antiqua" w:cs="Book Antiqua"/>
          <w:color w:val="000000"/>
        </w:rPr>
        <w:t>Urabayen</w:t>
      </w:r>
      <w:proofErr w:type="spellEnd"/>
      <w:r>
        <w:rPr>
          <w:rFonts w:ascii="Book Antiqua" w:eastAsia="Book Antiqua" w:hAnsi="Book Antiqua" w:cs="Book Antiqua"/>
          <w:color w:val="000000"/>
        </w:rPr>
        <w:t xml:space="preserve"> D, Llamas-Velasco S. Spinocerebellar ataxia type 3 presenting with writer's cramp without ataxia.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684-685 [PMID: 29164982 DOI: 10.1080/00207454.2017.1408621]</w:t>
      </w:r>
    </w:p>
    <w:p w14:paraId="60F75609" w14:textId="77777777" w:rsidR="00A77B3E" w:rsidRDefault="001F32E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de Gaetano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Bonaccorsi</w:t>
      </w:r>
      <w:proofErr w:type="spellEnd"/>
      <w:r>
        <w:rPr>
          <w:rFonts w:ascii="Book Antiqua" w:eastAsia="Book Antiqua" w:hAnsi="Book Antiqua" w:cs="Book Antiqua"/>
          <w:color w:val="000000"/>
        </w:rPr>
        <w:t xml:space="preserve"> A, Franco R, </w:t>
      </w:r>
      <w:proofErr w:type="spellStart"/>
      <w:r>
        <w:rPr>
          <w:rFonts w:ascii="Book Antiqua" w:eastAsia="Book Antiqua" w:hAnsi="Book Antiqua" w:cs="Book Antiqua"/>
          <w:color w:val="000000"/>
        </w:rPr>
        <w:t>Dejana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Buczko</w:t>
      </w:r>
      <w:proofErr w:type="spellEnd"/>
      <w:r>
        <w:rPr>
          <w:rFonts w:ascii="Book Antiqua" w:eastAsia="Book Antiqua" w:hAnsi="Book Antiqua" w:cs="Book Antiqua"/>
          <w:color w:val="000000"/>
        </w:rPr>
        <w:t xml:space="preserve"> W. Letter: Cyclic A.M.P. and arrhythmias.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1976; </w:t>
      </w:r>
      <w:r>
        <w:rPr>
          <w:rFonts w:ascii="Book Antiqua" w:eastAsia="Book Antiqua" w:hAnsi="Book Antiqua" w:cs="Book Antiqua"/>
          <w:b/>
          <w:bCs/>
          <w:color w:val="000000"/>
        </w:rPr>
        <w:t>1</w:t>
      </w:r>
      <w:r>
        <w:rPr>
          <w:rFonts w:ascii="Book Antiqua" w:eastAsia="Book Antiqua" w:hAnsi="Book Antiqua" w:cs="Book Antiqua"/>
          <w:color w:val="000000"/>
        </w:rPr>
        <w:t>: 864 [PMID: 56686 DOI: 10.1016/s0140-6736(76)90523-7]</w:t>
      </w:r>
    </w:p>
    <w:p w14:paraId="0BAC9334" w14:textId="77777777" w:rsidR="00A77B3E" w:rsidRDefault="001F32E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Dong Y</w:t>
      </w:r>
      <w:r>
        <w:rPr>
          <w:rFonts w:ascii="Book Antiqua" w:eastAsia="Book Antiqua" w:hAnsi="Book Antiqua" w:cs="Book Antiqua"/>
          <w:color w:val="000000"/>
        </w:rPr>
        <w:t xml:space="preserve">, Sun YM, Ni W, Gan SR, Wu ZY. Chinese patients with spinocerebellar ataxia type 3 presenting with rare clinical symptoms.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324</w:t>
      </w:r>
      <w:r>
        <w:rPr>
          <w:rFonts w:ascii="Book Antiqua" w:eastAsia="Book Antiqua" w:hAnsi="Book Antiqua" w:cs="Book Antiqua"/>
          <w:color w:val="000000"/>
        </w:rPr>
        <w:t>: 167-171 [PMID: 23174085 DOI: 10.1016/j.jns.2012.10.030]</w:t>
      </w:r>
    </w:p>
    <w:p w14:paraId="7697F5F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C53C1C" w14:textId="77777777" w:rsidR="00A77B3E" w:rsidRDefault="001F32E6">
      <w:pPr>
        <w:spacing w:line="360" w:lineRule="auto"/>
        <w:jc w:val="both"/>
      </w:pPr>
      <w:r>
        <w:rPr>
          <w:rFonts w:ascii="Book Antiqua" w:eastAsia="Book Antiqua" w:hAnsi="Book Antiqua" w:cs="Book Antiqua"/>
          <w:b/>
          <w:color w:val="000000"/>
        </w:rPr>
        <w:t>Footnotes</w:t>
      </w:r>
    </w:p>
    <w:p w14:paraId="2F9FDD68" w14:textId="77777777" w:rsidR="00A77B3E" w:rsidRDefault="001F32E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w:t>
      </w:r>
    </w:p>
    <w:p w14:paraId="22FDB374" w14:textId="77777777" w:rsidR="00A77B3E" w:rsidRDefault="00A77B3E">
      <w:pPr>
        <w:spacing w:line="360" w:lineRule="auto"/>
        <w:jc w:val="both"/>
      </w:pPr>
    </w:p>
    <w:p w14:paraId="79DA265B" w14:textId="77777777" w:rsidR="00A77B3E" w:rsidRDefault="001F32E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No potential conflicts of interest relevant to this article are reported.</w:t>
      </w:r>
    </w:p>
    <w:p w14:paraId="40FE5A42" w14:textId="77777777" w:rsidR="00A77B3E" w:rsidRDefault="00A77B3E">
      <w:pPr>
        <w:spacing w:line="360" w:lineRule="auto"/>
        <w:jc w:val="both"/>
      </w:pPr>
    </w:p>
    <w:p w14:paraId="78D970B6" w14:textId="77777777" w:rsidR="00A77B3E" w:rsidRDefault="001F32E6">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w:t>
      </w:r>
      <w:r>
        <w:rPr>
          <w:rFonts w:ascii="Book Antiqua" w:eastAsia="Book Antiqua" w:hAnsi="Book Antiqua" w:cs="Book Antiqua"/>
          <w:color w:val="000000"/>
        </w:rPr>
        <w:br/>
        <w:t>Checklist (2016).</w:t>
      </w:r>
    </w:p>
    <w:p w14:paraId="48C5F50C" w14:textId="77777777" w:rsidR="00A77B3E" w:rsidRDefault="00A77B3E">
      <w:pPr>
        <w:spacing w:line="360" w:lineRule="auto"/>
        <w:jc w:val="both"/>
      </w:pPr>
    </w:p>
    <w:p w14:paraId="6D569BCF" w14:textId="77777777" w:rsidR="00A77B3E" w:rsidRDefault="001F32E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A434DC" w14:textId="77777777" w:rsidR="00A77B3E" w:rsidRDefault="00A77B3E">
      <w:pPr>
        <w:spacing w:line="360" w:lineRule="auto"/>
        <w:jc w:val="both"/>
      </w:pPr>
    </w:p>
    <w:p w14:paraId="6C8C9BAF" w14:textId="6A202AD5" w:rsidR="00A77B3E" w:rsidRDefault="001F32E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w:t>
      </w:r>
      <w:r w:rsidR="000F5467">
        <w:rPr>
          <w:rFonts w:ascii="Book Antiqua" w:eastAsia="Book Antiqua" w:hAnsi="Book Antiqua" w:cs="Book Antiqua"/>
          <w:color w:val="000000"/>
        </w:rPr>
        <w:t>ted manus</w:t>
      </w:r>
      <w:r>
        <w:rPr>
          <w:rFonts w:ascii="Book Antiqua" w:eastAsia="Book Antiqua" w:hAnsi="Book Antiqua" w:cs="Book Antiqua"/>
          <w:color w:val="000000"/>
        </w:rPr>
        <w:t>cript</w:t>
      </w:r>
    </w:p>
    <w:p w14:paraId="693D7884" w14:textId="77777777" w:rsidR="00A77B3E" w:rsidRDefault="00A77B3E">
      <w:pPr>
        <w:spacing w:line="360" w:lineRule="auto"/>
        <w:jc w:val="both"/>
      </w:pPr>
    </w:p>
    <w:p w14:paraId="7645482D" w14:textId="77777777" w:rsidR="00A77B3E" w:rsidRDefault="001F32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27, 2021</w:t>
      </w:r>
    </w:p>
    <w:p w14:paraId="5AEED996" w14:textId="77777777" w:rsidR="00A77B3E" w:rsidRDefault="001F32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181E376C" w14:textId="77777777" w:rsidR="00A77B3E" w:rsidRDefault="001F32E6">
      <w:pPr>
        <w:spacing w:line="360" w:lineRule="auto"/>
        <w:jc w:val="both"/>
      </w:pPr>
      <w:r>
        <w:rPr>
          <w:rFonts w:ascii="Book Antiqua" w:eastAsia="Book Antiqua" w:hAnsi="Book Antiqua" w:cs="Book Antiqua"/>
          <w:b/>
          <w:color w:val="000000"/>
        </w:rPr>
        <w:t xml:space="preserve">Article in press: </w:t>
      </w:r>
    </w:p>
    <w:p w14:paraId="5A40DB3C" w14:textId="77777777" w:rsidR="00A77B3E" w:rsidRDefault="00A77B3E">
      <w:pPr>
        <w:spacing w:line="360" w:lineRule="auto"/>
        <w:jc w:val="both"/>
      </w:pPr>
    </w:p>
    <w:p w14:paraId="05278510" w14:textId="77777777" w:rsidR="00A77B3E" w:rsidRDefault="001F32E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58285861" w14:textId="77777777" w:rsidR="00A77B3E" w:rsidRDefault="001F32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ED36977" w14:textId="77777777" w:rsidR="00A77B3E" w:rsidRDefault="001F32E6">
      <w:pPr>
        <w:spacing w:line="360" w:lineRule="auto"/>
        <w:jc w:val="both"/>
      </w:pPr>
      <w:r>
        <w:rPr>
          <w:rFonts w:ascii="Book Antiqua" w:eastAsia="Book Antiqua" w:hAnsi="Book Antiqua" w:cs="Book Antiqua"/>
          <w:b/>
          <w:color w:val="000000"/>
        </w:rPr>
        <w:t>Peer-review report’s scientific quality classification</w:t>
      </w:r>
    </w:p>
    <w:p w14:paraId="2F81C71C" w14:textId="77777777" w:rsidR="00A77B3E" w:rsidRDefault="001F32E6">
      <w:pPr>
        <w:spacing w:line="360" w:lineRule="auto"/>
        <w:jc w:val="both"/>
      </w:pPr>
      <w:r>
        <w:rPr>
          <w:rFonts w:ascii="Book Antiqua" w:eastAsia="Book Antiqua" w:hAnsi="Book Antiqua" w:cs="Book Antiqua"/>
          <w:color w:val="000000"/>
        </w:rPr>
        <w:t>Grade A (Excellent): 0</w:t>
      </w:r>
    </w:p>
    <w:p w14:paraId="20C03E96" w14:textId="77777777" w:rsidR="00A77B3E" w:rsidRDefault="001F32E6">
      <w:pPr>
        <w:spacing w:line="360" w:lineRule="auto"/>
        <w:jc w:val="both"/>
      </w:pPr>
      <w:r>
        <w:rPr>
          <w:rFonts w:ascii="Book Antiqua" w:eastAsia="Book Antiqua" w:hAnsi="Book Antiqua" w:cs="Book Antiqua"/>
          <w:color w:val="000000"/>
        </w:rPr>
        <w:t>Grade B (Very good): 0</w:t>
      </w:r>
    </w:p>
    <w:p w14:paraId="0A2DC9ED" w14:textId="77777777" w:rsidR="00A77B3E" w:rsidRDefault="001F32E6">
      <w:pPr>
        <w:spacing w:line="360" w:lineRule="auto"/>
        <w:jc w:val="both"/>
      </w:pPr>
      <w:r>
        <w:rPr>
          <w:rFonts w:ascii="Book Antiqua" w:eastAsia="Book Antiqua" w:hAnsi="Book Antiqua" w:cs="Book Antiqua"/>
          <w:color w:val="000000"/>
        </w:rPr>
        <w:t>Grade C (Good): C</w:t>
      </w:r>
    </w:p>
    <w:p w14:paraId="19A83CE0" w14:textId="77777777" w:rsidR="00A77B3E" w:rsidRDefault="001F32E6">
      <w:pPr>
        <w:spacing w:line="360" w:lineRule="auto"/>
        <w:jc w:val="both"/>
      </w:pPr>
      <w:r>
        <w:rPr>
          <w:rFonts w:ascii="Book Antiqua" w:eastAsia="Book Antiqua" w:hAnsi="Book Antiqua" w:cs="Book Antiqua"/>
          <w:color w:val="000000"/>
        </w:rPr>
        <w:t>Grade D (Fair): 0</w:t>
      </w:r>
    </w:p>
    <w:p w14:paraId="6634248E" w14:textId="77777777" w:rsidR="00A77B3E" w:rsidRDefault="001F32E6">
      <w:pPr>
        <w:spacing w:line="360" w:lineRule="auto"/>
        <w:jc w:val="both"/>
      </w:pPr>
      <w:r>
        <w:rPr>
          <w:rFonts w:ascii="Book Antiqua" w:eastAsia="Book Antiqua" w:hAnsi="Book Antiqua" w:cs="Book Antiqua"/>
          <w:color w:val="000000"/>
        </w:rPr>
        <w:t>Grade E (Poor): 0</w:t>
      </w:r>
    </w:p>
    <w:p w14:paraId="796B4ADA" w14:textId="77777777" w:rsidR="00A77B3E" w:rsidRDefault="00A77B3E">
      <w:pPr>
        <w:spacing w:line="360" w:lineRule="auto"/>
        <w:jc w:val="both"/>
      </w:pPr>
    </w:p>
    <w:p w14:paraId="30CE8157" w14:textId="77777777" w:rsidR="00D57642" w:rsidRDefault="001F32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Nucci G</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w:t>
      </w:r>
    </w:p>
    <w:p w14:paraId="24238349" w14:textId="1CDBA17A" w:rsidR="00A77B3E" w:rsidRDefault="001F32E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1704531" w14:textId="77777777" w:rsidR="00A77B3E" w:rsidRDefault="001F32E6">
      <w:pPr>
        <w:spacing w:line="360" w:lineRule="auto"/>
        <w:jc w:val="both"/>
      </w:pPr>
      <w:r>
        <w:rPr>
          <w:rFonts w:ascii="Book Antiqua" w:eastAsia="Book Antiqua" w:hAnsi="Book Antiqua" w:cs="Book Antiqua"/>
          <w:b/>
          <w:color w:val="000000"/>
        </w:rPr>
        <w:t>Figure Legends</w:t>
      </w:r>
    </w:p>
    <w:p w14:paraId="4B1B08B8" w14:textId="5CDDD21E" w:rsidR="00A77B3E" w:rsidRDefault="000F5467">
      <w:pPr>
        <w:spacing w:line="360" w:lineRule="auto"/>
        <w:jc w:val="both"/>
      </w:pPr>
      <w:r>
        <w:rPr>
          <w:noProof/>
        </w:rPr>
        <w:drawing>
          <wp:inline distT="0" distB="0" distL="0" distR="0" wp14:anchorId="43D3999B" wp14:editId="31165FAE">
            <wp:extent cx="4909820" cy="12591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608" cy="1275289"/>
                    </a:xfrm>
                    <a:prstGeom prst="rect">
                      <a:avLst/>
                    </a:prstGeom>
                    <a:noFill/>
                  </pic:spPr>
                </pic:pic>
              </a:graphicData>
            </a:graphic>
          </wp:inline>
        </w:drawing>
      </w:r>
    </w:p>
    <w:p w14:paraId="719D2071" w14:textId="77777777" w:rsidR="000F5467" w:rsidRPr="00B57718" w:rsidRDefault="000F5467" w:rsidP="000F5467">
      <w:pPr>
        <w:adjustRightInd w:val="0"/>
        <w:snapToGrid w:val="0"/>
        <w:spacing w:line="360" w:lineRule="auto"/>
        <w:rPr>
          <w:rFonts w:ascii="Book Antiqua" w:hAnsi="Book Antiqua"/>
          <w:b/>
          <w:bCs/>
        </w:rPr>
      </w:pPr>
      <w:r w:rsidRPr="00B57718">
        <w:rPr>
          <w:rFonts w:ascii="Book Antiqua" w:hAnsi="Book Antiqua"/>
          <w:b/>
          <w:bCs/>
        </w:rPr>
        <w:t>Figure 1 Genotyping map of spinocerebellar ataxia type 3-related CAG repeats by capillary electrophoresis showing two allelic peaks of 18 and 65 CAG repeats.</w:t>
      </w:r>
    </w:p>
    <w:p w14:paraId="40EA2513" w14:textId="4225EFAD" w:rsidR="000F5467" w:rsidRDefault="000F5467">
      <w:pPr>
        <w:spacing w:line="360" w:lineRule="auto"/>
        <w:jc w:val="both"/>
      </w:pPr>
    </w:p>
    <w:sectPr w:rsidR="000F5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1168" w14:textId="77777777" w:rsidR="00B56D16" w:rsidRDefault="00B56D16" w:rsidP="000F5467">
      <w:r>
        <w:separator/>
      </w:r>
    </w:p>
  </w:endnote>
  <w:endnote w:type="continuationSeparator" w:id="0">
    <w:p w14:paraId="7BC34A60" w14:textId="77777777" w:rsidR="00B56D16" w:rsidRDefault="00B56D16" w:rsidP="000F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49055"/>
      <w:docPartObj>
        <w:docPartGallery w:val="Page Numbers (Bottom of Page)"/>
        <w:docPartUnique/>
      </w:docPartObj>
    </w:sdtPr>
    <w:sdtEndPr/>
    <w:sdtContent>
      <w:sdt>
        <w:sdtPr>
          <w:id w:val="-1705238520"/>
          <w:docPartObj>
            <w:docPartGallery w:val="Page Numbers (Top of Page)"/>
            <w:docPartUnique/>
          </w:docPartObj>
        </w:sdtPr>
        <w:sdtEndPr/>
        <w:sdtContent>
          <w:p w14:paraId="3CA410B1" w14:textId="7A07ABDD" w:rsidR="001F32E6" w:rsidRDefault="001F32E6" w:rsidP="001F32E6">
            <w:pPr>
              <w:pStyle w:val="a5"/>
              <w:jc w:val="right"/>
            </w:pPr>
            <w:r w:rsidRPr="001F32E6">
              <w:rPr>
                <w:rFonts w:ascii="Book Antiqua" w:hAnsi="Book Antiqua"/>
                <w:sz w:val="24"/>
                <w:szCs w:val="24"/>
                <w:lang w:val="zh-CN" w:eastAsia="zh-CN"/>
              </w:rPr>
              <w:t xml:space="preserve"> </w:t>
            </w:r>
            <w:r w:rsidRPr="001F32E6">
              <w:rPr>
                <w:rFonts w:ascii="Book Antiqua" w:hAnsi="Book Antiqua"/>
                <w:b/>
                <w:bCs/>
                <w:sz w:val="24"/>
                <w:szCs w:val="24"/>
              </w:rPr>
              <w:fldChar w:fldCharType="begin"/>
            </w:r>
            <w:r w:rsidRPr="001F32E6">
              <w:rPr>
                <w:rFonts w:ascii="Book Antiqua" w:hAnsi="Book Antiqua"/>
                <w:b/>
                <w:bCs/>
                <w:sz w:val="24"/>
                <w:szCs w:val="24"/>
              </w:rPr>
              <w:instrText>PAGE</w:instrText>
            </w:r>
            <w:r w:rsidRPr="001F32E6">
              <w:rPr>
                <w:rFonts w:ascii="Book Antiqua" w:hAnsi="Book Antiqua"/>
                <w:b/>
                <w:bCs/>
                <w:sz w:val="24"/>
                <w:szCs w:val="24"/>
              </w:rPr>
              <w:fldChar w:fldCharType="separate"/>
            </w:r>
            <w:r w:rsidRPr="001F32E6">
              <w:rPr>
                <w:rFonts w:ascii="Book Antiqua" w:hAnsi="Book Antiqua"/>
                <w:b/>
                <w:bCs/>
                <w:sz w:val="24"/>
                <w:szCs w:val="24"/>
                <w:lang w:val="zh-CN" w:eastAsia="zh-CN"/>
              </w:rPr>
              <w:t>2</w:t>
            </w:r>
            <w:r w:rsidRPr="001F32E6">
              <w:rPr>
                <w:rFonts w:ascii="Book Antiqua" w:hAnsi="Book Antiqua"/>
                <w:b/>
                <w:bCs/>
                <w:sz w:val="24"/>
                <w:szCs w:val="24"/>
              </w:rPr>
              <w:fldChar w:fldCharType="end"/>
            </w:r>
            <w:r w:rsidRPr="001F32E6">
              <w:rPr>
                <w:rFonts w:ascii="Book Antiqua" w:hAnsi="Book Antiqua"/>
                <w:sz w:val="24"/>
                <w:szCs w:val="24"/>
                <w:lang w:val="zh-CN" w:eastAsia="zh-CN"/>
              </w:rPr>
              <w:t xml:space="preserve"> / </w:t>
            </w:r>
            <w:r w:rsidRPr="001F32E6">
              <w:rPr>
                <w:rFonts w:ascii="Book Antiqua" w:hAnsi="Book Antiqua"/>
                <w:b/>
                <w:bCs/>
                <w:sz w:val="24"/>
                <w:szCs w:val="24"/>
              </w:rPr>
              <w:fldChar w:fldCharType="begin"/>
            </w:r>
            <w:r w:rsidRPr="001F32E6">
              <w:rPr>
                <w:rFonts w:ascii="Book Antiqua" w:hAnsi="Book Antiqua"/>
                <w:b/>
                <w:bCs/>
                <w:sz w:val="24"/>
                <w:szCs w:val="24"/>
              </w:rPr>
              <w:instrText>NUMPAGES</w:instrText>
            </w:r>
            <w:r w:rsidRPr="001F32E6">
              <w:rPr>
                <w:rFonts w:ascii="Book Antiqua" w:hAnsi="Book Antiqua"/>
                <w:b/>
                <w:bCs/>
                <w:sz w:val="24"/>
                <w:szCs w:val="24"/>
              </w:rPr>
              <w:fldChar w:fldCharType="separate"/>
            </w:r>
            <w:r w:rsidRPr="001F32E6">
              <w:rPr>
                <w:rFonts w:ascii="Book Antiqua" w:hAnsi="Book Antiqua"/>
                <w:b/>
                <w:bCs/>
                <w:sz w:val="24"/>
                <w:szCs w:val="24"/>
                <w:lang w:val="zh-CN" w:eastAsia="zh-CN"/>
              </w:rPr>
              <w:t>2</w:t>
            </w:r>
            <w:r w:rsidRPr="001F32E6">
              <w:rPr>
                <w:rFonts w:ascii="Book Antiqua" w:hAnsi="Book Antiqua"/>
                <w:b/>
                <w:bCs/>
                <w:sz w:val="24"/>
                <w:szCs w:val="24"/>
              </w:rPr>
              <w:fldChar w:fldCharType="end"/>
            </w:r>
          </w:p>
        </w:sdtContent>
      </w:sdt>
    </w:sdtContent>
  </w:sdt>
  <w:p w14:paraId="1B2C0881" w14:textId="77777777" w:rsidR="001F32E6" w:rsidRDefault="001F3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CCB3" w14:textId="77777777" w:rsidR="00B56D16" w:rsidRDefault="00B56D16" w:rsidP="000F5467">
      <w:r>
        <w:separator/>
      </w:r>
    </w:p>
  </w:footnote>
  <w:footnote w:type="continuationSeparator" w:id="0">
    <w:p w14:paraId="3C7096E5" w14:textId="77777777" w:rsidR="00B56D16" w:rsidRDefault="00B56D16" w:rsidP="000F5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5EE"/>
    <w:rsid w:val="000F5467"/>
    <w:rsid w:val="001F32E6"/>
    <w:rsid w:val="002D6E4C"/>
    <w:rsid w:val="004D78A8"/>
    <w:rsid w:val="00585A8B"/>
    <w:rsid w:val="005906FF"/>
    <w:rsid w:val="00655E77"/>
    <w:rsid w:val="006B7C95"/>
    <w:rsid w:val="007E51D3"/>
    <w:rsid w:val="007E52EB"/>
    <w:rsid w:val="009C0D72"/>
    <w:rsid w:val="00A7230C"/>
    <w:rsid w:val="00A77B3E"/>
    <w:rsid w:val="00B56D16"/>
    <w:rsid w:val="00B91665"/>
    <w:rsid w:val="00BF15C0"/>
    <w:rsid w:val="00CA2A55"/>
    <w:rsid w:val="00D57642"/>
    <w:rsid w:val="00E35725"/>
    <w:rsid w:val="00E92112"/>
    <w:rsid w:val="00FA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90CB9E"/>
  <w15:docId w15:val="{A9EAA5F7-88FA-4AAA-B550-C62AB88B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54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5467"/>
    <w:rPr>
      <w:sz w:val="18"/>
      <w:szCs w:val="18"/>
    </w:rPr>
  </w:style>
  <w:style w:type="paragraph" w:styleId="a5">
    <w:name w:val="footer"/>
    <w:basedOn w:val="a"/>
    <w:link w:val="a6"/>
    <w:uiPriority w:val="99"/>
    <w:unhideWhenUsed/>
    <w:rsid w:val="000F5467"/>
    <w:pPr>
      <w:tabs>
        <w:tab w:val="center" w:pos="4153"/>
        <w:tab w:val="right" w:pos="8306"/>
      </w:tabs>
      <w:snapToGrid w:val="0"/>
    </w:pPr>
    <w:rPr>
      <w:sz w:val="18"/>
      <w:szCs w:val="18"/>
    </w:rPr>
  </w:style>
  <w:style w:type="character" w:customStyle="1" w:styleId="a6">
    <w:name w:val="页脚 字符"/>
    <w:basedOn w:val="a0"/>
    <w:link w:val="a5"/>
    <w:uiPriority w:val="99"/>
    <w:rsid w:val="000F54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cp:revision>
  <dcterms:created xsi:type="dcterms:W3CDTF">2021-08-17T09:13:00Z</dcterms:created>
  <dcterms:modified xsi:type="dcterms:W3CDTF">2021-08-18T09:31:00Z</dcterms:modified>
</cp:coreProperties>
</file>