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B9F1E"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B540EB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68218</w:t>
      </w:r>
    </w:p>
    <w:p w14:paraId="52C4C9D5"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27FE44B" w14:textId="77777777" w:rsidR="006A4945" w:rsidRDefault="006A4945">
      <w:pPr>
        <w:adjustRightInd w:val="0"/>
        <w:snapToGrid w:val="0"/>
        <w:spacing w:line="360" w:lineRule="auto"/>
        <w:jc w:val="both"/>
        <w:rPr>
          <w:rFonts w:ascii="Book Antiqua" w:hAnsi="Book Antiqua"/>
        </w:rPr>
      </w:pPr>
    </w:p>
    <w:p w14:paraId="5F65EB0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Basic Study</w:t>
      </w:r>
    </w:p>
    <w:p w14:paraId="63F59CCB"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STAT3-mediated activation of mitochondrial pathway contributes to antitumor effect of dihydrotanshinone I in esophageal squamous </w:t>
      </w:r>
      <w:r w:rsidR="001C35F7">
        <w:rPr>
          <w:rFonts w:ascii="Book Antiqua" w:eastAsia="Book Antiqua" w:hAnsi="Book Antiqua" w:cs="Book Antiqua"/>
          <w:b/>
          <w:color w:val="000000"/>
        </w:rPr>
        <w:t xml:space="preserve">cell </w:t>
      </w:r>
      <w:r>
        <w:rPr>
          <w:rFonts w:ascii="Book Antiqua" w:eastAsia="Book Antiqua" w:hAnsi="Book Antiqua" w:cs="Book Antiqua"/>
          <w:b/>
          <w:color w:val="000000"/>
        </w:rPr>
        <w:t>carci</w:t>
      </w:r>
      <w:r>
        <w:rPr>
          <w:rFonts w:ascii="Book Antiqua" w:eastAsia="Book Antiqua" w:hAnsi="Book Antiqua" w:cs="Book Antiqua"/>
          <w:b/>
          <w:color w:val="000000"/>
        </w:rPr>
        <w:t>noma cells</w:t>
      </w:r>
    </w:p>
    <w:p w14:paraId="608CF541" w14:textId="77777777" w:rsidR="006A4945" w:rsidRDefault="006A4945">
      <w:pPr>
        <w:adjustRightInd w:val="0"/>
        <w:snapToGrid w:val="0"/>
        <w:spacing w:line="360" w:lineRule="auto"/>
        <w:jc w:val="both"/>
        <w:rPr>
          <w:rFonts w:ascii="Book Antiqua" w:hAnsi="Book Antiqua"/>
        </w:rPr>
      </w:pPr>
    </w:p>
    <w:p w14:paraId="1AA9B2D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Qi MM </w:t>
      </w:r>
      <w:r>
        <w:rPr>
          <w:rFonts w:ascii="Book Antiqua" w:eastAsia="Book Antiqua" w:hAnsi="Book Antiqua" w:cs="Book Antiqua"/>
          <w:i/>
          <w:iCs/>
          <w:color w:val="000000"/>
        </w:rPr>
        <w:t>et al</w:t>
      </w:r>
      <w:r>
        <w:rPr>
          <w:rFonts w:ascii="Book Antiqua" w:eastAsia="Book Antiqua" w:hAnsi="Book Antiqua" w:cs="Book Antiqua"/>
          <w:color w:val="000000"/>
        </w:rPr>
        <w:t>. DHTS exerts antitumor effect in ESCC</w:t>
      </w:r>
    </w:p>
    <w:p w14:paraId="7B3E3E49" w14:textId="77777777" w:rsidR="006A4945" w:rsidRDefault="006A4945">
      <w:pPr>
        <w:adjustRightInd w:val="0"/>
        <w:snapToGrid w:val="0"/>
        <w:spacing w:line="360" w:lineRule="auto"/>
        <w:jc w:val="both"/>
        <w:rPr>
          <w:rFonts w:ascii="Book Antiqua" w:hAnsi="Book Antiqua"/>
        </w:rPr>
      </w:pPr>
    </w:p>
    <w:p w14:paraId="1DE87D78"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Ming-Ming Qi, Peng-Zhan He, Lan Zhang, Wei-Guo Dong</w:t>
      </w:r>
    </w:p>
    <w:p w14:paraId="7B221D50" w14:textId="77777777" w:rsidR="006A4945" w:rsidRDefault="006A4945">
      <w:pPr>
        <w:adjustRightInd w:val="0"/>
        <w:snapToGrid w:val="0"/>
        <w:spacing w:line="360" w:lineRule="auto"/>
        <w:jc w:val="both"/>
        <w:rPr>
          <w:rFonts w:ascii="Book Antiqua" w:hAnsi="Book Antiqua"/>
        </w:rPr>
      </w:pPr>
    </w:p>
    <w:p w14:paraId="66CB7328"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Ming-Ming Qi, Peng-Zhan He, Lan Zhang, Wei-Guo Dong, </w:t>
      </w:r>
      <w:r>
        <w:rPr>
          <w:rFonts w:ascii="Book Antiqua" w:eastAsia="Book Antiqua" w:hAnsi="Book Antiqua" w:cs="Book Antiqua"/>
          <w:color w:val="000000"/>
        </w:rPr>
        <w:t>Department of Gastroenterology, Renmin Hospital of Wuhan University, Wuhan 430060, Hubei Province, China</w:t>
      </w:r>
    </w:p>
    <w:p w14:paraId="260DB15B" w14:textId="77777777" w:rsidR="006A4945" w:rsidRDefault="006A4945">
      <w:pPr>
        <w:adjustRightInd w:val="0"/>
        <w:snapToGrid w:val="0"/>
        <w:spacing w:line="360" w:lineRule="auto"/>
        <w:jc w:val="both"/>
        <w:rPr>
          <w:rFonts w:ascii="Book Antiqua" w:hAnsi="Book Antiqua"/>
        </w:rPr>
      </w:pPr>
    </w:p>
    <w:p w14:paraId="7659B22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Ming-Ming Qi, Peng-Zhan He, Lan Zhang, </w:t>
      </w:r>
      <w:r>
        <w:rPr>
          <w:rFonts w:ascii="Book Antiqua" w:eastAsia="Book Antiqua" w:hAnsi="Book Antiqua" w:cs="Book Antiqua"/>
          <w:color w:val="000000"/>
        </w:rPr>
        <w:t>Central Laboratory of Renmin Hospital, Renmin Hospital of Wuhan University, Wuhan 430060, Hubei Province, China</w:t>
      </w:r>
    </w:p>
    <w:p w14:paraId="6A141738" w14:textId="77777777" w:rsidR="006A4945" w:rsidRDefault="006A4945">
      <w:pPr>
        <w:adjustRightInd w:val="0"/>
        <w:snapToGrid w:val="0"/>
        <w:spacing w:line="360" w:lineRule="auto"/>
        <w:jc w:val="both"/>
        <w:rPr>
          <w:rFonts w:ascii="Book Antiqua" w:hAnsi="Book Antiqua"/>
        </w:rPr>
      </w:pPr>
    </w:p>
    <w:p w14:paraId="1FCBC13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Qi MM and Dong WG designed the research; Qi MM and He PZ performed the research; Zhang L contributed new reagents/analytical tools; Qi MM and He PZ analyzed </w:t>
      </w:r>
      <w:r>
        <w:rPr>
          <w:rFonts w:ascii="Book Antiqua" w:eastAsia="Book Antiqua" w:hAnsi="Book Antiqua" w:cs="Book Antiqua"/>
          <w:color w:val="000000"/>
          <w:shd w:val="clear" w:color="auto" w:fill="FFFFFF"/>
        </w:rPr>
        <w:t>the data; Qi MM wrote the manuscript; all authors have read and approve</w:t>
      </w:r>
      <w:r w:rsidR="001C35F7">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the final manuscript.</w:t>
      </w:r>
    </w:p>
    <w:p w14:paraId="66BF6CAF" w14:textId="77777777" w:rsidR="006A4945" w:rsidRDefault="006A4945">
      <w:pPr>
        <w:adjustRightInd w:val="0"/>
        <w:snapToGrid w:val="0"/>
        <w:spacing w:line="360" w:lineRule="auto"/>
        <w:jc w:val="both"/>
        <w:rPr>
          <w:rFonts w:ascii="Book Antiqua" w:hAnsi="Book Antiqua"/>
        </w:rPr>
      </w:pPr>
    </w:p>
    <w:p w14:paraId="58B9676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 No. 81572426, No. 81870392</w:t>
      </w:r>
      <w:r w:rsidR="001C35F7">
        <w:rPr>
          <w:rFonts w:ascii="Book Antiqua" w:eastAsia="Book Antiqua" w:hAnsi="Book Antiqua" w:cs="Book Antiqua"/>
          <w:color w:val="000000"/>
        </w:rPr>
        <w:t>,</w:t>
      </w:r>
      <w:r>
        <w:rPr>
          <w:rFonts w:ascii="Book Antiqua" w:eastAsia="Book Antiqua" w:hAnsi="Book Antiqua" w:cs="Book Antiqua"/>
          <w:color w:val="000000"/>
        </w:rPr>
        <w:t> and No. 8200052</w:t>
      </w:r>
      <w:r>
        <w:rPr>
          <w:rFonts w:ascii="Book Antiqua" w:eastAsia="Book Antiqua" w:hAnsi="Book Antiqua" w:cs="Book Antiqua"/>
          <w:color w:val="000000"/>
        </w:rPr>
        <w:t>1.</w:t>
      </w:r>
    </w:p>
    <w:p w14:paraId="5BC03DCB" w14:textId="77777777" w:rsidR="006A4945" w:rsidRDefault="006A4945">
      <w:pPr>
        <w:adjustRightInd w:val="0"/>
        <w:snapToGrid w:val="0"/>
        <w:spacing w:line="360" w:lineRule="auto"/>
        <w:jc w:val="both"/>
        <w:rPr>
          <w:rFonts w:ascii="Book Antiqua" w:hAnsi="Book Antiqua"/>
        </w:rPr>
      </w:pPr>
    </w:p>
    <w:p w14:paraId="790F861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Wei-Guo Dong, MD, PhD, Professor, </w:t>
      </w:r>
      <w:r>
        <w:rPr>
          <w:rFonts w:ascii="Book Antiqua" w:eastAsia="Book Antiqua" w:hAnsi="Book Antiqua" w:cs="Book Antiqua"/>
          <w:color w:val="000000"/>
        </w:rPr>
        <w:t>Department of Gastroenterology, Renmin Hospital of Wuhan University, No. 238 Jiefang Road, Wuhan 430060, Hubei Province, China. dongweiguo@whu.edu.cn</w:t>
      </w:r>
    </w:p>
    <w:p w14:paraId="6398D98E" w14:textId="77777777" w:rsidR="006A4945" w:rsidRDefault="006A4945">
      <w:pPr>
        <w:adjustRightInd w:val="0"/>
        <w:snapToGrid w:val="0"/>
        <w:spacing w:line="360" w:lineRule="auto"/>
        <w:jc w:val="both"/>
        <w:rPr>
          <w:rFonts w:ascii="Book Antiqua" w:hAnsi="Book Antiqua"/>
        </w:rPr>
      </w:pPr>
    </w:p>
    <w:p w14:paraId="79DF0050"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20, 2021</w:t>
      </w:r>
    </w:p>
    <w:p w14:paraId="7B1BF43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Revised:</w:t>
      </w:r>
      <w:r>
        <w:rPr>
          <w:rFonts w:ascii="Book Antiqua" w:eastAsia="Book Antiqua" w:hAnsi="Book Antiqua" w:cs="Book Antiqua"/>
          <w:color w:val="000000"/>
        </w:rPr>
        <w:t xml:space="preserve"> June 17, 2021</w:t>
      </w:r>
    </w:p>
    <w:p w14:paraId="7A741B2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sidR="00D8568F" w:rsidRPr="00D8568F">
        <w:rPr>
          <w:rFonts w:ascii="Book Antiqua" w:eastAsia="Book Antiqua" w:hAnsi="Book Antiqua" w:cs="Book Antiqua"/>
          <w:bCs/>
          <w:color w:val="000000"/>
        </w:rPr>
        <w:t>July 5, 2021</w:t>
      </w:r>
    </w:p>
    <w:p w14:paraId="53434E4F"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5820191F"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Abstract</w:t>
      </w:r>
    </w:p>
    <w:p w14:paraId="62708DBB"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14:paraId="12FA261D"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Esophageal squamous cell carcinoma (ESCC) is one of the most common malignancies with a poor prognosis, and its treatment remains a great challenge. Dihydrotanshinone I (DHTS) has been reported to exert antitumor effect in many cancers. However, the role of DHTS in ESCC remains unclear. </w:t>
      </w:r>
    </w:p>
    <w:p w14:paraId="2194DE95" w14:textId="77777777" w:rsidR="006A4945" w:rsidRDefault="006A4945">
      <w:pPr>
        <w:adjustRightInd w:val="0"/>
        <w:snapToGrid w:val="0"/>
        <w:spacing w:line="360" w:lineRule="auto"/>
        <w:jc w:val="both"/>
        <w:rPr>
          <w:rFonts w:ascii="Book Antiqua" w:hAnsi="Book Antiqua"/>
        </w:rPr>
      </w:pPr>
    </w:p>
    <w:p w14:paraId="672BCEDF"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AIM</w:t>
      </w:r>
    </w:p>
    <w:p w14:paraId="16AC2B90"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To investigate the antitumor effect of DHTS in ESCC and the underlying mechanisms.</w:t>
      </w:r>
    </w:p>
    <w:p w14:paraId="660FF207" w14:textId="77777777" w:rsidR="006A4945" w:rsidRDefault="006A4945">
      <w:pPr>
        <w:adjustRightInd w:val="0"/>
        <w:snapToGrid w:val="0"/>
        <w:spacing w:line="360" w:lineRule="auto"/>
        <w:jc w:val="both"/>
        <w:rPr>
          <w:rFonts w:ascii="Book Antiqua" w:hAnsi="Book Antiqua"/>
        </w:rPr>
      </w:pPr>
    </w:p>
    <w:p w14:paraId="0CC4D1A9"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METHODS</w:t>
      </w:r>
    </w:p>
    <w:p w14:paraId="75ABEF12" w14:textId="30CCBB6E"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CCK-8 assay and cell cycle analysis were used to detect proliferation and cell cycle in ESCC cells. Annexin V-PE/7-AAD double staining assay and Hoechst 33258 staining were used to detect apoptosis in ESCC cells. Western blot was used to detect the expression of proteins assoc</w:t>
      </w:r>
      <w:r>
        <w:rPr>
          <w:rFonts w:ascii="Book Antiqua" w:eastAsia="Book Antiqua" w:hAnsi="Book Antiqua" w:cs="Book Antiqua"/>
          <w:color w:val="000000"/>
        </w:rPr>
        <w:t xml:space="preserve">iated with </w:t>
      </w:r>
      <w:r w:rsidR="001C35F7">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Immunofluorescence was used to detect the expression of phosphorylated STAT3 (pSTAT3) in DHTS-treated ESCC cells. ESCC cells </w:t>
      </w:r>
      <w:r w:rsidR="001C35F7">
        <w:rPr>
          <w:rFonts w:ascii="Book Antiqua" w:eastAsia="Book Antiqua" w:hAnsi="Book Antiqua" w:cs="Book Antiqua"/>
          <w:color w:val="000000"/>
        </w:rPr>
        <w:t xml:space="preserve">with STAT3 knockdown and overexpression </w:t>
      </w:r>
      <w:r>
        <w:rPr>
          <w:rFonts w:ascii="Book Antiqua" w:eastAsia="Book Antiqua" w:hAnsi="Book Antiqua" w:cs="Book Antiqua"/>
          <w:color w:val="000000"/>
        </w:rPr>
        <w:t>were constructed to verify the role of STAT3 in DHTS indu</w:t>
      </w:r>
      <w:r>
        <w:rPr>
          <w:rFonts w:ascii="Book Antiqua" w:eastAsia="Book Antiqua" w:hAnsi="Book Antiqua" w:cs="Book Antiqua"/>
          <w:color w:val="000000"/>
        </w:rPr>
        <w:t xml:space="preserve">ced apoptosis. A xenograft tumor model in nude mice was used to evaluate the antitumor effect of DHTS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5FFF8BF5" w14:textId="77777777" w:rsidR="006A4945" w:rsidRDefault="006A4945">
      <w:pPr>
        <w:adjustRightInd w:val="0"/>
        <w:snapToGrid w:val="0"/>
        <w:spacing w:line="360" w:lineRule="auto"/>
        <w:jc w:val="both"/>
        <w:rPr>
          <w:rFonts w:ascii="Book Antiqua" w:hAnsi="Book Antiqua"/>
        </w:rPr>
      </w:pPr>
    </w:p>
    <w:p w14:paraId="69A9311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RESULTS</w:t>
      </w:r>
    </w:p>
    <w:p w14:paraId="1ACDE9B9" w14:textId="393F4B65"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After treatment with </w:t>
      </w:r>
      <w:r>
        <w:rPr>
          <w:rFonts w:ascii="Book Antiqua" w:eastAsia="Book Antiqua" w:hAnsi="Book Antiqua" w:cs="Book Antiqua"/>
          <w:color w:val="000000"/>
        </w:rPr>
        <w:t xml:space="preserve">DHTS, </w:t>
      </w:r>
      <w:r w:rsidR="001C35F7">
        <w:rPr>
          <w:rFonts w:ascii="Book Antiqua" w:eastAsia="Book Antiqua" w:hAnsi="Book Antiqua" w:cs="Book Antiqua"/>
          <w:color w:val="000000"/>
        </w:rPr>
        <w:t xml:space="preserve">the </w:t>
      </w:r>
      <w:r>
        <w:rPr>
          <w:rFonts w:ascii="Book Antiqua" w:eastAsia="Book Antiqua" w:hAnsi="Book Antiqua" w:cs="Book Antiqua"/>
          <w:color w:val="000000"/>
        </w:rPr>
        <w:t xml:space="preserve">proliferation of ESCC cells was inhibited in a dose- and time-dependent manner. Moreover, DHTS induced cell cycle arrest in the G0/1 phase. Annexin V-PE/7-AAD double staining assay and Hoechst 33258 staining revealed that DHTS induced obvious apoptosis in KYSE30 and Eca109 cells. At the molecular level, DHTS treatment reduced the expression of pSTAT3 and anti-apoptotic proteins, while increasing the expression of pro-apoptotic proteins in ESCC cells. STAT3 knockdown in ESCC cells markedly promoted the activation of </w:t>
      </w:r>
      <w:r w:rsidR="001C35F7">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while STAT3 overexpression blocked the activation of </w:t>
      </w:r>
      <w:r w:rsidR="001C35F7">
        <w:rPr>
          <w:rFonts w:ascii="Book Antiqua" w:eastAsia="Book Antiqua" w:hAnsi="Book Antiqua" w:cs="Book Antiqua"/>
          <w:color w:val="000000"/>
        </w:rPr>
        <w:t xml:space="preserve">the </w:t>
      </w:r>
      <w:r>
        <w:rPr>
          <w:rFonts w:ascii="Book Antiqua" w:eastAsia="Book Antiqua" w:hAnsi="Book Antiqua" w:cs="Book Antiqua"/>
          <w:color w:val="000000"/>
        </w:rPr>
        <w:t>mitocho</w:t>
      </w:r>
      <w:r>
        <w:rPr>
          <w:rFonts w:ascii="Book Antiqua" w:eastAsia="Book Antiqua" w:hAnsi="Book Antiqua" w:cs="Book Antiqua"/>
          <w:color w:val="000000"/>
        </w:rPr>
        <w:t xml:space="preserve">ndrial pathway. Additionally, </w:t>
      </w:r>
      <w:r>
        <w:rPr>
          <w:rFonts w:ascii="Book Antiqua" w:eastAsia="Book Antiqua" w:hAnsi="Book Antiqua" w:cs="Book Antiqua"/>
          <w:color w:val="000000"/>
        </w:rPr>
        <w:lastRenderedPageBreak/>
        <w:t>DHTS inhi</w:t>
      </w:r>
      <w:r>
        <w:rPr>
          <w:rFonts w:ascii="Book Antiqua" w:eastAsia="Book Antiqua" w:hAnsi="Book Antiqua" w:cs="Book Antiqua"/>
          <w:color w:val="000000"/>
        </w:rPr>
        <w:t xml:space="preserve">bited </w:t>
      </w:r>
      <w:r w:rsidR="001C35F7">
        <w:rPr>
          <w:rFonts w:ascii="Book Antiqua" w:eastAsia="Book Antiqua" w:hAnsi="Book Antiqua" w:cs="Book Antiqua"/>
          <w:color w:val="000000"/>
        </w:rPr>
        <w:t xml:space="preserve">tumor cell </w:t>
      </w:r>
      <w:r>
        <w:rPr>
          <w:rFonts w:ascii="Book Antiqua" w:eastAsia="Book Antiqua" w:hAnsi="Book Antiqua" w:cs="Book Antiqua"/>
          <w:color w:val="000000"/>
        </w:rPr>
        <w:t>proliferation and induced apoptosis in a xenograft tumor mouse model.</w:t>
      </w:r>
    </w:p>
    <w:p w14:paraId="688C1CEB" w14:textId="77777777" w:rsidR="006A4945" w:rsidRDefault="006A4945">
      <w:pPr>
        <w:adjustRightInd w:val="0"/>
        <w:snapToGrid w:val="0"/>
        <w:spacing w:line="360" w:lineRule="auto"/>
        <w:jc w:val="both"/>
        <w:rPr>
          <w:rFonts w:ascii="Book Antiqua" w:hAnsi="Book Antiqua"/>
        </w:rPr>
      </w:pPr>
    </w:p>
    <w:p w14:paraId="623E64D8"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14:paraId="0EAFADE1"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DHTS exerts antitumor effect in ESCC </w:t>
      </w:r>
      <w:r>
        <w:rPr>
          <w:rFonts w:ascii="Book Antiqua" w:eastAsia="Book Antiqua" w:hAnsi="Book Antiqua" w:cs="Book Antiqua"/>
          <w:i/>
          <w:iCs/>
          <w:color w:val="000000"/>
        </w:rPr>
        <w:t>via</w:t>
      </w:r>
      <w:r>
        <w:rPr>
          <w:rFonts w:ascii="Book Antiqua" w:eastAsia="Book Antiqua" w:hAnsi="Book Antiqua" w:cs="Book Antiqua"/>
          <w:color w:val="000000"/>
        </w:rPr>
        <w:t xml:space="preserve"> STAT3-mediated activation of</w:t>
      </w:r>
      <w:r w:rsidR="001C35F7">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Pr>
          <w:rFonts w:ascii="Book Antiqua" w:eastAsia="Book Antiqua" w:hAnsi="Book Antiqua" w:cs="Book Antiqua"/>
          <w:color w:val="000000"/>
        </w:rPr>
        <w:t>mitochondrial pathway. DHTS may be a novel therapeutic agent for ESCC.</w:t>
      </w:r>
    </w:p>
    <w:p w14:paraId="04AE4A70" w14:textId="77777777" w:rsidR="006A4945" w:rsidRDefault="006A4945">
      <w:pPr>
        <w:adjustRightInd w:val="0"/>
        <w:snapToGrid w:val="0"/>
        <w:spacing w:line="360" w:lineRule="auto"/>
        <w:jc w:val="both"/>
        <w:rPr>
          <w:rFonts w:ascii="Book Antiqua" w:hAnsi="Book Antiqua"/>
        </w:rPr>
      </w:pPr>
    </w:p>
    <w:p w14:paraId="2D6A58EB"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Esophageal squamous cell carcinoma; Dihydrotanshinone I; STAT3; Proliferation; Apoptosis</w:t>
      </w:r>
    </w:p>
    <w:p w14:paraId="63E20BFB" w14:textId="77777777" w:rsidR="006A4945" w:rsidRDefault="006A4945">
      <w:pPr>
        <w:adjustRightInd w:val="0"/>
        <w:snapToGrid w:val="0"/>
        <w:spacing w:line="360" w:lineRule="auto"/>
        <w:jc w:val="both"/>
        <w:rPr>
          <w:rFonts w:ascii="Book Antiqua" w:hAnsi="Book Antiqua"/>
        </w:rPr>
      </w:pPr>
    </w:p>
    <w:p w14:paraId="71F28980"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Qi MM, He PZ, Zhang L, Dong WG. STAT3-mediated activation of mitochondrial pathway contributes to antitumor effect of dihydro</w:t>
      </w:r>
      <w:r>
        <w:rPr>
          <w:rFonts w:ascii="Book Antiqua" w:eastAsia="Book Antiqua" w:hAnsi="Book Antiqua" w:cs="Book Antiqua"/>
          <w:color w:val="000000"/>
        </w:rPr>
        <w:t xml:space="preserve">tanshinone I in esophageal squamous </w:t>
      </w:r>
      <w:r w:rsidR="001C35F7">
        <w:rPr>
          <w:rFonts w:ascii="Book Antiqua" w:eastAsia="Book Antiqua" w:hAnsi="Book Antiqua" w:cs="Book Antiqua"/>
          <w:color w:val="000000"/>
        </w:rPr>
        <w:t xml:space="preserve">cell </w:t>
      </w:r>
      <w:r>
        <w:rPr>
          <w:rFonts w:ascii="Book Antiqua" w:eastAsia="Book Antiqua" w:hAnsi="Book Antiqua" w:cs="Book Antiqua"/>
          <w:color w:val="000000"/>
        </w:rPr>
        <w:t xml:space="preserve">carcinoma cells.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2021; In press</w:t>
      </w:r>
    </w:p>
    <w:p w14:paraId="0091F43B" w14:textId="77777777" w:rsidR="006A4945" w:rsidRDefault="006A4945">
      <w:pPr>
        <w:adjustRightInd w:val="0"/>
        <w:snapToGrid w:val="0"/>
        <w:spacing w:line="360" w:lineRule="auto"/>
        <w:jc w:val="both"/>
        <w:rPr>
          <w:rFonts w:ascii="Book Antiqua" w:hAnsi="Book Antiqua"/>
        </w:rPr>
      </w:pPr>
    </w:p>
    <w:p w14:paraId="7A53314E" w14:textId="77777777" w:rsidR="006A4945" w:rsidRDefault="00C3017B">
      <w:pPr>
        <w:adjustRightInd w:val="0"/>
        <w:snapToGrid w:val="0"/>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Esophageal squamous cell carcinoma (ESCC) is one of the most common malignancies with a poor prognosis. Our research found that dihydrotanshinone I (DHTS) suppresses proliferation and induces apoptosis in ESCC cells. Besides, STAT3-mediated activation of </w:t>
      </w:r>
      <w:r w:rsidR="001C35F7">
        <w:rPr>
          <w:rFonts w:ascii="Book Antiqua" w:eastAsia="Book Antiqua" w:hAnsi="Book Antiqua" w:cs="Book Antiqua"/>
          <w:color w:val="000000"/>
        </w:rPr>
        <w:t xml:space="preserve">the </w:t>
      </w:r>
      <w:r>
        <w:rPr>
          <w:rFonts w:ascii="Book Antiqua" w:eastAsia="Book Antiqua" w:hAnsi="Book Antiqua" w:cs="Book Antiqua"/>
          <w:color w:val="000000"/>
        </w:rPr>
        <w:t>mitochondrial pathway plays a vital role in DHT</w:t>
      </w:r>
      <w:r>
        <w:rPr>
          <w:rFonts w:ascii="Book Antiqua" w:eastAsia="Book Antiqua" w:hAnsi="Book Antiqua" w:cs="Book Antiqua"/>
          <w:color w:val="000000"/>
        </w:rPr>
        <w:t>S-induced apoptosis. DHTS may be a promising candidate for the treatment of ESCC.</w:t>
      </w:r>
    </w:p>
    <w:p w14:paraId="64976E2D"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206AAED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Esophageal cancer (EC) is one of the most common malignancies, ranking seventh in terms of incidence and sixth in terms of mortality worldwide. Esophageal squamous cell carcinoma (ESCC) is the main histologic subtype of EC in parts of Asia and Sub-Saharan Africa, and accounts for over 90% of all EC cases</w:t>
      </w:r>
      <w:r>
        <w:rPr>
          <w:rFonts w:ascii="Book Antiqua" w:eastAsia="Book Antiqua" w:hAnsi="Book Antiqua" w:cs="Book Antiqua"/>
          <w:color w:val="000000"/>
          <w:vertAlign w:val="superscript"/>
        </w:rPr>
        <w:t>[1]</w:t>
      </w:r>
      <w:r>
        <w:rPr>
          <w:rFonts w:ascii="Book Antiqua" w:eastAsia="Book Antiqua" w:hAnsi="Book Antiqua" w:cs="Book Antiqua"/>
          <w:color w:val="000000"/>
        </w:rPr>
        <w:t>. Many patients with ESCC are diagnosed in the advanced stage of disease and have a great need for chemotherapy. Unfortunately, because of drug resistance and toxicity, clinical outcomes have been far from satisfactory</w:t>
      </w:r>
      <w:r>
        <w:rPr>
          <w:rFonts w:ascii="Book Antiqua" w:eastAsia="Book Antiqua" w:hAnsi="Book Antiqua" w:cs="Book Antiqua"/>
          <w:color w:val="000000"/>
          <w:vertAlign w:val="superscript"/>
        </w:rPr>
        <w:t>[2,3]</w:t>
      </w:r>
      <w:r>
        <w:rPr>
          <w:rFonts w:ascii="Book Antiqua" w:eastAsia="Book Antiqua" w:hAnsi="Book Antiqua" w:cs="Book Antiqua"/>
          <w:color w:val="000000"/>
        </w:rPr>
        <w:t>. Thus, potent antitumor agents with excellent sensitivity and safety are urgently needed.</w:t>
      </w:r>
    </w:p>
    <w:p w14:paraId="37C2E0B9" w14:textId="77777777" w:rsidR="006A4945" w:rsidRDefault="00C3017B">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Studies have shown that traditional Chinese medicine has good preventive or therapeutic effect for various malignant tumors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Dihydrotanshinone I (DHTS) is a natural component isolated from the roots of a well-known traditional Chinese medicinal plant, </w:t>
      </w:r>
      <w:r>
        <w:rPr>
          <w:rFonts w:ascii="Book Antiqua" w:eastAsia="Book Antiqua" w:hAnsi="Book Antiqua" w:cs="Book Antiqua"/>
          <w:i/>
          <w:iCs/>
          <w:color w:val="000000"/>
        </w:rPr>
        <w:t>Salvia miltiorrhiza</w:t>
      </w:r>
      <w:r>
        <w:rPr>
          <w:rFonts w:ascii="Book Antiqua" w:eastAsia="Book Antiqua" w:hAnsi="Book Antiqua" w:cs="Book Antiqua"/>
          <w:color w:val="000000"/>
          <w:vertAlign w:val="superscript"/>
        </w:rPr>
        <w:t>[5]</w:t>
      </w:r>
      <w:r>
        <w:rPr>
          <w:rFonts w:ascii="Book Antiqua" w:eastAsia="Book Antiqua" w:hAnsi="Book Antiqua" w:cs="Book Antiqua"/>
          <w:color w:val="000000"/>
        </w:rPr>
        <w:t>. Previous studies have shown that DHTS has various biological functions, including cardiovascular protection, anti-inflammation, and anti-Alzheimer's disease, and several molecules, such as hypoxia-inducible factor-1α, human antigen R, and acetylcholinesterase, have been identified as potential targets for DHTS</w:t>
      </w:r>
      <w:r>
        <w:rPr>
          <w:rFonts w:ascii="Book Antiqua" w:eastAsia="Book Antiqua" w:hAnsi="Book Antiqua" w:cs="Book Antiqua"/>
          <w:color w:val="000000"/>
          <w:vertAlign w:val="superscript"/>
        </w:rPr>
        <w:t>[6-9]</w:t>
      </w:r>
      <w:r>
        <w:rPr>
          <w:rFonts w:ascii="Book Antiqua" w:eastAsia="Book Antiqua" w:hAnsi="Book Antiqua" w:cs="Book Antiqua"/>
          <w:color w:val="000000"/>
        </w:rPr>
        <w:t>. Recently, DHTS has been reported to exert anti-tumor</w:t>
      </w:r>
      <w:r>
        <w:rPr>
          <w:rFonts w:ascii="Book Antiqua" w:eastAsia="Book Antiqua" w:hAnsi="Book Antiqua" w:cs="Book Antiqua"/>
          <w:color w:val="000000"/>
        </w:rPr>
        <w:t xml:space="preserve"> efficacy in breast cancer, osteosarcoma</w:t>
      </w:r>
      <w:r w:rsidR="001C35F7">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rPr>
        <w:t>hemangiomas by exerting cytotoxic effect and inducing cell cycle arrest and apoptosis</w:t>
      </w:r>
      <w:r>
        <w:rPr>
          <w:rFonts w:ascii="Book Antiqua" w:eastAsia="Book Antiqua" w:hAnsi="Book Antiqua" w:cs="Book Antiqua"/>
          <w:color w:val="000000"/>
          <w:vertAlign w:val="superscript"/>
        </w:rPr>
        <w:t>[6,10-12]</w:t>
      </w:r>
      <w:r>
        <w:rPr>
          <w:rFonts w:ascii="Book Antiqua" w:eastAsia="Book Antiqua" w:hAnsi="Book Antiqua" w:cs="Book Antiqua"/>
          <w:color w:val="000000"/>
        </w:rPr>
        <w:t>. However, the role of DHTS in ESCC and the underlying molecular mechanisms remain to be determined.</w:t>
      </w:r>
    </w:p>
    <w:p w14:paraId="4A33F8E4" w14:textId="77777777" w:rsidR="006A4945" w:rsidRDefault="00C3017B">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STAT3 is reported to be associated with cell proliferation, migration, and apoptosis, and is aberrantly hyperactivated in many types of cancer</w:t>
      </w:r>
      <w:r>
        <w:rPr>
          <w:rFonts w:ascii="Book Antiqua" w:eastAsia="Book Antiqua" w:hAnsi="Book Antiqua" w:cs="Book Antiqua"/>
          <w:color w:val="000000"/>
          <w:vertAlign w:val="superscript"/>
        </w:rPr>
        <w:t>[13-15]</w:t>
      </w:r>
      <w:r>
        <w:rPr>
          <w:rFonts w:ascii="Book Antiqua" w:eastAsia="Book Antiqua" w:hAnsi="Book Antiqua" w:cs="Book Antiqua"/>
          <w:color w:val="000000"/>
        </w:rPr>
        <w:t>. The STAT3 cascade is associated with the promotion of tumor growth and immunosuppression</w:t>
      </w:r>
      <w:r>
        <w:rPr>
          <w:rFonts w:ascii="Book Antiqua" w:eastAsia="Book Antiqua" w:hAnsi="Book Antiqua" w:cs="Book Antiqua"/>
          <w:color w:val="000000"/>
          <w:vertAlign w:val="superscript"/>
        </w:rPr>
        <w:t>[16]</w:t>
      </w:r>
      <w:r>
        <w:rPr>
          <w:rFonts w:ascii="Book Antiqua" w:eastAsia="Book Antiqua" w:hAnsi="Book Antiqua" w:cs="Book Antiqua"/>
          <w:color w:val="000000"/>
        </w:rPr>
        <w:t>. In the inactive state, STAT3 exists as a monomer found in the cytoplasm. Once activated, the phosphorylation of Tyr705 results in dimerization of the STAT3 protein and translocation of the STAT3 dimer to the nucleus. In the nucleus, phosphorylated STAT3 (pSTAT3) may mediate the induction of key target genes that regulate cellular proliferation and survival, suppress apoptosis, and promote angiogenesis, invasiveness, and/or metastasis</w:t>
      </w:r>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It </w:t>
      </w:r>
      <w:r>
        <w:rPr>
          <w:rFonts w:ascii="Book Antiqua" w:eastAsia="Book Antiqua" w:hAnsi="Book Antiqua" w:cs="Book Antiqua"/>
          <w:color w:val="000000"/>
        </w:rPr>
        <w:lastRenderedPageBreak/>
        <w:t>has been proven that STAT3 is involved in the progression of many kinds of tumors, and treatments that target STAT3 promise therapeutic benefits for cancer patients</w:t>
      </w:r>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46E01AF2" w14:textId="77777777" w:rsidR="006A4945" w:rsidRDefault="00C3017B">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In this study, we treated ESCC cells with DHTS to investigate whether DHTS could exert antitumor effect in ESCC cells, as well as the possible molecular mechanism involved, trying to provide a new strategy for the treatment of ESCC.</w:t>
      </w:r>
    </w:p>
    <w:p w14:paraId="1E7680C5" w14:textId="77777777" w:rsidR="006A4945" w:rsidRDefault="006A4945">
      <w:pPr>
        <w:adjustRightInd w:val="0"/>
        <w:snapToGrid w:val="0"/>
        <w:spacing w:line="360" w:lineRule="auto"/>
        <w:jc w:val="both"/>
        <w:rPr>
          <w:rFonts w:ascii="Book Antiqua" w:hAnsi="Book Antiqua"/>
        </w:rPr>
      </w:pPr>
    </w:p>
    <w:p w14:paraId="4336CAA7"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8092E47"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Cell culture and reagents</w:t>
      </w:r>
    </w:p>
    <w:p w14:paraId="034129D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human ESCC cell lines KYSE30, Eca109, KYSE450, and KYSE510 and human normal esophageal epithelial cell line Het-1A were donated by the China Center for Type Culture Collection. The ESCC cells were cultured in Roswell Park Memorial Institute (RPMI)-1640 medium (Gibco, </w:t>
      </w:r>
      <w:r w:rsidR="00730AA5" w:rsidRPr="00730AA5">
        <w:rPr>
          <w:rFonts w:ascii="Book Antiqua" w:eastAsia="Book Antiqua" w:hAnsi="Book Antiqua" w:cs="Book Antiqua"/>
          <w:color w:val="000000"/>
        </w:rPr>
        <w:t>United States</w:t>
      </w:r>
      <w:r>
        <w:rPr>
          <w:rFonts w:ascii="Book Antiqua" w:eastAsia="Book Antiqua" w:hAnsi="Book Antiqua" w:cs="Book Antiqua"/>
          <w:color w:val="000000"/>
        </w:rPr>
        <w:t xml:space="preserve">) with 10% fetal bovine serum (FBS) (Gibco, </w:t>
      </w:r>
      <w:r w:rsidR="00730AA5" w:rsidRPr="00730AA5">
        <w:rPr>
          <w:rFonts w:ascii="Book Antiqua" w:eastAsia="Book Antiqua" w:hAnsi="Book Antiqua" w:cs="Book Antiqua"/>
          <w:color w:val="000000"/>
        </w:rPr>
        <w:t>United States</w:t>
      </w:r>
      <w:r>
        <w:rPr>
          <w:rFonts w:ascii="Book Antiqua" w:eastAsia="Book Antiqua" w:hAnsi="Book Antiqua" w:cs="Book Antiqua"/>
          <w:color w:val="000000"/>
        </w:rPr>
        <w:t xml:space="preserve">) while Het-1A cells in Dulbecco’s modified Eagle medium (DMEM) (Gibco, </w:t>
      </w:r>
      <w:r w:rsidR="00730AA5" w:rsidRPr="00730AA5">
        <w:rPr>
          <w:rFonts w:ascii="Book Antiqua" w:eastAsia="Book Antiqua" w:hAnsi="Book Antiqua" w:cs="Book Antiqua"/>
          <w:color w:val="000000"/>
        </w:rPr>
        <w:t>United States</w:t>
      </w:r>
      <w:r>
        <w:rPr>
          <w:rFonts w:ascii="Book Antiqua" w:eastAsia="Book Antiqua" w:hAnsi="Book Antiqua" w:cs="Book Antiqua"/>
          <w:color w:val="000000"/>
        </w:rPr>
        <w:t>) with 10% FBS in a humidified incubator at 37 °C containing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DHTS (Sigma-Aldrich,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xml:space="preserve">) was dissolved in dimethyl sulfoxide (DMSO) (Sigma-Aldrich,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at a stock concentration of 10 mmol/L and was diluted with RPMI-1640 medium or DMEM medium to perform assay</w:t>
      </w:r>
      <w:r>
        <w:rPr>
          <w:rFonts w:ascii="Book Antiqua" w:eastAsia="Book Antiqua" w:hAnsi="Book Antiqua" w:cs="Book Antiqua"/>
          <w:color w:val="000000"/>
        </w:rPr>
        <w:t xml:space="preserve">s. As a result, </w:t>
      </w:r>
      <w:r w:rsidR="001C35F7">
        <w:rPr>
          <w:rFonts w:ascii="Book Antiqua" w:eastAsia="Book Antiqua" w:hAnsi="Book Antiqua" w:cs="Book Antiqua"/>
          <w:color w:val="000000"/>
        </w:rPr>
        <w:t xml:space="preserve">the </w:t>
      </w:r>
      <w:r>
        <w:rPr>
          <w:rFonts w:ascii="Book Antiqua" w:eastAsia="Book Antiqua" w:hAnsi="Book Antiqua" w:cs="Book Antiqua"/>
          <w:color w:val="000000"/>
        </w:rPr>
        <w:t>final concentration of DMSO in the medium was no more than 10 μL/mL in all assays and would not show obvious toxicity to cells.</w:t>
      </w:r>
    </w:p>
    <w:p w14:paraId="75EE1076" w14:textId="77777777" w:rsidR="006A4945" w:rsidRDefault="006A4945">
      <w:pPr>
        <w:adjustRightInd w:val="0"/>
        <w:snapToGrid w:val="0"/>
        <w:spacing w:line="360" w:lineRule="auto"/>
        <w:jc w:val="both"/>
        <w:rPr>
          <w:rFonts w:ascii="Book Antiqua" w:hAnsi="Book Antiqua"/>
        </w:rPr>
      </w:pPr>
    </w:p>
    <w:p w14:paraId="48FA8165"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Cell viability assay</w:t>
      </w:r>
    </w:p>
    <w:p w14:paraId="4D42DA47" w14:textId="4C3C32C3"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Cells were seeded in triplicate in 96-well plates at a density of 8000 cells per well. After overnight incubation, the cells were exposed to different concentrations of DHTS for 12 h, 24 h</w:t>
      </w:r>
      <w:r w:rsidR="001C35F7">
        <w:rPr>
          <w:rFonts w:ascii="Book Antiqua" w:eastAsia="Book Antiqua" w:hAnsi="Book Antiqua" w:cs="Book Antiqua"/>
          <w:color w:val="000000"/>
        </w:rPr>
        <w:t>,</w:t>
      </w:r>
      <w:r>
        <w:rPr>
          <w:rFonts w:ascii="Book Antiqua" w:eastAsia="Book Antiqua" w:hAnsi="Book Antiqua" w:cs="Book Antiqua"/>
          <w:color w:val="000000"/>
        </w:rPr>
        <w:t xml:space="preserve"> or 36 h. Cell viability was assessed using a Cell Counting Kit-8 (CCK-8, Beyotime, China) according to the manufacturer’s protocol. The absorbance at 450 nm was measured using a microplate spectrophotometer (Victor3 1420 Mult</w:t>
      </w:r>
      <w:r>
        <w:rPr>
          <w:rFonts w:ascii="Book Antiqua" w:eastAsia="Book Antiqua" w:hAnsi="Book Antiqua" w:cs="Book Antiqua"/>
          <w:color w:val="000000"/>
        </w:rPr>
        <w:t xml:space="preserve">ilabel Counter, Perkin Elmer,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RPMI 1640 medium or DMEM medium containing 5% CCK-8 was used as a control. </w:t>
      </w:r>
    </w:p>
    <w:p w14:paraId="18BCC6CA" w14:textId="77777777" w:rsidR="006A4945" w:rsidRDefault="006A4945">
      <w:pPr>
        <w:adjustRightInd w:val="0"/>
        <w:snapToGrid w:val="0"/>
        <w:spacing w:line="360" w:lineRule="auto"/>
        <w:jc w:val="both"/>
        <w:rPr>
          <w:rFonts w:ascii="Book Antiqua" w:hAnsi="Book Antiqua"/>
        </w:rPr>
      </w:pPr>
    </w:p>
    <w:p w14:paraId="1D22E390"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lastRenderedPageBreak/>
        <w:t>Cell cycle analysis</w:t>
      </w:r>
    </w:p>
    <w:p w14:paraId="5E80DD48"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Cells were seeded at a density of 5 × 10</w:t>
      </w:r>
      <w:r>
        <w:rPr>
          <w:rFonts w:ascii="Book Antiqua" w:eastAsia="Book Antiqua" w:hAnsi="Book Antiqua" w:cs="Book Antiqua"/>
          <w:color w:val="000000"/>
          <w:vertAlign w:val="superscript"/>
        </w:rPr>
        <w:t>5</w:t>
      </w:r>
      <w:r>
        <w:rPr>
          <w:rFonts w:ascii="Book Antiqua" w:eastAsia="Book Antiqua" w:hAnsi="Book Antiqua" w:cs="Book Antiqua"/>
          <w:color w:val="000000"/>
        </w:rPr>
        <w:t> per well in six-well plates and incubated at 37</w:t>
      </w:r>
      <w:r w:rsidR="0002445A">
        <w:rPr>
          <w:rFonts w:ascii="Book Antiqua" w:eastAsia="Book Antiqua" w:hAnsi="Book Antiqua" w:cs="Book Antiqua"/>
          <w:color w:val="000000"/>
        </w:rPr>
        <w:t xml:space="preserve"> </w:t>
      </w:r>
      <w:r>
        <w:rPr>
          <w:rFonts w:ascii="Book Antiqua" w:eastAsia="Book Antiqua" w:hAnsi="Book Antiqua" w:cs="Book Antiqua"/>
          <w:color w:val="000000"/>
        </w:rPr>
        <w:t>°C overnight. After culturing in RPMI 1640 medium without fetal bovine serum for 24 h, the cells were cultured in RPMI 1640 medium with 10% FBS and treated with DHTS for 24 h and then collected after trypsinization and fixed in ice-cold 75% ethanol overnight at 4</w:t>
      </w:r>
      <w:r w:rsidR="0002445A">
        <w:rPr>
          <w:rFonts w:ascii="Book Antiqua" w:eastAsia="Book Antiqua" w:hAnsi="Book Antiqua" w:cs="Book Antiqua"/>
          <w:color w:val="000000"/>
        </w:rPr>
        <w:t xml:space="preserve"> </w:t>
      </w:r>
      <w:r>
        <w:rPr>
          <w:rFonts w:ascii="Book Antiqua" w:eastAsia="Book Antiqua" w:hAnsi="Book Antiqua" w:cs="Book Antiqua"/>
          <w:color w:val="000000"/>
        </w:rPr>
        <w:t xml:space="preserve">°C. The cells were then washed with PBS and incubated with PI (50 μg/mL, Antgene, China) and RNAse (Yeasen, China) for 30 min. Cell cycle distribution was detected using the BD TM LSRΙΙ flow cytometer (BD Biosciences, San Jose, CA,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xml:space="preserve">). The resultant cell cycle profiles were analyzed using ModFit software (Verity Software House, Topshem, ME,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w:t>
      </w:r>
    </w:p>
    <w:p w14:paraId="10B6086C" w14:textId="77777777" w:rsidR="006A4945" w:rsidRDefault="006A4945">
      <w:pPr>
        <w:adjustRightInd w:val="0"/>
        <w:snapToGrid w:val="0"/>
        <w:spacing w:line="360" w:lineRule="auto"/>
        <w:jc w:val="both"/>
        <w:rPr>
          <w:rFonts w:ascii="Book Antiqua" w:hAnsi="Book Antiqua"/>
        </w:rPr>
      </w:pPr>
    </w:p>
    <w:p w14:paraId="326DD4FA"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Annexin V-PE/7-AAD double staining assay for apoptosis</w:t>
      </w:r>
    </w:p>
    <w:p w14:paraId="3A90481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annexin V-PE/7-AAD kit (BD Pharmingen,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was used to quantify the percentage of apoptotic cells using flow cyto</w:t>
      </w:r>
      <w:r>
        <w:rPr>
          <w:rFonts w:ascii="Book Antiqua" w:eastAsia="Book Antiqua" w:hAnsi="Book Antiqua" w:cs="Book Antiqua"/>
          <w:color w:val="000000"/>
        </w:rPr>
        <w:t>metry (FACS Calibur, Becton Dickinson). Cells were seeded into a six-well plate and incubated at 37</w:t>
      </w:r>
      <w:r w:rsidR="001C35F7">
        <w:rPr>
          <w:rFonts w:ascii="Book Antiqua" w:eastAsia="Book Antiqua" w:hAnsi="Book Antiqua" w:cs="Book Antiqua"/>
          <w:color w:val="000000"/>
        </w:rPr>
        <w:t xml:space="preserve"> </w:t>
      </w:r>
      <w:r>
        <w:rPr>
          <w:rFonts w:ascii="Book Antiqua" w:eastAsia="Book Antiqua" w:hAnsi="Book Antiqua" w:cs="Book Antiqua"/>
          <w:color w:val="000000"/>
        </w:rPr>
        <w:t>°C over</w:t>
      </w:r>
      <w:r>
        <w:rPr>
          <w:rFonts w:ascii="Book Antiqua" w:eastAsia="Book Antiqua" w:hAnsi="Book Antiqua" w:cs="Book Antiqua"/>
          <w:color w:val="000000"/>
        </w:rPr>
        <w:t>night. Then the cells were treated with different concentrations of DHTS for 24 h. Adherent cells were collected and co-stained with 5 μL of annexin V-PE and 5 μL of 7-AAD before flow cytometric analysis. Live cells are PE- and 7-AAD-negative, and early apoptotic cells are PE-positive and 7-AAD-negative. Necrotic cells are both PE- and 7-AAD-positive, and late apoptotic and dead cells are PE-negative and 7-AAD-positive.</w:t>
      </w:r>
    </w:p>
    <w:p w14:paraId="4C29BECB" w14:textId="77777777" w:rsidR="006A4945" w:rsidRDefault="006A4945">
      <w:pPr>
        <w:adjustRightInd w:val="0"/>
        <w:snapToGrid w:val="0"/>
        <w:spacing w:line="360" w:lineRule="auto"/>
        <w:jc w:val="both"/>
        <w:rPr>
          <w:rFonts w:ascii="Book Antiqua" w:hAnsi="Book Antiqua"/>
        </w:rPr>
      </w:pPr>
    </w:p>
    <w:p w14:paraId="78894CEE"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Hoechst 33258 staining for apoptosis</w:t>
      </w:r>
    </w:p>
    <w:p w14:paraId="465948D6"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Cells were seeded into a six-well plate at a density of 2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per well and incubated at 37 °C overnight. The cells were then treated with different concentrations of DHTS for 24 h. Cells were then fixed with 4% paraformaldehyde for 15 min at room temperature and then washed twice with PBS. After that, the cells were stained with 50 ng/mL Hoechst 33258 (Beyotime, China) for 10 min. Apoptotic morphological features (chromatin condensation and nuclear fragmentation) were observed and imaged using a fluorescence microscope (BX51, Olympus). </w:t>
      </w:r>
    </w:p>
    <w:p w14:paraId="6A4C15AD" w14:textId="77777777" w:rsidR="006A4945" w:rsidRDefault="006A4945">
      <w:pPr>
        <w:adjustRightInd w:val="0"/>
        <w:snapToGrid w:val="0"/>
        <w:spacing w:line="360" w:lineRule="auto"/>
        <w:jc w:val="both"/>
        <w:rPr>
          <w:rFonts w:ascii="Book Antiqua" w:hAnsi="Book Antiqua"/>
        </w:rPr>
      </w:pPr>
    </w:p>
    <w:p w14:paraId="03E8892F"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Transfection and lentiviral transduction</w:t>
      </w:r>
    </w:p>
    <w:p w14:paraId="0AE382CE" w14:textId="5113FD88"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pLVX-Puro-STAT3-shRNA- and pLVX-Puro-STAT3-expressing lentiviruses were designed and provided by Genomeditech (Shanghai, China). KYSE30 cells and Eca109 cells were transfected with the lentiviral vectors, while control cells were transfected with empty vectors according to the manufacturer's instructions. To establish stable cell lines, 2 μg/mL puromycin dihydrochloride (Beyotime, China) was used daily for 1 wk after transfection with lentiviral vectors. Kno</w:t>
      </w:r>
      <w:r>
        <w:rPr>
          <w:rFonts w:ascii="Book Antiqua" w:eastAsia="Book Antiqua" w:hAnsi="Book Antiqua" w:cs="Book Antiqua"/>
          <w:color w:val="000000"/>
        </w:rPr>
        <w:t xml:space="preserve">ckdown and overexpression </w:t>
      </w:r>
      <w:r w:rsidR="00CF5B16">
        <w:rPr>
          <w:rFonts w:ascii="Book Antiqua" w:eastAsia="Book Antiqua" w:hAnsi="Book Antiqua" w:cs="Book Antiqua"/>
          <w:color w:val="000000"/>
        </w:rPr>
        <w:t xml:space="preserve">efficiencies </w:t>
      </w:r>
      <w:r>
        <w:rPr>
          <w:rFonts w:ascii="Book Antiqua" w:eastAsia="Book Antiqua" w:hAnsi="Book Antiqua" w:cs="Book Antiqua"/>
          <w:color w:val="000000"/>
        </w:rPr>
        <w:t xml:space="preserve">were validated using </w:t>
      </w:r>
      <w:r w:rsidR="00CF5B16">
        <w:rPr>
          <w:rFonts w:ascii="Book Antiqua" w:eastAsia="Book Antiqua" w:hAnsi="Book Antiqua" w:cs="Book Antiqua"/>
          <w:color w:val="000000"/>
        </w:rPr>
        <w:t xml:space="preserve">Western </w:t>
      </w:r>
      <w:r>
        <w:rPr>
          <w:rFonts w:ascii="Book Antiqua" w:eastAsia="Book Antiqua" w:hAnsi="Book Antiqua" w:cs="Book Antiqua"/>
          <w:color w:val="000000"/>
        </w:rPr>
        <w:t>blot and real</w:t>
      </w:r>
      <w:r w:rsidR="00CF5B16">
        <w:rPr>
          <w:rFonts w:ascii="Book Antiqua" w:eastAsia="宋体" w:hAnsi="Book Antiqua" w:cs="Book Antiqua" w:hint="eastAsia"/>
          <w:color w:val="000000"/>
          <w:lang w:eastAsia="zh-CN"/>
        </w:rPr>
        <w:t>-</w:t>
      </w:r>
      <w:r>
        <w:rPr>
          <w:rFonts w:ascii="Book Antiqua" w:eastAsia="Book Antiqua" w:hAnsi="Book Antiqua" w:cs="Book Antiqua"/>
          <w:color w:val="000000"/>
        </w:rPr>
        <w:t>time quanti</w:t>
      </w:r>
      <w:r>
        <w:rPr>
          <w:rFonts w:ascii="Book Antiqua" w:eastAsia="Book Antiqua" w:hAnsi="Book Antiqua" w:cs="Book Antiqua"/>
          <w:color w:val="000000"/>
        </w:rPr>
        <w:t xml:space="preserve">tative polymerase chain reaction (RT-qPCR). </w:t>
      </w:r>
    </w:p>
    <w:p w14:paraId="551DCB30" w14:textId="77777777" w:rsidR="006A4945" w:rsidRDefault="006A4945">
      <w:pPr>
        <w:adjustRightInd w:val="0"/>
        <w:snapToGrid w:val="0"/>
        <w:spacing w:line="360" w:lineRule="auto"/>
        <w:jc w:val="both"/>
        <w:rPr>
          <w:rFonts w:ascii="Book Antiqua" w:hAnsi="Book Antiqua"/>
        </w:rPr>
      </w:pPr>
    </w:p>
    <w:p w14:paraId="7308CCA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RNA extraction and RT-PCR</w:t>
      </w:r>
    </w:p>
    <w:p w14:paraId="33A0D354" w14:textId="148A5DDC"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Total RNA was extracted using TRIzol Reagent (Invitrogen,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as described by the manufacturer. cDNA was synthesized using the Hifair II 1</w:t>
      </w:r>
      <w:r>
        <w:rPr>
          <w:rFonts w:ascii="Book Antiqua" w:eastAsia="Book Antiqua" w:hAnsi="Book Antiqua" w:cs="Book Antiqua"/>
          <w:color w:val="000000"/>
          <w:vertAlign w:val="superscript"/>
        </w:rPr>
        <w:t>st</w:t>
      </w:r>
      <w:r>
        <w:rPr>
          <w:rFonts w:ascii="Book Antiqua" w:eastAsia="Book Antiqua" w:hAnsi="Book Antiqua" w:cs="Book Antiqua"/>
          <w:color w:val="000000"/>
        </w:rPr>
        <w:t> Strand cDNA Synthesis SuperMix for qPCR Kit (Yeasen, China) according to the manufacturer’s proto</w:t>
      </w:r>
      <w:r>
        <w:rPr>
          <w:rFonts w:ascii="Book Antiqua" w:eastAsia="Book Antiqua" w:hAnsi="Book Antiqua" w:cs="Book Antiqua"/>
          <w:color w:val="000000"/>
        </w:rPr>
        <w:t>col. RT</w:t>
      </w:r>
      <w:r w:rsidR="00CF5B16">
        <w:rPr>
          <w:rFonts w:ascii="Book Antiqua" w:eastAsia="宋体" w:hAnsi="Book Antiqua" w:cs="Book Antiqua" w:hint="eastAsia"/>
          <w:color w:val="000000"/>
          <w:lang w:eastAsia="zh-CN"/>
        </w:rPr>
        <w:t>-</w:t>
      </w:r>
      <w:r>
        <w:rPr>
          <w:rFonts w:ascii="Book Antiqua" w:eastAsia="Book Antiqua" w:hAnsi="Book Antiqua" w:cs="Book Antiqua"/>
          <w:color w:val="000000"/>
        </w:rPr>
        <w:t>qPCR was conducted using the Hieff qPCR SYBR Green Master Mix Kit (Yeasen, China) on an ABI7500 real-time PCR system (Applied Biosystems, Foster City, CA) following the recommended protocols. The expression level of the glyceraldehyde 3-phosphate dehydrogenase (</w:t>
      </w:r>
      <w:r w:rsidRPr="0008241A">
        <w:rPr>
          <w:rFonts w:ascii="Book Antiqua" w:eastAsia="Book Antiqua" w:hAnsi="Book Antiqua" w:cs="Book Antiqua"/>
          <w:i/>
          <w:color w:val="000000"/>
        </w:rPr>
        <w:t>GAPDH</w:t>
      </w:r>
      <w:r>
        <w:rPr>
          <w:rFonts w:ascii="Book Antiqua" w:eastAsia="Book Antiqua" w:hAnsi="Book Antiqua" w:cs="Book Antiqua"/>
          <w:color w:val="000000"/>
        </w:rPr>
        <w:t>) gene was used as a loading control. P</w:t>
      </w:r>
      <w:r w:rsidR="00CF5B16">
        <w:rPr>
          <w:rFonts w:ascii="Book Antiqua" w:eastAsia="Book Antiqua" w:hAnsi="Book Antiqua" w:cs="Book Antiqua"/>
          <w:color w:val="000000"/>
        </w:rPr>
        <w:t>r</w:t>
      </w:r>
      <w:r>
        <w:rPr>
          <w:rFonts w:ascii="Book Antiqua" w:eastAsia="Book Antiqua" w:hAnsi="Book Antiqua" w:cs="Book Antiqua"/>
          <w:color w:val="000000"/>
        </w:rPr>
        <w:t xml:space="preserve">imer sequences are as follows: </w:t>
      </w:r>
      <w:r w:rsidR="00CF5B16">
        <w:rPr>
          <w:rFonts w:ascii="Book Antiqua" w:eastAsia="Book Antiqua" w:hAnsi="Book Antiqua" w:cs="Book Antiqua"/>
          <w:color w:val="000000"/>
        </w:rPr>
        <w:t xml:space="preserve">Forward </w:t>
      </w:r>
      <w:r>
        <w:rPr>
          <w:rFonts w:ascii="Book Antiqua" w:eastAsia="Book Antiqua" w:hAnsi="Book Antiqua" w:cs="Book Antiqua"/>
          <w:color w:val="000000"/>
        </w:rPr>
        <w:t>seq</w:t>
      </w:r>
      <w:r>
        <w:rPr>
          <w:rFonts w:ascii="Book Antiqua" w:eastAsia="Book Antiqua" w:hAnsi="Book Antiqua" w:cs="Book Antiqua"/>
          <w:color w:val="000000"/>
        </w:rPr>
        <w:t>uence 5'-CAGCAGCTTGACACACGGTA-3' and reverse sequence 5'-AAACACCAAAGTGGCATGTGA-3' for STAT3; forward sequence 5'-AAATCCCATCACCATCTTCC-3' and reverse sequence 5'-TCACACCCATGACGAACA-3' for GAPDH.</w:t>
      </w:r>
    </w:p>
    <w:p w14:paraId="3BD80646" w14:textId="77777777" w:rsidR="006A4945" w:rsidRDefault="006A4945">
      <w:pPr>
        <w:adjustRightInd w:val="0"/>
        <w:snapToGrid w:val="0"/>
        <w:spacing w:line="360" w:lineRule="auto"/>
        <w:jc w:val="both"/>
        <w:rPr>
          <w:rFonts w:ascii="Book Antiqua" w:hAnsi="Book Antiqua"/>
        </w:rPr>
      </w:pPr>
    </w:p>
    <w:p w14:paraId="69756D37"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Western</w:t>
      </w:r>
      <w:r>
        <w:rPr>
          <w:rFonts w:ascii="Book Antiqua" w:eastAsia="Book Antiqua" w:hAnsi="Book Antiqua" w:cs="Book Antiqua"/>
          <w:b/>
          <w:bCs/>
          <w:i/>
          <w:iCs/>
          <w:color w:val="000000"/>
        </w:rPr>
        <w:t xml:space="preserve"> blot</w:t>
      </w:r>
      <w:r w:rsidR="00CF5B16">
        <w:rPr>
          <w:rFonts w:ascii="Book Antiqua" w:eastAsia="Book Antiqua" w:hAnsi="Book Antiqua" w:cs="Book Antiqua"/>
          <w:b/>
          <w:bCs/>
          <w:i/>
          <w:iCs/>
          <w:color w:val="000000"/>
        </w:rPr>
        <w:t xml:space="preserve"> analysis</w:t>
      </w:r>
    </w:p>
    <w:p w14:paraId="58EBC340" w14:textId="677A09A4"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ESCC cells treated with DHTS were used to isolate proteins. The proteins were separated on 10% SDS-PAGE and transferred to</w:t>
      </w:r>
      <w:r w:rsidR="00CF5B16">
        <w:rPr>
          <w:rFonts w:ascii="Book Antiqua" w:eastAsia="Book Antiqua" w:hAnsi="Book Antiqua" w:cs="Book Antiqua"/>
          <w:color w:val="000000"/>
        </w:rPr>
        <w:t xml:space="preserve"> </w:t>
      </w:r>
      <w:r>
        <w:rPr>
          <w:rFonts w:ascii="Book Antiqua" w:eastAsia="Book Antiqua" w:hAnsi="Book Antiqua" w:cs="Book Antiqua"/>
          <w:color w:val="000000"/>
        </w:rPr>
        <w:t>polyvinylidene difluoride (PVDF) membrane</w:t>
      </w:r>
      <w:r w:rsidR="00CF5B16">
        <w:rPr>
          <w:rFonts w:ascii="Book Antiqua" w:eastAsia="Book Antiqua" w:hAnsi="Book Antiqua" w:cs="Book Antiqua"/>
          <w:color w:val="000000"/>
        </w:rPr>
        <w:t>s</w:t>
      </w:r>
      <w:r>
        <w:rPr>
          <w:rFonts w:ascii="Book Antiqua" w:eastAsia="Book Antiqua" w:hAnsi="Book Antiqua" w:cs="Book Antiqua"/>
          <w:color w:val="000000"/>
        </w:rPr>
        <w:t xml:space="preserve"> (Millipore, Bedford, MA,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PVDF membranes were blocked in 5% non-fat milk in TBS-Tween 20 (0.1%, v/v) at 25</w:t>
      </w:r>
      <w:r w:rsidR="00CF5B16">
        <w:rPr>
          <w:rFonts w:ascii="Book Antiqua" w:eastAsia="Book Antiqua" w:hAnsi="Book Antiqua" w:cs="Book Antiqua"/>
          <w:color w:val="000000"/>
        </w:rPr>
        <w:t xml:space="preserve"> °C</w:t>
      </w:r>
      <w:r>
        <w:rPr>
          <w:rFonts w:ascii="Book Antiqua" w:eastAsia="Book Antiqua" w:hAnsi="Book Antiqua" w:cs="Book Antiqua"/>
          <w:color w:val="000000"/>
        </w:rPr>
        <w:t xml:space="preserve"> for 1 h. </w:t>
      </w:r>
      <w:r>
        <w:rPr>
          <w:rFonts w:ascii="Book Antiqua" w:eastAsia="Book Antiqua" w:hAnsi="Book Antiqua" w:cs="Book Antiqua"/>
          <w:color w:val="000000"/>
        </w:rPr>
        <w:t xml:space="preserve">The PVDF membranes were incubated </w:t>
      </w:r>
      <w:r>
        <w:rPr>
          <w:rFonts w:ascii="Book Antiqua" w:eastAsia="Book Antiqua" w:hAnsi="Book Antiqua" w:cs="Book Antiqua"/>
          <w:color w:val="000000"/>
        </w:rPr>
        <w:lastRenderedPageBreak/>
        <w:t>in blocking solution with primary a</w:t>
      </w:r>
      <w:r>
        <w:rPr>
          <w:rFonts w:ascii="Book Antiqua" w:eastAsia="Book Antiqua" w:hAnsi="Book Antiqua" w:cs="Book Antiqua"/>
          <w:color w:val="000000"/>
        </w:rPr>
        <w:t>ntibodies at 4</w:t>
      </w:r>
      <w:r w:rsidR="00CF5B16">
        <w:rPr>
          <w:rFonts w:ascii="Book Antiqua" w:eastAsia="Book Antiqua" w:hAnsi="Book Antiqua" w:cs="Book Antiqua"/>
          <w:color w:val="000000"/>
        </w:rPr>
        <w:t xml:space="preserve"> °C</w:t>
      </w:r>
      <w:r>
        <w:rPr>
          <w:rFonts w:ascii="Book Antiqua" w:eastAsia="Book Antiqua" w:hAnsi="Book Antiqua" w:cs="Book Antiqua"/>
          <w:color w:val="000000"/>
        </w:rPr>
        <w:t xml:space="preserve"> overnight. </w:t>
      </w:r>
      <w:r w:rsidR="00CF5B16">
        <w:rPr>
          <w:rFonts w:ascii="Book Antiqua" w:eastAsia="Book Antiqua" w:hAnsi="Book Antiqua" w:cs="Book Antiqua"/>
          <w:color w:val="000000"/>
        </w:rPr>
        <w:t>T</w:t>
      </w:r>
      <w:r>
        <w:rPr>
          <w:rFonts w:ascii="Book Antiqua" w:eastAsia="Book Antiqua" w:hAnsi="Book Antiqua" w:cs="Book Antiqua"/>
          <w:color w:val="000000"/>
        </w:rPr>
        <w:t>he membranes were washed with TBS-Tween 20 (0.1%, v/v) three times (10 min/time), further immunoblotted with secondary antibody for 1 h at 25</w:t>
      </w:r>
      <w:r w:rsidR="00CF5B16">
        <w:rPr>
          <w:rFonts w:ascii="Book Antiqua" w:eastAsia="Book Antiqua" w:hAnsi="Book Antiqua" w:cs="Book Antiqua"/>
          <w:color w:val="000000"/>
        </w:rPr>
        <w:t xml:space="preserve"> °C</w:t>
      </w:r>
      <w:r w:rsidR="00CF5B16">
        <w:rPr>
          <w:rFonts w:ascii="Book Antiqua" w:eastAsia="宋体" w:hAnsi="Book Antiqua" w:cs="Book Antiqua" w:hint="eastAsia"/>
          <w:color w:val="000000"/>
          <w:lang w:eastAsia="zh-CN"/>
        </w:rPr>
        <w:t>,</w:t>
      </w:r>
      <w:r w:rsidR="00CF5B16">
        <w:rPr>
          <w:rFonts w:ascii="Book Antiqua" w:eastAsia="宋体" w:hAnsi="Book Antiqua" w:cs="Book Antiqua"/>
          <w:color w:val="000000"/>
          <w:lang w:eastAsia="zh-CN"/>
        </w:rPr>
        <w:t xml:space="preserve"> </w:t>
      </w:r>
      <w:r>
        <w:rPr>
          <w:rFonts w:ascii="Book Antiqua" w:eastAsia="Book Antiqua" w:hAnsi="Book Antiqua" w:cs="Book Antiqua"/>
          <w:color w:val="000000"/>
        </w:rPr>
        <w:t>washed three times with TBS-Tween 20 (0.1%, v/v) in the dark</w:t>
      </w:r>
      <w:r w:rsidR="00CF5B16">
        <w:rPr>
          <w:rFonts w:ascii="Book Antiqua" w:eastAsia="Book Antiqua" w:hAnsi="Book Antiqua" w:cs="Book Antiqua"/>
          <w:color w:val="000000"/>
        </w:rPr>
        <w:t xml:space="preserve">, and </w:t>
      </w:r>
      <w:r>
        <w:rPr>
          <w:rFonts w:ascii="Book Antiqua" w:eastAsia="Book Antiqua" w:hAnsi="Book Antiqua" w:cs="Book Antiqua"/>
          <w:color w:val="000000"/>
        </w:rPr>
        <w:t>scanned using a two-color Odysse</w:t>
      </w:r>
      <w:r>
        <w:rPr>
          <w:rFonts w:ascii="Book Antiqua" w:eastAsia="Book Antiqua" w:hAnsi="Book Antiqua" w:cs="Book Antiqua"/>
          <w:color w:val="000000"/>
        </w:rPr>
        <w:t>y infrared imaging system (LI-COR Biosciences). The specific protein expression levels were normalized to that of GAPDH on the same PVDF membranes. Antibodies against STAT3 (#9139), pSTAT3 (#4113), B-cell lymphoma 2 (Bcl 2) (#4223), Bcl 2-associated X (Bax) (#5023), cytochrome C (Cyt C) (#4280), Cyclin D1 (#2978), cleaved caspase 3 (#9664), cleaved caspase 7 (#8438), cleaved caspase 9 (</w:t>
      </w:r>
      <w:r>
        <w:rPr>
          <w:rFonts w:ascii="Book Antiqua" w:eastAsia="Book Antiqua" w:hAnsi="Book Antiqua" w:cs="Book Antiqua"/>
          <w:color w:val="000000"/>
        </w:rPr>
        <w:t>#7237), survivin (#2808)</w:t>
      </w:r>
      <w:r w:rsidR="00CF5B16">
        <w:rPr>
          <w:rFonts w:ascii="Book Antiqua" w:eastAsia="Book Antiqua" w:hAnsi="Book Antiqua" w:cs="Book Antiqua"/>
          <w:color w:val="000000"/>
        </w:rPr>
        <w:t>,</w:t>
      </w:r>
      <w:r>
        <w:rPr>
          <w:rFonts w:ascii="Book Antiqua" w:eastAsia="Book Antiqua" w:hAnsi="Book Antiqua" w:cs="Book Antiqua"/>
          <w:color w:val="000000"/>
        </w:rPr>
        <w:t xml:space="preserve"> and GAPDH (#2118) were obtained from Cell Signaling Technology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and antibodies against cyclin A2 (#18202-1-AP) and cyclin E1 (#11554-1-AP) were obtained from Proteintech (China). The antibodies were used at the indicated concentrations. Secondary antibodies were purchased from LI-COR (Lincoln,</w:t>
      </w:r>
      <w:r w:rsidR="00606E75">
        <w:rPr>
          <w:rFonts w:ascii="Book Antiqua" w:eastAsia="Book Antiqua" w:hAnsi="Book Antiqua" w:cs="Book Antiqua"/>
          <w:color w:val="000000"/>
        </w:rPr>
        <w:t xml:space="preserve">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xml:space="preserve">) and used at a dilution ratio of 1:10000. Protein bands were quantified based on densitometry using Image J software (National Institutes of Health, Bethesda, MD,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xml:space="preserve">). </w:t>
      </w:r>
    </w:p>
    <w:p w14:paraId="67AE5A25" w14:textId="77777777" w:rsidR="006A4945" w:rsidRDefault="006A4945">
      <w:pPr>
        <w:adjustRightInd w:val="0"/>
        <w:snapToGrid w:val="0"/>
        <w:spacing w:line="360" w:lineRule="auto"/>
        <w:jc w:val="both"/>
        <w:rPr>
          <w:rFonts w:ascii="Book Antiqua" w:hAnsi="Book Antiqua"/>
        </w:rPr>
      </w:pPr>
    </w:p>
    <w:p w14:paraId="26C52CDD"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Immunofluorescence</w:t>
      </w:r>
    </w:p>
    <w:p w14:paraId="7556D194" w14:textId="2B094A08"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KYSE30 and Eca109 cells were seeded onto glass coverslips in a 24-well plate overnight, and the cells were then treated with DHTS for 24 h. The cells were then washed with PBS and fixed with paraformaldehyde for </w:t>
      </w:r>
      <w:r>
        <w:rPr>
          <w:rFonts w:ascii="Book Antiqua" w:eastAsia="Book Antiqua" w:hAnsi="Book Antiqua" w:cs="Book Antiqua"/>
          <w:color w:val="000000"/>
        </w:rPr>
        <w:t>15 min at 25</w:t>
      </w:r>
      <w:r w:rsidR="00CF5B16">
        <w:rPr>
          <w:rFonts w:ascii="Book Antiqua" w:eastAsia="Book Antiqua" w:hAnsi="Book Antiqua" w:cs="Book Antiqua"/>
          <w:color w:val="000000"/>
        </w:rPr>
        <w:t xml:space="preserve"> °C</w:t>
      </w:r>
      <w:r>
        <w:rPr>
          <w:rFonts w:ascii="Book Antiqua" w:eastAsia="Book Antiqua" w:hAnsi="Book Antiqua" w:cs="Book Antiqua"/>
          <w:color w:val="000000"/>
        </w:rPr>
        <w:t>. Next, the cells were permeabilized for 15 min with 0.3% Triton X-100 in PBS. The cells were then blocked with 5% BSA in PBS for 1 h at 25</w:t>
      </w:r>
      <w:r w:rsidR="00CF5B16">
        <w:rPr>
          <w:rFonts w:ascii="Book Antiqua" w:eastAsia="Book Antiqua" w:hAnsi="Book Antiqua" w:cs="Book Antiqua"/>
          <w:color w:val="000000"/>
        </w:rPr>
        <w:t xml:space="preserve"> °C</w:t>
      </w:r>
      <w:r>
        <w:rPr>
          <w:rFonts w:ascii="Book Antiqua" w:eastAsia="Book Antiqua" w:hAnsi="Book Antiqua" w:cs="Book Antiqua"/>
          <w:color w:val="000000"/>
        </w:rPr>
        <w:t> and then incubated at 4</w:t>
      </w:r>
      <w:r w:rsidR="00CF5B16">
        <w:rPr>
          <w:rFonts w:ascii="Book Antiqua" w:eastAsia="Book Antiqua" w:hAnsi="Book Antiqua" w:cs="Book Antiqua"/>
          <w:color w:val="000000"/>
        </w:rPr>
        <w:t xml:space="preserve"> °C</w:t>
      </w:r>
      <w:r>
        <w:rPr>
          <w:rFonts w:ascii="Book Antiqua" w:eastAsia="Book Antiqua" w:hAnsi="Book Antiqua" w:cs="Book Antiqua"/>
          <w:color w:val="000000"/>
        </w:rPr>
        <w:t xml:space="preserve"> with the primary antibody against pSTAT3 (1:100 dilution; CST, #4113) overnight. The treated cells were then incubated with an FITC-labeled goat anti-mouse IgG (H + L) highly cross-adsorbed secondary antibody (Biosharp, China) in the dark for 1 h. The nuclei were visualized after staining with 2 μg/mL DAPI (Biosharp, China) for 10 min at 25</w:t>
      </w:r>
      <w:r w:rsidR="00CF5B16">
        <w:rPr>
          <w:rFonts w:ascii="Book Antiqua" w:eastAsia="Book Antiqua" w:hAnsi="Book Antiqua" w:cs="Book Antiqua"/>
          <w:color w:val="000000"/>
        </w:rPr>
        <w:t xml:space="preserve"> °C</w:t>
      </w:r>
      <w:r>
        <w:rPr>
          <w:rFonts w:ascii="Book Antiqua" w:eastAsia="Book Antiqua" w:hAnsi="Book Antiqua" w:cs="Book Antiqua"/>
          <w:color w:val="000000"/>
        </w:rPr>
        <w:t>. The glas</w:t>
      </w:r>
      <w:r>
        <w:rPr>
          <w:rFonts w:ascii="Book Antiqua" w:eastAsia="Book Antiqua" w:hAnsi="Book Antiqua" w:cs="Book Antiqua"/>
          <w:color w:val="000000"/>
        </w:rPr>
        <w:t xml:space="preserve">s coverslips were sealed with antifade reagent (Biosharp, China) and examined under a fluorescence microscope (BX51, Olympus). </w:t>
      </w:r>
    </w:p>
    <w:p w14:paraId="1EB31CEB" w14:textId="77777777" w:rsidR="006A4945" w:rsidRDefault="006A4945">
      <w:pPr>
        <w:adjustRightInd w:val="0"/>
        <w:snapToGrid w:val="0"/>
        <w:spacing w:line="360" w:lineRule="auto"/>
        <w:jc w:val="both"/>
        <w:rPr>
          <w:rFonts w:ascii="Book Antiqua" w:hAnsi="Book Antiqua"/>
        </w:rPr>
      </w:pPr>
    </w:p>
    <w:p w14:paraId="58692A7A"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lastRenderedPageBreak/>
        <w:t>Xenograft tumor experiment using nude mice</w:t>
      </w:r>
    </w:p>
    <w:p w14:paraId="558F729F" w14:textId="0397CE2D"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All animal research procedures were approved by the Ethics Committee of Renmin Hospital of Wuhan University. All animal experiments were carried out in accordance with the National Institutes of Health Guide for the Care and Use of Laboratory Animals (NIH Publications No. 8</w:t>
      </w:r>
      <w:r>
        <w:rPr>
          <w:rFonts w:ascii="Book Antiqua" w:eastAsia="Book Antiqua" w:hAnsi="Book Antiqua" w:cs="Book Antiqua"/>
          <w:color w:val="000000"/>
        </w:rPr>
        <w:t xml:space="preserve">023, revised </w:t>
      </w:r>
      <w:r w:rsidR="00CF5B16">
        <w:rPr>
          <w:rFonts w:ascii="Book Antiqua" w:eastAsia="Book Antiqua" w:hAnsi="Book Antiqua" w:cs="Book Antiqua"/>
          <w:color w:val="000000"/>
        </w:rPr>
        <w:t xml:space="preserve">in </w:t>
      </w:r>
      <w:r>
        <w:rPr>
          <w:rFonts w:ascii="Book Antiqua" w:eastAsia="Book Antiqua" w:hAnsi="Book Antiqua" w:cs="Book Antiqua"/>
          <w:color w:val="000000"/>
        </w:rPr>
        <w:t>1978). Male BALB/c nude mice (5 wk old) were purchased from Beijing Life River Experimental Animal Technology Co. Ltd. (China). The collected KYSE30 cells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were washed in serum-free RPMI 1640, suspended in 200 μL of PBS</w:t>
      </w:r>
      <w:r w:rsidR="00CF5B16">
        <w:rPr>
          <w:rFonts w:ascii="Book Antiqua" w:eastAsia="Book Antiqua" w:hAnsi="Book Antiqua" w:cs="Book Antiqua"/>
          <w:color w:val="000000"/>
        </w:rPr>
        <w:t>,</w:t>
      </w:r>
      <w:r>
        <w:rPr>
          <w:rFonts w:ascii="Book Antiqua" w:eastAsia="Book Antiqua" w:hAnsi="Book Antiqua" w:cs="Book Antiqua"/>
          <w:color w:val="000000"/>
        </w:rPr>
        <w:t xml:space="preserve"> and subcutaneously implanted into the right flank in the dorsal region of nude mice. When the longest diameter of the tumor was about 5 mm, nude mice were randomly divided into the following four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6 each group): </w:t>
      </w:r>
      <w:r w:rsidR="00CF5B16">
        <w:rPr>
          <w:rFonts w:ascii="Book Antiqua" w:eastAsia="Book Antiqua" w:hAnsi="Book Antiqua" w:cs="Book Antiqua"/>
          <w:color w:val="000000"/>
        </w:rPr>
        <w:t xml:space="preserve">Control </w:t>
      </w:r>
      <w:r>
        <w:rPr>
          <w:rFonts w:ascii="Book Antiqua" w:eastAsia="Book Antiqua" w:hAnsi="Book Antiqua" w:cs="Book Antiqua"/>
          <w:color w:val="000000"/>
        </w:rPr>
        <w:t>(normal saline), 5 mg/kg DHTS, 10 mg/kg DHTS</w:t>
      </w:r>
      <w:r w:rsidR="00CF5B16">
        <w:rPr>
          <w:rFonts w:ascii="Book Antiqua" w:eastAsia="Book Antiqua" w:hAnsi="Book Antiqua" w:cs="Book Antiqua"/>
          <w:color w:val="000000"/>
        </w:rPr>
        <w:t>,</w:t>
      </w:r>
      <w:r>
        <w:rPr>
          <w:rFonts w:ascii="Book Antiqua" w:eastAsia="Book Antiqua" w:hAnsi="Book Antiqua" w:cs="Book Antiqua"/>
          <w:color w:val="000000"/>
        </w:rPr>
        <w:t xml:space="preserve"> and 15 mg/kg DHTS. Mice were injected intraperitoneally once every other day. There was no significant difference between these groups before treatment. Tumor size </w:t>
      </w:r>
      <w:r w:rsidR="00CF5B16">
        <w:rPr>
          <w:rFonts w:ascii="Book Antiqua" w:eastAsia="Book Antiqua" w:hAnsi="Book Antiqua" w:cs="Book Antiqua"/>
          <w:color w:val="000000"/>
        </w:rPr>
        <w:t xml:space="preserve">was </w:t>
      </w:r>
      <w:r>
        <w:rPr>
          <w:rFonts w:ascii="Book Antiqua" w:eastAsia="Book Antiqua" w:hAnsi="Book Antiqua" w:cs="Book Antiqua"/>
          <w:color w:val="000000"/>
        </w:rPr>
        <w:t>measured using a Vernier caliper (3–4 times/wk). Tumor volume (TV) was calculated using the following formula: TV (cm</w:t>
      </w:r>
      <w:r>
        <w:rPr>
          <w:rFonts w:ascii="Book Antiqua" w:eastAsia="Book Antiqua" w:hAnsi="Book Antiqua" w:cs="Book Antiqua"/>
          <w:color w:val="000000"/>
          <w:vertAlign w:val="superscript"/>
        </w:rPr>
        <w:t>3</w:t>
      </w:r>
      <w:r>
        <w:rPr>
          <w:rFonts w:ascii="Book Antiqua" w:eastAsia="Book Antiqua" w:hAnsi="Book Antiqua" w:cs="Book Antiqua"/>
          <w:color w:val="000000"/>
        </w:rPr>
        <w:t>) = 0.5 × d</w:t>
      </w:r>
      <w:r>
        <w:rPr>
          <w:rFonts w:ascii="Book Antiqua" w:eastAsia="Book Antiqua" w:hAnsi="Book Antiqua" w:cs="Book Antiqua"/>
          <w:b/>
          <w:bCs/>
          <w:color w:val="000000"/>
          <w:vertAlign w:val="superscript"/>
        </w:rPr>
        <w:t>2</w:t>
      </w:r>
      <w:r>
        <w:rPr>
          <w:rFonts w:ascii="Book Antiqua" w:eastAsia="Book Antiqua" w:hAnsi="Book Antiqua" w:cs="Book Antiqua"/>
          <w:color w:val="000000"/>
        </w:rPr>
        <w:t> × D; where d and D</w:t>
      </w:r>
      <w:r w:rsidR="0008241A">
        <w:rPr>
          <w:rFonts w:ascii="Book Antiqua" w:eastAsia="Book Antiqua" w:hAnsi="Book Antiqua" w:cs="Book Antiqua"/>
          <w:color w:val="000000"/>
        </w:rPr>
        <w:t xml:space="preserve"> </w:t>
      </w:r>
      <w:r w:rsidR="00CF5B16">
        <w:rPr>
          <w:rFonts w:ascii="Book Antiqua" w:eastAsia="Book Antiqua" w:hAnsi="Book Antiqua" w:cs="Book Antiqua"/>
          <w:color w:val="000000"/>
        </w:rPr>
        <w:t xml:space="preserve">are </w:t>
      </w:r>
      <w:r>
        <w:rPr>
          <w:rFonts w:ascii="Book Antiqua" w:eastAsia="Book Antiqua" w:hAnsi="Book Antiqua" w:cs="Book Antiqua"/>
          <w:color w:val="000000"/>
        </w:rPr>
        <w:t>the shortest and longest diameters, respectively. All mice were weighed (3–4 times/wk). After treatment for 9 ti</w:t>
      </w:r>
      <w:r>
        <w:rPr>
          <w:rFonts w:ascii="Book Antiqua" w:eastAsia="Book Antiqua" w:hAnsi="Book Antiqua" w:cs="Book Antiqua"/>
          <w:color w:val="000000"/>
        </w:rPr>
        <w:t xml:space="preserve">mes, tumor specimens were collected and weighed. </w:t>
      </w:r>
    </w:p>
    <w:p w14:paraId="7B2D119A" w14:textId="77777777" w:rsidR="006A4945" w:rsidRDefault="006A4945">
      <w:pPr>
        <w:adjustRightInd w:val="0"/>
        <w:snapToGrid w:val="0"/>
        <w:spacing w:line="360" w:lineRule="auto"/>
        <w:jc w:val="both"/>
        <w:rPr>
          <w:rFonts w:ascii="Book Antiqua" w:hAnsi="Book Antiqua"/>
        </w:rPr>
      </w:pPr>
    </w:p>
    <w:p w14:paraId="0B094AF7"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TUNEL assay </w:t>
      </w:r>
    </w:p>
    <w:p w14:paraId="7E8DAFAE" w14:textId="71CD3D55"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Xenograft tumors from vehicle-treated and DHTS-treated mice were fixed in 10% neutral buffered formalin, embe</w:t>
      </w:r>
      <w:r>
        <w:rPr>
          <w:rFonts w:ascii="Book Antiqua" w:eastAsia="Book Antiqua" w:hAnsi="Book Antiqua" w:cs="Book Antiqua"/>
          <w:color w:val="000000"/>
        </w:rPr>
        <w:t xml:space="preserve">dded in paraffin, and used to prepare 4 μm-thick sections. Apoptotic cells were detected using a </w:t>
      </w:r>
      <w:r w:rsidR="006A0E98">
        <w:rPr>
          <w:rFonts w:ascii="Book Antiqua" w:eastAsia="Book Antiqua" w:hAnsi="Book Antiqua" w:cs="Book Antiqua"/>
          <w:color w:val="000000"/>
        </w:rPr>
        <w:t xml:space="preserve">terminal </w:t>
      </w:r>
      <w:r>
        <w:rPr>
          <w:rFonts w:ascii="Book Antiqua" w:eastAsia="Book Antiqua" w:hAnsi="Book Antiqua" w:cs="Book Antiqua"/>
          <w:color w:val="000000"/>
        </w:rPr>
        <w:t xml:space="preserve">deoxynucleotidyl transferase-mediated dUTP nick end labeling (TUNEL) assay performed with an </w:t>
      </w:r>
      <w:r w:rsidRPr="0008241A">
        <w:rPr>
          <w:rFonts w:ascii="Book Antiqua" w:eastAsia="Book Antiqua" w:hAnsi="Book Antiqua" w:cs="Book Antiqua"/>
          <w:i/>
          <w:color w:val="000000"/>
        </w:rPr>
        <w:t>in situ</w:t>
      </w:r>
      <w:r>
        <w:rPr>
          <w:rFonts w:ascii="Book Antiqua" w:eastAsia="Book Antiqua" w:hAnsi="Book Antiqua" w:cs="Book Antiqua"/>
          <w:color w:val="000000"/>
        </w:rPr>
        <w:t xml:space="preserve"> apo</w:t>
      </w:r>
      <w:r>
        <w:rPr>
          <w:rFonts w:ascii="Book Antiqua" w:eastAsia="Book Antiqua" w:hAnsi="Book Antiqua" w:cs="Book Antiqua"/>
          <w:color w:val="000000"/>
        </w:rPr>
        <w:t>ptosis detection kit (Roche Applied Science, Basel, Switzerland). An optical microscope (Olympus, BX51) was used to observe the specimens. Positive cells were identified, counted, and analyzed.</w:t>
      </w:r>
    </w:p>
    <w:p w14:paraId="1C99B121" w14:textId="77777777" w:rsidR="006A4945" w:rsidRDefault="006A4945">
      <w:pPr>
        <w:adjustRightInd w:val="0"/>
        <w:snapToGrid w:val="0"/>
        <w:spacing w:line="360" w:lineRule="auto"/>
        <w:jc w:val="both"/>
        <w:rPr>
          <w:rFonts w:ascii="Book Antiqua" w:hAnsi="Book Antiqua"/>
        </w:rPr>
      </w:pPr>
    </w:p>
    <w:p w14:paraId="4F2D0FD6"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Immunohistochemistry</w:t>
      </w:r>
    </w:p>
    <w:p w14:paraId="0EC55E36" w14:textId="24F3D000"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Immunohistochemistry staining was performed using an UltraSensitive TM SP kit and DAB kit (China Fuzhou Maixin Biotechnology) according to the manufacturer’s </w:t>
      </w:r>
      <w:r>
        <w:rPr>
          <w:rFonts w:ascii="Book Antiqua" w:eastAsia="Book Antiqua" w:hAnsi="Book Antiqua" w:cs="Book Antiqua"/>
          <w:color w:val="000000"/>
        </w:rPr>
        <w:lastRenderedPageBreak/>
        <w:t>instruc</w:t>
      </w:r>
      <w:r>
        <w:rPr>
          <w:rFonts w:ascii="Book Antiqua" w:eastAsia="Book Antiqua" w:hAnsi="Book Antiqua" w:cs="Book Antiqua"/>
          <w:color w:val="000000"/>
        </w:rPr>
        <w:t xml:space="preserve">tions. </w:t>
      </w:r>
      <w:r w:rsidR="006A0E98">
        <w:rPr>
          <w:rFonts w:ascii="Book Antiqua" w:eastAsia="Book Antiqua" w:hAnsi="Book Antiqua" w:cs="Book Antiqua"/>
          <w:color w:val="000000"/>
        </w:rPr>
        <w:t>S</w:t>
      </w:r>
      <w:r>
        <w:rPr>
          <w:rFonts w:ascii="Book Antiqua" w:eastAsia="Book Antiqua" w:hAnsi="Book Antiqua" w:cs="Book Antiqua"/>
          <w:color w:val="000000"/>
        </w:rPr>
        <w:t xml:space="preserve">ections </w:t>
      </w:r>
      <w:r w:rsidR="006A0E98">
        <w:rPr>
          <w:rFonts w:ascii="Book Antiqua" w:eastAsia="Book Antiqua" w:hAnsi="Book Antiqua" w:cs="Book Antiqua"/>
          <w:color w:val="000000"/>
        </w:rPr>
        <w:t xml:space="preserve">(4 μm) </w:t>
      </w:r>
      <w:r>
        <w:rPr>
          <w:rFonts w:ascii="Book Antiqua" w:eastAsia="Book Antiqua" w:hAnsi="Book Antiqua" w:cs="Book Antiqua"/>
          <w:color w:val="000000"/>
        </w:rPr>
        <w:t>were obtained from formalin-fixed paraffin-embedded xenograft tumors from vehicle-treated and DHTS-treated mice. Anti-Ki67 antibody (</w:t>
      </w:r>
      <w:r w:rsidR="006A0E98">
        <w:rPr>
          <w:rFonts w:ascii="Book Antiqua" w:eastAsia="Book Antiqua" w:hAnsi="Book Antiqua" w:cs="Book Antiqua"/>
          <w:color w:val="000000"/>
        </w:rPr>
        <w:t>Abcam</w:t>
      </w:r>
      <w:r>
        <w:rPr>
          <w:rFonts w:ascii="Book Antiqua" w:eastAsia="Book Antiqua" w:hAnsi="Book Antiqua" w:cs="Book Antiqua"/>
          <w:color w:val="000000"/>
        </w:rPr>
        <w:t>, #ab16667) was a</w:t>
      </w:r>
      <w:r>
        <w:rPr>
          <w:rFonts w:ascii="Book Antiqua" w:eastAsia="Book Antiqua" w:hAnsi="Book Antiqua" w:cs="Book Antiqua"/>
          <w:color w:val="000000"/>
        </w:rPr>
        <w:t>pplied at 1:200 dilution. An optical microscope (Olympus, BX51) was used to observe the specimens. Positive cells were identified, counted, and analyzed.</w:t>
      </w:r>
    </w:p>
    <w:p w14:paraId="44BBEC73" w14:textId="77777777" w:rsidR="006A4945" w:rsidRDefault="006A4945">
      <w:pPr>
        <w:adjustRightInd w:val="0"/>
        <w:snapToGrid w:val="0"/>
        <w:spacing w:line="360" w:lineRule="auto"/>
        <w:jc w:val="both"/>
        <w:rPr>
          <w:rFonts w:ascii="Book Antiqua" w:hAnsi="Book Antiqua"/>
        </w:rPr>
      </w:pPr>
    </w:p>
    <w:p w14:paraId="786ABF68"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323DEB7F" w14:textId="387F5E13"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SPSS software, version 25.0, was used for all</w:t>
      </w:r>
      <w:r>
        <w:rPr>
          <w:rFonts w:ascii="Book Antiqua" w:eastAsia="Book Antiqua" w:hAnsi="Book Antiqua" w:cs="Book Antiqua"/>
          <w:color w:val="000000"/>
        </w:rPr>
        <w:t xml:space="preserve"> analyses. Data </w:t>
      </w:r>
      <w:r w:rsidR="006A0E98">
        <w:rPr>
          <w:rFonts w:ascii="Book Antiqua" w:eastAsia="Book Antiqua" w:hAnsi="Book Antiqua" w:cs="Book Antiqua"/>
          <w:color w:val="000000"/>
        </w:rPr>
        <w:t xml:space="preserve">are </w:t>
      </w:r>
      <w:r>
        <w:rPr>
          <w:rFonts w:ascii="Book Antiqua" w:eastAsia="Book Antiqua" w:hAnsi="Book Antiqua" w:cs="Book Antiqua"/>
          <w:color w:val="000000"/>
        </w:rPr>
        <w:t xml:space="preserve">expressed as the mean ± SD. Analysis of variance was used to analyze differences between groups. A </w:t>
      </w:r>
      <w:r>
        <w:rPr>
          <w:rFonts w:ascii="Book Antiqua" w:eastAsia="Book Antiqua" w:hAnsi="Book Antiqua" w:cs="Book Antiqua"/>
          <w:i/>
          <w:iCs/>
          <w:color w:val="000000"/>
        </w:rPr>
        <w:t>P</w:t>
      </w:r>
      <w:r>
        <w:rPr>
          <w:rFonts w:ascii="Book Antiqua" w:eastAsia="Book Antiqua" w:hAnsi="Book Antiqua" w:cs="Book Antiqua"/>
          <w:color w:val="000000"/>
        </w:rPr>
        <w:t>-value of less than 0.05 was considered statistically significant.</w:t>
      </w:r>
    </w:p>
    <w:p w14:paraId="0C804493" w14:textId="77777777" w:rsidR="006A4945" w:rsidRDefault="006A4945">
      <w:pPr>
        <w:adjustRightInd w:val="0"/>
        <w:snapToGrid w:val="0"/>
        <w:spacing w:line="360" w:lineRule="auto"/>
        <w:jc w:val="both"/>
        <w:rPr>
          <w:rFonts w:ascii="Book Antiqua" w:hAnsi="Book Antiqua"/>
        </w:rPr>
      </w:pPr>
    </w:p>
    <w:p w14:paraId="2FD38249"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RESULTS</w:t>
      </w:r>
    </w:p>
    <w:p w14:paraId="6039FDEA" w14:textId="0948E316"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DHTS </w:t>
      </w:r>
      <w:r w:rsidR="006A0E98">
        <w:rPr>
          <w:rFonts w:ascii="Book Antiqua" w:eastAsia="Book Antiqua" w:hAnsi="Book Antiqua" w:cs="Book Antiqua"/>
          <w:b/>
          <w:bCs/>
          <w:i/>
          <w:iCs/>
          <w:color w:val="000000"/>
        </w:rPr>
        <w:t xml:space="preserve">inhibits </w:t>
      </w:r>
      <w:r>
        <w:rPr>
          <w:rFonts w:ascii="Book Antiqua" w:eastAsia="Book Antiqua" w:hAnsi="Book Antiqua" w:cs="Book Antiqua"/>
          <w:b/>
          <w:bCs/>
          <w:i/>
          <w:iCs/>
          <w:color w:val="000000"/>
        </w:rPr>
        <w:t>proliferation in ESCC cells</w:t>
      </w:r>
    </w:p>
    <w:p w14:paraId="2BCEDA38" w14:textId="39DD4404"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To identify whether DHTS exerts antitumor effect in ESCC cells, CCK8 was used to detect the cell viability of ESCC cells. After treatment with different concentrations of DHTS for 12 h, 24 h</w:t>
      </w:r>
      <w:r w:rsidR="00A224B8">
        <w:rPr>
          <w:rFonts w:ascii="Book Antiqua" w:eastAsia="Book Antiqua" w:hAnsi="Book Antiqua" w:cs="Book Antiqua"/>
          <w:color w:val="000000"/>
        </w:rPr>
        <w:t>,</w:t>
      </w:r>
      <w:r>
        <w:rPr>
          <w:rFonts w:ascii="Book Antiqua" w:eastAsia="Book Antiqua" w:hAnsi="Book Antiqua" w:cs="Book Antiqua"/>
          <w:color w:val="000000"/>
        </w:rPr>
        <w:t xml:space="preserve"> or 36 h, </w:t>
      </w:r>
      <w:r w:rsidR="00A224B8">
        <w:rPr>
          <w:rFonts w:ascii="Book Antiqua" w:eastAsia="Book Antiqua" w:hAnsi="Book Antiqua" w:cs="Book Antiqua"/>
          <w:color w:val="000000"/>
        </w:rPr>
        <w:t xml:space="preserve">the </w:t>
      </w:r>
      <w:r>
        <w:rPr>
          <w:rFonts w:ascii="Book Antiqua" w:eastAsia="Book Antiqua" w:hAnsi="Book Antiqua" w:cs="Book Antiqua"/>
          <w:color w:val="000000"/>
        </w:rPr>
        <w:t>proliferation of ESCC cells was inhibited in a dose- and time-dependent manner (Figure 1A-D). After treatment with DHTS for 24 h,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of DHTS in KYSE30, Eca109, KYSE450</w:t>
      </w:r>
      <w:r w:rsidR="00A224B8">
        <w:rPr>
          <w:rFonts w:ascii="Book Antiqua" w:eastAsia="Book Antiqua" w:hAnsi="Book Antiqua" w:cs="Book Antiqua"/>
          <w:color w:val="000000"/>
        </w:rPr>
        <w:t>,</w:t>
      </w:r>
      <w:r>
        <w:rPr>
          <w:rFonts w:ascii="Book Antiqua" w:eastAsia="Book Antiqua" w:hAnsi="Book Antiqua" w:cs="Book Antiqua"/>
          <w:color w:val="000000"/>
        </w:rPr>
        <w:t xml:space="preserve"> and KYSE510 </w:t>
      </w:r>
      <w:r w:rsidR="00A224B8">
        <w:rPr>
          <w:rFonts w:ascii="Book Antiqua" w:eastAsia="Book Antiqua" w:hAnsi="Book Antiqua" w:cs="Book Antiqua"/>
          <w:color w:val="000000"/>
        </w:rPr>
        <w:t xml:space="preserve">cells </w:t>
      </w:r>
      <w:r>
        <w:rPr>
          <w:rFonts w:ascii="Book Antiqua" w:eastAsia="Book Antiqua" w:hAnsi="Book Antiqua" w:cs="Book Antiqua"/>
          <w:color w:val="000000"/>
        </w:rPr>
        <w:t>was 0.697 (95%</w:t>
      </w:r>
      <w:r w:rsidR="00A224B8">
        <w:rPr>
          <w:rFonts w:ascii="Book Antiqua" w:eastAsia="Book Antiqua" w:hAnsi="Book Antiqua" w:cs="Book Antiqua"/>
          <w:color w:val="000000"/>
        </w:rPr>
        <w:t xml:space="preserve"> confidence interval [</w:t>
      </w:r>
      <w:r>
        <w:rPr>
          <w:rFonts w:ascii="Book Antiqua" w:eastAsia="Book Antiqua" w:hAnsi="Book Antiqua" w:cs="Book Antiqua"/>
          <w:color w:val="000000"/>
        </w:rPr>
        <w:t>CI</w:t>
      </w:r>
      <w:r w:rsidR="00A224B8">
        <w:rPr>
          <w:rFonts w:ascii="Book Antiqua" w:eastAsia="Book Antiqua" w:hAnsi="Book Antiqua" w:cs="Book Antiqua"/>
          <w:color w:val="000000"/>
        </w:rPr>
        <w:t>]</w:t>
      </w:r>
      <w:r>
        <w:rPr>
          <w:rFonts w:ascii="Book Antiqua" w:eastAsia="Book Antiqua" w:hAnsi="Book Antiqua" w:cs="Book Antiqua"/>
          <w:color w:val="000000"/>
        </w:rPr>
        <w:t>: 0.438-0.961) μmol/L, 5.895 (95%CI: 3.766-9.633) μmol/L, 13.878 (95%CI: 10.287-20.148) μmol/L</w:t>
      </w:r>
      <w:r w:rsidR="00A224B8">
        <w:rPr>
          <w:rFonts w:ascii="Book Antiqua" w:eastAsia="Book Antiqua" w:hAnsi="Book Antiqua" w:cs="Book Antiqua"/>
          <w:color w:val="000000"/>
        </w:rPr>
        <w:t>,</w:t>
      </w:r>
      <w:r>
        <w:rPr>
          <w:rFonts w:ascii="Book Antiqua" w:eastAsia="Book Antiqua" w:hAnsi="Book Antiqua" w:cs="Book Antiqua"/>
          <w:color w:val="000000"/>
        </w:rPr>
        <w:t xml:space="preserve"> and 9.943 (95%CI: 7.675-13.496) μmol/L, respectively. In addition, to explore whether DHTS inhibits the proliferation of normal esophageal epithelial cells, the viability of Het-1A cells treated with DHTS was detected, while no significant inhibition was detected even at a high concentration of DHTS (Figure 1E) and the IC</w:t>
      </w:r>
      <w:r>
        <w:rPr>
          <w:rFonts w:ascii="Book Antiqua" w:eastAsia="Book Antiqua" w:hAnsi="Book Antiqua" w:cs="Book Antiqua"/>
          <w:color w:val="000000"/>
          <w:vertAlign w:val="subscript"/>
        </w:rPr>
        <w:t xml:space="preserve">50 </w:t>
      </w:r>
      <w:r>
        <w:rPr>
          <w:rFonts w:ascii="Book Antiqua" w:eastAsia="Book Antiqua" w:hAnsi="Book Antiqua" w:cs="Book Antiqua"/>
          <w:color w:val="000000"/>
        </w:rPr>
        <w:t>of DHTS at 24 h was 758.751 (95%CI: 238.424-20168.744) μmol/L, which is much higher than the IC</w:t>
      </w:r>
      <w:r>
        <w:rPr>
          <w:rFonts w:ascii="Book Antiqua" w:eastAsia="Book Antiqua" w:hAnsi="Book Antiqua" w:cs="Book Antiqua"/>
          <w:color w:val="000000"/>
          <w:vertAlign w:val="subscript"/>
        </w:rPr>
        <w:t xml:space="preserve">50 </w:t>
      </w:r>
      <w:r>
        <w:rPr>
          <w:rFonts w:ascii="Book Antiqua" w:eastAsia="Book Antiqua" w:hAnsi="Book Antiqua" w:cs="Book Antiqua"/>
          <w:color w:val="000000"/>
        </w:rPr>
        <w:t>in ESCC cells. All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values for different treatment time are shown in Table 1. These data indicate that DHTS </w:t>
      </w:r>
      <w:r w:rsidR="00A224B8">
        <w:rPr>
          <w:rFonts w:ascii="Book Antiqua" w:eastAsia="Book Antiqua" w:hAnsi="Book Antiqua" w:cs="Book Antiqua"/>
          <w:color w:val="000000"/>
        </w:rPr>
        <w:t xml:space="preserve">exerts an </w:t>
      </w:r>
      <w:r>
        <w:rPr>
          <w:rFonts w:ascii="Book Antiqua" w:eastAsia="Book Antiqua" w:hAnsi="Book Antiqua" w:cs="Book Antiqua"/>
          <w:color w:val="000000"/>
        </w:rPr>
        <w:t>inhibitory effect on the</w:t>
      </w:r>
      <w:r>
        <w:rPr>
          <w:rFonts w:ascii="Book Antiqua" w:eastAsia="Book Antiqua" w:hAnsi="Book Antiqua" w:cs="Book Antiqua"/>
          <w:color w:val="000000"/>
        </w:rPr>
        <w:t xml:space="preserve"> proliferation of ESCC cells in a do</w:t>
      </w:r>
      <w:r>
        <w:rPr>
          <w:rFonts w:ascii="Book Antiqua" w:eastAsia="Book Antiqua" w:hAnsi="Book Antiqua" w:cs="Book Antiqua"/>
          <w:color w:val="000000"/>
        </w:rPr>
        <w:t xml:space="preserve">se- and time-dependent manner, </w:t>
      </w:r>
      <w:r w:rsidR="0008241A">
        <w:rPr>
          <w:rFonts w:ascii="Book Antiqua" w:eastAsia="Book Antiqua" w:hAnsi="Book Antiqua" w:cs="Book Antiqua"/>
          <w:color w:val="000000"/>
        </w:rPr>
        <w:t>but</w:t>
      </w:r>
      <w:r>
        <w:rPr>
          <w:rFonts w:ascii="Book Antiqua" w:eastAsia="Book Antiqua" w:hAnsi="Book Antiqua" w:cs="Book Antiqua"/>
          <w:color w:val="000000"/>
        </w:rPr>
        <w:t xml:space="preserve"> </w:t>
      </w:r>
      <w:r w:rsidR="00A224B8">
        <w:rPr>
          <w:rFonts w:ascii="Book Antiqua" w:eastAsia="Book Antiqua" w:hAnsi="Book Antiqua" w:cs="Book Antiqua"/>
          <w:color w:val="000000"/>
        </w:rPr>
        <w:t xml:space="preserve">shows </w:t>
      </w:r>
      <w:r>
        <w:rPr>
          <w:rFonts w:ascii="Book Antiqua" w:eastAsia="Book Antiqua" w:hAnsi="Book Antiqua" w:cs="Book Antiqua"/>
          <w:color w:val="000000"/>
        </w:rPr>
        <w:t>no obvious</w:t>
      </w:r>
      <w:r>
        <w:rPr>
          <w:rFonts w:ascii="Book Antiqua" w:eastAsia="Book Antiqua" w:hAnsi="Book Antiqua" w:cs="Book Antiqua"/>
          <w:color w:val="000000"/>
        </w:rPr>
        <w:t xml:space="preserve"> proliferation inhibition in normal esophageal epithelial cells. </w:t>
      </w:r>
    </w:p>
    <w:p w14:paraId="39965283" w14:textId="77777777" w:rsidR="006A4945" w:rsidRDefault="006A4945">
      <w:pPr>
        <w:adjustRightInd w:val="0"/>
        <w:snapToGrid w:val="0"/>
        <w:spacing w:line="360" w:lineRule="auto"/>
        <w:jc w:val="both"/>
        <w:rPr>
          <w:rFonts w:ascii="Book Antiqua" w:hAnsi="Book Antiqua"/>
        </w:rPr>
      </w:pPr>
    </w:p>
    <w:p w14:paraId="56E83FF5" w14:textId="75BE859C"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lastRenderedPageBreak/>
        <w:t>D</w:t>
      </w:r>
      <w:r>
        <w:rPr>
          <w:rFonts w:ascii="Book Antiqua" w:eastAsia="Book Antiqua" w:hAnsi="Book Antiqua" w:cs="Book Antiqua"/>
          <w:b/>
          <w:bCs/>
          <w:i/>
          <w:iCs/>
          <w:color w:val="000000"/>
        </w:rPr>
        <w:t xml:space="preserve">HTS </w:t>
      </w:r>
      <w:r w:rsidR="00167310">
        <w:rPr>
          <w:rFonts w:ascii="Book Antiqua" w:eastAsia="Book Antiqua" w:hAnsi="Book Antiqua" w:cs="Book Antiqua"/>
          <w:b/>
          <w:bCs/>
          <w:i/>
          <w:iCs/>
          <w:color w:val="000000"/>
        </w:rPr>
        <w:t xml:space="preserve">induces </w:t>
      </w:r>
      <w:r>
        <w:rPr>
          <w:rFonts w:ascii="Book Antiqua" w:eastAsia="Book Antiqua" w:hAnsi="Book Antiqua" w:cs="Book Antiqua"/>
          <w:b/>
          <w:bCs/>
          <w:i/>
          <w:iCs/>
          <w:color w:val="000000"/>
        </w:rPr>
        <w:t xml:space="preserve">cell cycle arrest </w:t>
      </w:r>
      <w:r w:rsidR="00681AA7">
        <w:rPr>
          <w:rFonts w:ascii="Book Antiqua" w:eastAsia="Book Antiqua" w:hAnsi="Book Antiqua" w:cs="Book Antiqua"/>
          <w:b/>
          <w:bCs/>
          <w:i/>
          <w:iCs/>
          <w:color w:val="000000"/>
        </w:rPr>
        <w:t xml:space="preserve">in </w:t>
      </w:r>
      <w:r>
        <w:rPr>
          <w:rFonts w:ascii="Book Antiqua" w:eastAsia="Book Antiqua" w:hAnsi="Book Antiqua" w:cs="Book Antiqua"/>
          <w:b/>
          <w:bCs/>
          <w:i/>
          <w:iCs/>
          <w:color w:val="000000"/>
        </w:rPr>
        <w:t>the G0/1 phase in ESCC cells</w:t>
      </w:r>
    </w:p>
    <w:p w14:paraId="26EA8813" w14:textId="4B9A2BD8"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To decipher the mechanisms underlying DHTS-mediated inhibition of proliferation, we analyzed the cell cycle distribution using flow cytometry. KYSE30 cells were treated with 0 μmol/L, 0.25 μmol/L, 0.5 μmol/L</w:t>
      </w:r>
      <w:r w:rsidR="00681AA7">
        <w:rPr>
          <w:rFonts w:ascii="Book Antiqua" w:eastAsia="Book Antiqua" w:hAnsi="Book Antiqua" w:cs="Book Antiqua"/>
          <w:color w:val="000000"/>
        </w:rPr>
        <w:t xml:space="preserve">, or </w:t>
      </w:r>
      <w:r>
        <w:rPr>
          <w:rFonts w:ascii="Book Antiqua" w:eastAsia="Book Antiqua" w:hAnsi="Book Antiqua" w:cs="Book Antiqua"/>
          <w:color w:val="000000"/>
        </w:rPr>
        <w:t>1.0 μmol/L DHTS, while Eca109 cells were treated with 0 μmol/L, 2.5 μmol/L, 5 μmol/L</w:t>
      </w:r>
      <w:r w:rsidR="00681AA7">
        <w:rPr>
          <w:rFonts w:ascii="Book Antiqua" w:eastAsia="Book Antiqua" w:hAnsi="Book Antiqua" w:cs="Book Antiqua"/>
          <w:color w:val="000000"/>
        </w:rPr>
        <w:t>, or</w:t>
      </w:r>
      <w:r>
        <w:rPr>
          <w:rFonts w:ascii="Book Antiqua" w:eastAsia="Book Antiqua" w:hAnsi="Book Antiqua" w:cs="Book Antiqua"/>
          <w:color w:val="000000"/>
        </w:rPr>
        <w:t xml:space="preserve"> 10 μmol/L D</w:t>
      </w:r>
      <w:r>
        <w:rPr>
          <w:rFonts w:ascii="Book Antiqua" w:eastAsia="Book Antiqua" w:hAnsi="Book Antiqua" w:cs="Book Antiqua"/>
          <w:color w:val="000000"/>
        </w:rPr>
        <w:t>HTS. Following 24 h of DHTS treatment, the number of KYSE30 and Eca109 cells in the G0/1 phase significantly increased in a concentration-dependent manner, accompanied by a marked decrease in cells in the S and G2/M phases (Figure 2A and B)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
    <w:p w14:paraId="0E73143A" w14:textId="54C78C8C" w:rsidR="006A4945" w:rsidRDefault="00C3017B" w:rsidP="00C3017B">
      <w:pPr>
        <w:adjustRightInd w:val="0"/>
        <w:snapToGrid w:val="0"/>
        <w:spacing w:line="360" w:lineRule="auto"/>
        <w:jc w:val="both"/>
        <w:rPr>
          <w:rFonts w:ascii="Book Antiqua" w:hAnsi="Book Antiqua"/>
        </w:rPr>
      </w:pPr>
      <w:r>
        <w:rPr>
          <w:rFonts w:ascii="Book Antiqua" w:eastAsia="Book Antiqua" w:hAnsi="Book Antiqua" w:cs="Book Antiqua"/>
          <w:color w:val="000000"/>
        </w:rPr>
        <w:t>Western blot analysis revealed th</w:t>
      </w:r>
      <w:r>
        <w:rPr>
          <w:rFonts w:ascii="Book Antiqua" w:eastAsia="Book Antiqua" w:hAnsi="Book Antiqua" w:cs="Book Antiqua"/>
          <w:color w:val="000000"/>
        </w:rPr>
        <w:t xml:space="preserve">at DHTS treatment significantly regulated </w:t>
      </w:r>
      <w:r w:rsidR="00681AA7">
        <w:rPr>
          <w:rFonts w:ascii="Book Antiqua" w:eastAsia="Book Antiqua" w:hAnsi="Book Antiqua" w:cs="Book Antiqua"/>
          <w:color w:val="000000"/>
        </w:rPr>
        <w:t xml:space="preserve">the expression of </w:t>
      </w:r>
      <w:r>
        <w:rPr>
          <w:rFonts w:ascii="Book Antiqua" w:eastAsia="Book Antiqua" w:hAnsi="Book Antiqua" w:cs="Book Antiqua"/>
          <w:color w:val="000000"/>
        </w:rPr>
        <w:t>proteins associated with the cell cycle. Cyclin A2, cyclin E1, and cyclin D1, which are involved in the transition from G1 to S phase, decreased significantly with an increase in DHTS concentration (Figure 2C and 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Meanwhile, the expression of P21 increased after DHTS treatment (Figure 2C and 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These data indicate</w:t>
      </w:r>
      <w:r w:rsidR="0008241A">
        <w:rPr>
          <w:rFonts w:ascii="Book Antiqua" w:eastAsia="Book Antiqua" w:hAnsi="Book Antiqua" w:cs="Book Antiqua"/>
          <w:color w:val="000000"/>
        </w:rPr>
        <w:t>d</w:t>
      </w:r>
      <w:r>
        <w:rPr>
          <w:rFonts w:ascii="Book Antiqua" w:eastAsia="Book Antiqua" w:hAnsi="Book Antiqua" w:cs="Book Antiqua"/>
          <w:color w:val="000000"/>
        </w:rPr>
        <w:t xml:space="preserve"> that the number of cells in the G0/1 phase increased greatly while the number of cells in the S and G2/M phases decreased significantly after DHTS treatment, demonstrating that DHTS </w:t>
      </w:r>
      <w:r w:rsidR="00681AA7">
        <w:rPr>
          <w:rFonts w:ascii="Book Antiqua" w:eastAsia="Book Antiqua" w:hAnsi="Book Antiqua" w:cs="Book Antiqua"/>
          <w:color w:val="000000"/>
        </w:rPr>
        <w:t xml:space="preserve">induces </w:t>
      </w:r>
      <w:r>
        <w:rPr>
          <w:rFonts w:ascii="Book Antiqua" w:eastAsia="Book Antiqua" w:hAnsi="Book Antiqua" w:cs="Book Antiqua"/>
          <w:color w:val="000000"/>
        </w:rPr>
        <w:t>an obvious cell cycle arr</w:t>
      </w:r>
      <w:r>
        <w:rPr>
          <w:rFonts w:ascii="Book Antiqua" w:eastAsia="Book Antiqua" w:hAnsi="Book Antiqua" w:cs="Book Antiqua"/>
          <w:color w:val="000000"/>
        </w:rPr>
        <w:t>est in the G0/1 phase in KYSE30 and Eca109 cells.</w:t>
      </w:r>
    </w:p>
    <w:p w14:paraId="6FDBA7F2" w14:textId="77777777" w:rsidR="006A4945" w:rsidRDefault="006A4945">
      <w:pPr>
        <w:adjustRightInd w:val="0"/>
        <w:snapToGrid w:val="0"/>
        <w:spacing w:line="360" w:lineRule="auto"/>
        <w:jc w:val="both"/>
        <w:rPr>
          <w:rFonts w:ascii="Book Antiqua" w:hAnsi="Book Antiqua"/>
        </w:rPr>
      </w:pPr>
    </w:p>
    <w:p w14:paraId="58C6D591" w14:textId="0667A996"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D</w:t>
      </w:r>
      <w:r>
        <w:rPr>
          <w:rFonts w:ascii="Book Antiqua" w:eastAsia="Book Antiqua" w:hAnsi="Book Antiqua" w:cs="Book Antiqua"/>
          <w:b/>
          <w:bCs/>
          <w:i/>
          <w:iCs/>
          <w:color w:val="000000"/>
        </w:rPr>
        <w:t xml:space="preserve">HTS </w:t>
      </w:r>
      <w:r w:rsidR="00167310">
        <w:rPr>
          <w:rFonts w:ascii="Book Antiqua" w:eastAsia="Book Antiqua" w:hAnsi="Book Antiqua" w:cs="Book Antiqua"/>
          <w:b/>
          <w:bCs/>
          <w:i/>
          <w:iCs/>
          <w:color w:val="000000"/>
        </w:rPr>
        <w:t xml:space="preserve">induces </w:t>
      </w:r>
      <w:r>
        <w:rPr>
          <w:rFonts w:ascii="Book Antiqua" w:eastAsia="Book Antiqua" w:hAnsi="Book Antiqua" w:cs="Book Antiqua"/>
          <w:b/>
          <w:bCs/>
          <w:i/>
          <w:iCs/>
          <w:color w:val="000000"/>
        </w:rPr>
        <w:t>apoptosis in ESCC cells</w:t>
      </w:r>
    </w:p>
    <w:p w14:paraId="5EFBEFD2" w14:textId="09A7BD66"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To detect whether DHTS </w:t>
      </w:r>
      <w:r w:rsidR="00561B42">
        <w:rPr>
          <w:rFonts w:ascii="Book Antiqua" w:eastAsia="Book Antiqua" w:hAnsi="Book Antiqua" w:cs="Book Antiqua"/>
          <w:color w:val="000000"/>
        </w:rPr>
        <w:t xml:space="preserve">induces </w:t>
      </w:r>
      <w:r>
        <w:rPr>
          <w:rFonts w:ascii="Book Antiqua" w:eastAsia="Book Antiqua" w:hAnsi="Book Antiqua" w:cs="Book Antiqua"/>
          <w:color w:val="000000"/>
        </w:rPr>
        <w:t>apoptosis i</w:t>
      </w:r>
      <w:r>
        <w:rPr>
          <w:rFonts w:ascii="Book Antiqua" w:eastAsia="Book Antiqua" w:hAnsi="Book Antiqua" w:cs="Book Antiqua"/>
          <w:color w:val="000000"/>
        </w:rPr>
        <w:t>n ESCC cells, annexin PE/7-AAD staining was used to detect cell apoptosis. The proportion of early and late apoptotic cells increased significantly for DHTS-treated KYSE30 cells and Eca109 cells with the increase in DHTS concentration (Figure 3A and B)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Apoptosis of ESCC cells induced by DHTS was further confirmed by Hoechst 33258 staining. Both KYSE30 and Eca109 cells treated with DHTS had more bright-blue fluorescence and condensed nuclei than control cells, indicating many more apoptotic cells among the DHTS-treated cells (Figure 3C and 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Besides, annexin PE/7-AAD staining was used to detect whether DHTS indu</w:t>
      </w:r>
      <w:r>
        <w:rPr>
          <w:rFonts w:ascii="Book Antiqua" w:eastAsia="Book Antiqua" w:hAnsi="Book Antiqua" w:cs="Book Antiqua"/>
          <w:color w:val="000000"/>
        </w:rPr>
        <w:t>ce</w:t>
      </w:r>
      <w:r w:rsidR="00561B42">
        <w:rPr>
          <w:rFonts w:ascii="Book Antiqua" w:eastAsia="Book Antiqua" w:hAnsi="Book Antiqua" w:cs="Book Antiqua"/>
          <w:color w:val="000000"/>
        </w:rPr>
        <w:t>s</w:t>
      </w:r>
      <w:r>
        <w:rPr>
          <w:rFonts w:ascii="Book Antiqua" w:eastAsia="Book Antiqua" w:hAnsi="Book Antiqua" w:cs="Book Antiqua"/>
          <w:color w:val="000000"/>
        </w:rPr>
        <w:t xml:space="preserve"> apo</w:t>
      </w:r>
      <w:r>
        <w:rPr>
          <w:rFonts w:ascii="Book Antiqua" w:eastAsia="Book Antiqua" w:hAnsi="Book Antiqua" w:cs="Book Antiqua"/>
          <w:color w:val="000000"/>
        </w:rPr>
        <w:t xml:space="preserve">ptosis in normal esophageal epithelial cells. The results revealed that the proportion of early and late apoptotic cells of Het-1A cells showed no significant </w:t>
      </w:r>
      <w:r>
        <w:rPr>
          <w:rFonts w:ascii="Book Antiqua" w:eastAsia="Book Antiqua" w:hAnsi="Book Antiqua" w:cs="Book Antiqua"/>
          <w:color w:val="000000"/>
        </w:rPr>
        <w:lastRenderedPageBreak/>
        <w:t>difference with the control group even when trea</w:t>
      </w:r>
      <w:r>
        <w:rPr>
          <w:rFonts w:ascii="Book Antiqua" w:eastAsia="Book Antiqua" w:hAnsi="Book Antiqua" w:cs="Book Antiqua"/>
          <w:color w:val="000000"/>
        </w:rPr>
        <w:t xml:space="preserve">ted with DHTS </w:t>
      </w:r>
      <w:r w:rsidR="00561B42">
        <w:rPr>
          <w:rFonts w:ascii="Book Antiqua" w:eastAsia="Book Antiqua" w:hAnsi="Book Antiqua" w:cs="Book Antiqua"/>
          <w:color w:val="000000"/>
        </w:rPr>
        <w:t xml:space="preserve">at </w:t>
      </w:r>
      <w:r>
        <w:rPr>
          <w:rFonts w:ascii="Book Antiqua" w:eastAsia="Book Antiqua" w:hAnsi="Book Antiqua" w:cs="Book Antiqua"/>
          <w:color w:val="000000"/>
        </w:rPr>
        <w:t xml:space="preserve">64 μmol/L (Figure 4A and B). These results indicate that DHTS </w:t>
      </w:r>
      <w:r w:rsidR="00561B42">
        <w:rPr>
          <w:rFonts w:ascii="Book Antiqua" w:eastAsia="Book Antiqua" w:hAnsi="Book Antiqua" w:cs="Book Antiqua"/>
          <w:color w:val="000000"/>
        </w:rPr>
        <w:t>induces </w:t>
      </w:r>
      <w:r>
        <w:rPr>
          <w:rFonts w:ascii="Book Antiqua" w:eastAsia="Book Antiqua" w:hAnsi="Book Antiqua" w:cs="Book Antiqua"/>
          <w:color w:val="000000"/>
        </w:rPr>
        <w:t xml:space="preserve">apoptosis in KYSE30 cells and Eca109 cells dose-dependently </w:t>
      </w:r>
      <w:r w:rsidR="0008241A">
        <w:rPr>
          <w:rFonts w:ascii="Book Antiqua" w:eastAsia="Book Antiqua" w:hAnsi="Book Antiqua" w:cs="Book Antiqua"/>
          <w:color w:val="000000"/>
        </w:rPr>
        <w:t>but</w:t>
      </w:r>
      <w:r>
        <w:rPr>
          <w:rFonts w:ascii="Book Antiqua" w:eastAsia="Book Antiqua" w:hAnsi="Book Antiqua" w:cs="Book Antiqua"/>
          <w:color w:val="000000"/>
        </w:rPr>
        <w:t xml:space="preserve"> </w:t>
      </w:r>
      <w:r w:rsidR="00561B42">
        <w:rPr>
          <w:rFonts w:ascii="Book Antiqua" w:eastAsia="Book Antiqua" w:hAnsi="Book Antiqua" w:cs="Book Antiqua"/>
          <w:color w:val="000000"/>
        </w:rPr>
        <w:t xml:space="preserve">does </w:t>
      </w:r>
      <w:r>
        <w:rPr>
          <w:rFonts w:ascii="Book Antiqua" w:eastAsia="Book Antiqua" w:hAnsi="Book Antiqua" w:cs="Book Antiqua"/>
          <w:color w:val="000000"/>
        </w:rPr>
        <w:t>not induce obvious apoptosis in normal esophageal epithelial cells.</w:t>
      </w:r>
    </w:p>
    <w:p w14:paraId="022C2475" w14:textId="77777777" w:rsidR="006A4945" w:rsidRDefault="006A4945">
      <w:pPr>
        <w:adjustRightInd w:val="0"/>
        <w:snapToGrid w:val="0"/>
        <w:spacing w:line="360" w:lineRule="auto"/>
        <w:jc w:val="both"/>
        <w:rPr>
          <w:rFonts w:ascii="Book Antiqua" w:hAnsi="Book Antiqua"/>
        </w:rPr>
      </w:pPr>
    </w:p>
    <w:p w14:paraId="727F55D2" w14:textId="0319A635"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DHT</w:t>
      </w:r>
      <w:r>
        <w:rPr>
          <w:rFonts w:ascii="Book Antiqua" w:eastAsia="Book Antiqua" w:hAnsi="Book Antiqua" w:cs="Book Antiqua"/>
          <w:b/>
          <w:bCs/>
          <w:i/>
          <w:iCs/>
          <w:color w:val="000000"/>
        </w:rPr>
        <w:t xml:space="preserve">S </w:t>
      </w:r>
      <w:r w:rsidR="00167310">
        <w:rPr>
          <w:rFonts w:ascii="Book Antiqua" w:eastAsia="Book Antiqua" w:hAnsi="Book Antiqua" w:cs="Book Antiqua"/>
          <w:b/>
          <w:bCs/>
          <w:i/>
          <w:iCs/>
          <w:color w:val="000000"/>
        </w:rPr>
        <w:t>activates </w:t>
      </w:r>
      <w:r>
        <w:rPr>
          <w:rFonts w:ascii="Book Antiqua" w:eastAsia="Book Antiqua" w:hAnsi="Book Antiqua" w:cs="Book Antiqua"/>
          <w:b/>
          <w:bCs/>
          <w:i/>
          <w:iCs/>
          <w:color w:val="000000"/>
        </w:rPr>
        <w:t>mitochondrial pathway in ESCC cells</w:t>
      </w:r>
      <w:r>
        <w:rPr>
          <w:rFonts w:ascii="Book Antiqua" w:eastAsia="Book Antiqua" w:hAnsi="Book Antiqua" w:cs="Book Antiqua"/>
          <w:i/>
          <w:iCs/>
          <w:color w:val="000000"/>
        </w:rPr>
        <w:t> </w:t>
      </w:r>
    </w:p>
    <w:p w14:paraId="1A0C57C6" w14:textId="58598950" w:rsidR="006A4945" w:rsidRDefault="00561B4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mitochondrial </w:t>
      </w:r>
      <w:r w:rsidR="00C3017B">
        <w:rPr>
          <w:rFonts w:ascii="Book Antiqua" w:eastAsia="Book Antiqua" w:hAnsi="Book Antiqua" w:cs="Book Antiqua"/>
          <w:color w:val="000000"/>
        </w:rPr>
        <w:t xml:space="preserve">pathway plays an important role in the apoptosis of tumor </w:t>
      </w:r>
      <w:r>
        <w:rPr>
          <w:rFonts w:ascii="Book Antiqua" w:eastAsia="Book Antiqua" w:hAnsi="Book Antiqua" w:cs="Book Antiqua"/>
          <w:color w:val="000000"/>
        </w:rPr>
        <w:t>cells</w:t>
      </w:r>
      <w:r w:rsidR="00C3017B">
        <w:rPr>
          <w:rFonts w:ascii="Book Antiqua" w:eastAsia="Book Antiqua" w:hAnsi="Book Antiqua" w:cs="Book Antiqua"/>
          <w:color w:val="000000"/>
          <w:vertAlign w:val="superscript"/>
        </w:rPr>
        <w:t>[20]</w:t>
      </w:r>
      <w:r w:rsidR="00C3017B">
        <w:rPr>
          <w:rFonts w:ascii="Book Antiqua" w:eastAsia="Book Antiqua" w:hAnsi="Book Antiqua" w:cs="Book Antiqua"/>
          <w:color w:val="000000"/>
        </w:rPr>
        <w:t>. To test whether DHTS exerts antitumor effect through </w:t>
      </w:r>
      <w:r>
        <w:rPr>
          <w:rFonts w:ascii="Book Antiqua" w:eastAsia="Book Antiqua" w:hAnsi="Book Antiqua" w:cs="Book Antiqua"/>
          <w:color w:val="000000"/>
        </w:rPr>
        <w:t xml:space="preserve">the </w:t>
      </w:r>
      <w:r w:rsidR="00C3017B">
        <w:rPr>
          <w:rFonts w:ascii="Book Antiqua" w:eastAsia="Book Antiqua" w:hAnsi="Book Antiqua" w:cs="Book Antiqua"/>
          <w:color w:val="000000"/>
        </w:rPr>
        <w:t>mitochondrial pathway, we examined the expression of p</w:t>
      </w:r>
      <w:r w:rsidR="00C3017B">
        <w:rPr>
          <w:rFonts w:ascii="Book Antiqua" w:eastAsia="Book Antiqua" w:hAnsi="Book Antiqua" w:cs="Book Antiqua"/>
          <w:color w:val="000000"/>
        </w:rPr>
        <w:t>roteins associated with apoptosis in DHTS-treated ESCC cells. An imbalance of anti-apoptotic/pro-apoptotic proteins was found: DHTS treatment led to an obvious increase in pro-apoptotic Bax and a decrease in anti-apoptotic Bcl2 in both KYSE30 and Eca109 cells, and the ratio of Bax and Bcl2 increased significantly (Figure 5A and B). Additionally, cleaved caspase 3, cleaved caspase</w:t>
      </w:r>
      <w:r w:rsidR="00C3017B">
        <w:rPr>
          <w:rFonts w:ascii="Book Antiqua" w:eastAsia="宋体" w:hAnsi="Book Antiqua" w:cs="Book Antiqua" w:hint="eastAsia"/>
          <w:color w:val="000000"/>
          <w:lang w:eastAsia="zh-CN"/>
        </w:rPr>
        <w:t xml:space="preserve"> </w:t>
      </w:r>
      <w:r w:rsidR="00C3017B">
        <w:rPr>
          <w:rFonts w:ascii="Book Antiqua" w:eastAsia="Book Antiqua" w:hAnsi="Book Antiqua" w:cs="Book Antiqua"/>
          <w:color w:val="000000"/>
        </w:rPr>
        <w:t>7, cleaved caspase 9, a</w:t>
      </w:r>
      <w:r w:rsidR="00C3017B">
        <w:rPr>
          <w:rFonts w:ascii="Book Antiqua" w:eastAsia="Book Antiqua" w:hAnsi="Book Antiqua" w:cs="Book Antiqua"/>
          <w:color w:val="000000"/>
        </w:rPr>
        <w:t>nd Cyt C, which could promote apoptosis</w:t>
      </w:r>
      <w:r>
        <w:rPr>
          <w:rFonts w:ascii="Book Antiqua" w:eastAsia="Book Antiqua" w:hAnsi="Book Antiqua" w:cs="Book Antiqua"/>
          <w:color w:val="000000"/>
        </w:rPr>
        <w:t>,</w:t>
      </w:r>
      <w:r w:rsidR="00C3017B">
        <w:rPr>
          <w:rFonts w:ascii="Book Antiqua" w:eastAsia="Book Antiqua" w:hAnsi="Book Antiqua" w:cs="Book Antiqua"/>
          <w:color w:val="000000"/>
        </w:rPr>
        <w:t xml:space="preserve"> were significantly higher than those in the control group after exposure to DHTS for 24 h (Figure 5C and D). Meanwhile, survivin levels were lower in DHTS-treated cells, indicating that DHTS inhibited survival and promoted apoptosis in KYSE30 and Eca109 cells (Figure 5C and D). The above results demonstrate that DHTS </w:t>
      </w:r>
      <w:r>
        <w:rPr>
          <w:rFonts w:ascii="Book Antiqua" w:eastAsia="Book Antiqua" w:hAnsi="Book Antiqua" w:cs="Book Antiqua"/>
          <w:color w:val="000000"/>
        </w:rPr>
        <w:t xml:space="preserve">activates </w:t>
      </w:r>
      <w:r w:rsidR="00C3017B">
        <w:rPr>
          <w:rFonts w:ascii="Book Antiqua" w:eastAsia="Book Antiqua" w:hAnsi="Book Antiqua" w:cs="Book Antiqua"/>
          <w:color w:val="000000"/>
        </w:rPr>
        <w:t xml:space="preserve">the mitochondrial pathway and </w:t>
      </w:r>
      <w:r>
        <w:rPr>
          <w:rFonts w:ascii="Book Antiqua" w:eastAsia="Book Antiqua" w:hAnsi="Book Antiqua" w:cs="Book Antiqua"/>
          <w:color w:val="000000"/>
        </w:rPr>
        <w:t xml:space="preserve">induces </w:t>
      </w:r>
      <w:r w:rsidR="00C3017B">
        <w:rPr>
          <w:rFonts w:ascii="Book Antiqua" w:eastAsia="Book Antiqua" w:hAnsi="Book Antiqua" w:cs="Book Antiqua"/>
          <w:color w:val="000000"/>
        </w:rPr>
        <w:t>significant apoptosis in KYSE30 a</w:t>
      </w:r>
      <w:r w:rsidR="00C3017B">
        <w:rPr>
          <w:rFonts w:ascii="Book Antiqua" w:eastAsia="Book Antiqua" w:hAnsi="Book Antiqua" w:cs="Book Antiqua"/>
          <w:color w:val="000000"/>
        </w:rPr>
        <w:t>nd Eca109 cells.</w:t>
      </w:r>
    </w:p>
    <w:p w14:paraId="6690027F" w14:textId="77777777" w:rsidR="006A4945" w:rsidRDefault="006A4945">
      <w:pPr>
        <w:adjustRightInd w:val="0"/>
        <w:snapToGrid w:val="0"/>
        <w:spacing w:line="360" w:lineRule="auto"/>
        <w:jc w:val="both"/>
        <w:rPr>
          <w:rFonts w:ascii="Book Antiqua" w:hAnsi="Book Antiqua"/>
        </w:rPr>
      </w:pPr>
    </w:p>
    <w:p w14:paraId="3DBCAB7D" w14:textId="7DF5B094"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D</w:t>
      </w:r>
      <w:r>
        <w:rPr>
          <w:rFonts w:ascii="Book Antiqua" w:eastAsia="Book Antiqua" w:hAnsi="Book Antiqua" w:cs="Book Antiqua"/>
          <w:b/>
          <w:bCs/>
          <w:i/>
          <w:iCs/>
          <w:color w:val="000000"/>
        </w:rPr>
        <w:t xml:space="preserve">HTS </w:t>
      </w:r>
      <w:r w:rsidR="00167310">
        <w:rPr>
          <w:rFonts w:ascii="Book Antiqua" w:eastAsia="Book Antiqua" w:hAnsi="Book Antiqua" w:cs="Book Antiqua"/>
          <w:b/>
          <w:bCs/>
          <w:i/>
          <w:iCs/>
          <w:color w:val="000000"/>
        </w:rPr>
        <w:t xml:space="preserve">inhibits </w:t>
      </w:r>
      <w:r>
        <w:rPr>
          <w:rFonts w:ascii="Book Antiqua" w:eastAsia="Book Antiqua" w:hAnsi="Book Antiqua" w:cs="Book Antiqua"/>
          <w:b/>
          <w:bCs/>
          <w:i/>
          <w:iCs/>
          <w:color w:val="000000"/>
        </w:rPr>
        <w:t>the phosp</w:t>
      </w:r>
      <w:r>
        <w:rPr>
          <w:rFonts w:ascii="Book Antiqua" w:eastAsia="Book Antiqua" w:hAnsi="Book Antiqua" w:cs="Book Antiqua"/>
          <w:b/>
          <w:bCs/>
          <w:i/>
          <w:iCs/>
          <w:color w:val="000000"/>
        </w:rPr>
        <w:t>horylation of STAT3 in ESCC cells</w:t>
      </w:r>
    </w:p>
    <w:p w14:paraId="0A0B9CBA" w14:textId="4808AA38"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Previous studies have demonstrated that STAT3 plays an essential role in the proliferation of ESCC cells</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Hence, we speculated that DHTS may induce apoptosis through STAT3 in ESCC cells. After DHTS treatment for 24 h, the protein expression of STAT3 in both KYSE30 and Eca109 cells did not change significantly, but the expression of pSTAT3, the active form of STAT3 that functions in the nucleus, decreased significantly with an increase in DHTS concentration (Figure 6A and B). Immunofluorescence showed the </w:t>
      </w:r>
      <w:r>
        <w:rPr>
          <w:rFonts w:ascii="Book Antiqua" w:eastAsia="Book Antiqua" w:hAnsi="Book Antiqua" w:cs="Book Antiqua"/>
          <w:color w:val="000000"/>
        </w:rPr>
        <w:t>same results</w:t>
      </w:r>
      <w:r w:rsidR="00561B42">
        <w:rPr>
          <w:rFonts w:ascii="Book Antiqua" w:eastAsia="Book Antiqua" w:hAnsi="Book Antiqua" w:cs="Book Antiqua"/>
          <w:color w:val="000000"/>
        </w:rPr>
        <w:t xml:space="preserve">; </w:t>
      </w:r>
      <w:r>
        <w:rPr>
          <w:rFonts w:ascii="Book Antiqua" w:eastAsia="Book Antiqua" w:hAnsi="Book Antiqua" w:cs="Book Antiqua"/>
          <w:color w:val="000000"/>
        </w:rPr>
        <w:t xml:space="preserve">it was obvious that pSTAT3 mainly located in the nucleus, and the expression of pSTAT3 decreased with the increase </w:t>
      </w:r>
      <w:r>
        <w:rPr>
          <w:rFonts w:ascii="Book Antiqua" w:eastAsia="Book Antiqua" w:hAnsi="Book Antiqua" w:cs="Book Antiqua"/>
          <w:color w:val="000000"/>
        </w:rPr>
        <w:lastRenderedPageBreak/>
        <w:t>in DHTS concentration (Figure 6C and D). These results suggest that DHTS </w:t>
      </w:r>
      <w:r w:rsidR="00561B42">
        <w:rPr>
          <w:rFonts w:ascii="Book Antiqua" w:eastAsia="Book Antiqua" w:hAnsi="Book Antiqua" w:cs="Book Antiqua"/>
          <w:color w:val="000000"/>
        </w:rPr>
        <w:t xml:space="preserve">inhibits </w:t>
      </w:r>
      <w:r>
        <w:rPr>
          <w:rFonts w:ascii="Book Antiqua" w:eastAsia="Book Antiqua" w:hAnsi="Book Antiqua" w:cs="Book Antiqua"/>
          <w:color w:val="000000"/>
        </w:rPr>
        <w:t xml:space="preserve">the phosphorylation of STAT3. </w:t>
      </w:r>
    </w:p>
    <w:p w14:paraId="7A883587" w14:textId="77777777" w:rsidR="006A4945" w:rsidRDefault="006A4945">
      <w:pPr>
        <w:adjustRightInd w:val="0"/>
        <w:snapToGrid w:val="0"/>
        <w:spacing w:line="360" w:lineRule="auto"/>
        <w:jc w:val="both"/>
        <w:rPr>
          <w:rFonts w:ascii="Book Antiqua" w:hAnsi="Book Antiqua"/>
        </w:rPr>
      </w:pPr>
    </w:p>
    <w:p w14:paraId="567A7174" w14:textId="0F76F6D2"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STAT3 knockdown </w:t>
      </w:r>
      <w:r w:rsidR="00167310">
        <w:rPr>
          <w:rFonts w:ascii="Book Antiqua" w:eastAsia="Book Antiqua" w:hAnsi="Book Antiqua" w:cs="Book Antiqua"/>
          <w:b/>
          <w:bCs/>
          <w:i/>
          <w:iCs/>
          <w:color w:val="000000"/>
        </w:rPr>
        <w:t xml:space="preserve">promotes </w:t>
      </w:r>
      <w:r>
        <w:rPr>
          <w:rFonts w:ascii="Book Antiqua" w:eastAsia="Book Antiqua" w:hAnsi="Book Antiqua" w:cs="Book Antiqua"/>
          <w:b/>
          <w:bCs/>
          <w:i/>
          <w:iCs/>
          <w:color w:val="000000"/>
        </w:rPr>
        <w:t>the activation of mitochondrial pathway in DHTS-treated ESCC cells</w:t>
      </w:r>
    </w:p>
    <w:p w14:paraId="325F6142" w14:textId="6C045540"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To clarify the role of STAT3 in DHTS-induced apoptosis, we constructed STAT3-knockdown ESCC cell lines. Western blot and RT-qPCR were used to detect the efficiency of STAT3 knockdown (Figure 7A-C). Western blot </w:t>
      </w:r>
      <w:r w:rsidR="00561B42">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showed that the level of pSTAT3 </w:t>
      </w:r>
      <w:r w:rsidR="00561B42">
        <w:rPr>
          <w:rFonts w:ascii="Book Antiqua" w:eastAsia="Book Antiqua" w:hAnsi="Book Antiqua" w:cs="Book Antiqua"/>
          <w:color w:val="000000"/>
        </w:rPr>
        <w:t xml:space="preserve">was </w:t>
      </w:r>
      <w:r>
        <w:rPr>
          <w:rFonts w:ascii="Book Antiqua" w:eastAsia="Book Antiqua" w:hAnsi="Book Antiqua" w:cs="Book Antiqua"/>
          <w:color w:val="000000"/>
        </w:rPr>
        <w:t>consistent with that of STAT3 (Figure 7A). To verify the role of STAT3 in ESCC cells, cell lines with the best STAT3 knockdown efficiency were used in the following experiments. Hoechst 33258 staining showed that STAT3 knockdown not only induced apoptosis but also showed synergy with DHTS in both KYSE30 and Eca109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STAT3 knockdown and DHTS treatment showed </w:t>
      </w:r>
      <w:r w:rsidR="00561B42">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pro-apoptotic effect (Figure 7D and E). Annexin PE/7-AAD staining showed the same results (Figure 7F and G). In addition, the expression proteins associated with </w:t>
      </w:r>
      <w:r w:rsidR="00561B42">
        <w:rPr>
          <w:rFonts w:ascii="Book Antiqua" w:eastAsia="Book Antiqua" w:hAnsi="Book Antiqua" w:cs="Book Antiqua"/>
          <w:color w:val="000000"/>
        </w:rPr>
        <w:t xml:space="preserve">the </w:t>
      </w:r>
      <w:r>
        <w:rPr>
          <w:rFonts w:ascii="Book Antiqua" w:eastAsia="Book Antiqua" w:hAnsi="Book Antiqua" w:cs="Book Antiqua"/>
          <w:color w:val="000000"/>
        </w:rPr>
        <w:t>mitochondr</w:t>
      </w:r>
      <w:r>
        <w:rPr>
          <w:rFonts w:ascii="Book Antiqua" w:eastAsia="Book Antiqua" w:hAnsi="Book Antiqua" w:cs="Book Antiqua"/>
          <w:color w:val="000000"/>
        </w:rPr>
        <w:t>ial pathway were detected in STAT3-knockdown ESCC cells. In both KYSE30 and Eca109 cells, STAT3 knockdown increased the expression</w:t>
      </w:r>
      <w:r>
        <w:rPr>
          <w:rFonts w:ascii="Book Antiqua" w:eastAsia="Book Antiqua" w:hAnsi="Book Antiqua" w:cs="Book Antiqua"/>
          <w:color w:val="000000"/>
        </w:rPr>
        <w:t xml:space="preserve"> of pro-apoptotic proteins such as Bax, Cyt C, cleaved caspase 3, cleaved caspase 7, and cleaved caspase 9, while proteins associated with anti-apoptosis and survival, including Bcl2</w:t>
      </w:r>
      <w:r w:rsidR="00561B42">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451A4E">
        <w:rPr>
          <w:rFonts w:ascii="Book Antiqua" w:eastAsia="Book Antiqua" w:hAnsi="Book Antiqua" w:cs="Book Antiqua"/>
          <w:color w:val="000000"/>
        </w:rPr>
        <w:t>survivin</w:t>
      </w:r>
      <w:r w:rsidR="00561B42">
        <w:rPr>
          <w:rFonts w:ascii="Book Antiqua" w:eastAsia="Book Antiqua" w:hAnsi="Book Antiqua" w:cs="Book Antiqua"/>
          <w:color w:val="000000"/>
        </w:rPr>
        <w:t>,</w:t>
      </w:r>
      <w:r>
        <w:rPr>
          <w:rFonts w:ascii="Book Antiqua" w:eastAsia="Book Antiqua" w:hAnsi="Book Antiqua" w:cs="Book Antiqua"/>
          <w:color w:val="000000"/>
        </w:rPr>
        <w:t xml:space="preserve"> decreased significantly (Figure 8A and B). Furthermore, STAT3 knockdown and DHTS treatment </w:t>
      </w:r>
      <w:r w:rsidR="00561B42">
        <w:rPr>
          <w:rFonts w:ascii="Book Antiqua" w:eastAsia="Book Antiqua" w:hAnsi="Book Antiqua" w:cs="Book Antiqua"/>
          <w:color w:val="000000"/>
        </w:rPr>
        <w:t>led to </w:t>
      </w:r>
      <w:r>
        <w:rPr>
          <w:rFonts w:ascii="Book Antiqua" w:eastAsia="Book Antiqua" w:hAnsi="Book Antiqua" w:cs="Book Antiqua"/>
          <w:color w:val="000000"/>
        </w:rPr>
        <w:t xml:space="preserve">a greater increase in pro-apoptotic proteins and greater decrease of anti-apoptotic proteins (Figure 8A and B). These results indicate that STAT3 knockdown </w:t>
      </w:r>
      <w:r w:rsidR="00561B42">
        <w:rPr>
          <w:rFonts w:ascii="Book Antiqua" w:eastAsia="Book Antiqua" w:hAnsi="Book Antiqua" w:cs="Book Antiqua"/>
          <w:color w:val="000000"/>
        </w:rPr>
        <w:t xml:space="preserve">promotes </w:t>
      </w:r>
      <w:r>
        <w:rPr>
          <w:rFonts w:ascii="Book Antiqua" w:eastAsia="Book Antiqua" w:hAnsi="Book Antiqua" w:cs="Book Antiqua"/>
          <w:color w:val="000000"/>
        </w:rPr>
        <w:t>the pro-apoptoti</w:t>
      </w:r>
      <w:r>
        <w:rPr>
          <w:rFonts w:ascii="Book Antiqua" w:eastAsia="Book Antiqua" w:hAnsi="Book Antiqua" w:cs="Book Antiqua"/>
          <w:color w:val="000000"/>
        </w:rPr>
        <w:t>c effect of DHTS in KYSE30 and Eca109 cells.</w:t>
      </w:r>
    </w:p>
    <w:p w14:paraId="1022ECF5" w14:textId="77777777" w:rsidR="006A4945" w:rsidRDefault="006A4945">
      <w:pPr>
        <w:adjustRightInd w:val="0"/>
        <w:snapToGrid w:val="0"/>
        <w:spacing w:line="360" w:lineRule="auto"/>
        <w:jc w:val="both"/>
        <w:rPr>
          <w:rFonts w:ascii="Book Antiqua" w:hAnsi="Book Antiqua"/>
        </w:rPr>
      </w:pPr>
    </w:p>
    <w:p w14:paraId="26E92D86" w14:textId="7D477C32"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STAT3 overe</w:t>
      </w:r>
      <w:r>
        <w:rPr>
          <w:rFonts w:ascii="Book Antiqua" w:eastAsia="Book Antiqua" w:hAnsi="Book Antiqua" w:cs="Book Antiqua"/>
          <w:b/>
          <w:bCs/>
          <w:i/>
          <w:iCs/>
          <w:color w:val="000000"/>
        </w:rPr>
        <w:t xml:space="preserve">xpression </w:t>
      </w:r>
      <w:r w:rsidR="00167310">
        <w:rPr>
          <w:rFonts w:ascii="Book Antiqua" w:eastAsia="Book Antiqua" w:hAnsi="Book Antiqua" w:cs="Book Antiqua"/>
          <w:b/>
          <w:bCs/>
          <w:i/>
          <w:iCs/>
          <w:color w:val="000000"/>
        </w:rPr>
        <w:t xml:space="preserve">blocks </w:t>
      </w:r>
      <w:r>
        <w:rPr>
          <w:rFonts w:ascii="Book Antiqua" w:eastAsia="Book Antiqua" w:hAnsi="Book Antiqua" w:cs="Book Antiqua"/>
          <w:b/>
          <w:bCs/>
          <w:i/>
          <w:iCs/>
          <w:color w:val="000000"/>
        </w:rPr>
        <w:t>the activation of mitochondrial pathway in DHTS treated ESCC cells</w:t>
      </w:r>
    </w:p>
    <w:p w14:paraId="5A844233" w14:textId="0BEEA2F0"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Although STAT3 knockdown </w:t>
      </w:r>
      <w:r w:rsidR="00561B42">
        <w:rPr>
          <w:rFonts w:ascii="Book Antiqua" w:eastAsia="Book Antiqua" w:hAnsi="Book Antiqua" w:cs="Book Antiqua"/>
          <w:color w:val="000000"/>
        </w:rPr>
        <w:t xml:space="preserve">promotes </w:t>
      </w:r>
      <w:r>
        <w:rPr>
          <w:rFonts w:ascii="Book Antiqua" w:eastAsia="Book Antiqua" w:hAnsi="Book Antiqua" w:cs="Book Antiqua"/>
          <w:color w:val="000000"/>
        </w:rPr>
        <w:t>the</w:t>
      </w:r>
      <w:r w:rsidRPr="0008241A">
        <w:rPr>
          <w:rFonts w:ascii="Book Antiqua" w:eastAsia="Book Antiqua" w:hAnsi="Book Antiqua" w:cs="Book Antiqua"/>
          <w:b/>
          <w:bCs/>
          <w:iCs/>
          <w:color w:val="000000"/>
        </w:rPr>
        <w:t> </w:t>
      </w:r>
      <w:r w:rsidRPr="0008241A">
        <w:rPr>
          <w:rFonts w:ascii="Book Antiqua" w:eastAsia="Book Antiqua" w:hAnsi="Book Antiqua" w:cs="Book Antiqua"/>
          <w:iCs/>
          <w:color w:val="000000"/>
        </w:rPr>
        <w:t xml:space="preserve">activation of </w:t>
      </w:r>
      <w:r w:rsidR="00561B42">
        <w:rPr>
          <w:rFonts w:ascii="Book Antiqua" w:eastAsia="Book Antiqua" w:hAnsi="Book Antiqua" w:cs="Book Antiqua"/>
          <w:iCs/>
          <w:color w:val="000000"/>
        </w:rPr>
        <w:t xml:space="preserve">the </w:t>
      </w:r>
      <w:r w:rsidRPr="0008241A">
        <w:rPr>
          <w:rFonts w:ascii="Book Antiqua" w:eastAsia="Book Antiqua" w:hAnsi="Book Antiqua" w:cs="Book Antiqua"/>
          <w:iCs/>
          <w:color w:val="000000"/>
        </w:rPr>
        <w:t>mitochondrial pathway</w:t>
      </w:r>
      <w:r>
        <w:rPr>
          <w:rFonts w:ascii="Book Antiqua" w:eastAsia="Book Antiqua" w:hAnsi="Book Antiqua" w:cs="Book Antiqua"/>
          <w:color w:val="000000"/>
        </w:rPr>
        <w:t xml:space="preserve">, we still cannot </w:t>
      </w:r>
      <w:r w:rsidR="00561B42">
        <w:rPr>
          <w:rFonts w:ascii="Book Antiqua" w:eastAsia="Book Antiqua" w:hAnsi="Book Antiqua" w:cs="Book Antiqua"/>
          <w:color w:val="000000"/>
        </w:rPr>
        <w:t xml:space="preserve">determine </w:t>
      </w:r>
      <w:r>
        <w:rPr>
          <w:rFonts w:ascii="Book Antiqua" w:eastAsia="Book Antiqua" w:hAnsi="Book Antiqua" w:cs="Book Antiqua"/>
          <w:color w:val="000000"/>
        </w:rPr>
        <w:t>whether DHTS exe</w:t>
      </w:r>
      <w:r>
        <w:rPr>
          <w:rFonts w:ascii="Book Antiqua" w:eastAsia="Book Antiqua" w:hAnsi="Book Antiqua" w:cs="Book Antiqua"/>
          <w:color w:val="000000"/>
        </w:rPr>
        <w:t>rts antitumor effect through STAT3 for other molecules that may play a role in the process. To prove that STAT3 is involved in DHTS-</w:t>
      </w:r>
      <w:r>
        <w:rPr>
          <w:rFonts w:ascii="Book Antiqua" w:eastAsia="Book Antiqua" w:hAnsi="Book Antiqua" w:cs="Book Antiqua"/>
          <w:color w:val="000000"/>
        </w:rPr>
        <w:lastRenderedPageBreak/>
        <w:t>induced apoptosi</w:t>
      </w:r>
      <w:r>
        <w:rPr>
          <w:rFonts w:ascii="Book Antiqua" w:eastAsia="Book Antiqua" w:hAnsi="Book Antiqua" w:cs="Book Antiqua"/>
          <w:color w:val="000000"/>
        </w:rPr>
        <w:t>s, STAT3-</w:t>
      </w:r>
      <w:r w:rsidR="00561B42">
        <w:rPr>
          <w:rFonts w:ascii="Book Antiqua" w:eastAsia="Book Antiqua" w:hAnsi="Book Antiqua" w:cs="Book Antiqua"/>
          <w:color w:val="000000"/>
        </w:rPr>
        <w:t xml:space="preserve">overexpressing </w:t>
      </w:r>
      <w:r>
        <w:rPr>
          <w:rFonts w:ascii="Book Antiqua" w:eastAsia="Book Antiqua" w:hAnsi="Book Antiqua" w:cs="Book Antiqua"/>
          <w:color w:val="000000"/>
        </w:rPr>
        <w:t xml:space="preserve">ESCC cell lines were used to detect apoptosis-associated proteins. STAT3 overexpression efficiency was verified by </w:t>
      </w:r>
      <w:r w:rsidR="00561B42">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and RT-qPCR (Figure 9A-C). Western blot </w:t>
      </w:r>
      <w:r w:rsidR="00561B42">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showed that the level of pSTAT3 </w:t>
      </w:r>
      <w:r w:rsidR="00561B42">
        <w:rPr>
          <w:rFonts w:ascii="Book Antiqua" w:eastAsia="Book Antiqua" w:hAnsi="Book Antiqua" w:cs="Book Antiqua"/>
          <w:color w:val="000000"/>
        </w:rPr>
        <w:t xml:space="preserve">was </w:t>
      </w:r>
      <w:r>
        <w:rPr>
          <w:rFonts w:ascii="Book Antiqua" w:eastAsia="Book Antiqua" w:hAnsi="Book Antiqua" w:cs="Book Antiqua"/>
          <w:color w:val="000000"/>
        </w:rPr>
        <w:t xml:space="preserve">consistent with that of STAT3 (Figure 9A). Compared with ESCC cells without any treatment, STAT3 overexpression decreased </w:t>
      </w:r>
      <w:r w:rsidR="00561B42">
        <w:rPr>
          <w:rFonts w:ascii="Book Antiqua" w:eastAsia="Book Antiqua" w:hAnsi="Book Antiqua" w:cs="Book Antiqua"/>
          <w:color w:val="000000"/>
        </w:rPr>
        <w:t xml:space="preserve">the </w:t>
      </w:r>
      <w:r>
        <w:rPr>
          <w:rFonts w:ascii="Book Antiqua" w:eastAsia="Book Antiqua" w:hAnsi="Book Antiqua" w:cs="Book Antiqua"/>
          <w:color w:val="000000"/>
        </w:rPr>
        <w:t>levels of pro-apoptotic proteins such as Bax, Cyt C, cleaved caspase 3, cleaved caspase 7, and cleaved caspase 9, while increased the levels of Bcl2</w:t>
      </w:r>
      <w:r w:rsidR="00561B42">
        <w:rPr>
          <w:rFonts w:ascii="Book Antiqua" w:eastAsia="Book Antiqua" w:hAnsi="Book Antiqua" w:cs="Book Antiqua"/>
          <w:color w:val="000000"/>
        </w:rPr>
        <w:t xml:space="preserve"> </w:t>
      </w:r>
      <w:r>
        <w:rPr>
          <w:rFonts w:ascii="Book Antiqua" w:eastAsia="Book Antiqua" w:hAnsi="Book Antiqua" w:cs="Book Antiqua"/>
          <w:color w:val="000000"/>
        </w:rPr>
        <w:t xml:space="preserve">and survivin (Figure 9D and E), which means </w:t>
      </w:r>
      <w:r w:rsidR="00561B42">
        <w:rPr>
          <w:rFonts w:ascii="Book Antiqua" w:eastAsia="Book Antiqua" w:hAnsi="Book Antiqua" w:cs="Book Antiqua"/>
          <w:color w:val="000000"/>
        </w:rPr>
        <w:t xml:space="preserve">that </w:t>
      </w:r>
      <w:r>
        <w:rPr>
          <w:rFonts w:ascii="Book Antiqua" w:eastAsia="Book Antiqua" w:hAnsi="Book Antiqua" w:cs="Book Antiqua"/>
          <w:color w:val="000000"/>
        </w:rPr>
        <w:t>STAT3 overexpression inhibited apoptosis. Meanwhile, the expression of pro-apoptotic proteins in DHTS treated STAT3-</w:t>
      </w:r>
      <w:r w:rsidR="00561B42">
        <w:rPr>
          <w:rFonts w:ascii="Book Antiqua" w:eastAsia="Book Antiqua" w:hAnsi="Book Antiqua" w:cs="Book Antiqua"/>
          <w:color w:val="000000"/>
        </w:rPr>
        <w:t xml:space="preserve">overexpressing </w:t>
      </w:r>
      <w:r>
        <w:rPr>
          <w:rFonts w:ascii="Book Antiqua" w:eastAsia="Book Antiqua" w:hAnsi="Book Antiqua" w:cs="Book Antiqua"/>
          <w:color w:val="000000"/>
        </w:rPr>
        <w:t xml:space="preserve">cells </w:t>
      </w:r>
      <w:r w:rsidR="00561B42">
        <w:rPr>
          <w:rFonts w:ascii="Book Antiqua" w:eastAsia="Book Antiqua" w:hAnsi="Book Antiqua" w:cs="Book Antiqua"/>
          <w:color w:val="000000"/>
        </w:rPr>
        <w:t xml:space="preserve">was </w:t>
      </w:r>
      <w:r>
        <w:rPr>
          <w:rFonts w:ascii="Book Antiqua" w:eastAsia="Book Antiqua" w:hAnsi="Book Antiqua" w:cs="Book Antiqua"/>
          <w:color w:val="000000"/>
        </w:rPr>
        <w:t xml:space="preserve">lower while </w:t>
      </w:r>
      <w:r w:rsidR="00561B42">
        <w:rPr>
          <w:rFonts w:ascii="Book Antiqua" w:eastAsia="Book Antiqua" w:hAnsi="Book Antiqua" w:cs="Book Antiqua"/>
          <w:color w:val="000000"/>
        </w:rPr>
        <w:t xml:space="preserve">the expression of </w:t>
      </w:r>
      <w:r>
        <w:rPr>
          <w:rFonts w:ascii="Book Antiqua" w:eastAsia="Book Antiqua" w:hAnsi="Book Antiqua" w:cs="Book Antiqua"/>
          <w:color w:val="000000"/>
        </w:rPr>
        <w:t xml:space="preserve">anti-apoptotic proteins </w:t>
      </w:r>
      <w:r w:rsidR="00561B42">
        <w:rPr>
          <w:rFonts w:ascii="Book Antiqua" w:eastAsia="Book Antiqua" w:hAnsi="Book Antiqua" w:cs="Book Antiqua"/>
          <w:color w:val="000000"/>
        </w:rPr>
        <w:t xml:space="preserve">was </w:t>
      </w:r>
      <w:r>
        <w:rPr>
          <w:rFonts w:ascii="Book Antiqua" w:eastAsia="Book Antiqua" w:hAnsi="Book Antiqua" w:cs="Book Antiqua"/>
          <w:color w:val="000000"/>
        </w:rPr>
        <w:t xml:space="preserve">higher than that in DHTS-treated control cells (Figure 9D and E), indicating that the pro-apoptotic effect of </w:t>
      </w:r>
      <w:r>
        <w:rPr>
          <w:rFonts w:ascii="Book Antiqua" w:eastAsia="Book Antiqua" w:hAnsi="Book Antiqua" w:cs="Book Antiqua"/>
          <w:color w:val="000000"/>
        </w:rPr>
        <w:t xml:space="preserve">DHTS was blocked by STAT3 overexpression. All the results indicate that </w:t>
      </w:r>
      <w:r>
        <w:rPr>
          <w:rFonts w:ascii="Book Antiqua" w:eastAsia="Book Antiqua" w:hAnsi="Book Antiqua" w:cs="Book Antiqua"/>
          <w:color w:val="000000"/>
        </w:rPr>
        <w:t>DHTS </w:t>
      </w:r>
      <w:r w:rsidR="00561B42">
        <w:rPr>
          <w:rFonts w:ascii="Book Antiqua" w:eastAsia="Book Antiqua" w:hAnsi="Book Antiqua" w:cs="Book Antiqua"/>
          <w:color w:val="000000"/>
        </w:rPr>
        <w:t>induces </w:t>
      </w:r>
      <w:r>
        <w:rPr>
          <w:rFonts w:ascii="Book Antiqua" w:eastAsia="Book Antiqua" w:hAnsi="Book Antiqua" w:cs="Book Antiqua"/>
          <w:color w:val="000000"/>
        </w:rPr>
        <w:t>apoptosis through STAT3 in KYSE30 and Eca109 cells.</w:t>
      </w:r>
    </w:p>
    <w:p w14:paraId="1EEC742C" w14:textId="77777777" w:rsidR="006A4945" w:rsidRDefault="006A4945">
      <w:pPr>
        <w:adjustRightInd w:val="0"/>
        <w:snapToGrid w:val="0"/>
        <w:spacing w:line="360" w:lineRule="auto"/>
        <w:jc w:val="both"/>
        <w:rPr>
          <w:rFonts w:ascii="Book Antiqua" w:hAnsi="Book Antiqua"/>
        </w:rPr>
      </w:pPr>
    </w:p>
    <w:p w14:paraId="7031870F" w14:textId="5CED8AE1"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DHTS </w:t>
      </w:r>
      <w:r w:rsidR="00167310">
        <w:rPr>
          <w:rFonts w:ascii="Book Antiqua" w:eastAsia="Book Antiqua" w:hAnsi="Book Antiqua" w:cs="Book Antiqua"/>
          <w:b/>
          <w:bCs/>
          <w:i/>
          <w:iCs/>
          <w:color w:val="000000"/>
        </w:rPr>
        <w:t>exer</w:t>
      </w:r>
      <w:r w:rsidR="007E6C47">
        <w:rPr>
          <w:rFonts w:ascii="Book Antiqua" w:eastAsia="Book Antiqua" w:hAnsi="Book Antiqua" w:cs="Book Antiqua"/>
          <w:b/>
          <w:bCs/>
          <w:i/>
          <w:iCs/>
          <w:color w:val="000000"/>
        </w:rPr>
        <w:t xml:space="preserve">ts </w:t>
      </w:r>
      <w:r>
        <w:rPr>
          <w:rFonts w:ascii="Book Antiqua" w:eastAsia="Book Antiqua" w:hAnsi="Book Antiqua" w:cs="Book Antiqua"/>
          <w:b/>
          <w:bCs/>
          <w:i/>
          <w:iCs/>
          <w:color w:val="000000"/>
        </w:rPr>
        <w:t>antitumor effect in ESCC in vivo</w:t>
      </w:r>
    </w:p>
    <w:p w14:paraId="37174ACD" w14:textId="34ED8D4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Based on the data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above, we further investigated </w:t>
      </w:r>
      <w:r w:rsidR="002B4F22">
        <w:rPr>
          <w:rFonts w:ascii="Book Antiqua" w:eastAsia="Book Antiqua" w:hAnsi="Book Antiqua" w:cs="Book Antiqua"/>
          <w:color w:val="000000"/>
        </w:rPr>
        <w:t xml:space="preserve">the </w:t>
      </w:r>
      <w:r>
        <w:rPr>
          <w:rFonts w:ascii="Book Antiqua" w:eastAsia="Book Antiqua" w:hAnsi="Book Antiqua" w:cs="Book Antiqua"/>
          <w:color w:val="000000"/>
        </w:rPr>
        <w:t>antitumor effect of DHTS on xenograft tumors </w:t>
      </w:r>
      <w:r>
        <w:rPr>
          <w:rFonts w:ascii="Book Antiqua" w:eastAsia="Book Antiqua" w:hAnsi="Book Antiqua" w:cs="Book Antiqua"/>
          <w:i/>
          <w:iCs/>
          <w:color w:val="000000"/>
        </w:rPr>
        <w:t>in vivo</w:t>
      </w:r>
      <w:r>
        <w:rPr>
          <w:rFonts w:ascii="Book Antiqua" w:eastAsia="Book Antiqua" w:hAnsi="Book Antiqua" w:cs="Book Antiqua"/>
          <w:color w:val="000000"/>
        </w:rPr>
        <w:t>. The transplanted tumors grew rapidly in the co</w:t>
      </w:r>
      <w:r>
        <w:rPr>
          <w:rFonts w:ascii="Book Antiqua" w:eastAsia="Book Antiqua" w:hAnsi="Book Antiqua" w:cs="Book Antiqua"/>
          <w:color w:val="000000"/>
        </w:rPr>
        <w:t>ntrol group (1.047 ± 0.143 cm</w:t>
      </w:r>
      <w:r>
        <w:rPr>
          <w:rFonts w:ascii="Book Antiqua" w:eastAsia="Book Antiqua" w:hAnsi="Book Antiqua" w:cs="Book Antiqua"/>
          <w:color w:val="000000"/>
          <w:vertAlign w:val="superscript"/>
        </w:rPr>
        <w:t>3</w:t>
      </w:r>
      <w:r>
        <w:rPr>
          <w:rFonts w:ascii="Book Antiqua" w:eastAsia="Book Antiqua" w:hAnsi="Book Antiqua" w:cs="Book Antiqua"/>
          <w:color w:val="000000"/>
        </w:rPr>
        <w:t>) but were suppressed in the treatment group in a dose-dependent manner (0.364 ± 0.042 cm</w:t>
      </w:r>
      <w:r>
        <w:rPr>
          <w:rFonts w:ascii="Book Antiqua" w:eastAsia="Book Antiqua" w:hAnsi="Book Antiqua" w:cs="Book Antiqua"/>
          <w:color w:val="000000"/>
          <w:vertAlign w:val="superscript"/>
        </w:rPr>
        <w:t>3</w:t>
      </w:r>
      <w:r>
        <w:rPr>
          <w:rFonts w:ascii="Book Antiqua" w:eastAsia="Book Antiqua" w:hAnsi="Book Antiqua" w:cs="Book Antiqua"/>
          <w:color w:val="000000"/>
        </w:rPr>
        <w:t> in the 5 mg/kg group, 0.270 ± 0.012 cm</w:t>
      </w:r>
      <w:r>
        <w:rPr>
          <w:rFonts w:ascii="Book Antiqua" w:eastAsia="Book Antiqua" w:hAnsi="Book Antiqua" w:cs="Book Antiqua"/>
          <w:color w:val="000000"/>
          <w:vertAlign w:val="superscript"/>
        </w:rPr>
        <w:t>3</w:t>
      </w:r>
      <w:r>
        <w:rPr>
          <w:rFonts w:ascii="Book Antiqua" w:eastAsia="Book Antiqua" w:hAnsi="Book Antiqua" w:cs="Book Antiqua"/>
          <w:color w:val="000000"/>
        </w:rPr>
        <w:t> in the 10 mg/kg group, and 0.150 ± 0.030 cm</w:t>
      </w:r>
      <w:r>
        <w:rPr>
          <w:rFonts w:ascii="Book Antiqua" w:eastAsia="Book Antiqua" w:hAnsi="Book Antiqua" w:cs="Book Antiqua"/>
          <w:color w:val="000000"/>
          <w:vertAlign w:val="superscript"/>
        </w:rPr>
        <w:t>3</w:t>
      </w:r>
      <w:r>
        <w:rPr>
          <w:rFonts w:ascii="Book Antiqua" w:eastAsia="Book Antiqua" w:hAnsi="Book Antiqua" w:cs="Book Antiqua"/>
          <w:color w:val="000000"/>
        </w:rPr>
        <w:t> in the 15 mg/kg group) (Figure 10A and B)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weight of tumors in the DHTS treatment groups also decreased in a dose-dependent manner (Figure 10C)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while the body weight </w:t>
      </w:r>
      <w:r>
        <w:rPr>
          <w:rFonts w:ascii="Book Antiqua" w:eastAsia="Book Antiqua" w:hAnsi="Book Antiqua" w:cs="Book Antiqua"/>
          <w:color w:val="000000"/>
        </w:rPr>
        <w:t xml:space="preserve">of mice in the four groups showed no difference during the treatment of DHTS (Figure 10D). Immunohistochemistry </w:t>
      </w:r>
      <w:r w:rsidR="002B4F22">
        <w:rPr>
          <w:rFonts w:ascii="Book Antiqua" w:eastAsia="Book Antiqua" w:hAnsi="Book Antiqua" w:cs="Book Antiqua"/>
          <w:color w:val="000000"/>
        </w:rPr>
        <w:t xml:space="preserve">staining </w:t>
      </w:r>
      <w:r>
        <w:rPr>
          <w:rFonts w:ascii="Book Antiqua" w:eastAsia="Book Antiqua" w:hAnsi="Book Antiqua" w:cs="Book Antiqua"/>
          <w:color w:val="000000"/>
        </w:rPr>
        <w:t xml:space="preserve">of tumors showed that the expression of Ki67 decreased significantly with the increase in DHTS dose (Figure 10E), </w:t>
      </w:r>
      <w:r w:rsidR="002B4F22">
        <w:rPr>
          <w:rFonts w:ascii="Book Antiqua" w:eastAsia="Book Antiqua" w:hAnsi="Book Antiqua" w:cs="Book Antiqua"/>
          <w:color w:val="000000"/>
        </w:rPr>
        <w:t xml:space="preserve">proving </w:t>
      </w:r>
      <w:r>
        <w:rPr>
          <w:rFonts w:ascii="Book Antiqua" w:eastAsia="Book Antiqua" w:hAnsi="Book Antiqua" w:cs="Book Antiqua"/>
          <w:color w:val="000000"/>
        </w:rPr>
        <w:t xml:space="preserve">that DHTS inhibited the proliferation of ESCC dose-dependently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at </w:t>
      </w:r>
      <w:r w:rsidR="002B4F22">
        <w:rPr>
          <w:rFonts w:ascii="Book Antiqua" w:eastAsia="Book Antiqua" w:hAnsi="Book Antiqua" w:cs="Book Antiqua"/>
          <w:color w:val="000000"/>
        </w:rPr>
        <w:t xml:space="preserve">the </w:t>
      </w:r>
      <w:r>
        <w:rPr>
          <w:rFonts w:ascii="Book Antiqua" w:eastAsia="Book Antiqua" w:hAnsi="Book Antiqua" w:cs="Book Antiqua"/>
          <w:color w:val="000000"/>
        </w:rPr>
        <w:t>molecular level. Additional</w:t>
      </w:r>
      <w:r>
        <w:rPr>
          <w:rFonts w:ascii="Book Antiqua" w:eastAsia="Book Antiqua" w:hAnsi="Book Antiqua" w:cs="Book Antiqua"/>
          <w:color w:val="000000"/>
        </w:rPr>
        <w:t xml:space="preserve">ly, TUNEL assay of the tumors revealed more brown spots (which represent DNA fragments) in the DHTS treatment groups, indicating that cell apoptosis in the tumor increased significantly with the </w:t>
      </w:r>
      <w:r>
        <w:rPr>
          <w:rFonts w:ascii="Book Antiqua" w:eastAsia="Book Antiqua" w:hAnsi="Book Antiqua" w:cs="Book Antiqua"/>
          <w:color w:val="000000"/>
        </w:rPr>
        <w:lastRenderedPageBreak/>
        <w:t>increase in DHTS dose (Figure 10F and G)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w:t>
      </w:r>
      <w:r>
        <w:rPr>
          <w:rFonts w:ascii="Book Antiqua" w:eastAsia="Book Antiqua" w:hAnsi="Book Antiqua" w:cs="Book Antiqua"/>
          <w:color w:val="000000"/>
        </w:rPr>
        <w:t xml:space="preserve">ken together, DHTS </w:t>
      </w:r>
      <w:r w:rsidR="002B4F22">
        <w:rPr>
          <w:rFonts w:ascii="Book Antiqua" w:eastAsia="Book Antiqua" w:hAnsi="Book Antiqua" w:cs="Book Antiqua"/>
          <w:color w:val="000000"/>
        </w:rPr>
        <w:t>exerts</w:t>
      </w:r>
      <w:r w:rsidR="007E6C47">
        <w:rPr>
          <w:rFonts w:ascii="Book Antiqua" w:eastAsia="Book Antiqua" w:hAnsi="Book Antiqua" w:cs="Book Antiqua"/>
          <w:color w:val="000000"/>
        </w:rPr>
        <w:t xml:space="preserve"> </w:t>
      </w:r>
      <w:r>
        <w:rPr>
          <w:rFonts w:ascii="Book Antiqua" w:eastAsia="Book Antiqua" w:hAnsi="Book Antiqua" w:cs="Book Antiqua"/>
          <w:color w:val="000000"/>
        </w:rPr>
        <w:t xml:space="preserve">antitumor effect in ESCC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 a dose-dependent manner. </w:t>
      </w:r>
    </w:p>
    <w:p w14:paraId="139D7A29" w14:textId="77777777" w:rsidR="006A4945" w:rsidRDefault="006A4945">
      <w:pPr>
        <w:adjustRightInd w:val="0"/>
        <w:snapToGrid w:val="0"/>
        <w:spacing w:line="360" w:lineRule="auto"/>
        <w:jc w:val="both"/>
        <w:rPr>
          <w:rFonts w:ascii="Book Antiqua" w:hAnsi="Book Antiqua"/>
        </w:rPr>
      </w:pPr>
    </w:p>
    <w:p w14:paraId="1B6428A6"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6C783328" w14:textId="0F03D71E"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ESCC is one of the most common cancers in south African countries and some Asian countries</w:t>
      </w:r>
      <w:r>
        <w:rPr>
          <w:rFonts w:ascii="Book Antiqua" w:eastAsia="Book Antiqua" w:hAnsi="Book Antiqua" w:cs="Book Antiqua"/>
          <w:color w:val="000000"/>
          <w:vertAlign w:val="superscript"/>
        </w:rPr>
        <w:t>[22]</w:t>
      </w:r>
      <w:r>
        <w:rPr>
          <w:rFonts w:ascii="Book Antiqua" w:eastAsia="Book Antiqua" w:hAnsi="Book Antiqua" w:cs="Book Antiqua"/>
          <w:color w:val="000000"/>
        </w:rPr>
        <w:t>. Although early detection and treatment have been gradually popularized, ESCC remains a great threat to patients</w:t>
      </w:r>
      <w:r>
        <w:rPr>
          <w:rFonts w:ascii="Book Antiqua" w:eastAsia="Book Antiqua" w:hAnsi="Book Antiqua" w:cs="Book Antiqua"/>
          <w:color w:val="000000"/>
          <w:vertAlign w:val="superscript"/>
        </w:rPr>
        <w:t>[23,24]</w:t>
      </w:r>
      <w:r>
        <w:rPr>
          <w:rFonts w:ascii="Book Antiqua" w:eastAsia="Book Antiqua" w:hAnsi="Book Antiqua" w:cs="Book Antiqua"/>
          <w:color w:val="000000"/>
        </w:rPr>
        <w:t>. For patients with advanced disease, chemotherapy is still needed. However, traditional fluoropyrimidine-based and platinum-bas</w:t>
      </w:r>
      <w:r>
        <w:rPr>
          <w:rFonts w:ascii="Book Antiqua" w:eastAsia="Book Antiqua" w:hAnsi="Book Antiqua" w:cs="Book Antiqua"/>
          <w:color w:val="000000"/>
        </w:rPr>
        <w:t xml:space="preserve">ed </w:t>
      </w:r>
      <w:r w:rsidR="00750F4D">
        <w:rPr>
          <w:rFonts w:ascii="Book Antiqua" w:eastAsia="Book Antiqua" w:hAnsi="Book Antiqua" w:cs="Book Antiqua"/>
          <w:color w:val="000000"/>
        </w:rPr>
        <w:t>chemotherapies</w:t>
      </w:r>
      <w:r>
        <w:rPr>
          <w:rFonts w:ascii="Book Antiqua" w:eastAsia="Book Antiqua" w:hAnsi="Book Antiqua" w:cs="Book Antiqua"/>
          <w:color w:val="000000"/>
        </w:rPr>
        <w:t xml:space="preserve">, as well as </w:t>
      </w:r>
      <w:r w:rsidR="00750F4D">
        <w:rPr>
          <w:rFonts w:ascii="Book Antiqua" w:eastAsia="Book Antiqua" w:hAnsi="Book Antiqua" w:cs="Book Antiqua"/>
          <w:color w:val="000000"/>
        </w:rPr>
        <w:t xml:space="preserve">chemotherapies </w:t>
      </w:r>
      <w:r>
        <w:rPr>
          <w:rFonts w:ascii="Book Antiqua" w:eastAsia="Book Antiqua" w:hAnsi="Book Antiqua" w:cs="Book Antiqua"/>
          <w:color w:val="000000"/>
        </w:rPr>
        <w:t>containing paclitaxel or docetaxel, are not perfect choices because of their severe adverse reactions and drug resistance</w:t>
      </w:r>
      <w:r>
        <w:rPr>
          <w:rFonts w:ascii="Book Antiqua" w:eastAsia="Book Antiqua" w:hAnsi="Book Antiqua" w:cs="Book Antiqua"/>
          <w:color w:val="000000"/>
          <w:vertAlign w:val="superscript"/>
        </w:rPr>
        <w:t>[2]</w:t>
      </w:r>
      <w:r>
        <w:rPr>
          <w:rFonts w:ascii="Book Antiqua" w:eastAsia="Book Antiqua" w:hAnsi="Book Antiqua" w:cs="Book Antiqua"/>
          <w:color w:val="000000"/>
        </w:rPr>
        <w:t>, which leads to a poor clinical prognosis. Effective remedies are still urgently needed in the clinic.</w:t>
      </w:r>
    </w:p>
    <w:p w14:paraId="5A4F70FA" w14:textId="77777777" w:rsidR="006A4945" w:rsidRDefault="00C3017B">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DHTS, a natural lipophilic constituent, has been shown to exert antitumor effect in several cancers without obvious toxicity</w:t>
      </w:r>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In the present study, we demonstrated that DHTS significantly inhibited the proliferation of ESCC cells and induced cell cycle arrest in the G0/1 phase in a dose-dependent manner. We further demonstrated that DHTS induced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STAT3-mediated activation of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mitochondrial apoptotic pathway. Additionally, DHTS exerted antitumor effect in a xenograft tumor mouse model without decreasing the body weight of tumor-bearing mice, which is consistent with an earlier finding that DHTS treatment for 3 mo showed no significant toxicity, even at a high concentration</w:t>
      </w:r>
      <w:r>
        <w:rPr>
          <w:rFonts w:ascii="Book Antiqua" w:eastAsia="Book Antiqua" w:hAnsi="Book Antiqua" w:cs="Book Antiqua"/>
          <w:color w:val="000000"/>
          <w:vertAlign w:val="superscript"/>
        </w:rPr>
        <w:t>[25]</w:t>
      </w:r>
      <w:r>
        <w:rPr>
          <w:rFonts w:ascii="Book Antiqua" w:eastAsia="Book Antiqua" w:hAnsi="Book Antiqua" w:cs="Book Antiqua"/>
          <w:color w:val="000000"/>
        </w:rPr>
        <w:t>. All data suggest that DHTS is a promising novel agent for the treatment of ESCC.</w:t>
      </w:r>
    </w:p>
    <w:p w14:paraId="34AE12F1" w14:textId="77777777" w:rsidR="006A4945" w:rsidRDefault="00C3017B">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Induction of cell cycle arrest has been proposed as an effective therapeutic approach for cancers</w:t>
      </w:r>
      <w:r>
        <w:rPr>
          <w:rFonts w:ascii="Book Antiqua" w:eastAsia="Book Antiqua" w:hAnsi="Book Antiqua" w:cs="Book Antiqua"/>
          <w:color w:val="000000"/>
          <w:vertAlign w:val="superscript"/>
        </w:rPr>
        <w:t>[26,27]</w:t>
      </w:r>
      <w:r>
        <w:rPr>
          <w:rFonts w:ascii="Book Antiqua" w:eastAsia="Book Antiqua" w:hAnsi="Book Antiqua" w:cs="Book Antiqua"/>
          <w:color w:val="000000"/>
        </w:rPr>
        <w:t>. Progression through G1 and entry into S-phase is tightly regulated by cyclin A/cyclin E–CDK2 complexes</w:t>
      </w:r>
      <w:r>
        <w:rPr>
          <w:rFonts w:ascii="Book Antiqua" w:eastAsia="Book Antiqua" w:hAnsi="Book Antiqua" w:cs="Book Antiqua"/>
          <w:color w:val="000000"/>
          <w:vertAlign w:val="superscript"/>
        </w:rPr>
        <w:t>[28,29]</w:t>
      </w:r>
      <w:r>
        <w:rPr>
          <w:rFonts w:ascii="Book Antiqua" w:eastAsia="Book Antiqua" w:hAnsi="Book Antiqua" w:cs="Book Antiqua"/>
          <w:color w:val="000000"/>
        </w:rPr>
        <w:t>. Cyclin D1 is also required for progression through the G1 phase of the cell cycle</w:t>
      </w:r>
      <w:r>
        <w:rPr>
          <w:rFonts w:ascii="Book Antiqua" w:eastAsia="Book Antiqua" w:hAnsi="Book Antiqua" w:cs="Book Antiqua"/>
          <w:color w:val="000000"/>
          <w:vertAlign w:val="superscript"/>
        </w:rPr>
        <w:t>[30]</w:t>
      </w:r>
      <w:r>
        <w:rPr>
          <w:rFonts w:ascii="Book Antiqua" w:eastAsia="Book Antiqua" w:hAnsi="Book Antiqua" w:cs="Book Antiqua"/>
          <w:color w:val="000000"/>
        </w:rPr>
        <w:t>, while P21 may inhibit CDK activity through binding to the cyclin-CDK complex, inducing G1 phase arrest and blocking S phase entry</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In the present study, the expression of cyclin D1, cyclin A2, and cyclin E1 decreased and that of P21 increased after exposure to DHTS; the proportion of cells in the </w:t>
      </w:r>
      <w:r>
        <w:rPr>
          <w:rFonts w:ascii="Book Antiqua" w:eastAsia="Book Antiqua" w:hAnsi="Book Antiqua" w:cs="Book Antiqua"/>
          <w:color w:val="000000"/>
        </w:rPr>
        <w:lastRenderedPageBreak/>
        <w:t>G1 phase increased, while that of cells in the S and G2/M phases decreased after DHTS treatment, which explains the antitumor effect of DHTS.</w:t>
      </w:r>
    </w:p>
    <w:p w14:paraId="15198584" w14:textId="06DB69AC" w:rsidR="006A4945" w:rsidRDefault="00C3017B">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As a programmed form of cell death, apoptosis plays a pivotal role in cancer and therapies inducing cancer cell apoptosis have b</w:t>
      </w:r>
      <w:r>
        <w:rPr>
          <w:rFonts w:ascii="Book Antiqua" w:eastAsia="Book Antiqua" w:hAnsi="Book Antiqua" w:cs="Book Antiqua"/>
          <w:color w:val="000000"/>
        </w:rPr>
        <w:t>een proven </w:t>
      </w:r>
      <w:r w:rsidR="00750F4D">
        <w:rPr>
          <w:rFonts w:ascii="Book Antiqua" w:eastAsia="Book Antiqua" w:hAnsi="Book Antiqua" w:cs="Book Antiqua"/>
          <w:color w:val="000000"/>
        </w:rPr>
        <w:t xml:space="preserve">to be </w:t>
      </w:r>
      <w:r>
        <w:rPr>
          <w:rFonts w:ascii="Book Antiqua" w:eastAsia="Book Antiqua" w:hAnsi="Book Antiqua" w:cs="Book Antiqua"/>
          <w:color w:val="000000"/>
        </w:rPr>
        <w:t>effective strategies</w:t>
      </w:r>
      <w:r>
        <w:rPr>
          <w:rFonts w:ascii="Book Antiqua" w:eastAsia="Book Antiqua" w:hAnsi="Book Antiqua" w:cs="Book Antiqua"/>
          <w:color w:val="000000"/>
          <w:vertAlign w:val="superscript"/>
        </w:rPr>
        <w:t>[32]</w:t>
      </w:r>
      <w:r>
        <w:rPr>
          <w:rFonts w:ascii="Book Antiqua" w:eastAsia="Book Antiqua" w:hAnsi="Book Antiqua" w:cs="Book Antiqua"/>
          <w:color w:val="000000"/>
        </w:rPr>
        <w:t>. Apoptosis is induced through two main routes involving either the intrinsic mitochondrial pathway or the activation of death receptors (the extrinsic pathway)</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In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current study, DHTS treatment increased the expression of Bax while decreasing the levels of Bcl2. The Bax/Bcl2 ratio plays a vital role in determining mitochondrial membrane permeability and activation, which mediates the cell apoptosis process</w:t>
      </w:r>
      <w:r>
        <w:rPr>
          <w:rFonts w:ascii="Book Antiqua" w:eastAsia="Book Antiqua" w:hAnsi="Book Antiqua" w:cs="Book Antiqua"/>
          <w:color w:val="000000"/>
          <w:vertAlign w:val="superscript"/>
        </w:rPr>
        <w:t>[34,35]</w:t>
      </w:r>
      <w:r>
        <w:rPr>
          <w:rFonts w:ascii="Book Antiqua" w:eastAsia="Book Antiqua" w:hAnsi="Book Antiqua" w:cs="Book Antiqua"/>
          <w:color w:val="000000"/>
        </w:rPr>
        <w:t>. Activated Bax migrates to the outer membrane of mitochondria, which is the key step in initiating apoptosis. Moreover, Bax can also promote the release of Cyt C from mitochondria into the cytoplasm, while Cyt C is involved in the formation of apoptosomes</w:t>
      </w:r>
      <w:r>
        <w:rPr>
          <w:rFonts w:ascii="Book Antiqua" w:eastAsia="Book Antiqua" w:hAnsi="Book Antiqua" w:cs="Book Antiqua"/>
          <w:color w:val="000000"/>
          <w:vertAlign w:val="superscript"/>
        </w:rPr>
        <w:t>[36]</w:t>
      </w:r>
      <w:r>
        <w:rPr>
          <w:rFonts w:ascii="Book Antiqua" w:eastAsia="Book Antiqua" w:hAnsi="Book Antiqua" w:cs="Book Antiqua"/>
          <w:color w:val="000000"/>
        </w:rPr>
        <w:t>. Apoptosomes promote the activation of caspase 9, which in turn activates effector caspases, such as caspase 3 and caspase 7, which collectively orchestrate the execution of apoptosis</w:t>
      </w:r>
      <w:r>
        <w:rPr>
          <w:rFonts w:ascii="Book Antiqua" w:eastAsia="Book Antiqua" w:hAnsi="Book Antiqua" w:cs="Book Antiqua"/>
          <w:color w:val="000000"/>
          <w:vertAlign w:val="superscript"/>
        </w:rPr>
        <w:t>[37,38]</w:t>
      </w:r>
      <w:r>
        <w:rPr>
          <w:rFonts w:ascii="Book Antiqua" w:eastAsia="Book Antiqua" w:hAnsi="Book Antiqua" w:cs="Book Antiqua"/>
          <w:color w:val="000000"/>
        </w:rPr>
        <w:t>. Meanwhile, caspases may cause cell death by cleaving DNA repair enzymes such as PARP</w:t>
      </w:r>
      <w:r>
        <w:rPr>
          <w:rFonts w:ascii="Book Antiqua" w:eastAsia="Book Antiqua" w:hAnsi="Book Antiqua" w:cs="Book Antiqua"/>
          <w:color w:val="000000"/>
          <w:vertAlign w:val="superscript"/>
        </w:rPr>
        <w:t>[39]</w:t>
      </w:r>
      <w:r>
        <w:rPr>
          <w:rFonts w:ascii="Book Antiqua" w:eastAsia="Book Antiqua" w:hAnsi="Book Antiqua" w:cs="Book Antiqua"/>
          <w:color w:val="000000"/>
        </w:rPr>
        <w:t>. This is in line with our data showing that DHTS treatment activated the mitochondrial pathway. Moreover, survivin directly inhibits the activity of the caspase family to block the process of apoptosis induced by various stimulants</w:t>
      </w:r>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and our results indicated </w:t>
      </w:r>
      <w:r w:rsidR="00750F4D">
        <w:rPr>
          <w:rFonts w:ascii="Book Antiqua" w:eastAsia="Book Antiqua" w:hAnsi="Book Antiqua" w:cs="Book Antiqua"/>
          <w:color w:val="000000"/>
        </w:rPr>
        <w:t xml:space="preserve">that </w:t>
      </w:r>
      <w:r>
        <w:rPr>
          <w:rFonts w:ascii="Book Antiqua" w:eastAsia="Book Antiqua" w:hAnsi="Book Antiqua" w:cs="Book Antiqua"/>
          <w:color w:val="000000"/>
        </w:rPr>
        <w:t xml:space="preserve">DHTS treatment inhibited survivin in a dose-dependent way, which </w:t>
      </w:r>
      <w:r w:rsidR="00750F4D">
        <w:rPr>
          <w:rFonts w:ascii="Book Antiqua" w:eastAsia="Book Antiqua" w:hAnsi="Book Antiqua" w:cs="Book Antiqua"/>
          <w:color w:val="000000"/>
        </w:rPr>
        <w:t xml:space="preserve">promoted </w:t>
      </w:r>
      <w:r>
        <w:rPr>
          <w:rFonts w:ascii="Book Antiqua" w:eastAsia="Book Antiqua" w:hAnsi="Book Antiqua" w:cs="Book Antiqua"/>
          <w:color w:val="000000"/>
        </w:rPr>
        <w:t>the pro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apoptotic effect of DHTS. </w:t>
      </w:r>
    </w:p>
    <w:p w14:paraId="0F23C3E4" w14:textId="6293248E" w:rsidR="006A4945" w:rsidRDefault="00C3017B">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STAT3 has been reported as a key regulator of cell proliferation, survival</w:t>
      </w:r>
      <w:r w:rsidR="00750F4D">
        <w:rPr>
          <w:rFonts w:ascii="Book Antiqua" w:eastAsia="Book Antiqua" w:hAnsi="Book Antiqua" w:cs="Book Antiqua"/>
          <w:color w:val="000000"/>
        </w:rPr>
        <w:t>,</w:t>
      </w:r>
      <w:r>
        <w:rPr>
          <w:rFonts w:ascii="Book Antiqua" w:eastAsia="Book Antiqua" w:hAnsi="Book Antiqua" w:cs="Book Antiqua"/>
          <w:color w:val="000000"/>
        </w:rPr>
        <w:t xml:space="preserve"> and apoptosis and is constitutively activated in many cancers</w:t>
      </w:r>
      <w:r>
        <w:rPr>
          <w:rFonts w:ascii="Book Antiqua" w:eastAsia="Book Antiqua" w:hAnsi="Book Antiqua" w:cs="Book Antiqua"/>
          <w:color w:val="000000"/>
          <w:vertAlign w:val="superscript"/>
        </w:rPr>
        <w:t>[13,42,43]</w:t>
      </w:r>
      <w:r>
        <w:rPr>
          <w:rFonts w:ascii="Book Antiqua" w:eastAsia="Book Antiqua" w:hAnsi="Book Antiqua" w:cs="Book Antiqua"/>
          <w:color w:val="000000"/>
        </w:rPr>
        <w:t xml:space="preserve">. It is a cytoplasmic transcription factor characterized by </w:t>
      </w:r>
      <w:r w:rsidR="00750F4D">
        <w:rPr>
          <w:rFonts w:ascii="Book Antiqua" w:eastAsia="Book Antiqua" w:hAnsi="Book Antiqua" w:cs="Book Antiqua"/>
          <w:color w:val="000000"/>
        </w:rPr>
        <w:t xml:space="preserve">six </w:t>
      </w:r>
      <w:r>
        <w:rPr>
          <w:rFonts w:ascii="Book Antiqua" w:eastAsia="Book Antiqua" w:hAnsi="Book Antiqua" w:cs="Book Antiqua"/>
          <w:color w:val="000000"/>
        </w:rPr>
        <w:t>functionally conserved domains, including the amino-terminal domain, the coiled-coil domain, the DNA-binding domain, t</w:t>
      </w:r>
      <w:r>
        <w:rPr>
          <w:rFonts w:ascii="Book Antiqua" w:eastAsia="Book Antiqua" w:hAnsi="Book Antiqua" w:cs="Book Antiqua"/>
          <w:color w:val="000000"/>
        </w:rPr>
        <w:t>he linker domain, the SRC homology 2 domain, and the carboxyl-terminal transactivation domain</w:t>
      </w:r>
      <w:r>
        <w:rPr>
          <w:rFonts w:ascii="Book Antiqua" w:eastAsia="Book Antiqua" w:hAnsi="Book Antiqua" w:cs="Book Antiqua"/>
          <w:color w:val="000000"/>
          <w:vertAlign w:val="superscript"/>
        </w:rPr>
        <w:t>[44]</w:t>
      </w:r>
      <w:r>
        <w:rPr>
          <w:rFonts w:ascii="Book Antiqua" w:eastAsia="Book Antiqua" w:hAnsi="Book Antiqua" w:cs="Book Antiqua"/>
          <w:color w:val="000000"/>
        </w:rPr>
        <w:t>. STAT3 maintains an inactive state in the cytoplasm in an unstimulated cell while becomes activated mainly by direct phosphorylation when there is stimulus. The phosphorylation induces dimerization of pSTAT3 and translocation of pSTAT3 dimer into</w:t>
      </w:r>
      <w:r>
        <w:rPr>
          <w:rFonts w:ascii="Book Antiqua" w:eastAsia="Book Antiqua" w:hAnsi="Book Antiqua" w:cs="Book Antiqua"/>
          <w:color w:val="000000"/>
        </w:rPr>
        <w:t xml:space="preserve">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nu</w:t>
      </w:r>
      <w:r>
        <w:rPr>
          <w:rFonts w:ascii="Book Antiqua" w:eastAsia="Book Antiqua" w:hAnsi="Book Antiqua" w:cs="Book Antiqua"/>
          <w:color w:val="000000"/>
        </w:rPr>
        <w:t>cleus, and eventually execution of their nuclear functions</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Under </w:t>
      </w:r>
      <w:r>
        <w:rPr>
          <w:rFonts w:ascii="Book Antiqua" w:eastAsia="Book Antiqua" w:hAnsi="Book Antiqua" w:cs="Book Antiqua"/>
          <w:color w:val="000000"/>
        </w:rPr>
        <w:lastRenderedPageBreak/>
        <w:t>physiological conditions, transient activation of STAT3 mediates cell proliferation, differentiation, apoptosis, surviv</w:t>
      </w:r>
      <w:r>
        <w:rPr>
          <w:rFonts w:ascii="Book Antiqua" w:eastAsia="Book Antiqua" w:hAnsi="Book Antiqua" w:cs="Book Antiqua"/>
          <w:color w:val="000000"/>
        </w:rPr>
        <w:t>al, immune function, angiogenesis</w:t>
      </w:r>
      <w:r w:rsidR="00750F4D">
        <w:rPr>
          <w:rFonts w:ascii="Book Antiqua" w:eastAsia="Book Antiqua" w:hAnsi="Book Antiqua" w:cs="Book Antiqua"/>
          <w:color w:val="000000"/>
        </w:rPr>
        <w:t>,</w:t>
      </w:r>
      <w:r>
        <w:rPr>
          <w:rFonts w:ascii="Book Antiqua" w:eastAsia="Book Antiqua" w:hAnsi="Book Antiqua" w:cs="Book Antiqua"/>
          <w:color w:val="000000"/>
        </w:rPr>
        <w:t xml:space="preserve"> and other important cellular processes in response to transcriptional signals from cytokines and growth factor</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However, STAT3 becomes hyperactivated in a variety of human cancers and is generally associated with </w:t>
      </w:r>
      <w:r w:rsidR="00750F4D">
        <w:rPr>
          <w:rFonts w:ascii="Book Antiqua" w:eastAsia="Book Antiqua" w:hAnsi="Book Antiqua" w:cs="Book Antiqua"/>
          <w:color w:val="000000"/>
        </w:rPr>
        <w:t xml:space="preserve">a </w:t>
      </w:r>
      <w:r>
        <w:rPr>
          <w:rFonts w:ascii="Book Antiqua" w:eastAsia="Book Antiqua" w:hAnsi="Book Antiqua" w:cs="Book Antiqua"/>
          <w:color w:val="000000"/>
        </w:rPr>
        <w:t>poor clinical prognosis</w:t>
      </w:r>
      <w:r>
        <w:rPr>
          <w:rFonts w:ascii="Book Antiqua" w:eastAsia="Book Antiqua" w:hAnsi="Book Antiqua" w:cs="Book Antiqua"/>
          <w:color w:val="000000"/>
          <w:vertAlign w:val="superscript"/>
        </w:rPr>
        <w:t>[13,47,48]</w:t>
      </w:r>
      <w:r>
        <w:rPr>
          <w:rFonts w:ascii="Book Antiqua" w:eastAsia="Book Antiqua" w:hAnsi="Book Antiqua" w:cs="Book Antiqua"/>
          <w:color w:val="000000"/>
        </w:rPr>
        <w:t>. Gathered evidence suggests that STAT3 hyperactivation occurs not only in cancer cells but also in immune cells and cancer-associated fibroblasts within the tumor microenvironment</w:t>
      </w:r>
      <w:r>
        <w:rPr>
          <w:rFonts w:ascii="Book Antiqua" w:eastAsia="Book Antiqua" w:hAnsi="Book Antiqua" w:cs="Book Antiqua"/>
          <w:color w:val="000000"/>
          <w:vertAlign w:val="superscript"/>
        </w:rPr>
        <w:t>[49,50]</w:t>
      </w:r>
      <w:r>
        <w:rPr>
          <w:rFonts w:ascii="Book Antiqua" w:eastAsia="Book Antiqua" w:hAnsi="Book Antiqua" w:cs="Book Antiqua"/>
          <w:color w:val="000000"/>
        </w:rPr>
        <w:t xml:space="preserve">. The hyperactivation of STAT3 in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tumor microenvironment may inhibit antitumor immunity through upregulation of immunosuppressive factors and d</w:t>
      </w:r>
      <w:r>
        <w:rPr>
          <w:rFonts w:ascii="Book Antiqua" w:eastAsia="Book Antiqua" w:hAnsi="Book Antiqua" w:cs="Book Antiqua"/>
          <w:color w:val="000000"/>
        </w:rPr>
        <w:t>ownregulation of immune activation factors</w:t>
      </w:r>
      <w:r>
        <w:rPr>
          <w:rFonts w:ascii="Book Antiqua" w:eastAsia="Book Antiqua" w:hAnsi="Book Antiqua" w:cs="Book Antiqua"/>
          <w:color w:val="000000"/>
          <w:vertAlign w:val="superscript"/>
        </w:rPr>
        <w:t>[51]</w:t>
      </w:r>
      <w:r>
        <w:rPr>
          <w:rFonts w:ascii="Book Antiqua" w:eastAsia="Book Antiqua" w:hAnsi="Book Antiqua" w:cs="Book Antiqua"/>
          <w:color w:val="000000"/>
        </w:rPr>
        <w:t>. Furthermore, persistent activation of STAT3 is associated with resistance to chemotherapy and poor prognosis. Therefore, therapeutic strategies targ</w:t>
      </w:r>
      <w:r>
        <w:rPr>
          <w:rFonts w:ascii="Book Antiqua" w:eastAsia="Book Antiqua" w:hAnsi="Book Antiqua" w:cs="Book Antiqua"/>
          <w:color w:val="000000"/>
        </w:rPr>
        <w:t xml:space="preserve">eting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 xml:space="preserve">STAT3 signaling pathway has long been recognized as a new way for long-lasting and multilayered tumor control. Coincidentally, DHTS has been reported to exert antitumor effect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mechanisms</w:t>
      </w:r>
      <w:r>
        <w:rPr>
          <w:rFonts w:ascii="Book Antiqua" w:eastAsia="Book Antiqua" w:hAnsi="Book Antiqua" w:cs="Book Antiqua"/>
          <w:color w:val="000000"/>
          <w:vertAlign w:val="superscript"/>
        </w:rPr>
        <w:t>[11,12,26]</w:t>
      </w:r>
      <w:r>
        <w:rPr>
          <w:rFonts w:ascii="Book Antiqua" w:eastAsia="Book Antiqua" w:hAnsi="Book Antiqua" w:cs="Book Antiqua"/>
          <w:color w:val="000000"/>
        </w:rPr>
        <w:t>. Therefore, we assumed that DHTS induced apoptosis in ESCC cells through STAT3. In this study, we found that DHTS inhibited the phosphorylation of STAT3 in a dose-dependent manner, which provides evidence for our hypothesis. To explore the relationship between DHTS and STAT3,</w:t>
      </w:r>
      <w:r w:rsidR="00750F4D">
        <w:rPr>
          <w:rFonts w:ascii="Book Antiqua" w:eastAsia="Book Antiqua" w:hAnsi="Book Antiqua" w:cs="Book Antiqua"/>
          <w:color w:val="000000"/>
        </w:rPr>
        <w:t xml:space="preserve"> </w:t>
      </w:r>
      <w:r>
        <w:rPr>
          <w:rFonts w:ascii="Book Antiqua" w:eastAsia="Book Antiqua" w:hAnsi="Book Antiqua" w:cs="Book Antiqua"/>
          <w:color w:val="000000"/>
        </w:rPr>
        <w:t xml:space="preserve">cells </w:t>
      </w:r>
      <w:r w:rsidR="00750F4D">
        <w:rPr>
          <w:rFonts w:ascii="Book Antiqua" w:eastAsia="Book Antiqua" w:hAnsi="Book Antiqua" w:cs="Book Antiqua"/>
          <w:color w:val="000000"/>
        </w:rPr>
        <w:t xml:space="preserve">with STAT3 knockdown and overexpression </w:t>
      </w:r>
      <w:r>
        <w:rPr>
          <w:rFonts w:ascii="Book Antiqua" w:eastAsia="Book Antiqua" w:hAnsi="Book Antiqua" w:cs="Book Antiqua"/>
          <w:color w:val="000000"/>
        </w:rPr>
        <w:t>were constructed, and STAT3 knockdown significantly promoted the activation of</w:t>
      </w:r>
      <w:r w:rsidR="00750F4D">
        <w:rPr>
          <w:rFonts w:ascii="Book Antiqua" w:eastAsia="Book Antiqua" w:hAnsi="Book Antiqua" w:cs="Book Antiqua"/>
          <w:color w:val="000000"/>
        </w:rPr>
        <w:t xml:space="preserve"> the</w:t>
      </w:r>
      <w:r>
        <w:rPr>
          <w:rFonts w:ascii="Book Antiqua" w:eastAsia="Book Antiqua" w:hAnsi="Book Antiqua" w:cs="Book Antiqua"/>
          <w:color w:val="000000"/>
        </w:rPr>
        <w:t xml:space="preserve"> mitochondrial pathway induced by DHTS while STAT3 overexpression blocked the activation of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mitochondrial pathwa</w:t>
      </w:r>
      <w:r>
        <w:rPr>
          <w:rFonts w:ascii="Book Antiqua" w:eastAsia="Book Antiqua" w:hAnsi="Book Antiqua" w:cs="Book Antiqua"/>
          <w:color w:val="000000"/>
        </w:rPr>
        <w:t xml:space="preserve">y induced by DHTS, which confirmed our hypothesis that DHTS may exert antitumor effect </w:t>
      </w:r>
      <w:r>
        <w:rPr>
          <w:rFonts w:ascii="Book Antiqua" w:eastAsia="Book Antiqua" w:hAnsi="Book Antiqua" w:cs="Book Antiqua"/>
          <w:i/>
          <w:iCs/>
          <w:color w:val="000000"/>
        </w:rPr>
        <w:t>via</w:t>
      </w:r>
      <w:r>
        <w:rPr>
          <w:rFonts w:ascii="Book Antiqua" w:eastAsia="Book Antiqua" w:hAnsi="Book Antiqua" w:cs="Book Antiqua"/>
          <w:color w:val="000000"/>
        </w:rPr>
        <w:t xml:space="preserve"> STAT3-mediat</w:t>
      </w:r>
      <w:r>
        <w:rPr>
          <w:rFonts w:ascii="Book Antiqua" w:eastAsia="Book Antiqua" w:hAnsi="Book Antiqua" w:cs="Book Antiqua"/>
          <w:color w:val="000000"/>
        </w:rPr>
        <w:t xml:space="preserve">ed activation of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Taken together, this study provides evidence that DHTS can exert antitumor effect </w:t>
      </w:r>
      <w:r>
        <w:rPr>
          <w:rFonts w:ascii="Book Antiqua" w:eastAsia="Book Antiqua" w:hAnsi="Book Antiqua" w:cs="Book Antiqua"/>
          <w:i/>
          <w:iCs/>
          <w:color w:val="000000"/>
        </w:rPr>
        <w:t>via</w:t>
      </w:r>
      <w:r>
        <w:rPr>
          <w:rFonts w:ascii="Book Antiqua" w:eastAsia="Book Antiqua" w:hAnsi="Book Antiqua" w:cs="Book Antiqua"/>
          <w:color w:val="000000"/>
        </w:rPr>
        <w:t xml:space="preserve"> STAT3-mediated activation of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mitochondrial path</w:t>
      </w:r>
      <w:r>
        <w:rPr>
          <w:rFonts w:ascii="Book Antiqua" w:eastAsia="Book Antiqua" w:hAnsi="Book Antiqua" w:cs="Book Antiqua"/>
          <w:color w:val="000000"/>
        </w:rPr>
        <w:t>way, thus revealing the anticancer mechanism of the drug. </w:t>
      </w:r>
    </w:p>
    <w:p w14:paraId="6A1EB860" w14:textId="77777777" w:rsidR="006A4945" w:rsidRDefault="006A4945">
      <w:pPr>
        <w:adjustRightInd w:val="0"/>
        <w:snapToGrid w:val="0"/>
        <w:spacing w:line="360" w:lineRule="auto"/>
        <w:jc w:val="both"/>
        <w:rPr>
          <w:rFonts w:ascii="Book Antiqua" w:hAnsi="Book Antiqua"/>
        </w:rPr>
      </w:pPr>
    </w:p>
    <w:p w14:paraId="37941DB5"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484472A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In summary, our data experimentally showed that DHTS has potent antitumor activity against ESCC by reducing cell proliferation and inducing apoptosis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We further identified that STAT3-mediated activation o</w:t>
      </w:r>
      <w:r>
        <w:rPr>
          <w:rFonts w:ascii="Book Antiqua" w:eastAsia="Book Antiqua" w:hAnsi="Book Antiqua" w:cs="Book Antiqua"/>
          <w:color w:val="000000"/>
        </w:rPr>
        <w:t xml:space="preserve">f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mitoc</w:t>
      </w:r>
      <w:r>
        <w:rPr>
          <w:rFonts w:ascii="Book Antiqua" w:eastAsia="Book Antiqua" w:hAnsi="Book Antiqua" w:cs="Book Antiqua"/>
          <w:color w:val="000000"/>
        </w:rPr>
        <w:t>hondrial pathway contributes to the antitumor effect of DHTS in ESCC cells. Overall, our results strongly suggest that DHTS is a promising candidate for the treatment of ESCC, which may build a foundation for the clinical trials of this novel therapeutic agent.</w:t>
      </w:r>
    </w:p>
    <w:p w14:paraId="04EE8E71" w14:textId="77777777" w:rsidR="006A4945" w:rsidRDefault="006A4945">
      <w:pPr>
        <w:adjustRightInd w:val="0"/>
        <w:snapToGrid w:val="0"/>
        <w:spacing w:line="360" w:lineRule="auto"/>
        <w:jc w:val="both"/>
        <w:rPr>
          <w:rFonts w:ascii="Book Antiqua" w:hAnsi="Book Antiqua"/>
        </w:rPr>
      </w:pPr>
    </w:p>
    <w:p w14:paraId="4EDB3381"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A53CD61"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14:paraId="0BFAE333"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Esophageal squamous cell carcinoma (ESCC) is one of the most common malignancies with a poor prognosis. Dihydrotanshinone I (DHTS) has been reported to exert antitumor effect in cancer. However, the role of DHTS in ESCC remains unclear. </w:t>
      </w:r>
    </w:p>
    <w:p w14:paraId="32EAD0A7" w14:textId="77777777" w:rsidR="006A4945" w:rsidRDefault="006A4945">
      <w:pPr>
        <w:adjustRightInd w:val="0"/>
        <w:snapToGrid w:val="0"/>
        <w:spacing w:line="360" w:lineRule="auto"/>
        <w:jc w:val="both"/>
        <w:rPr>
          <w:rFonts w:ascii="Book Antiqua" w:hAnsi="Book Antiqua"/>
        </w:rPr>
      </w:pPr>
    </w:p>
    <w:p w14:paraId="75536830"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14:paraId="1BD0EB4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This study investigated the role of DHTS</w:t>
      </w:r>
      <w:r>
        <w:rPr>
          <w:rFonts w:ascii="Book Antiqua" w:eastAsia="Book Antiqua" w:hAnsi="Book Antiqua" w:cs="Book Antiqua"/>
          <w:color w:val="000000"/>
        </w:rPr>
        <w:t xml:space="preserve"> in ESCC and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underlying mechanisms, and explored novel therapeutic agents for ESCC.</w:t>
      </w:r>
    </w:p>
    <w:p w14:paraId="38DDF328" w14:textId="77777777" w:rsidR="006A4945" w:rsidRDefault="006A4945">
      <w:pPr>
        <w:adjustRightInd w:val="0"/>
        <w:snapToGrid w:val="0"/>
        <w:spacing w:line="360" w:lineRule="auto"/>
        <w:jc w:val="both"/>
        <w:rPr>
          <w:rFonts w:ascii="Book Antiqua" w:hAnsi="Book Antiqua"/>
        </w:rPr>
      </w:pPr>
    </w:p>
    <w:p w14:paraId="35C61781"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14:paraId="0B807EC4" w14:textId="6F91EE12"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aim of this study </w:t>
      </w:r>
      <w:r w:rsidR="00451A4E">
        <w:rPr>
          <w:rFonts w:ascii="Book Antiqua" w:eastAsia="Book Antiqua" w:hAnsi="Book Antiqua" w:cs="Book Antiqua"/>
          <w:color w:val="000000"/>
        </w:rPr>
        <w:t>was</w:t>
      </w:r>
      <w:r w:rsidR="002C1FD3">
        <w:rPr>
          <w:rFonts w:ascii="Book Antiqua" w:eastAsia="Book Antiqua" w:hAnsi="Book Antiqua" w:cs="Book Antiqua"/>
          <w:color w:val="000000"/>
        </w:rPr>
        <w:t xml:space="preserve"> </w:t>
      </w:r>
      <w:r>
        <w:rPr>
          <w:rFonts w:ascii="Book Antiqua" w:eastAsia="Book Antiqua" w:hAnsi="Book Antiqua" w:cs="Book Antiqua"/>
          <w:color w:val="000000"/>
        </w:rPr>
        <w:t>to investigate the antit</w:t>
      </w:r>
      <w:r>
        <w:rPr>
          <w:rFonts w:ascii="Book Antiqua" w:eastAsia="Book Antiqua" w:hAnsi="Book Antiqua" w:cs="Book Antiqua"/>
          <w:color w:val="000000"/>
        </w:rPr>
        <w:t>umor effect of DHTS in ESCC and the underlying mechanisms.</w:t>
      </w:r>
    </w:p>
    <w:p w14:paraId="5B8BE2F1" w14:textId="77777777" w:rsidR="006A4945" w:rsidRDefault="006A4945">
      <w:pPr>
        <w:adjustRightInd w:val="0"/>
        <w:snapToGrid w:val="0"/>
        <w:spacing w:line="360" w:lineRule="auto"/>
        <w:jc w:val="both"/>
        <w:rPr>
          <w:rFonts w:ascii="Book Antiqua" w:hAnsi="Book Antiqua"/>
        </w:rPr>
      </w:pPr>
    </w:p>
    <w:p w14:paraId="208E2B2B"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methods</w:t>
      </w:r>
    </w:p>
    <w:p w14:paraId="091ACE84" w14:textId="4C671B41"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CCK-8 assay was used to detect proliferation and cell cycle analysis was used to detect cell cycle in ESCC cells. Annexin V-PE/7-AAD double staining assay and Hoechst 33258 staining were used to detect apoptosis. Western blot was used to detect the expression of proteins associat</w:t>
      </w:r>
      <w:r>
        <w:rPr>
          <w:rFonts w:ascii="Book Antiqua" w:eastAsia="Book Antiqua" w:hAnsi="Book Antiqua" w:cs="Book Antiqua"/>
          <w:color w:val="000000"/>
        </w:rPr>
        <w:t xml:space="preserve">ed with proliferation and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Immunofluorescence was used to detect the expression of phosphorylated STAT3 (pSTAT3) in DHTS-treated ESCC cells. ESCC cells </w:t>
      </w:r>
      <w:r w:rsidR="002C1FD3">
        <w:rPr>
          <w:rFonts w:ascii="Book Antiqua" w:eastAsia="Book Antiqua" w:hAnsi="Book Antiqua" w:cs="Book Antiqua"/>
          <w:color w:val="000000"/>
        </w:rPr>
        <w:t xml:space="preserve">with STAT3 knockdown and overexpression </w:t>
      </w:r>
      <w:r>
        <w:rPr>
          <w:rFonts w:ascii="Book Antiqua" w:eastAsia="Book Antiqua" w:hAnsi="Book Antiqua" w:cs="Book Antiqua"/>
          <w:color w:val="000000"/>
        </w:rPr>
        <w:t>were constructe</w:t>
      </w:r>
      <w:r>
        <w:rPr>
          <w:rFonts w:ascii="Book Antiqua" w:eastAsia="Book Antiqua" w:hAnsi="Book Antiqua" w:cs="Book Antiqua"/>
          <w:color w:val="000000"/>
        </w:rPr>
        <w:t xml:space="preserve">d to verify the role of STAT3 in DHTS induced apoptosis. A xenograft tumor model in nude mice was used to evaluate the antitumor effect of DHTS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647152C7" w14:textId="77777777" w:rsidR="006A4945" w:rsidRDefault="006A4945">
      <w:pPr>
        <w:adjustRightInd w:val="0"/>
        <w:snapToGrid w:val="0"/>
        <w:spacing w:line="360" w:lineRule="auto"/>
        <w:jc w:val="both"/>
        <w:rPr>
          <w:rFonts w:ascii="Book Antiqua" w:hAnsi="Book Antiqua"/>
        </w:rPr>
      </w:pPr>
    </w:p>
    <w:p w14:paraId="6A81784D"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results</w:t>
      </w:r>
    </w:p>
    <w:p w14:paraId="03F12447" w14:textId="0E2A3B9C"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After treatment with</w:t>
      </w:r>
      <w:r>
        <w:rPr>
          <w:rFonts w:ascii="Book Antiqua" w:eastAsia="Book Antiqua" w:hAnsi="Book Antiqua" w:cs="Book Antiqua"/>
          <w:color w:val="000000"/>
        </w:rPr>
        <w:t xml:space="preserve"> DHTS,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 xml:space="preserve">proliferation of ESCC cells </w:t>
      </w:r>
      <w:r w:rsidR="002C1FD3">
        <w:rPr>
          <w:rFonts w:ascii="Book Antiqua" w:eastAsia="Book Antiqua" w:hAnsi="Book Antiqua" w:cs="Book Antiqua"/>
          <w:color w:val="000000"/>
        </w:rPr>
        <w:t xml:space="preserve">was </w:t>
      </w:r>
      <w:r>
        <w:rPr>
          <w:rFonts w:ascii="Book Antiqua" w:eastAsia="Book Antiqua" w:hAnsi="Book Antiqua" w:cs="Book Antiqua"/>
          <w:color w:val="000000"/>
        </w:rPr>
        <w:t xml:space="preserve">inhibited in a dose- and time-dependent manner. Moreover, DHTS induced cell cycle arrest in the G0/1 phase. Annexin V-PE/7-AAD double staining assay and Hoechst 33258 staining revealed that DHTS induced obvious apoptosis in KYSE30 and Eca109 cells. At the molecular level, DHTS treatment reduced the expression of pSTAT3 and anti-apoptotic proteins, while increasing the expression of pro-apoptotic proteins in ESCC cells. STAT3 knockdown in ESCC cells markedly promoted the activation of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while STAT3 overexpression blocked the activation of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mitochondrial pathway. Additionally, DHTS exerted antitumor effect in a xenograft tumor mouse model.</w:t>
      </w:r>
    </w:p>
    <w:p w14:paraId="55096666" w14:textId="77777777" w:rsidR="006A4945" w:rsidRDefault="006A4945">
      <w:pPr>
        <w:adjustRightInd w:val="0"/>
        <w:snapToGrid w:val="0"/>
        <w:spacing w:line="360" w:lineRule="auto"/>
        <w:jc w:val="both"/>
        <w:rPr>
          <w:rFonts w:ascii="Book Antiqua" w:hAnsi="Book Antiqua"/>
        </w:rPr>
      </w:pPr>
    </w:p>
    <w:p w14:paraId="64AA302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14:paraId="7005D427"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DHTS exerts antitumor effect in ESCC </w:t>
      </w:r>
      <w:r>
        <w:rPr>
          <w:rFonts w:ascii="Book Antiqua" w:eastAsia="Book Antiqua" w:hAnsi="Book Antiqua" w:cs="Book Antiqua"/>
          <w:i/>
          <w:iCs/>
          <w:color w:val="000000"/>
        </w:rPr>
        <w:t>via</w:t>
      </w:r>
      <w:r>
        <w:rPr>
          <w:rFonts w:ascii="Book Antiqua" w:eastAsia="Book Antiqua" w:hAnsi="Book Antiqua" w:cs="Book Antiqua"/>
          <w:color w:val="000000"/>
        </w:rPr>
        <w:t xml:space="preserve"> STAT3-mediated activation of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DHTS may be a novel therapeutic agent for ESCC. </w:t>
      </w:r>
    </w:p>
    <w:p w14:paraId="2AA8DEC5" w14:textId="77777777" w:rsidR="006A4945" w:rsidRDefault="006A4945">
      <w:pPr>
        <w:adjustRightInd w:val="0"/>
        <w:snapToGrid w:val="0"/>
        <w:spacing w:line="360" w:lineRule="auto"/>
        <w:jc w:val="both"/>
        <w:rPr>
          <w:rFonts w:ascii="Book Antiqua" w:hAnsi="Book Antiqua"/>
        </w:rPr>
      </w:pPr>
    </w:p>
    <w:p w14:paraId="2B76F61F"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14:paraId="0DCCD2D7"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 the future, additional research will be carried out to further explore the important role of DHTS and whether DHTS treatment can be employed to improve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prognosis of ESCC patients.</w:t>
      </w:r>
    </w:p>
    <w:p w14:paraId="05C131D7" w14:textId="77777777" w:rsidR="006A4945" w:rsidRDefault="006A4945">
      <w:pPr>
        <w:adjustRightInd w:val="0"/>
        <w:snapToGrid w:val="0"/>
        <w:spacing w:line="360" w:lineRule="auto"/>
        <w:jc w:val="both"/>
        <w:rPr>
          <w:rFonts w:ascii="Book Antiqua" w:hAnsi="Book Antiqua"/>
        </w:rPr>
      </w:pPr>
    </w:p>
    <w:p w14:paraId="5FA1AD4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5880F15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We are grateful to Mrs. Ming-Xia Fan from the Animal Laboratory Center and Mrs. Qiong Ding from the Central Laboratory of Renmin Hospital of Wuhan University for their support.</w:t>
      </w:r>
    </w:p>
    <w:p w14:paraId="65B7055F" w14:textId="77777777" w:rsidR="006A4945" w:rsidRDefault="006A4945">
      <w:pPr>
        <w:adjustRightInd w:val="0"/>
        <w:snapToGrid w:val="0"/>
        <w:spacing w:line="360" w:lineRule="auto"/>
        <w:jc w:val="both"/>
        <w:rPr>
          <w:rFonts w:ascii="Book Antiqua" w:hAnsi="Book Antiqua"/>
        </w:rPr>
      </w:pPr>
    </w:p>
    <w:p w14:paraId="3955EFE5" w14:textId="77777777" w:rsidR="006A4945" w:rsidRDefault="00C3017B">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30E0EAA0" w14:textId="77777777" w:rsidR="006A4945" w:rsidRDefault="00C3017B">
      <w:pPr>
        <w:adjustRightInd w:val="0"/>
        <w:snapToGrid w:val="0"/>
        <w:spacing w:line="360" w:lineRule="auto"/>
        <w:jc w:val="both"/>
        <w:rPr>
          <w:rFonts w:ascii="Book Antiqua" w:hAnsi="Book Antiqua"/>
        </w:rPr>
      </w:pPr>
      <w:r>
        <w:rPr>
          <w:rFonts w:ascii="Book Antiqua" w:hAnsi="Book Antiqua"/>
        </w:rPr>
        <w:lastRenderedPageBreak/>
        <w:t xml:space="preserve">1 </w:t>
      </w:r>
      <w:r>
        <w:rPr>
          <w:rFonts w:ascii="Book Antiqua" w:hAnsi="Book Antiqua"/>
          <w:b/>
          <w:bCs/>
        </w:rPr>
        <w:t>Bray F</w:t>
      </w:r>
      <w:r>
        <w:rPr>
          <w:rFonts w:ascii="Book Antiqua" w:hAnsi="Book Antiqua"/>
        </w:rPr>
        <w:t xml:space="preserve">, Ferlay J, Soerjomataram I, Siegel RL, Torre LA, Jemal A. Global cancer statistics 2018: GLOBOCAN estimates of incidence and mortality worldwide for 36 cancers in 185 countries. </w:t>
      </w:r>
      <w:r>
        <w:rPr>
          <w:rFonts w:ascii="Book Antiqua" w:hAnsi="Book Antiqua"/>
          <w:i/>
          <w:iCs/>
        </w:rPr>
        <w:t>CA Cancer J Clin</w:t>
      </w:r>
      <w:r>
        <w:rPr>
          <w:rFonts w:ascii="Book Antiqua" w:hAnsi="Book Antiqua"/>
        </w:rPr>
        <w:t xml:space="preserve"> 2018; </w:t>
      </w:r>
      <w:r>
        <w:rPr>
          <w:rFonts w:ascii="Book Antiqua" w:hAnsi="Book Antiqua"/>
          <w:b/>
          <w:bCs/>
        </w:rPr>
        <w:t>68</w:t>
      </w:r>
      <w:r>
        <w:rPr>
          <w:rFonts w:ascii="Book Antiqua" w:hAnsi="Book Antiqua"/>
        </w:rPr>
        <w:t>: 394-424 [PMID: 30207593 DOI: 10.3322/caac.21492]</w:t>
      </w:r>
    </w:p>
    <w:p w14:paraId="3F95CC13"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Kato K</w:t>
      </w:r>
      <w:r>
        <w:rPr>
          <w:rFonts w:ascii="Book Antiqua" w:hAnsi="Book Antiqua"/>
        </w:rPr>
        <w:t xml:space="preserve">, Cho BC, Takahashi M, Okada M, Lin CY, Chin K, Kadowaki S, Ahn MJ, Hamamoto Y, Doki Y, Yen CC, Kubota Y, Kim SB, Hsu CH, Holtved E, Xynos I, Kodani M, Kitagawa Y. Nivolumab versus chemotherapy in patients with advanced oesophageal squamous cell carcinoma refractory or intolerant to previous chemotherapy (ATTRACTION-3): a multicentre, randomised, open-label, phase 3 trial. </w:t>
      </w:r>
      <w:r>
        <w:rPr>
          <w:rFonts w:ascii="Book Antiqua" w:hAnsi="Book Antiqua"/>
          <w:i/>
          <w:iCs/>
        </w:rPr>
        <w:t>Lancet Oncol</w:t>
      </w:r>
      <w:r>
        <w:rPr>
          <w:rFonts w:ascii="Book Antiqua" w:hAnsi="Book Antiqua"/>
        </w:rPr>
        <w:t xml:space="preserve"> 2019; </w:t>
      </w:r>
      <w:r>
        <w:rPr>
          <w:rFonts w:ascii="Book Antiqua" w:hAnsi="Book Antiqua"/>
          <w:b/>
          <w:bCs/>
        </w:rPr>
        <w:t>20</w:t>
      </w:r>
      <w:r>
        <w:rPr>
          <w:rFonts w:ascii="Book Antiqua" w:hAnsi="Book Antiqua"/>
        </w:rPr>
        <w:t>: 1506-1517 [PMID: 31582355 DOI: 10.1016/S1470-2045(19)30626-6]</w:t>
      </w:r>
    </w:p>
    <w:p w14:paraId="70C2C778"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Hou S</w:t>
      </w:r>
      <w:r>
        <w:rPr>
          <w:rFonts w:ascii="Book Antiqua" w:hAnsi="Book Antiqua"/>
        </w:rPr>
        <w:t xml:space="preserve">, Jin W, Xiao W, Deng B, Wu D, Zhi J, Wu K, Cao X, Chen S, Ding Y, Shi H. Integrin α5 promotes migration and cisplatin resistance in esophageal squamous cell carcinoma cells. </w:t>
      </w:r>
      <w:r>
        <w:rPr>
          <w:rFonts w:ascii="Book Antiqua" w:hAnsi="Book Antiqua"/>
          <w:i/>
          <w:iCs/>
        </w:rPr>
        <w:t>Am J Cancer Res</w:t>
      </w:r>
      <w:r>
        <w:rPr>
          <w:rFonts w:ascii="Book Antiqua" w:hAnsi="Book Antiqua"/>
        </w:rPr>
        <w:t xml:space="preserve"> 2019; </w:t>
      </w:r>
      <w:r>
        <w:rPr>
          <w:rFonts w:ascii="Book Antiqua" w:hAnsi="Book Antiqua"/>
          <w:b/>
          <w:bCs/>
        </w:rPr>
        <w:t>9</w:t>
      </w:r>
      <w:r>
        <w:rPr>
          <w:rFonts w:ascii="Book Antiqua" w:hAnsi="Book Antiqua"/>
        </w:rPr>
        <w:t>: 2774-2788 [PMID: 31911861]</w:t>
      </w:r>
    </w:p>
    <w:p w14:paraId="7B6B4D3D"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Wang Y</w:t>
      </w:r>
      <w:r>
        <w:rPr>
          <w:rFonts w:ascii="Book Antiqua" w:hAnsi="Book Antiqua"/>
        </w:rPr>
        <w:t xml:space="preserve">, Zhang Q, Chen Y, Liang CL, Liu H, Qiu F, Dai Z. Antitumor effects of immunity-enhancing traditional Chinese medicine. </w:t>
      </w:r>
      <w:r>
        <w:rPr>
          <w:rFonts w:ascii="Book Antiqua" w:hAnsi="Book Antiqua"/>
          <w:i/>
          <w:iCs/>
        </w:rPr>
        <w:t>Biomed Pharmacother</w:t>
      </w:r>
      <w:r>
        <w:rPr>
          <w:rFonts w:ascii="Book Antiqua" w:hAnsi="Book Antiqua"/>
        </w:rPr>
        <w:t xml:space="preserve"> 2020; </w:t>
      </w:r>
      <w:r>
        <w:rPr>
          <w:rFonts w:ascii="Book Antiqua" w:hAnsi="Book Antiqua"/>
          <w:b/>
          <w:bCs/>
        </w:rPr>
        <w:t>121</w:t>
      </w:r>
      <w:r>
        <w:rPr>
          <w:rFonts w:ascii="Book Antiqua" w:hAnsi="Book Antiqua"/>
        </w:rPr>
        <w:t>: 109570 [PMID: 31710893 DOI: 10.1016/j.biopha.2019.109570]</w:t>
      </w:r>
    </w:p>
    <w:p w14:paraId="5E7F06BC"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Li Y</w:t>
      </w:r>
      <w:r>
        <w:rPr>
          <w:rFonts w:ascii="Book Antiqua" w:hAnsi="Book Antiqua"/>
        </w:rPr>
        <w:t xml:space="preserve">, Hou Z, Su F, Chen J, Zhang X, Xu L, Yang D, Liang Z. Quantitative Determination and Validation of Four Ketones in </w:t>
      </w:r>
      <w:r>
        <w:rPr>
          <w:rFonts w:ascii="Book Antiqua" w:hAnsi="Book Antiqua"/>
          <w:i/>
          <w:iCs/>
        </w:rPr>
        <w:t>Salvia miltiorrhiza</w:t>
      </w:r>
      <w:r>
        <w:rPr>
          <w:rFonts w:ascii="Book Antiqua" w:hAnsi="Book Antiqua"/>
        </w:rPr>
        <w:t xml:space="preserve"> Bunge Using Quantitative Proton Nuclear Magnetic Resonance Spectroscopy. </w:t>
      </w:r>
      <w:r>
        <w:rPr>
          <w:rFonts w:ascii="Book Antiqua" w:hAnsi="Book Antiqua"/>
          <w:i/>
          <w:iCs/>
        </w:rPr>
        <w:t>Molecules</w:t>
      </w:r>
      <w:r>
        <w:rPr>
          <w:rFonts w:ascii="Book Antiqua" w:hAnsi="Book Antiqua"/>
        </w:rPr>
        <w:t xml:space="preserve"> 2020; </w:t>
      </w:r>
      <w:r>
        <w:rPr>
          <w:rFonts w:ascii="Book Antiqua" w:hAnsi="Book Antiqua"/>
          <w:b/>
          <w:bCs/>
        </w:rPr>
        <w:t>25</w:t>
      </w:r>
      <w:r>
        <w:rPr>
          <w:rFonts w:ascii="Book Antiqua" w:hAnsi="Book Antiqua"/>
        </w:rPr>
        <w:t xml:space="preserve"> [PMID: 32353926 DOI: 10.3390/molecules25092043]</w:t>
      </w:r>
    </w:p>
    <w:p w14:paraId="4A323197"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Chen X</w:t>
      </w:r>
      <w:r>
        <w:rPr>
          <w:rFonts w:ascii="Book Antiqua" w:hAnsi="Book Antiqua"/>
        </w:rPr>
        <w:t xml:space="preserve">, Yu J, Zhong B, Lu J, Lu JJ, Li S, Lu Y. Pharmacological activities of dihydrotanshinone I, a natural product from Salvia miltiorrhiza Bunge. </w:t>
      </w:r>
      <w:r>
        <w:rPr>
          <w:rFonts w:ascii="Book Antiqua" w:hAnsi="Book Antiqua"/>
          <w:i/>
          <w:iCs/>
        </w:rPr>
        <w:t>Pharmacol Res</w:t>
      </w:r>
      <w:r>
        <w:rPr>
          <w:rFonts w:ascii="Book Antiqua" w:hAnsi="Book Antiqua"/>
        </w:rPr>
        <w:t xml:space="preserve"> 2019; </w:t>
      </w:r>
      <w:r>
        <w:rPr>
          <w:rFonts w:ascii="Book Antiqua" w:hAnsi="Book Antiqua"/>
          <w:b/>
          <w:bCs/>
        </w:rPr>
        <w:t>145</w:t>
      </w:r>
      <w:r>
        <w:rPr>
          <w:rFonts w:ascii="Book Antiqua" w:hAnsi="Book Antiqua"/>
        </w:rPr>
        <w:t>: 104254 [PMID: 31054311 DOI: 10.1016/j.phrs.2019.104254]</w:t>
      </w:r>
    </w:p>
    <w:p w14:paraId="02A538CA"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Jiang L</w:t>
      </w:r>
      <w:r>
        <w:rPr>
          <w:rFonts w:ascii="Book Antiqua" w:hAnsi="Book Antiqua"/>
        </w:rPr>
        <w:t xml:space="preserve">, Zeng H, Ni L, Qi L, Xu Y, Xia L, Yu Y, Liu B, Yang H, Hao H, Li P. HIF-1α Preconditioning Potentiates Antioxidant Activity in Ischemic Injury: The Role of Sequential Administration of Dihydrotanshinone I and Protocatechuic Aldehyde in Cardioprotection. </w:t>
      </w:r>
      <w:r>
        <w:rPr>
          <w:rFonts w:ascii="Book Antiqua" w:hAnsi="Book Antiqua"/>
          <w:i/>
          <w:iCs/>
        </w:rPr>
        <w:t>Antioxid Redox Signal</w:t>
      </w:r>
      <w:r>
        <w:rPr>
          <w:rFonts w:ascii="Book Antiqua" w:hAnsi="Book Antiqua"/>
        </w:rPr>
        <w:t xml:space="preserve"> 2019; </w:t>
      </w:r>
      <w:r>
        <w:rPr>
          <w:rFonts w:ascii="Book Antiqua" w:hAnsi="Book Antiqua"/>
          <w:b/>
          <w:bCs/>
        </w:rPr>
        <w:t>31</w:t>
      </w:r>
      <w:r>
        <w:rPr>
          <w:rFonts w:ascii="Book Antiqua" w:hAnsi="Book Antiqua"/>
        </w:rPr>
        <w:t>: 227-242 [PMID: 30799630 DOI: 10.1089/ars.2018.7624]</w:t>
      </w:r>
    </w:p>
    <w:p w14:paraId="17804313"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Yuan R</w:t>
      </w:r>
      <w:r>
        <w:rPr>
          <w:rFonts w:ascii="Book Antiqua" w:hAnsi="Book Antiqua"/>
        </w:rPr>
        <w:t xml:space="preserve">, Huang L, Du LJ, Feng JF, Li J, Luo YY, Xu QM, Yang SL, Gao H, Feng YL. Dihydrotanshinone exhibits an anti-inflammatory effect in vitro and in vivo through </w:t>
      </w:r>
      <w:r>
        <w:rPr>
          <w:rFonts w:ascii="Book Antiqua" w:hAnsi="Book Antiqua"/>
        </w:rPr>
        <w:lastRenderedPageBreak/>
        <w:t xml:space="preserve">blocking TLR4 dimerization. </w:t>
      </w:r>
      <w:r>
        <w:rPr>
          <w:rFonts w:ascii="Book Antiqua" w:hAnsi="Book Antiqua"/>
          <w:i/>
          <w:iCs/>
        </w:rPr>
        <w:t>Pharmacol Res</w:t>
      </w:r>
      <w:r>
        <w:rPr>
          <w:rFonts w:ascii="Book Antiqua" w:hAnsi="Book Antiqua"/>
        </w:rPr>
        <w:t xml:space="preserve"> 2019; </w:t>
      </w:r>
      <w:r>
        <w:rPr>
          <w:rFonts w:ascii="Book Antiqua" w:hAnsi="Book Antiqua"/>
          <w:b/>
          <w:bCs/>
        </w:rPr>
        <w:t>142</w:t>
      </w:r>
      <w:r>
        <w:rPr>
          <w:rFonts w:ascii="Book Antiqua" w:hAnsi="Book Antiqua"/>
        </w:rPr>
        <w:t>: 102-114 [PMID: 30794925 DOI: 10.1016/j.phrs.2019.02.017]</w:t>
      </w:r>
    </w:p>
    <w:p w14:paraId="2E99F165"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9 </w:t>
      </w:r>
      <w:r>
        <w:rPr>
          <w:rFonts w:ascii="Book Antiqua" w:hAnsi="Book Antiqua"/>
          <w:b/>
          <w:bCs/>
        </w:rPr>
        <w:t>Zhang XZ</w:t>
      </w:r>
      <w:r>
        <w:rPr>
          <w:rFonts w:ascii="Book Antiqua" w:hAnsi="Book Antiqua"/>
        </w:rPr>
        <w:t xml:space="preserve">, Qian SS, Zhang YJ, Wang RQ. Salvia miltiorrhiza: A source for anti-Alzheimer's disease drugs. </w:t>
      </w:r>
      <w:r>
        <w:rPr>
          <w:rFonts w:ascii="Book Antiqua" w:hAnsi="Book Antiqua"/>
          <w:i/>
          <w:iCs/>
        </w:rPr>
        <w:t>Pharm Biol</w:t>
      </w:r>
      <w:r>
        <w:rPr>
          <w:rFonts w:ascii="Book Antiqua" w:hAnsi="Book Antiqua"/>
        </w:rPr>
        <w:t xml:space="preserve"> 2016; </w:t>
      </w:r>
      <w:r>
        <w:rPr>
          <w:rFonts w:ascii="Book Antiqua" w:hAnsi="Book Antiqua"/>
          <w:b/>
          <w:bCs/>
        </w:rPr>
        <w:t>54</w:t>
      </w:r>
      <w:r>
        <w:rPr>
          <w:rFonts w:ascii="Book Antiqua" w:hAnsi="Book Antiqua"/>
        </w:rPr>
        <w:t>: 18-24 [PMID: 25857808 DOI: 10.3109/13880209.2015.1027408]</w:t>
      </w:r>
    </w:p>
    <w:p w14:paraId="62CE70BA"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10 </w:t>
      </w:r>
      <w:r>
        <w:rPr>
          <w:rFonts w:ascii="Book Antiqua" w:hAnsi="Book Antiqua"/>
          <w:b/>
          <w:bCs/>
        </w:rPr>
        <w:t>Kim SL</w:t>
      </w:r>
      <w:r>
        <w:rPr>
          <w:rFonts w:ascii="Book Antiqua" w:hAnsi="Book Antiqua"/>
        </w:rPr>
        <w:t xml:space="preserve">, Choi HS, Kim JH, Jeong DK, Kim KS, Lee DS. Dihydrotanshinone-Induced NOX5 Activation Inhibits Breast Cancer Stem Cell through the ROS/Stat3 Signaling Pathway. </w:t>
      </w:r>
      <w:r>
        <w:rPr>
          <w:rFonts w:ascii="Book Antiqua" w:hAnsi="Book Antiqua"/>
          <w:i/>
          <w:iCs/>
        </w:rPr>
        <w:t>Oxid Med Cell Longev</w:t>
      </w:r>
      <w:r>
        <w:rPr>
          <w:rFonts w:ascii="Book Antiqua" w:hAnsi="Book Antiqua"/>
        </w:rPr>
        <w:t xml:space="preserve"> 2019; </w:t>
      </w:r>
      <w:r>
        <w:rPr>
          <w:rFonts w:ascii="Book Antiqua" w:hAnsi="Book Antiqua"/>
          <w:b/>
          <w:bCs/>
        </w:rPr>
        <w:t>2019</w:t>
      </w:r>
      <w:r>
        <w:rPr>
          <w:rFonts w:ascii="Book Antiqua" w:hAnsi="Book Antiqua"/>
        </w:rPr>
        <w:t>: 9296439 [PMID: 31019654 DOI: 10.1155/2019/9296439]</w:t>
      </w:r>
    </w:p>
    <w:p w14:paraId="24C782E3"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Tan T</w:t>
      </w:r>
      <w:r>
        <w:rPr>
          <w:rFonts w:ascii="Book Antiqua" w:hAnsi="Book Antiqua"/>
        </w:rPr>
        <w:t xml:space="preserve">, Chen J, Hu Y, Wang N, Chen Y, Yu T, Lin D, Yang S, Luo J, Luo X. Dihydrotanshinone I inhibits the growth of osteosarcoma through the Wnt/β-catenin signaling pathway. </w:t>
      </w:r>
      <w:r>
        <w:rPr>
          <w:rFonts w:ascii="Book Antiqua" w:hAnsi="Book Antiqua"/>
          <w:i/>
          <w:iCs/>
        </w:rPr>
        <w:t>Onco Targets Ther</w:t>
      </w:r>
      <w:r>
        <w:rPr>
          <w:rFonts w:ascii="Book Antiqua" w:hAnsi="Book Antiqua"/>
        </w:rPr>
        <w:t xml:space="preserve"> 2019; </w:t>
      </w:r>
      <w:r>
        <w:rPr>
          <w:rFonts w:ascii="Book Antiqua" w:hAnsi="Book Antiqua"/>
          <w:b/>
          <w:bCs/>
        </w:rPr>
        <w:t>12</w:t>
      </w:r>
      <w:r>
        <w:rPr>
          <w:rFonts w:ascii="Book Antiqua" w:hAnsi="Book Antiqua"/>
        </w:rPr>
        <w:t>: 5111-5122 [PMID: 31308689 DOI: 10.2147/OTT.S204574]</w:t>
      </w:r>
    </w:p>
    <w:p w14:paraId="14F506D9"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12 </w:t>
      </w:r>
      <w:r>
        <w:rPr>
          <w:rFonts w:ascii="Book Antiqua" w:hAnsi="Book Antiqua"/>
          <w:b/>
          <w:bCs/>
        </w:rPr>
        <w:t>Cai Y</w:t>
      </w:r>
      <w:r>
        <w:rPr>
          <w:rFonts w:ascii="Book Antiqua" w:hAnsi="Book Antiqua"/>
        </w:rPr>
        <w:t xml:space="preserve">, Lv F, Kaldybayeva N, Zhamilya A, Wu Z, Wu Y. 15, 16-Dihydrotanshinone I Inhibits Hemangiomas through Inducing Pro-apoptotic and Anti-angiogenic Mechanisms </w:t>
      </w:r>
      <w:r>
        <w:rPr>
          <w:rFonts w:ascii="Book Antiqua" w:hAnsi="Book Antiqua"/>
          <w:i/>
          <w:iCs/>
        </w:rPr>
        <w:t>in Vitro</w:t>
      </w:r>
      <w:r>
        <w:rPr>
          <w:rFonts w:ascii="Book Antiqua" w:hAnsi="Book Antiqua"/>
        </w:rPr>
        <w:t xml:space="preserve"> and </w:t>
      </w:r>
      <w:r>
        <w:rPr>
          <w:rFonts w:ascii="Book Antiqua" w:hAnsi="Book Antiqua"/>
          <w:i/>
          <w:iCs/>
        </w:rPr>
        <w:t>in Vivo</w:t>
      </w:r>
      <w:r>
        <w:rPr>
          <w:rFonts w:ascii="Book Antiqua" w:hAnsi="Book Antiqua"/>
        </w:rPr>
        <w:t xml:space="preserve">. </w:t>
      </w:r>
      <w:r>
        <w:rPr>
          <w:rFonts w:ascii="Book Antiqua" w:hAnsi="Book Antiqua"/>
          <w:i/>
          <w:iCs/>
        </w:rPr>
        <w:t>Front Pharmacol</w:t>
      </w:r>
      <w:r>
        <w:rPr>
          <w:rFonts w:ascii="Book Antiqua" w:hAnsi="Book Antiqua"/>
        </w:rPr>
        <w:t xml:space="preserve"> 2018; </w:t>
      </w:r>
      <w:r>
        <w:rPr>
          <w:rFonts w:ascii="Book Antiqua" w:hAnsi="Book Antiqua"/>
          <w:b/>
          <w:bCs/>
        </w:rPr>
        <w:t>9</w:t>
      </w:r>
      <w:r>
        <w:rPr>
          <w:rFonts w:ascii="Book Antiqua" w:hAnsi="Book Antiqua"/>
        </w:rPr>
        <w:t>: 25 [PMID: 29441017 DOI: 10.3389/fphar.2018.00025]</w:t>
      </w:r>
    </w:p>
    <w:p w14:paraId="17147825"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13 </w:t>
      </w:r>
      <w:r>
        <w:rPr>
          <w:rFonts w:ascii="Book Antiqua" w:hAnsi="Book Antiqua"/>
          <w:b/>
          <w:bCs/>
        </w:rPr>
        <w:t>Laudisi F</w:t>
      </w:r>
      <w:r>
        <w:rPr>
          <w:rFonts w:ascii="Book Antiqua" w:hAnsi="Book Antiqua"/>
        </w:rPr>
        <w:t xml:space="preserve">, Cherubini F, Di Grazia A, Dinallo V, Di Fusco D, Franzè E, Ortenzi A, Salvatori I, Scaricamazza S, Monteleone I, Sakamoto N, Monteleone G, Stolfi C. Progranulin sustains STAT3 hyper-activation and oncogenic function in colorectal cancer cells. </w:t>
      </w:r>
      <w:r>
        <w:rPr>
          <w:rFonts w:ascii="Book Antiqua" w:hAnsi="Book Antiqua"/>
          <w:i/>
          <w:iCs/>
        </w:rPr>
        <w:t>Mol Oncol</w:t>
      </w:r>
      <w:r>
        <w:rPr>
          <w:rFonts w:ascii="Book Antiqua" w:hAnsi="Book Antiqua"/>
        </w:rPr>
        <w:t xml:space="preserve"> 2019; </w:t>
      </w:r>
      <w:r>
        <w:rPr>
          <w:rFonts w:ascii="Book Antiqua" w:hAnsi="Book Antiqua"/>
          <w:b/>
          <w:bCs/>
        </w:rPr>
        <w:t>13</w:t>
      </w:r>
      <w:r>
        <w:rPr>
          <w:rFonts w:ascii="Book Antiqua" w:hAnsi="Book Antiqua"/>
        </w:rPr>
        <w:t>: 2142-2159 [PMID: 31361391 DOI: 10.1002/1878-0261.12552]</w:t>
      </w:r>
    </w:p>
    <w:p w14:paraId="0751D798"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Yang Y</w:t>
      </w:r>
      <w:r>
        <w:rPr>
          <w:rFonts w:ascii="Book Antiqua" w:hAnsi="Book Antiqua"/>
        </w:rPr>
        <w:t xml:space="preserve">, Fang E, Luo J, Wu H, Jiang Y, Liu Y, Tong S, Wang Z, Zhou R, Tong Q. The Antioxidant Alpha-Lipoic Acid Inhibits Proliferation and Invasion of Human Gastric Cancer Cells via Suppression of STAT3-Mediated MUC4 Gene Expression. </w:t>
      </w:r>
      <w:r>
        <w:rPr>
          <w:rFonts w:ascii="Book Antiqua" w:hAnsi="Book Antiqua"/>
          <w:i/>
          <w:iCs/>
        </w:rPr>
        <w:t>Oxid Med Cell Longev</w:t>
      </w:r>
      <w:r>
        <w:rPr>
          <w:rFonts w:ascii="Book Antiqua" w:hAnsi="Book Antiqua"/>
        </w:rPr>
        <w:t xml:space="preserve"> 2019; </w:t>
      </w:r>
      <w:r>
        <w:rPr>
          <w:rFonts w:ascii="Book Antiqua" w:hAnsi="Book Antiqua"/>
          <w:b/>
          <w:bCs/>
        </w:rPr>
        <w:t>2019</w:t>
      </w:r>
      <w:r>
        <w:rPr>
          <w:rFonts w:ascii="Book Antiqua" w:hAnsi="Book Antiqua"/>
        </w:rPr>
        <w:t>: 3643715 [PMID: 31915505 DOI: 10.1155/2019/3643715]</w:t>
      </w:r>
    </w:p>
    <w:p w14:paraId="69C8A5E0"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15 </w:t>
      </w:r>
      <w:r>
        <w:rPr>
          <w:rFonts w:ascii="Book Antiqua" w:hAnsi="Book Antiqua"/>
          <w:b/>
          <w:bCs/>
        </w:rPr>
        <w:t>Sen M</w:t>
      </w:r>
      <w:r>
        <w:rPr>
          <w:rFonts w:ascii="Book Antiqua" w:hAnsi="Book Antiqua"/>
        </w:rPr>
        <w:t xml:space="preserve">, Kindsfather A, Danilova L, Zhang F, Colombo R, LaPorte MG, Kurland BF, Huryn DM, Wipf P, Herman JG. PTPRT epigenetic silencing defines lung cancer with STAT3 activation and can direct STAT3 targeted therapies. </w:t>
      </w:r>
      <w:r>
        <w:rPr>
          <w:rFonts w:ascii="Book Antiqua" w:hAnsi="Book Antiqua"/>
          <w:i/>
          <w:iCs/>
        </w:rPr>
        <w:t>Epigenetics</w:t>
      </w:r>
      <w:r>
        <w:rPr>
          <w:rFonts w:ascii="Book Antiqua" w:hAnsi="Book Antiqua"/>
        </w:rPr>
        <w:t xml:space="preserve"> 2020; </w:t>
      </w:r>
      <w:r>
        <w:rPr>
          <w:rFonts w:ascii="Book Antiqua" w:hAnsi="Book Antiqua"/>
          <w:b/>
          <w:bCs/>
        </w:rPr>
        <w:t>15</w:t>
      </w:r>
      <w:r>
        <w:rPr>
          <w:rFonts w:ascii="Book Antiqua" w:hAnsi="Book Antiqua"/>
        </w:rPr>
        <w:t>: 604-617 [PMID: 31595832 DOI: 10.1080/15592294.2019.1676597]</w:t>
      </w:r>
    </w:p>
    <w:p w14:paraId="51908367" w14:textId="77777777" w:rsidR="006A4945" w:rsidRDefault="00C3017B">
      <w:pPr>
        <w:adjustRightInd w:val="0"/>
        <w:snapToGrid w:val="0"/>
        <w:spacing w:line="360" w:lineRule="auto"/>
        <w:jc w:val="both"/>
        <w:rPr>
          <w:rFonts w:ascii="Book Antiqua" w:hAnsi="Book Antiqua"/>
        </w:rPr>
      </w:pPr>
      <w:r>
        <w:rPr>
          <w:rFonts w:ascii="Book Antiqua" w:hAnsi="Book Antiqua"/>
        </w:rPr>
        <w:lastRenderedPageBreak/>
        <w:t xml:space="preserve">16 </w:t>
      </w:r>
      <w:r>
        <w:rPr>
          <w:rFonts w:ascii="Book Antiqua" w:hAnsi="Book Antiqua"/>
          <w:b/>
          <w:bCs/>
        </w:rPr>
        <w:t>Yu H</w:t>
      </w:r>
      <w:r>
        <w:rPr>
          <w:rFonts w:ascii="Book Antiqua" w:hAnsi="Book Antiqua"/>
        </w:rPr>
        <w:t xml:space="preserve">, Pardoll D, Jove R. STATs in cancer inflammation and immunity: a leading role for STAT3. </w:t>
      </w:r>
      <w:r>
        <w:rPr>
          <w:rFonts w:ascii="Book Antiqua" w:hAnsi="Book Antiqua"/>
          <w:i/>
          <w:iCs/>
        </w:rPr>
        <w:t>Nat Rev Cancer</w:t>
      </w:r>
      <w:r>
        <w:rPr>
          <w:rFonts w:ascii="Book Antiqua" w:hAnsi="Book Antiqua"/>
        </w:rPr>
        <w:t xml:space="preserve"> 2009; </w:t>
      </w:r>
      <w:r>
        <w:rPr>
          <w:rFonts w:ascii="Book Antiqua" w:hAnsi="Book Antiqua"/>
          <w:b/>
          <w:bCs/>
        </w:rPr>
        <w:t>9</w:t>
      </w:r>
      <w:r>
        <w:rPr>
          <w:rFonts w:ascii="Book Antiqua" w:hAnsi="Book Antiqua"/>
        </w:rPr>
        <w:t>: 798-809 [PMID: 19851315 DOI: 10.1038/nrc2734]</w:t>
      </w:r>
    </w:p>
    <w:p w14:paraId="300DD804"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Yu H</w:t>
      </w:r>
      <w:r>
        <w:rPr>
          <w:rFonts w:ascii="Book Antiqua" w:hAnsi="Book Antiqua"/>
        </w:rPr>
        <w:t xml:space="preserve">, Jove R. The STATs of cancer--new molecular targets come of age. </w:t>
      </w:r>
      <w:r>
        <w:rPr>
          <w:rFonts w:ascii="Book Antiqua" w:hAnsi="Book Antiqua"/>
          <w:i/>
          <w:iCs/>
        </w:rPr>
        <w:t>Nat Rev Cancer</w:t>
      </w:r>
      <w:r>
        <w:rPr>
          <w:rFonts w:ascii="Book Antiqua" w:hAnsi="Book Antiqua"/>
        </w:rPr>
        <w:t xml:space="preserve"> 2004; </w:t>
      </w:r>
      <w:r>
        <w:rPr>
          <w:rFonts w:ascii="Book Antiqua" w:hAnsi="Book Antiqua"/>
          <w:b/>
          <w:bCs/>
        </w:rPr>
        <w:t>4</w:t>
      </w:r>
      <w:r>
        <w:rPr>
          <w:rFonts w:ascii="Book Antiqua" w:hAnsi="Book Antiqua"/>
        </w:rPr>
        <w:t>: 97-105 [PMID: 14964307 DOI: 10.1038/nrc1275]</w:t>
      </w:r>
    </w:p>
    <w:p w14:paraId="1E24E3E0"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Bournazou E</w:t>
      </w:r>
      <w:r>
        <w:rPr>
          <w:rFonts w:ascii="Book Antiqua" w:hAnsi="Book Antiqua"/>
        </w:rPr>
        <w:t xml:space="preserve">, Bromberg J. Targeting the tumor microenvironment: JAK-STAT3 signaling. </w:t>
      </w:r>
      <w:r>
        <w:rPr>
          <w:rFonts w:ascii="Book Antiqua" w:hAnsi="Book Antiqua"/>
          <w:i/>
          <w:iCs/>
        </w:rPr>
        <w:t>JAKSTAT</w:t>
      </w:r>
      <w:r>
        <w:rPr>
          <w:rFonts w:ascii="Book Antiqua" w:hAnsi="Book Antiqua"/>
        </w:rPr>
        <w:t xml:space="preserve"> 2013; </w:t>
      </w:r>
      <w:r>
        <w:rPr>
          <w:rFonts w:ascii="Book Antiqua" w:hAnsi="Book Antiqua"/>
          <w:b/>
          <w:bCs/>
        </w:rPr>
        <w:t>2</w:t>
      </w:r>
      <w:r>
        <w:rPr>
          <w:rFonts w:ascii="Book Antiqua" w:hAnsi="Book Antiqua"/>
        </w:rPr>
        <w:t>: e23828 [PMID: 24058812 DOI: 10.4161/jkst.23828]</w:t>
      </w:r>
    </w:p>
    <w:p w14:paraId="0846DABA"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Johnson DE</w:t>
      </w:r>
      <w:r>
        <w:rPr>
          <w:rFonts w:ascii="Book Antiqua" w:hAnsi="Book Antiqua"/>
        </w:rPr>
        <w:t xml:space="preserve">, O'Keefe RA, Grandis JR. Targeting the IL-6/JAK/STAT3 signalling axis in cancer. </w:t>
      </w:r>
      <w:r>
        <w:rPr>
          <w:rFonts w:ascii="Book Antiqua" w:hAnsi="Book Antiqua"/>
          <w:i/>
          <w:iCs/>
        </w:rPr>
        <w:t>Nat Rev Clin Oncol</w:t>
      </w:r>
      <w:r>
        <w:rPr>
          <w:rFonts w:ascii="Book Antiqua" w:hAnsi="Book Antiqua"/>
        </w:rPr>
        <w:t xml:space="preserve"> 2018; </w:t>
      </w:r>
      <w:r>
        <w:rPr>
          <w:rFonts w:ascii="Book Antiqua" w:hAnsi="Book Antiqua"/>
          <w:b/>
          <w:bCs/>
        </w:rPr>
        <w:t>15</w:t>
      </w:r>
      <w:r>
        <w:rPr>
          <w:rFonts w:ascii="Book Antiqua" w:hAnsi="Book Antiqua"/>
        </w:rPr>
        <w:t>: 234-248 [PMID: 29405201 DOI: 10.1038/nrclinonc.2018.8]</w:t>
      </w:r>
    </w:p>
    <w:p w14:paraId="2141B696"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20 </w:t>
      </w:r>
      <w:r>
        <w:rPr>
          <w:rFonts w:ascii="Book Antiqua" w:hAnsi="Book Antiqua"/>
          <w:b/>
          <w:bCs/>
        </w:rPr>
        <w:t>Kühn B</w:t>
      </w:r>
      <w:r>
        <w:rPr>
          <w:rFonts w:ascii="Book Antiqua" w:hAnsi="Book Antiqua"/>
        </w:rPr>
        <w:t xml:space="preserve">, Brat C, Fettel J, Hellmuth N, Maucher IV, Bulut U, Hock KJ, Grimmer J, Manolikakes G, Rühl M, Kühn A, Zacharowski K, Matrone C, Urbschat A, Roos J, Steinhilber D, Maier TJ. Anti-inflammatory nitro-fatty acids suppress tumor growth by triggering mitochondrial dysfunction and activation of the intrinsic apoptotic pathway in colorectal cancer cells. </w:t>
      </w:r>
      <w:r>
        <w:rPr>
          <w:rFonts w:ascii="Book Antiqua" w:hAnsi="Book Antiqua"/>
          <w:i/>
          <w:iCs/>
        </w:rPr>
        <w:t>Biochem Pharmacol</w:t>
      </w:r>
      <w:r>
        <w:rPr>
          <w:rFonts w:ascii="Book Antiqua" w:hAnsi="Book Antiqua"/>
        </w:rPr>
        <w:t xml:space="preserve"> 2018; </w:t>
      </w:r>
      <w:r>
        <w:rPr>
          <w:rFonts w:ascii="Book Antiqua" w:hAnsi="Book Antiqua"/>
          <w:b/>
          <w:bCs/>
        </w:rPr>
        <w:t>155</w:t>
      </w:r>
      <w:r>
        <w:rPr>
          <w:rFonts w:ascii="Book Antiqua" w:hAnsi="Book Antiqua"/>
        </w:rPr>
        <w:t>: 48-60 [PMID: 29909078 DOI: 10.1016/j.bcp.2018.06.014]</w:t>
      </w:r>
    </w:p>
    <w:p w14:paraId="710667FD"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Liu Y</w:t>
      </w:r>
      <w:r>
        <w:rPr>
          <w:rFonts w:ascii="Book Antiqua" w:hAnsi="Book Antiqua"/>
        </w:rPr>
        <w:t xml:space="preserve">, Zhi Y, Song H, Zong M, Yi J, Mao G, Chen L, Huang G. S1PR1 promotes proliferation and inhibits apoptosis of esophageal squamous cell carcinoma through activating STAT3 pathway. </w:t>
      </w:r>
      <w:r>
        <w:rPr>
          <w:rFonts w:ascii="Book Antiqua" w:hAnsi="Book Antiqua"/>
          <w:i/>
          <w:iCs/>
        </w:rPr>
        <w:t>J Exp Clin Cancer Res</w:t>
      </w:r>
      <w:r>
        <w:rPr>
          <w:rFonts w:ascii="Book Antiqua" w:hAnsi="Book Antiqua"/>
        </w:rPr>
        <w:t xml:space="preserve"> 2019; </w:t>
      </w:r>
      <w:r>
        <w:rPr>
          <w:rFonts w:ascii="Book Antiqua" w:hAnsi="Book Antiqua"/>
          <w:b/>
          <w:bCs/>
        </w:rPr>
        <w:t>38</w:t>
      </w:r>
      <w:r>
        <w:rPr>
          <w:rFonts w:ascii="Book Antiqua" w:hAnsi="Book Antiqua"/>
        </w:rPr>
        <w:t>: 369 [PMID: 31438989 DOI: 10.1186/s13046-019-1369-7]</w:t>
      </w:r>
    </w:p>
    <w:p w14:paraId="1DD04A66"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Siegel RL</w:t>
      </w:r>
      <w:r>
        <w:rPr>
          <w:rFonts w:ascii="Book Antiqua" w:hAnsi="Book Antiqua"/>
        </w:rPr>
        <w:t xml:space="preserve">, Miller KD, Fuchs HE, Jemal A. Cancer Statistics, 2021.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7-33 [PMID: 33433946 DOI: 10.3322/caac.21654]</w:t>
      </w:r>
    </w:p>
    <w:p w14:paraId="5AC2FDB3"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23 </w:t>
      </w:r>
      <w:r>
        <w:rPr>
          <w:rFonts w:ascii="Book Antiqua" w:hAnsi="Book Antiqua"/>
          <w:b/>
          <w:bCs/>
        </w:rPr>
        <w:t>Nakajo K</w:t>
      </w:r>
      <w:r>
        <w:rPr>
          <w:rFonts w:ascii="Book Antiqua" w:hAnsi="Book Antiqua"/>
        </w:rPr>
        <w:t xml:space="preserve">, Abe S, Oda I, Ishihara R, Tanaka M, Yoshio T, Katada C, Yano T. Impact of the Charlson Comorbidity Index on the treatment strategy and survival in elderly patients after non-curative endoscopic submucosal dissection for esophageal squamous cell carcinoma: a multicenter retrospective study. </w:t>
      </w:r>
      <w:r>
        <w:rPr>
          <w:rFonts w:ascii="Book Antiqua" w:hAnsi="Book Antiqua"/>
          <w:i/>
          <w:iCs/>
        </w:rPr>
        <w:t>J Gastroenterol</w:t>
      </w:r>
      <w:r>
        <w:rPr>
          <w:rFonts w:ascii="Book Antiqua" w:hAnsi="Book Antiqua"/>
        </w:rPr>
        <w:t xml:space="preserve"> 2019; </w:t>
      </w:r>
      <w:r>
        <w:rPr>
          <w:rFonts w:ascii="Book Antiqua" w:hAnsi="Book Antiqua"/>
          <w:b/>
          <w:bCs/>
        </w:rPr>
        <w:t>54</w:t>
      </w:r>
      <w:r>
        <w:rPr>
          <w:rFonts w:ascii="Book Antiqua" w:hAnsi="Book Antiqua"/>
        </w:rPr>
        <w:t>: 871-880 [PMID: 31055660 DOI: 10.1007/s00535-019-01583-9]</w:t>
      </w:r>
    </w:p>
    <w:p w14:paraId="058BA348"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Lin YH</w:t>
      </w:r>
      <w:r>
        <w:rPr>
          <w:rFonts w:ascii="Book Antiqua" w:hAnsi="Book Antiqua"/>
        </w:rPr>
        <w:t xml:space="preserve">, Ou CY, Lee WT, Lee Y-, Chang T-, Yen YT. Treatment outcomes for one-stage concurrent surgical resection and reconstruction of synchronous esophageal and head </w:t>
      </w:r>
      <w:r>
        <w:rPr>
          <w:rFonts w:ascii="Book Antiqua" w:hAnsi="Book Antiqua"/>
        </w:rPr>
        <w:lastRenderedPageBreak/>
        <w:t xml:space="preserve">and neck squamous cell carcinoma. </w:t>
      </w:r>
      <w:r>
        <w:rPr>
          <w:rFonts w:ascii="Book Antiqua" w:hAnsi="Book Antiqua"/>
          <w:i/>
          <w:iCs/>
        </w:rPr>
        <w:t>Eur Arch Otorhinolaryngol</w:t>
      </w:r>
      <w:r>
        <w:rPr>
          <w:rFonts w:ascii="Book Antiqua" w:hAnsi="Book Antiqua"/>
        </w:rPr>
        <w:t xml:space="preserve"> 2019; </w:t>
      </w:r>
      <w:r>
        <w:rPr>
          <w:rFonts w:ascii="Book Antiqua" w:hAnsi="Book Antiqua"/>
          <w:b/>
          <w:bCs/>
        </w:rPr>
        <w:t>276</w:t>
      </w:r>
      <w:r>
        <w:rPr>
          <w:rFonts w:ascii="Book Antiqua" w:hAnsi="Book Antiqua"/>
        </w:rPr>
        <w:t>: 2929-2940 [PMID: 31332550 DOI: 10.1007/s00405-019-05564-9]</w:t>
      </w:r>
    </w:p>
    <w:p w14:paraId="5903C02B"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25 </w:t>
      </w:r>
      <w:r>
        <w:rPr>
          <w:rFonts w:ascii="Book Antiqua" w:hAnsi="Book Antiqua"/>
          <w:b/>
          <w:bCs/>
        </w:rPr>
        <w:t>Zhao W</w:t>
      </w:r>
      <w:r>
        <w:rPr>
          <w:rFonts w:ascii="Book Antiqua" w:hAnsi="Book Antiqua"/>
        </w:rPr>
        <w:t xml:space="preserve">, Li C, Gao H, Wu Q, Shi J, Chen X. Dihydrotanshinone I Attenuates Atherosclerosis in ApoE-Deficient Mice: Role of NOX4/NF-κB Mediated Lectin-Like Oxidized LDL Receptor-1 (LOX-1) of the Endothelium. </w:t>
      </w:r>
      <w:r>
        <w:rPr>
          <w:rFonts w:ascii="Book Antiqua" w:hAnsi="Book Antiqua"/>
          <w:i/>
          <w:iCs/>
        </w:rPr>
        <w:t>Front Pharmacol</w:t>
      </w:r>
      <w:r>
        <w:rPr>
          <w:rFonts w:ascii="Book Antiqua" w:hAnsi="Book Antiqua"/>
        </w:rPr>
        <w:t xml:space="preserve"> 2016; </w:t>
      </w:r>
      <w:r>
        <w:rPr>
          <w:rFonts w:ascii="Book Antiqua" w:hAnsi="Book Antiqua"/>
          <w:b/>
          <w:bCs/>
        </w:rPr>
        <w:t>7</w:t>
      </w:r>
      <w:r>
        <w:rPr>
          <w:rFonts w:ascii="Book Antiqua" w:hAnsi="Book Antiqua"/>
        </w:rPr>
        <w:t>: 418 [PMID: 27891092 DOI: 10.3389/fphar.2016.00418]</w:t>
      </w:r>
    </w:p>
    <w:p w14:paraId="7FF0289B"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Wang L</w:t>
      </w:r>
      <w:r>
        <w:rPr>
          <w:rFonts w:ascii="Book Antiqua" w:hAnsi="Book Antiqua"/>
        </w:rPr>
        <w:t xml:space="preserve">, Hu T, Shen J, Zhang L, Chan RL, Lu L, Li M, Cho CH, Wu WK. Dihydrotanshinone I induced apoptosis and autophagy through caspase dependent pathway in colon cancer. </w:t>
      </w:r>
      <w:r>
        <w:rPr>
          <w:rFonts w:ascii="Book Antiqua" w:hAnsi="Book Antiqua"/>
          <w:i/>
          <w:iCs/>
        </w:rPr>
        <w:t>Phytomedicine</w:t>
      </w:r>
      <w:r>
        <w:rPr>
          <w:rFonts w:ascii="Book Antiqua" w:hAnsi="Book Antiqua"/>
        </w:rPr>
        <w:t xml:space="preserve"> 2015; </w:t>
      </w:r>
      <w:r>
        <w:rPr>
          <w:rFonts w:ascii="Book Antiqua" w:hAnsi="Book Antiqua"/>
          <w:b/>
          <w:bCs/>
        </w:rPr>
        <w:t>22</w:t>
      </w:r>
      <w:r>
        <w:rPr>
          <w:rFonts w:ascii="Book Antiqua" w:hAnsi="Book Antiqua"/>
        </w:rPr>
        <w:t>: 1079-1087 [PMID: 26547530 DOI: 10.1016/j.phymed.2015.08.009]</w:t>
      </w:r>
    </w:p>
    <w:p w14:paraId="3B52AD3B"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27 </w:t>
      </w:r>
      <w:r>
        <w:rPr>
          <w:rFonts w:ascii="Book Antiqua" w:hAnsi="Book Antiqua"/>
          <w:b/>
          <w:bCs/>
        </w:rPr>
        <w:t>Luo J</w:t>
      </w:r>
      <w:r>
        <w:rPr>
          <w:rFonts w:ascii="Book Antiqua" w:hAnsi="Book Antiqua"/>
        </w:rPr>
        <w:t xml:space="preserve">, Meng X, Su J, Ma H, Wang W, Fang L, Zheng H, Qin Y, Chen T. Biotin-Modified Polylactic- co-Glycolic Acid Nanoparticles with Improved Antiproliferative Activity of 15,16-Dihydrotanshinone I in Human Cervical Cancer Cells. </w:t>
      </w:r>
      <w:r>
        <w:rPr>
          <w:rFonts w:ascii="Book Antiqua" w:hAnsi="Book Antiqua"/>
          <w:i/>
          <w:iCs/>
        </w:rPr>
        <w:t>J Agric Food Chem</w:t>
      </w:r>
      <w:r>
        <w:rPr>
          <w:rFonts w:ascii="Book Antiqua" w:hAnsi="Book Antiqua"/>
        </w:rPr>
        <w:t xml:space="preserve"> 2018; </w:t>
      </w:r>
      <w:r>
        <w:rPr>
          <w:rFonts w:ascii="Book Antiqua" w:hAnsi="Book Antiqua"/>
          <w:b/>
          <w:bCs/>
        </w:rPr>
        <w:t>66</w:t>
      </w:r>
      <w:r>
        <w:rPr>
          <w:rFonts w:ascii="Book Antiqua" w:hAnsi="Book Antiqua"/>
        </w:rPr>
        <w:t>: 9219-9230 [PMID: 30102527 DOI: 10.1021/acs.jafc.8b02698]</w:t>
      </w:r>
    </w:p>
    <w:p w14:paraId="6DCC9210"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28 </w:t>
      </w:r>
      <w:r>
        <w:rPr>
          <w:rFonts w:ascii="Book Antiqua" w:hAnsi="Book Antiqua"/>
          <w:b/>
          <w:bCs/>
        </w:rPr>
        <w:t>Blomberg I</w:t>
      </w:r>
      <w:r>
        <w:rPr>
          <w:rFonts w:ascii="Book Antiqua" w:hAnsi="Book Antiqua"/>
        </w:rPr>
        <w:t xml:space="preserve">, Hoffmann I. Ectopic expression of Cdc25A accelerates the G(1)/S transition and leads to premature activation of cyclin E- and cyclin A-dependent kinases. </w:t>
      </w:r>
      <w:r>
        <w:rPr>
          <w:rFonts w:ascii="Book Antiqua" w:hAnsi="Book Antiqua"/>
          <w:i/>
          <w:iCs/>
        </w:rPr>
        <w:t>Mol Cell Biol</w:t>
      </w:r>
      <w:r>
        <w:rPr>
          <w:rFonts w:ascii="Book Antiqua" w:hAnsi="Book Antiqua"/>
        </w:rPr>
        <w:t xml:space="preserve"> 1999; </w:t>
      </w:r>
      <w:r>
        <w:rPr>
          <w:rFonts w:ascii="Book Antiqua" w:hAnsi="Book Antiqua"/>
          <w:b/>
          <w:bCs/>
        </w:rPr>
        <w:t>19</w:t>
      </w:r>
      <w:r>
        <w:rPr>
          <w:rFonts w:ascii="Book Antiqua" w:hAnsi="Book Antiqua"/>
        </w:rPr>
        <w:t>: 6183-6194 [PMID: 10454565 DOI: 10.1128/mcb.19.9.6183]</w:t>
      </w:r>
    </w:p>
    <w:p w14:paraId="5C0C63A6"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29 </w:t>
      </w:r>
      <w:r>
        <w:rPr>
          <w:rFonts w:ascii="Book Antiqua" w:hAnsi="Book Antiqua"/>
          <w:b/>
          <w:bCs/>
        </w:rPr>
        <w:t>Lacy S</w:t>
      </w:r>
      <w:r>
        <w:rPr>
          <w:rFonts w:ascii="Book Antiqua" w:hAnsi="Book Antiqua"/>
        </w:rPr>
        <w:t xml:space="preserve">, Whyte P. Identification of a p130 domain mediating interactions with cyclin A/cdk 2 and cyclin E/cdk 2 complexes. </w:t>
      </w:r>
      <w:r>
        <w:rPr>
          <w:rFonts w:ascii="Book Antiqua" w:hAnsi="Book Antiqua"/>
          <w:i/>
          <w:iCs/>
        </w:rPr>
        <w:t>Oncogene</w:t>
      </w:r>
      <w:r>
        <w:rPr>
          <w:rFonts w:ascii="Book Antiqua" w:hAnsi="Book Antiqua"/>
        </w:rPr>
        <w:t xml:space="preserve"> 1997; </w:t>
      </w:r>
      <w:r>
        <w:rPr>
          <w:rFonts w:ascii="Book Antiqua" w:hAnsi="Book Antiqua"/>
          <w:b/>
          <w:bCs/>
        </w:rPr>
        <w:t>14</w:t>
      </w:r>
      <w:r>
        <w:rPr>
          <w:rFonts w:ascii="Book Antiqua" w:hAnsi="Book Antiqua"/>
        </w:rPr>
        <w:t>: 2395-2406 [PMID: 9188854 DOI: 10.1038/sj.onc.1201085]</w:t>
      </w:r>
    </w:p>
    <w:p w14:paraId="6257D09D"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30 </w:t>
      </w:r>
      <w:r>
        <w:rPr>
          <w:rFonts w:ascii="Book Antiqua" w:hAnsi="Book Antiqua"/>
          <w:b/>
          <w:bCs/>
        </w:rPr>
        <w:t>E Hermosilla V</w:t>
      </w:r>
      <w:r>
        <w:rPr>
          <w:rFonts w:ascii="Book Antiqua" w:hAnsi="Book Antiqua"/>
        </w:rPr>
        <w:t xml:space="preserve">, Salgado G, Riffo E, Escobar D, Hepp MI, Farkas C, Galindo M, Morín V, García-Robles MA, Castro AF, Pincheira R. SALL2 represses cyclins D1 and E1 expression and restrains G1/S cell cycle transition and cancer-related phenotypes. </w:t>
      </w:r>
      <w:r>
        <w:rPr>
          <w:rFonts w:ascii="Book Antiqua" w:hAnsi="Book Antiqua"/>
          <w:i/>
          <w:iCs/>
        </w:rPr>
        <w:t>Mol Oncol</w:t>
      </w:r>
      <w:r>
        <w:rPr>
          <w:rFonts w:ascii="Book Antiqua" w:hAnsi="Book Antiqua"/>
        </w:rPr>
        <w:t xml:space="preserve"> 2018; </w:t>
      </w:r>
      <w:r>
        <w:rPr>
          <w:rFonts w:ascii="Book Antiqua" w:hAnsi="Book Antiqua"/>
          <w:b/>
          <w:bCs/>
        </w:rPr>
        <w:t>12</w:t>
      </w:r>
      <w:r>
        <w:rPr>
          <w:rFonts w:ascii="Book Antiqua" w:hAnsi="Book Antiqua"/>
        </w:rPr>
        <w:t>: 1026-1046 [PMID: 29689621 DOI: 10.1002/1878-0261.12308]</w:t>
      </w:r>
    </w:p>
    <w:p w14:paraId="5DEAF3CB"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31 </w:t>
      </w:r>
      <w:r>
        <w:rPr>
          <w:rFonts w:ascii="Book Antiqua" w:hAnsi="Book Antiqua"/>
          <w:b/>
          <w:bCs/>
        </w:rPr>
        <w:t>Mansilla SF</w:t>
      </w:r>
      <w:r>
        <w:rPr>
          <w:rFonts w:ascii="Book Antiqua" w:hAnsi="Book Antiqua"/>
        </w:rPr>
        <w:t xml:space="preserve">, de la Vega MB, Calzetta NL, Siri SO, Gottifredi V. CDK-Independent and PCNA-Dependent Functions of p21 in DNA Replication. </w:t>
      </w:r>
      <w:r>
        <w:rPr>
          <w:rFonts w:ascii="Book Antiqua" w:hAnsi="Book Antiqua"/>
          <w:i/>
          <w:iCs/>
        </w:rPr>
        <w:t>Genes (Basel)</w:t>
      </w:r>
      <w:r>
        <w:rPr>
          <w:rFonts w:ascii="Book Antiqua" w:hAnsi="Book Antiqua"/>
        </w:rPr>
        <w:t xml:space="preserve"> 2020; </w:t>
      </w:r>
      <w:r>
        <w:rPr>
          <w:rFonts w:ascii="Book Antiqua" w:hAnsi="Book Antiqua"/>
          <w:b/>
          <w:bCs/>
        </w:rPr>
        <w:t>11</w:t>
      </w:r>
      <w:r>
        <w:rPr>
          <w:rFonts w:ascii="Book Antiqua" w:hAnsi="Book Antiqua"/>
        </w:rPr>
        <w:t xml:space="preserve"> [PMID: 32481484 DOI: 10.3390/genes11060593]</w:t>
      </w:r>
    </w:p>
    <w:p w14:paraId="1997AE01"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32 </w:t>
      </w:r>
      <w:r>
        <w:rPr>
          <w:rFonts w:ascii="Book Antiqua" w:hAnsi="Book Antiqua"/>
          <w:b/>
          <w:bCs/>
        </w:rPr>
        <w:t>Pistritto G</w:t>
      </w:r>
      <w:r>
        <w:rPr>
          <w:rFonts w:ascii="Book Antiqua" w:hAnsi="Book Antiqua"/>
        </w:rPr>
        <w:t xml:space="preserve">, Trisciuoglio D, Ceci C, Garufi A, D'Orazi G. Apoptosis as anticancer mechanism: function and dysfunction of its modulators and targeted therapeutic </w:t>
      </w:r>
      <w:r>
        <w:rPr>
          <w:rFonts w:ascii="Book Antiqua" w:hAnsi="Book Antiqua"/>
        </w:rPr>
        <w:lastRenderedPageBreak/>
        <w:t xml:space="preserve">strategies. </w:t>
      </w:r>
      <w:r>
        <w:rPr>
          <w:rFonts w:ascii="Book Antiqua" w:hAnsi="Book Antiqua"/>
          <w:i/>
          <w:iCs/>
        </w:rPr>
        <w:t>Aging (Albany NY)</w:t>
      </w:r>
      <w:r>
        <w:rPr>
          <w:rFonts w:ascii="Book Antiqua" w:hAnsi="Book Antiqua"/>
        </w:rPr>
        <w:t xml:space="preserve"> 2016; </w:t>
      </w:r>
      <w:r>
        <w:rPr>
          <w:rFonts w:ascii="Book Antiqua" w:hAnsi="Book Antiqua"/>
          <w:b/>
          <w:bCs/>
        </w:rPr>
        <w:t>8</w:t>
      </w:r>
      <w:r>
        <w:rPr>
          <w:rFonts w:ascii="Book Antiqua" w:hAnsi="Book Antiqua"/>
        </w:rPr>
        <w:t>: 603-619 [PMID: 27019364 DOI: 10.18632/aging.100934]</w:t>
      </w:r>
    </w:p>
    <w:p w14:paraId="6AFB2E7B"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33 </w:t>
      </w:r>
      <w:r>
        <w:rPr>
          <w:rFonts w:ascii="Book Antiqua" w:hAnsi="Book Antiqua"/>
          <w:b/>
          <w:bCs/>
        </w:rPr>
        <w:t>Wang C</w:t>
      </w:r>
      <w:r>
        <w:rPr>
          <w:rFonts w:ascii="Book Antiqua" w:hAnsi="Book Antiqua"/>
        </w:rPr>
        <w:t xml:space="preserve">, Youle RJ. The role of mitochondria in apoptosis*. </w:t>
      </w:r>
      <w:r>
        <w:rPr>
          <w:rFonts w:ascii="Book Antiqua" w:hAnsi="Book Antiqua"/>
          <w:i/>
          <w:iCs/>
        </w:rPr>
        <w:t>Annu Rev Genet</w:t>
      </w:r>
      <w:r>
        <w:rPr>
          <w:rFonts w:ascii="Book Antiqua" w:hAnsi="Book Antiqua"/>
        </w:rPr>
        <w:t xml:space="preserve"> 2009; </w:t>
      </w:r>
      <w:r>
        <w:rPr>
          <w:rFonts w:ascii="Book Antiqua" w:hAnsi="Book Antiqua"/>
          <w:b/>
          <w:bCs/>
        </w:rPr>
        <w:t>43</w:t>
      </w:r>
      <w:r>
        <w:rPr>
          <w:rFonts w:ascii="Book Antiqua" w:hAnsi="Book Antiqua"/>
        </w:rPr>
        <w:t>: 95-118 [PMID: 19659442 DOI: 10.1146/annurev-genet-102108-134850]</w:t>
      </w:r>
    </w:p>
    <w:p w14:paraId="413327E2"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34 </w:t>
      </w:r>
      <w:r>
        <w:rPr>
          <w:rFonts w:ascii="Book Antiqua" w:hAnsi="Book Antiqua"/>
          <w:b/>
          <w:bCs/>
        </w:rPr>
        <w:t>Tan C</w:t>
      </w:r>
      <w:r>
        <w:rPr>
          <w:rFonts w:ascii="Book Antiqua" w:hAnsi="Book Antiqua"/>
        </w:rPr>
        <w:t xml:space="preserve">, Dlugosz PJ, Peng J, Zhang Z, Lapolla SM, Plafker SM, Andrews DW, Lin J. Auto-activation of the apoptosis protein Bax increases mitochondrial membrane permeability and is inhibited by Bcl-2. </w:t>
      </w:r>
      <w:r>
        <w:rPr>
          <w:rFonts w:ascii="Book Antiqua" w:hAnsi="Book Antiqua"/>
          <w:i/>
          <w:iCs/>
        </w:rPr>
        <w:t>J Biol Chem</w:t>
      </w:r>
      <w:r>
        <w:rPr>
          <w:rFonts w:ascii="Book Antiqua" w:hAnsi="Book Antiqua"/>
        </w:rPr>
        <w:t xml:space="preserve"> 2006; </w:t>
      </w:r>
      <w:r>
        <w:rPr>
          <w:rFonts w:ascii="Book Antiqua" w:hAnsi="Book Antiqua"/>
          <w:b/>
          <w:bCs/>
        </w:rPr>
        <w:t>281</w:t>
      </w:r>
      <w:r>
        <w:rPr>
          <w:rFonts w:ascii="Book Antiqua" w:hAnsi="Book Antiqua"/>
        </w:rPr>
        <w:t>: 14764-14775 [PMID: 16571718 DOI: 10.1074/jbc.M602374200]</w:t>
      </w:r>
    </w:p>
    <w:p w14:paraId="628DE509"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35 </w:t>
      </w:r>
      <w:r>
        <w:rPr>
          <w:rFonts w:ascii="Book Antiqua" w:hAnsi="Book Antiqua"/>
          <w:b/>
          <w:bCs/>
        </w:rPr>
        <w:t>Yan X</w:t>
      </w:r>
      <w:r>
        <w:rPr>
          <w:rFonts w:ascii="Book Antiqua" w:hAnsi="Book Antiqua"/>
        </w:rPr>
        <w:t xml:space="preserve">, Jiang Z, Bi L, Yang Y, Chen W. Salvianolic acid A attenuates TNF-α- and D-GalN-induced ER stress-mediated and mitochondrial-dependent apoptosis by modulating Bax/Bcl-2 ratio and calcium release in hepatocyte LO2 cells. </w:t>
      </w:r>
      <w:r>
        <w:rPr>
          <w:rFonts w:ascii="Book Antiqua" w:hAnsi="Book Antiqua"/>
          <w:i/>
          <w:iCs/>
        </w:rPr>
        <w:t>Naunyn Schmiedebergs Arch Pharmacol</w:t>
      </w:r>
      <w:r>
        <w:rPr>
          <w:rFonts w:ascii="Book Antiqua" w:hAnsi="Book Antiqua"/>
        </w:rPr>
        <w:t xml:space="preserve"> 2015; </w:t>
      </w:r>
      <w:r>
        <w:rPr>
          <w:rFonts w:ascii="Book Antiqua" w:hAnsi="Book Antiqua"/>
          <w:b/>
          <w:bCs/>
        </w:rPr>
        <w:t>388</w:t>
      </w:r>
      <w:r>
        <w:rPr>
          <w:rFonts w:ascii="Book Antiqua" w:hAnsi="Book Antiqua"/>
        </w:rPr>
        <w:t>: 817-830 [PMID: 25943027 DOI: 10.1007/s00210-015-1116-3]</w:t>
      </w:r>
    </w:p>
    <w:p w14:paraId="78988599"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36 </w:t>
      </w:r>
      <w:r>
        <w:rPr>
          <w:rFonts w:ascii="Book Antiqua" w:hAnsi="Book Antiqua"/>
          <w:b/>
          <w:bCs/>
        </w:rPr>
        <w:t>Dorstyn L</w:t>
      </w:r>
      <w:r>
        <w:rPr>
          <w:rFonts w:ascii="Book Antiqua" w:hAnsi="Book Antiqua"/>
        </w:rPr>
        <w:t xml:space="preserve">, Akey CW, Kumar S. New insights into apoptosome structure and function. </w:t>
      </w:r>
      <w:r>
        <w:rPr>
          <w:rFonts w:ascii="Book Antiqua" w:hAnsi="Book Antiqua"/>
          <w:i/>
          <w:iCs/>
        </w:rPr>
        <w:t>Cell Death Differ</w:t>
      </w:r>
      <w:r>
        <w:rPr>
          <w:rFonts w:ascii="Book Antiqua" w:hAnsi="Book Antiqua"/>
        </w:rPr>
        <w:t xml:space="preserve"> 2018; </w:t>
      </w:r>
      <w:r>
        <w:rPr>
          <w:rFonts w:ascii="Book Antiqua" w:hAnsi="Book Antiqua"/>
          <w:b/>
          <w:bCs/>
        </w:rPr>
        <w:t>25</w:t>
      </w:r>
      <w:r>
        <w:rPr>
          <w:rFonts w:ascii="Book Antiqua" w:hAnsi="Book Antiqua"/>
        </w:rPr>
        <w:t>: 1194-1208 [PMID: 29765111 DOI: 10.1038/s41418-017-0025-z]</w:t>
      </w:r>
    </w:p>
    <w:p w14:paraId="0E4A3E0A"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37 </w:t>
      </w:r>
      <w:r>
        <w:rPr>
          <w:rFonts w:ascii="Book Antiqua" w:hAnsi="Book Antiqua"/>
          <w:b/>
          <w:bCs/>
        </w:rPr>
        <w:t>Eldering E</w:t>
      </w:r>
      <w:r>
        <w:rPr>
          <w:rFonts w:ascii="Book Antiqua" w:hAnsi="Book Antiqua"/>
        </w:rPr>
        <w:t xml:space="preserve">, Mackus WJ, Derks IA, Evers LM, Beuling E, Teeling P, Lens SM, van Oers MH, van Lier RA. Apoptosis via the B cell antigen receptor requires Bax translocation and involves mitochondrial depolarization, cytochrome C release, and caspase-9 activation. </w:t>
      </w:r>
      <w:r>
        <w:rPr>
          <w:rFonts w:ascii="Book Antiqua" w:hAnsi="Book Antiqua"/>
          <w:i/>
          <w:iCs/>
        </w:rPr>
        <w:t>Eur J Immunol</w:t>
      </w:r>
      <w:r>
        <w:rPr>
          <w:rFonts w:ascii="Book Antiqua" w:hAnsi="Book Antiqua"/>
        </w:rPr>
        <w:t xml:space="preserve"> 2004; </w:t>
      </w:r>
      <w:r>
        <w:rPr>
          <w:rFonts w:ascii="Book Antiqua" w:hAnsi="Book Antiqua"/>
          <w:b/>
          <w:bCs/>
        </w:rPr>
        <w:t>34</w:t>
      </w:r>
      <w:r>
        <w:rPr>
          <w:rFonts w:ascii="Book Antiqua" w:hAnsi="Book Antiqua"/>
        </w:rPr>
        <w:t>: 1950-1960 [PMID: 15214043 DOI: 10.1002/eji.200324817]</w:t>
      </w:r>
    </w:p>
    <w:p w14:paraId="513AB80F"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38 </w:t>
      </w:r>
      <w:r>
        <w:rPr>
          <w:rFonts w:ascii="Book Antiqua" w:hAnsi="Book Antiqua"/>
          <w:b/>
          <w:bCs/>
        </w:rPr>
        <w:t>Wang Q</w:t>
      </w:r>
      <w:r>
        <w:rPr>
          <w:rFonts w:ascii="Book Antiqua" w:hAnsi="Book Antiqua"/>
        </w:rPr>
        <w:t xml:space="preserve">, Zhang L, Yuan X, Ou Y, Zhu X, Cheng Z, Zhang P, Wu X, Meng Y, Zhang L. The Relationship between the Bcl-2/Bax Proteins and the Mitochondria-Mediated Apoptosis Pathway in the Differentiation of Adipose-Derived Stromal Cells into Neurons. </w:t>
      </w:r>
      <w:r>
        <w:rPr>
          <w:rFonts w:ascii="Book Antiqua" w:hAnsi="Book Antiqua"/>
          <w:i/>
          <w:iCs/>
        </w:rPr>
        <w:t>PLoS One</w:t>
      </w:r>
      <w:r>
        <w:rPr>
          <w:rFonts w:ascii="Book Antiqua" w:hAnsi="Book Antiqua"/>
        </w:rPr>
        <w:t xml:space="preserve"> 2016; </w:t>
      </w:r>
      <w:r>
        <w:rPr>
          <w:rFonts w:ascii="Book Antiqua" w:hAnsi="Book Antiqua"/>
          <w:b/>
          <w:bCs/>
        </w:rPr>
        <w:t>11</w:t>
      </w:r>
      <w:r>
        <w:rPr>
          <w:rFonts w:ascii="Book Antiqua" w:hAnsi="Book Antiqua"/>
        </w:rPr>
        <w:t>: e0163327 [PMID: 27706181 DOI: 10.1371/journal.pone.0163327]</w:t>
      </w:r>
    </w:p>
    <w:p w14:paraId="54B3FAA7"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39 </w:t>
      </w:r>
      <w:r>
        <w:rPr>
          <w:rFonts w:ascii="Book Antiqua" w:hAnsi="Book Antiqua"/>
          <w:b/>
          <w:bCs/>
        </w:rPr>
        <w:t>Germain M</w:t>
      </w:r>
      <w:r>
        <w:rPr>
          <w:rFonts w:ascii="Book Antiqua" w:hAnsi="Book Antiqua"/>
        </w:rPr>
        <w:t xml:space="preserve">, Affar EB, D'Amours D, Dixit VM, Salvesen GS, Poirier GG. Cleavage of automodified poly(ADP-ribose) polymerase during apoptosis. Evidence for involvement of caspase-7. </w:t>
      </w:r>
      <w:r>
        <w:rPr>
          <w:rFonts w:ascii="Book Antiqua" w:hAnsi="Book Antiqua"/>
          <w:i/>
          <w:iCs/>
        </w:rPr>
        <w:t>J Biol Chem</w:t>
      </w:r>
      <w:r>
        <w:rPr>
          <w:rFonts w:ascii="Book Antiqua" w:hAnsi="Book Antiqua"/>
        </w:rPr>
        <w:t xml:space="preserve"> 1999; </w:t>
      </w:r>
      <w:r>
        <w:rPr>
          <w:rFonts w:ascii="Book Antiqua" w:hAnsi="Book Antiqua"/>
          <w:b/>
          <w:bCs/>
        </w:rPr>
        <w:t>274</w:t>
      </w:r>
      <w:r>
        <w:rPr>
          <w:rFonts w:ascii="Book Antiqua" w:hAnsi="Book Antiqua"/>
        </w:rPr>
        <w:t>: 28379-28384 [PMID: 10497198 DOI: 10.1074/jbc.274.40.28379]</w:t>
      </w:r>
    </w:p>
    <w:p w14:paraId="17A3C564"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40 </w:t>
      </w:r>
      <w:r>
        <w:rPr>
          <w:rFonts w:ascii="Book Antiqua" w:hAnsi="Book Antiqua"/>
          <w:b/>
          <w:bCs/>
        </w:rPr>
        <w:t>Nassar A</w:t>
      </w:r>
      <w:r>
        <w:rPr>
          <w:rFonts w:ascii="Book Antiqua" w:hAnsi="Book Antiqua"/>
        </w:rPr>
        <w:t xml:space="preserve">, Lawson D, Cotsonis G, Cohen C. Survivin and caspase-3 expression in breast cancer: correlation with prognostic parameters, proliferation, angiogenesis, and </w:t>
      </w:r>
      <w:r>
        <w:rPr>
          <w:rFonts w:ascii="Book Antiqua" w:hAnsi="Book Antiqua"/>
        </w:rPr>
        <w:lastRenderedPageBreak/>
        <w:t xml:space="preserve">outcome. </w:t>
      </w:r>
      <w:r>
        <w:rPr>
          <w:rFonts w:ascii="Book Antiqua" w:hAnsi="Book Antiqua"/>
          <w:i/>
          <w:iCs/>
        </w:rPr>
        <w:t>Appl Immunohistochem Mol Morphol</w:t>
      </w:r>
      <w:r>
        <w:rPr>
          <w:rFonts w:ascii="Book Antiqua" w:hAnsi="Book Antiqua"/>
        </w:rPr>
        <w:t xml:space="preserve"> 2008; </w:t>
      </w:r>
      <w:r>
        <w:rPr>
          <w:rFonts w:ascii="Book Antiqua" w:hAnsi="Book Antiqua"/>
          <w:b/>
          <w:bCs/>
        </w:rPr>
        <w:t>16</w:t>
      </w:r>
      <w:r>
        <w:rPr>
          <w:rFonts w:ascii="Book Antiqua" w:hAnsi="Book Antiqua"/>
        </w:rPr>
        <w:t>: 113-120 [PMID: 18227733 DOI: 10.1097/PAI.0b013e318032ea73]</w:t>
      </w:r>
    </w:p>
    <w:p w14:paraId="00D85650"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41 </w:t>
      </w:r>
      <w:r>
        <w:rPr>
          <w:rFonts w:ascii="Book Antiqua" w:hAnsi="Book Antiqua"/>
          <w:b/>
          <w:bCs/>
        </w:rPr>
        <w:t>Mikami D</w:t>
      </w:r>
      <w:r>
        <w:rPr>
          <w:rFonts w:ascii="Book Antiqua" w:hAnsi="Book Antiqua"/>
        </w:rPr>
        <w:t xml:space="preserve">, Kobayashi M, Uwada J, Yazawa T, Kamiyama K, Nishimori K, Nishikawa Y, Nishikawa S, Yokoi S, Taniguchi T, Iwano M. β-Hydroxybutyrate enhances the cytotoxic effect of cisplatin via the inhibition of HDAC/survivin axis in human hepatocellular carcinoma cells. </w:t>
      </w:r>
      <w:r>
        <w:rPr>
          <w:rFonts w:ascii="Book Antiqua" w:hAnsi="Book Antiqua"/>
          <w:i/>
          <w:iCs/>
        </w:rPr>
        <w:t>J Pharmacol Sci</w:t>
      </w:r>
      <w:r>
        <w:rPr>
          <w:rFonts w:ascii="Book Antiqua" w:hAnsi="Book Antiqua"/>
        </w:rPr>
        <w:t xml:space="preserve"> 2020; </w:t>
      </w:r>
      <w:r>
        <w:rPr>
          <w:rFonts w:ascii="Book Antiqua" w:hAnsi="Book Antiqua"/>
          <w:b/>
          <w:bCs/>
        </w:rPr>
        <w:t>142</w:t>
      </w:r>
      <w:r>
        <w:rPr>
          <w:rFonts w:ascii="Book Antiqua" w:hAnsi="Book Antiqua"/>
        </w:rPr>
        <w:t>: 1-8 [PMID: 31757742 DOI: 10.1016/j.jphs.2019.10.007]</w:t>
      </w:r>
    </w:p>
    <w:p w14:paraId="0673EB65"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42 </w:t>
      </w:r>
      <w:r>
        <w:rPr>
          <w:rFonts w:ascii="Book Antiqua" w:hAnsi="Book Antiqua"/>
          <w:b/>
          <w:bCs/>
        </w:rPr>
        <w:t>Siersbæk R</w:t>
      </w:r>
      <w:r>
        <w:rPr>
          <w:rFonts w:ascii="Book Antiqua" w:hAnsi="Book Antiqua"/>
        </w:rPr>
        <w:t xml:space="preserve">, Scabia V, Nagarajan S, Chernukhin I, Papachristou EK, Broome R, Johnston SJ, Joosten SEP, Green AR, Kumar S, Jones J, Omarjee S, Alvarez-Fernandez R, Glont S, Aitken SJ, Kishore K, Cheeseman D, Rakha EA, D'Santos C, Zwart W, Russell A, Brisken C, Carroll JS. IL6/STAT3 Signaling Hijacks Estrogen Receptor α Enhancers to Drive Breast Cancer Metastasis. </w:t>
      </w:r>
      <w:r>
        <w:rPr>
          <w:rFonts w:ascii="Book Antiqua" w:hAnsi="Book Antiqua"/>
          <w:i/>
          <w:iCs/>
        </w:rPr>
        <w:t>Cancer Cell</w:t>
      </w:r>
      <w:r>
        <w:rPr>
          <w:rFonts w:ascii="Book Antiqua" w:hAnsi="Book Antiqua"/>
        </w:rPr>
        <w:t xml:space="preserve"> 2020; </w:t>
      </w:r>
      <w:r>
        <w:rPr>
          <w:rFonts w:ascii="Book Antiqua" w:hAnsi="Book Antiqua"/>
          <w:b/>
          <w:bCs/>
        </w:rPr>
        <w:t>38</w:t>
      </w:r>
      <w:r>
        <w:rPr>
          <w:rFonts w:ascii="Book Antiqua" w:hAnsi="Book Antiqua"/>
        </w:rPr>
        <w:t>: 412-423.e9 [PMID: 32679107 DOI: 10.1016/j.ccell.2020.06.007]</w:t>
      </w:r>
    </w:p>
    <w:p w14:paraId="281A3B3D"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43 </w:t>
      </w:r>
      <w:r>
        <w:rPr>
          <w:rFonts w:ascii="Book Antiqua" w:hAnsi="Book Antiqua"/>
          <w:b/>
          <w:bCs/>
        </w:rPr>
        <w:t>Zhou C</w:t>
      </w:r>
      <w:r>
        <w:rPr>
          <w:rFonts w:ascii="Book Antiqua" w:hAnsi="Book Antiqua"/>
        </w:rPr>
        <w:t xml:space="preserve">, Ma J, Su M, Shao D, Zhao J, Zhao T, Song Z, Meng Y, Jiao P. Down-regulation of STAT3 induces the apoptosis and G1 cell cycle arrest in esophageal carcinoma ECA109 cells. </w:t>
      </w:r>
      <w:r>
        <w:rPr>
          <w:rFonts w:ascii="Book Antiqua" w:hAnsi="Book Antiqua"/>
          <w:i/>
          <w:iCs/>
        </w:rPr>
        <w:t>Cancer Cell Int</w:t>
      </w:r>
      <w:r>
        <w:rPr>
          <w:rFonts w:ascii="Book Antiqua" w:hAnsi="Book Antiqua"/>
        </w:rPr>
        <w:t xml:space="preserve"> 2018; </w:t>
      </w:r>
      <w:r>
        <w:rPr>
          <w:rFonts w:ascii="Book Antiqua" w:hAnsi="Book Antiqua"/>
          <w:b/>
          <w:bCs/>
        </w:rPr>
        <w:t>18</w:t>
      </w:r>
      <w:r>
        <w:rPr>
          <w:rFonts w:ascii="Book Antiqua" w:hAnsi="Book Antiqua"/>
        </w:rPr>
        <w:t>: 53 [PMID: 29636641 DOI: 10.1186/s12935-018-0549-4]</w:t>
      </w:r>
    </w:p>
    <w:p w14:paraId="115F6551"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44 </w:t>
      </w:r>
      <w:r>
        <w:rPr>
          <w:rFonts w:ascii="Book Antiqua" w:hAnsi="Book Antiqua"/>
          <w:b/>
          <w:bCs/>
        </w:rPr>
        <w:t>Gharibi T</w:t>
      </w:r>
      <w:r>
        <w:rPr>
          <w:rFonts w:ascii="Book Antiqua" w:hAnsi="Book Antiqua"/>
        </w:rPr>
        <w:t xml:space="preserve">, Babaloo Z, Hosseini A, Abdollahpour-Alitappeh M, Hashemi V, Marofi F, Nejati K, Baradaran B. Targeting STAT3 in cancer and autoimmune diseases. </w:t>
      </w:r>
      <w:r>
        <w:rPr>
          <w:rFonts w:ascii="Book Antiqua" w:hAnsi="Book Antiqua"/>
          <w:i/>
          <w:iCs/>
        </w:rPr>
        <w:t>Eur J Pharmacol</w:t>
      </w:r>
      <w:r>
        <w:rPr>
          <w:rFonts w:ascii="Book Antiqua" w:hAnsi="Book Antiqua"/>
        </w:rPr>
        <w:t xml:space="preserve"> 2020; </w:t>
      </w:r>
      <w:r>
        <w:rPr>
          <w:rFonts w:ascii="Book Antiqua" w:hAnsi="Book Antiqua"/>
          <w:b/>
          <w:bCs/>
        </w:rPr>
        <w:t>878</w:t>
      </w:r>
      <w:r>
        <w:rPr>
          <w:rFonts w:ascii="Book Antiqua" w:hAnsi="Book Antiqua"/>
        </w:rPr>
        <w:t>: 173107 [PMID: 32278856 DOI: 10.1016/j.ejphar.2020.173107]</w:t>
      </w:r>
    </w:p>
    <w:p w14:paraId="13BE99ED"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45 </w:t>
      </w:r>
      <w:r>
        <w:rPr>
          <w:rFonts w:ascii="Book Antiqua" w:hAnsi="Book Antiqua"/>
          <w:b/>
          <w:bCs/>
        </w:rPr>
        <w:t>Ma JH</w:t>
      </w:r>
      <w:r>
        <w:rPr>
          <w:rFonts w:ascii="Book Antiqua" w:hAnsi="Book Antiqua"/>
        </w:rPr>
        <w:t xml:space="preserve">, Qin L, Li X. Role of STAT3 signaling pathway in breast cancer. </w:t>
      </w:r>
      <w:r>
        <w:rPr>
          <w:rFonts w:ascii="Book Antiqua" w:hAnsi="Book Antiqua"/>
          <w:i/>
          <w:iCs/>
        </w:rPr>
        <w:t>Cell Commun Signal</w:t>
      </w:r>
      <w:r>
        <w:rPr>
          <w:rFonts w:ascii="Book Antiqua" w:hAnsi="Book Antiqua"/>
        </w:rPr>
        <w:t xml:space="preserve"> 2020; </w:t>
      </w:r>
      <w:r>
        <w:rPr>
          <w:rFonts w:ascii="Book Antiqua" w:hAnsi="Book Antiqua"/>
          <w:b/>
          <w:bCs/>
        </w:rPr>
        <w:t>18</w:t>
      </w:r>
      <w:r>
        <w:rPr>
          <w:rFonts w:ascii="Book Antiqua" w:hAnsi="Book Antiqua"/>
        </w:rPr>
        <w:t>: 33 [PMID: 32111215 DOI: 10.1186/s12964-020-0527-z]</w:t>
      </w:r>
    </w:p>
    <w:p w14:paraId="1223CB7D"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46 </w:t>
      </w:r>
      <w:r>
        <w:rPr>
          <w:rFonts w:ascii="Book Antiqua" w:hAnsi="Book Antiqua"/>
          <w:b/>
          <w:bCs/>
        </w:rPr>
        <w:t>Huang Q</w:t>
      </w:r>
      <w:r>
        <w:rPr>
          <w:rFonts w:ascii="Book Antiqua" w:hAnsi="Book Antiqua"/>
        </w:rPr>
        <w:t xml:space="preserve">, Zhong Y, Dong H, Zheng Q, Shi S, Zhu K, Qu X, Hu W, Zhang X, Wang Y. Revisiting signal transducer and activator of transcription 3 (STAT3) as an anticancer target and its inhibitor discovery: Where are we and where should we go? </w:t>
      </w:r>
      <w:r>
        <w:rPr>
          <w:rFonts w:ascii="Book Antiqua" w:hAnsi="Book Antiqua"/>
          <w:i/>
          <w:iCs/>
        </w:rPr>
        <w:t>Eur J Med Chem</w:t>
      </w:r>
      <w:r>
        <w:rPr>
          <w:rFonts w:ascii="Book Antiqua" w:hAnsi="Book Antiqua"/>
        </w:rPr>
        <w:t xml:space="preserve"> 2020; </w:t>
      </w:r>
      <w:r>
        <w:rPr>
          <w:rFonts w:ascii="Book Antiqua" w:hAnsi="Book Antiqua"/>
          <w:b/>
          <w:bCs/>
        </w:rPr>
        <w:t>187</w:t>
      </w:r>
      <w:r>
        <w:rPr>
          <w:rFonts w:ascii="Book Antiqua" w:hAnsi="Book Antiqua"/>
        </w:rPr>
        <w:t>: 111922 [PMID: 31810784 DOI: 10.1016/j.ejmech.2019.111922]</w:t>
      </w:r>
    </w:p>
    <w:p w14:paraId="024246F4"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47 </w:t>
      </w:r>
      <w:r>
        <w:rPr>
          <w:rFonts w:ascii="Book Antiqua" w:hAnsi="Book Antiqua"/>
          <w:b/>
          <w:bCs/>
        </w:rPr>
        <w:t>Huang R</w:t>
      </w:r>
      <w:r>
        <w:rPr>
          <w:rFonts w:ascii="Book Antiqua" w:hAnsi="Book Antiqua"/>
        </w:rPr>
        <w:t xml:space="preserve">, Wang S, Wang N, Zheng Y, Zhou J, Yang B, Wang X, Zhang J, Guo L, Wang S, Chen Z, Wang Z, Xiang S. CCL5 derived from tumor-associated macrophages promotes prostate cancer stem cells and metastasis via activating β-catenin/STAT3 signaling. </w:t>
      </w:r>
      <w:r>
        <w:rPr>
          <w:rFonts w:ascii="Book Antiqua" w:hAnsi="Book Antiqua"/>
          <w:i/>
          <w:iCs/>
        </w:rPr>
        <w:t>Cell Death Dis</w:t>
      </w:r>
      <w:r>
        <w:rPr>
          <w:rFonts w:ascii="Book Antiqua" w:hAnsi="Book Antiqua"/>
        </w:rPr>
        <w:t xml:space="preserve"> 2020; </w:t>
      </w:r>
      <w:r>
        <w:rPr>
          <w:rFonts w:ascii="Book Antiqua" w:hAnsi="Book Antiqua"/>
          <w:b/>
          <w:bCs/>
        </w:rPr>
        <w:t>11</w:t>
      </w:r>
      <w:r>
        <w:rPr>
          <w:rFonts w:ascii="Book Antiqua" w:hAnsi="Book Antiqua"/>
        </w:rPr>
        <w:t>: 234 [PMID: 32300100 DOI: 10.1038/s41419-020-2435-y]</w:t>
      </w:r>
    </w:p>
    <w:p w14:paraId="43A8B3E1" w14:textId="77777777" w:rsidR="006A4945" w:rsidRDefault="00C3017B">
      <w:pPr>
        <w:adjustRightInd w:val="0"/>
        <w:snapToGrid w:val="0"/>
        <w:spacing w:line="360" w:lineRule="auto"/>
        <w:jc w:val="both"/>
        <w:rPr>
          <w:rFonts w:ascii="Book Antiqua" w:hAnsi="Book Antiqua"/>
        </w:rPr>
      </w:pPr>
      <w:r>
        <w:rPr>
          <w:rFonts w:ascii="Book Antiqua" w:hAnsi="Book Antiqua"/>
        </w:rPr>
        <w:lastRenderedPageBreak/>
        <w:t xml:space="preserve">48 </w:t>
      </w:r>
      <w:r>
        <w:rPr>
          <w:rFonts w:ascii="Book Antiqua" w:hAnsi="Book Antiqua"/>
          <w:b/>
          <w:bCs/>
        </w:rPr>
        <w:t>Hindupur SV</w:t>
      </w:r>
      <w:r>
        <w:rPr>
          <w:rFonts w:ascii="Book Antiqua" w:hAnsi="Book Antiqua"/>
        </w:rPr>
        <w:t xml:space="preserve">, Schmid SC, Koch JA, Youssef A, Baur EM, Wang D, Horn T, Slotta-Huspenina J, Gschwend JE, Holm PS, Nawroth R. STAT3/5 Inhibitors Suppress Proliferation in Bladder Cancer and Enhance Oncolytic Adenovirus Therapy.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32046095 DOI: 10.3390/ijms21031106]</w:t>
      </w:r>
    </w:p>
    <w:p w14:paraId="3A098789"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49 </w:t>
      </w:r>
      <w:r>
        <w:rPr>
          <w:rFonts w:ascii="Book Antiqua" w:hAnsi="Book Antiqua"/>
          <w:b/>
          <w:bCs/>
        </w:rPr>
        <w:t>Jing B</w:t>
      </w:r>
      <w:r>
        <w:rPr>
          <w:rFonts w:ascii="Book Antiqua" w:hAnsi="Book Antiqua"/>
        </w:rPr>
        <w:t xml:space="preserve">, Wang T, Sun B, Xu J, Xu D, Liao Y, Song H, Guo W, Li K, Hu M, Zhang S, Ling J, Kuang Y, Zhang T, Zhou BP, Yao F, Deng J. IL6/STAT3 Signaling Orchestrates Premetastatic Niche Formation and Immunosuppressive Traits in Lung. </w:t>
      </w:r>
      <w:r>
        <w:rPr>
          <w:rFonts w:ascii="Book Antiqua" w:hAnsi="Book Antiqua"/>
          <w:i/>
          <w:iCs/>
        </w:rPr>
        <w:t>Cancer Res</w:t>
      </w:r>
      <w:r>
        <w:rPr>
          <w:rFonts w:ascii="Book Antiqua" w:hAnsi="Book Antiqua"/>
        </w:rPr>
        <w:t xml:space="preserve"> 2020; </w:t>
      </w:r>
      <w:r>
        <w:rPr>
          <w:rFonts w:ascii="Book Antiqua" w:hAnsi="Book Antiqua"/>
          <w:b/>
          <w:bCs/>
        </w:rPr>
        <w:t>80</w:t>
      </w:r>
      <w:r>
        <w:rPr>
          <w:rFonts w:ascii="Book Antiqua" w:hAnsi="Book Antiqua"/>
        </w:rPr>
        <w:t>: 784-797 [PMID: 31848193 DOI: 10.1158/0008-5472.CAN-19-2013]</w:t>
      </w:r>
    </w:p>
    <w:p w14:paraId="1AA15BD4"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50 </w:t>
      </w:r>
      <w:r>
        <w:rPr>
          <w:rFonts w:ascii="Book Antiqua" w:hAnsi="Book Antiqua"/>
          <w:b/>
          <w:bCs/>
        </w:rPr>
        <w:t>Herrmann A</w:t>
      </w:r>
      <w:r>
        <w:rPr>
          <w:rFonts w:ascii="Book Antiqua" w:hAnsi="Book Antiqua"/>
        </w:rPr>
        <w:t xml:space="preserve">, Kortylewski M, Kujawski M, Zhang C, Reckamp K, Armstrong B, Wang L, Kowolik C, Deng J, Figlin R, Yu H. Targeting Stat3 in the myeloid compartment drastically improves the in vivo antitumor functions of adoptively transferred T cells. </w:t>
      </w:r>
      <w:r>
        <w:rPr>
          <w:rFonts w:ascii="Book Antiqua" w:hAnsi="Book Antiqua"/>
          <w:i/>
          <w:iCs/>
        </w:rPr>
        <w:t>Cancer Res</w:t>
      </w:r>
      <w:r>
        <w:rPr>
          <w:rFonts w:ascii="Book Antiqua" w:hAnsi="Book Antiqua"/>
        </w:rPr>
        <w:t xml:space="preserve"> 2010; </w:t>
      </w:r>
      <w:r>
        <w:rPr>
          <w:rFonts w:ascii="Book Antiqua" w:hAnsi="Book Antiqua"/>
          <w:b/>
          <w:bCs/>
        </w:rPr>
        <w:t>70</w:t>
      </w:r>
      <w:r>
        <w:rPr>
          <w:rFonts w:ascii="Book Antiqua" w:hAnsi="Book Antiqua"/>
        </w:rPr>
        <w:t>: 7455-7464 [PMID: 20841481 DOI: 10.1158/0008-5472.CAN-10-0736]</w:t>
      </w:r>
    </w:p>
    <w:p w14:paraId="3B4C8B50"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51 </w:t>
      </w:r>
      <w:r>
        <w:rPr>
          <w:rFonts w:ascii="Book Antiqua" w:hAnsi="Book Antiqua"/>
          <w:b/>
          <w:bCs/>
        </w:rPr>
        <w:t>Zou S</w:t>
      </w:r>
      <w:r>
        <w:rPr>
          <w:rFonts w:ascii="Book Antiqua" w:hAnsi="Book Antiqua"/>
        </w:rPr>
        <w:t xml:space="preserve">, Tong Q, Liu B, Huang W, Tian Y, Fu X. Targeting STAT3 in Cancer Immunotherapy. </w:t>
      </w:r>
      <w:r>
        <w:rPr>
          <w:rFonts w:ascii="Book Antiqua" w:hAnsi="Book Antiqua"/>
          <w:i/>
          <w:iCs/>
        </w:rPr>
        <w:t>Mol Cancer</w:t>
      </w:r>
      <w:r>
        <w:rPr>
          <w:rFonts w:ascii="Book Antiqua" w:hAnsi="Book Antiqua"/>
        </w:rPr>
        <w:t xml:space="preserve"> 2020; </w:t>
      </w:r>
      <w:r>
        <w:rPr>
          <w:rFonts w:ascii="Book Antiqua" w:hAnsi="Book Antiqua"/>
          <w:b/>
          <w:bCs/>
        </w:rPr>
        <w:t>19</w:t>
      </w:r>
      <w:r>
        <w:rPr>
          <w:rFonts w:ascii="Book Antiqua" w:hAnsi="Book Antiqua"/>
        </w:rPr>
        <w:t>: 145 [PMID: 32972405 DOI: 10.1186/s12943-020-01258-7]</w:t>
      </w:r>
    </w:p>
    <w:p w14:paraId="028957DB" w14:textId="77777777" w:rsidR="006A4945" w:rsidRDefault="006A4945">
      <w:pPr>
        <w:adjustRightInd w:val="0"/>
        <w:snapToGrid w:val="0"/>
        <w:spacing w:line="360" w:lineRule="auto"/>
        <w:jc w:val="both"/>
        <w:rPr>
          <w:rFonts w:ascii="Book Antiqua" w:hAnsi="Book Antiqua"/>
        </w:rPr>
        <w:sectPr w:rsidR="006A4945">
          <w:footerReference w:type="default" r:id="rId7"/>
          <w:pgSz w:w="12240" w:h="15840"/>
          <w:pgMar w:top="1440" w:right="1440" w:bottom="1440" w:left="1440" w:header="720" w:footer="720" w:gutter="0"/>
          <w:cols w:space="720"/>
          <w:docGrid w:linePitch="360"/>
        </w:sectPr>
      </w:pPr>
    </w:p>
    <w:p w14:paraId="69FC0D3A"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5944B69"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Ethics Committee of Renmin Hospital of Wuhan University approved all procedures involving animals (WDRM#20181114).</w:t>
      </w:r>
    </w:p>
    <w:p w14:paraId="251D9D64" w14:textId="77777777" w:rsidR="006A4945" w:rsidRDefault="006A4945">
      <w:pPr>
        <w:adjustRightInd w:val="0"/>
        <w:snapToGrid w:val="0"/>
        <w:spacing w:line="360" w:lineRule="auto"/>
        <w:jc w:val="both"/>
        <w:rPr>
          <w:rFonts w:ascii="Book Antiqua" w:hAnsi="Book Antiqua"/>
        </w:rPr>
      </w:pPr>
    </w:p>
    <w:p w14:paraId="7C2BB92D"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animal experiments were carried out in accordance with the National Institutes of Health Guide for the Care and Use of Laboratory Animals (NIH</w:t>
      </w:r>
      <w:r>
        <w:rPr>
          <w:rFonts w:ascii="Book Antiqua" w:eastAsia="Book Antiqua" w:hAnsi="Book Antiqua" w:cs="Book Antiqua"/>
          <w:color w:val="000000"/>
        </w:rPr>
        <w:t xml:space="preserve"> Publications No. 8023, revised </w:t>
      </w:r>
      <w:r w:rsidR="002C1FD3">
        <w:rPr>
          <w:rFonts w:ascii="Book Antiqua" w:eastAsia="Book Antiqua" w:hAnsi="Book Antiqua" w:cs="Book Antiqua"/>
          <w:color w:val="000000"/>
        </w:rPr>
        <w:t xml:space="preserve">in </w:t>
      </w:r>
      <w:r>
        <w:rPr>
          <w:rFonts w:ascii="Book Antiqua" w:eastAsia="Book Antiqua" w:hAnsi="Book Antiqua" w:cs="Book Antiqua"/>
          <w:color w:val="000000"/>
        </w:rPr>
        <w:t xml:space="preserve">1978). </w:t>
      </w:r>
    </w:p>
    <w:p w14:paraId="346BE7DD" w14:textId="77777777" w:rsidR="006A4945" w:rsidRDefault="006A4945">
      <w:pPr>
        <w:adjustRightInd w:val="0"/>
        <w:snapToGrid w:val="0"/>
        <w:spacing w:line="360" w:lineRule="auto"/>
        <w:jc w:val="both"/>
        <w:rPr>
          <w:rFonts w:ascii="Book Antiqua" w:hAnsi="Book Antiqua"/>
        </w:rPr>
      </w:pPr>
    </w:p>
    <w:p w14:paraId="2AAACE25"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no conflicts of interest</w:t>
      </w:r>
      <w:r w:rsidR="002C1FD3">
        <w:rPr>
          <w:rFonts w:ascii="Book Antiqua" w:eastAsia="Book Antiqua" w:hAnsi="Book Antiqua" w:cs="Book Antiqua"/>
          <w:color w:val="000000"/>
          <w:shd w:val="clear" w:color="auto" w:fill="FFFFFF"/>
        </w:rPr>
        <w:t xml:space="preserve"> for this manuscript</w:t>
      </w:r>
      <w:r>
        <w:rPr>
          <w:rFonts w:ascii="Book Antiqua" w:eastAsia="Book Antiqua" w:hAnsi="Book Antiqua" w:cs="Book Antiqua"/>
          <w:color w:val="000000"/>
          <w:shd w:val="clear" w:color="auto" w:fill="FFFFFF"/>
        </w:rPr>
        <w:t>.</w:t>
      </w:r>
    </w:p>
    <w:p w14:paraId="75B33881" w14:textId="77777777" w:rsidR="006A4945" w:rsidRDefault="006A4945">
      <w:pPr>
        <w:adjustRightInd w:val="0"/>
        <w:snapToGrid w:val="0"/>
        <w:spacing w:line="360" w:lineRule="auto"/>
        <w:jc w:val="both"/>
        <w:rPr>
          <w:rFonts w:ascii="Book Antiqua" w:hAnsi="Book Antiqua"/>
        </w:rPr>
      </w:pPr>
    </w:p>
    <w:p w14:paraId="778BAF9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44DCF287" w14:textId="77777777" w:rsidR="006A4945" w:rsidRDefault="006A4945">
      <w:pPr>
        <w:adjustRightInd w:val="0"/>
        <w:snapToGrid w:val="0"/>
        <w:spacing w:line="360" w:lineRule="auto"/>
        <w:jc w:val="both"/>
        <w:rPr>
          <w:rFonts w:ascii="Book Antiqua" w:hAnsi="Book Antiqua"/>
        </w:rPr>
      </w:pPr>
    </w:p>
    <w:p w14:paraId="6B50EC73"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1A8BD597" w14:textId="77777777" w:rsidR="006A4945" w:rsidRDefault="006A4945">
      <w:pPr>
        <w:adjustRightInd w:val="0"/>
        <w:snapToGrid w:val="0"/>
        <w:spacing w:line="360" w:lineRule="auto"/>
        <w:jc w:val="both"/>
        <w:rPr>
          <w:rFonts w:ascii="Book Antiqua" w:hAnsi="Book Antiqua"/>
        </w:rPr>
      </w:pPr>
    </w:p>
    <w:p w14:paraId="018DC538"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D3B422" w14:textId="77777777" w:rsidR="006A4945" w:rsidRDefault="006A4945">
      <w:pPr>
        <w:adjustRightInd w:val="0"/>
        <w:snapToGrid w:val="0"/>
        <w:spacing w:line="360" w:lineRule="auto"/>
        <w:jc w:val="both"/>
        <w:rPr>
          <w:rFonts w:ascii="Book Antiqua" w:hAnsi="Book Antiqua"/>
        </w:rPr>
      </w:pPr>
    </w:p>
    <w:p w14:paraId="72B25E6E"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FDDA4B6" w14:textId="77777777" w:rsidR="006A4945" w:rsidRDefault="006A4945">
      <w:pPr>
        <w:adjustRightInd w:val="0"/>
        <w:snapToGrid w:val="0"/>
        <w:spacing w:line="360" w:lineRule="auto"/>
        <w:jc w:val="both"/>
        <w:rPr>
          <w:rFonts w:ascii="Book Antiqua" w:hAnsi="Book Antiqua"/>
        </w:rPr>
      </w:pPr>
    </w:p>
    <w:p w14:paraId="3504B29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20, 2021</w:t>
      </w:r>
    </w:p>
    <w:p w14:paraId="1044D20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12, 2021</w:t>
      </w:r>
    </w:p>
    <w:p w14:paraId="3B394735"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F6D83BD" w14:textId="77777777" w:rsidR="006A4945" w:rsidRDefault="006A4945">
      <w:pPr>
        <w:adjustRightInd w:val="0"/>
        <w:snapToGrid w:val="0"/>
        <w:spacing w:line="360" w:lineRule="auto"/>
        <w:jc w:val="both"/>
        <w:rPr>
          <w:rFonts w:ascii="Book Antiqua" w:hAnsi="Book Antiqua"/>
        </w:rPr>
      </w:pPr>
    </w:p>
    <w:p w14:paraId="4763A813"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 xml:space="preserve">Gastroenterology and </w:t>
      </w:r>
      <w:r w:rsidR="0002445A">
        <w:rPr>
          <w:rFonts w:ascii="Book Antiqua" w:eastAsia="Book Antiqua" w:hAnsi="Book Antiqua" w:cs="Book Antiqua"/>
          <w:color w:val="000000"/>
        </w:rPr>
        <w:t>he</w:t>
      </w:r>
      <w:r>
        <w:rPr>
          <w:rFonts w:ascii="Book Antiqua" w:eastAsia="Book Antiqua" w:hAnsi="Book Antiqua" w:cs="Book Antiqua"/>
          <w:color w:val="000000"/>
        </w:rPr>
        <w:t>patology</w:t>
      </w:r>
    </w:p>
    <w:p w14:paraId="5533C681"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E53286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74162E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Grade A (Excellent): 0</w:t>
      </w:r>
    </w:p>
    <w:p w14:paraId="427B8125"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0</w:t>
      </w:r>
    </w:p>
    <w:p w14:paraId="17164AC0"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C</w:t>
      </w:r>
    </w:p>
    <w:p w14:paraId="4D3E6737"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6E0A7D0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236C2DEC" w14:textId="77777777" w:rsidR="006A4945" w:rsidRDefault="006A4945">
      <w:pPr>
        <w:adjustRightInd w:val="0"/>
        <w:snapToGrid w:val="0"/>
        <w:spacing w:line="360" w:lineRule="auto"/>
        <w:jc w:val="both"/>
        <w:rPr>
          <w:rFonts w:ascii="Book Antiqua" w:hAnsi="Book Antiqua"/>
        </w:rPr>
      </w:pPr>
    </w:p>
    <w:p w14:paraId="082A7441" w14:textId="77777777" w:rsidR="006A4945" w:rsidRDefault="00C3017B">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Caba O</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 </w:t>
      </w:r>
      <w:r w:rsidR="002C1FD3" w:rsidRPr="0008241A">
        <w:rPr>
          <w:rFonts w:ascii="Book Antiqua" w:eastAsia="Book Antiqua" w:hAnsi="Book Antiqua" w:cs="Book Antiqua"/>
          <w:color w:val="000000"/>
        </w:rPr>
        <w:t>Wang TQ</w:t>
      </w:r>
      <w:r w:rsidR="002C1FD3">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5FBA99F5" w14:textId="77777777" w:rsidR="006A4945" w:rsidRDefault="006A4945">
      <w:pPr>
        <w:adjustRightInd w:val="0"/>
        <w:snapToGrid w:val="0"/>
        <w:spacing w:line="360" w:lineRule="auto"/>
        <w:jc w:val="both"/>
        <w:rPr>
          <w:rFonts w:ascii="Book Antiqua" w:hAnsi="Book Antiqua"/>
        </w:rPr>
      </w:pPr>
    </w:p>
    <w:p w14:paraId="14B13CA0" w14:textId="77777777" w:rsidR="006A4945" w:rsidRDefault="006A4945">
      <w:pPr>
        <w:adjustRightInd w:val="0"/>
        <w:snapToGrid w:val="0"/>
        <w:spacing w:line="360" w:lineRule="auto"/>
        <w:jc w:val="both"/>
        <w:rPr>
          <w:rFonts w:ascii="Book Antiqua" w:hAnsi="Book Antiqua"/>
        </w:rPr>
        <w:sectPr w:rsidR="006A4945">
          <w:pgSz w:w="12240" w:h="15840"/>
          <w:pgMar w:top="1440" w:right="1440" w:bottom="1440" w:left="1440" w:header="720" w:footer="720" w:gutter="0"/>
          <w:cols w:space="720"/>
          <w:docGrid w:linePitch="360"/>
        </w:sectPr>
      </w:pPr>
    </w:p>
    <w:p w14:paraId="6E6F79D3"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5A17A3B"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12F6ADAF" wp14:editId="1C71DA48">
            <wp:extent cx="5943600" cy="3220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3220085"/>
                    </a:xfrm>
                    <a:prstGeom prst="rect">
                      <a:avLst/>
                    </a:prstGeom>
                  </pic:spPr>
                </pic:pic>
              </a:graphicData>
            </a:graphic>
          </wp:inline>
        </w:drawing>
      </w:r>
    </w:p>
    <w:p w14:paraId="5EDAF689" w14:textId="438589E8" w:rsidR="006A4945" w:rsidRPr="00A177F8"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Dihydrotansh</w:t>
      </w:r>
      <w:r>
        <w:rPr>
          <w:rFonts w:ascii="Book Antiqua" w:eastAsia="Book Antiqua" w:hAnsi="Book Antiqua" w:cs="Book Antiqua"/>
          <w:b/>
          <w:bCs/>
          <w:color w:val="000000"/>
        </w:rPr>
        <w:t xml:space="preserve">inone I </w:t>
      </w:r>
      <w:r w:rsidR="002C1FD3">
        <w:rPr>
          <w:rFonts w:ascii="Book Antiqua" w:eastAsia="Book Antiqua" w:hAnsi="Book Antiqua" w:cs="Book Antiqua"/>
          <w:b/>
          <w:bCs/>
          <w:color w:val="000000"/>
        </w:rPr>
        <w:t xml:space="preserve">inhibits </w:t>
      </w:r>
      <w:r>
        <w:rPr>
          <w:rFonts w:ascii="Book Antiqua" w:eastAsia="Book Antiqua" w:hAnsi="Book Antiqua" w:cs="Book Antiqua"/>
          <w:b/>
          <w:bCs/>
          <w:color w:val="000000"/>
        </w:rPr>
        <w:t xml:space="preserve">proliferation of esophageal squamous cell carcinoma cells while </w:t>
      </w:r>
      <w:r w:rsidR="002C1FD3">
        <w:rPr>
          <w:rFonts w:ascii="Book Antiqua" w:eastAsia="Book Antiqua" w:hAnsi="Book Antiqua" w:cs="Book Antiqua"/>
          <w:b/>
          <w:bCs/>
          <w:color w:val="000000"/>
        </w:rPr>
        <w:t xml:space="preserve">showing </w:t>
      </w:r>
      <w:r>
        <w:rPr>
          <w:rFonts w:ascii="Book Antiqua" w:eastAsia="Book Antiqua" w:hAnsi="Book Antiqua" w:cs="Book Antiqua"/>
          <w:b/>
          <w:bCs/>
          <w:color w:val="000000"/>
        </w:rPr>
        <w:t xml:space="preserve">no proliferation inhibition in normal esophageal epithelial cells. </w:t>
      </w:r>
      <w:r>
        <w:rPr>
          <w:rFonts w:ascii="Book Antiqua" w:eastAsia="Book Antiqua" w:hAnsi="Book Antiqua" w:cs="Book Antiqua"/>
          <w:color w:val="000000"/>
        </w:rPr>
        <w:t>A-E</w:t>
      </w:r>
      <w:r>
        <w:rPr>
          <w:rFonts w:ascii="Book Antiqua" w:eastAsia="宋体" w:hAnsi="Book Antiqua" w:cs="宋体"/>
          <w:color w:val="000000"/>
          <w:lang w:eastAsia="zh-CN"/>
        </w:rPr>
        <w:t xml:space="preserve">: </w:t>
      </w:r>
      <w:r>
        <w:rPr>
          <w:rFonts w:ascii="Book Antiqua" w:eastAsia="Book Antiqua" w:hAnsi="Book Antiqua" w:cs="Book Antiqua"/>
          <w:color w:val="000000"/>
        </w:rPr>
        <w:t>Cell viability of esophageal squamous cell carcinoma cells (KYSE30, Eca109, KYSE-450, and KYSE-510) and normal esophageal epithelial cells (Het-1A)</w:t>
      </w:r>
      <w:r w:rsidR="002C1FD3">
        <w:rPr>
          <w:rFonts w:ascii="Book Antiqua" w:eastAsia="Book Antiqua" w:hAnsi="Book Antiqua" w:cs="Book Antiqua"/>
          <w:color w:val="000000"/>
        </w:rPr>
        <w:t xml:space="preserve"> </w:t>
      </w:r>
      <w:r>
        <w:rPr>
          <w:rFonts w:ascii="Book Antiqua" w:eastAsia="Book Antiqua" w:hAnsi="Book Antiqua" w:cs="Book Antiqua"/>
          <w:color w:val="000000"/>
        </w:rPr>
        <w:t>after treatment with dihydro</w:t>
      </w:r>
      <w:r>
        <w:rPr>
          <w:rFonts w:ascii="Book Antiqua" w:eastAsia="Book Antiqua" w:hAnsi="Book Antiqua" w:cs="Book Antiqua"/>
          <w:color w:val="000000"/>
        </w:rPr>
        <w:t xml:space="preserve">tanshinone I for 12 h, 24 h, and 36 h. DHTS: Dihydrotanshinone </w:t>
      </w:r>
      <w:r>
        <w:rPr>
          <w:rFonts w:ascii="Book Antiqua" w:eastAsia="宋体" w:hAnsi="Book Antiqua" w:cs="宋体"/>
          <w:color w:val="000000"/>
          <w:lang w:eastAsia="zh-CN"/>
        </w:rPr>
        <w:t>I</w:t>
      </w:r>
      <w:r>
        <w:rPr>
          <w:rFonts w:ascii="Book Antiqua" w:eastAsia="Book Antiqua" w:hAnsi="Book Antiqua" w:cs="Book Antiqua"/>
          <w:color w:val="000000"/>
        </w:rPr>
        <w:t>.</w:t>
      </w:r>
    </w:p>
    <w:p w14:paraId="1130BC17"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56CFCF7A" wp14:editId="7D57548E">
            <wp:extent cx="5943600" cy="30441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943600" cy="3044190"/>
                    </a:xfrm>
                    <a:prstGeom prst="rect">
                      <a:avLst/>
                    </a:prstGeom>
                  </pic:spPr>
                </pic:pic>
              </a:graphicData>
            </a:graphic>
          </wp:inline>
        </w:drawing>
      </w:r>
      <w:r>
        <w:rPr>
          <w:rFonts w:ascii="Book Antiqua" w:eastAsia="Book Antiqua" w:hAnsi="Book Antiqua" w:cs="Book Antiqua"/>
          <w:b/>
          <w:bCs/>
          <w:color w:val="000000"/>
        </w:rPr>
        <w:t xml:space="preserve"> </w:t>
      </w:r>
      <w:r>
        <w:rPr>
          <w:rFonts w:ascii="Book Antiqua" w:hAnsi="Book Antiqua"/>
          <w:noProof/>
          <w:lang w:eastAsia="zh-CN"/>
        </w:rPr>
        <w:drawing>
          <wp:inline distT="0" distB="0" distL="0" distR="0" wp14:anchorId="1A53D89B" wp14:editId="1DA96018">
            <wp:extent cx="5943600" cy="29660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943600" cy="2966085"/>
                    </a:xfrm>
                    <a:prstGeom prst="rect">
                      <a:avLst/>
                    </a:prstGeom>
                  </pic:spPr>
                </pic:pic>
              </a:graphicData>
            </a:graphic>
          </wp:inline>
        </w:drawing>
      </w:r>
      <w:r>
        <w:rPr>
          <w:rFonts w:ascii="Book Antiqua" w:eastAsia="Book Antiqua" w:hAnsi="Book Antiqua" w:cs="Book Antiqua"/>
          <w:b/>
          <w:bCs/>
          <w:color w:val="000000"/>
        </w:rPr>
        <w:t xml:space="preserve"> </w:t>
      </w:r>
    </w:p>
    <w:p w14:paraId="15AC7B6D"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05D82B86" wp14:editId="510A6D00">
            <wp:extent cx="5356225" cy="2463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360359" cy="2465994"/>
                    </a:xfrm>
                    <a:prstGeom prst="rect">
                      <a:avLst/>
                    </a:prstGeom>
                  </pic:spPr>
                </pic:pic>
              </a:graphicData>
            </a:graphic>
          </wp:inline>
        </w:drawing>
      </w:r>
      <w:r>
        <w:rPr>
          <w:rFonts w:ascii="Book Antiqua" w:eastAsia="Book Antiqua" w:hAnsi="Book Antiqua" w:cs="Book Antiqua"/>
          <w:b/>
          <w:bCs/>
          <w:color w:val="000000"/>
        </w:rPr>
        <w:t xml:space="preserve"> </w:t>
      </w:r>
    </w:p>
    <w:p w14:paraId="1507B980" w14:textId="4AE907D8" w:rsidR="006A4945"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w:t>
      </w:r>
      <w:r>
        <w:rPr>
          <w:rFonts w:ascii="Book Antiqua" w:eastAsia="Book Antiqua" w:hAnsi="Book Antiqua" w:cs="Book Antiqua"/>
          <w:b/>
          <w:bCs/>
          <w:color w:val="000000"/>
        </w:rPr>
        <w:t>Dihydrotanshino</w:t>
      </w:r>
      <w:r>
        <w:rPr>
          <w:rFonts w:ascii="Book Antiqua" w:eastAsia="Book Antiqua" w:hAnsi="Book Antiqua" w:cs="Book Antiqua"/>
          <w:b/>
          <w:bCs/>
          <w:color w:val="000000"/>
        </w:rPr>
        <w:t xml:space="preserve">ne I </w:t>
      </w:r>
      <w:r w:rsidR="002C1FD3">
        <w:rPr>
          <w:rFonts w:ascii="Book Antiqua" w:eastAsia="Book Antiqua" w:hAnsi="Book Antiqua" w:cs="Book Antiqua"/>
          <w:b/>
          <w:bCs/>
          <w:color w:val="000000"/>
        </w:rPr>
        <w:t xml:space="preserve">induces </w:t>
      </w:r>
      <w:r>
        <w:rPr>
          <w:rFonts w:ascii="Book Antiqua" w:eastAsia="Book Antiqua" w:hAnsi="Book Antiqua" w:cs="Book Antiqua"/>
          <w:b/>
          <w:bCs/>
          <w:color w:val="000000"/>
        </w:rPr>
        <w:t xml:space="preserve">cell cycle arrest in the G0/1 phase in esophageal squamous cell carcinoma cells. </w:t>
      </w:r>
      <w:r>
        <w:rPr>
          <w:rFonts w:ascii="Book Antiqua" w:eastAsia="Book Antiqua" w:hAnsi="Book Antiqua" w:cs="Book Antiqua"/>
          <w:color w:val="000000"/>
        </w:rPr>
        <w:t>A</w:t>
      </w:r>
      <w:r w:rsidR="002C1FD3">
        <w:rPr>
          <w:rFonts w:ascii="Book Antiqua" w:eastAsia="Book Antiqua" w:hAnsi="Book Antiqua" w:cs="Book Antiqua"/>
          <w:color w:val="000000"/>
        </w:rPr>
        <w:t xml:space="preserve"> and </w:t>
      </w:r>
      <w:r>
        <w:rPr>
          <w:rFonts w:ascii="Book Antiqua" w:eastAsia="Book Antiqua" w:hAnsi="Book Antiqua" w:cs="Book Antiqua"/>
          <w:color w:val="000000"/>
        </w:rPr>
        <w:t>B: Cell cycle</w:t>
      </w:r>
      <w:r w:rsidR="002C1FD3">
        <w:rPr>
          <w:rFonts w:ascii="Book Antiqua" w:eastAsia="Book Antiqua" w:hAnsi="Book Antiqua" w:cs="Book Antiqua"/>
          <w:color w:val="000000"/>
        </w:rPr>
        <w:t xml:space="preserve"> </w:t>
      </w:r>
      <w:r w:rsidR="0008241A">
        <w:rPr>
          <w:rFonts w:ascii="Book Antiqua" w:eastAsia="Book Antiqua" w:hAnsi="Book Antiqua" w:cs="Book Antiqua"/>
          <w:color w:val="000000"/>
        </w:rPr>
        <w:t xml:space="preserve">distribution </w:t>
      </w:r>
      <w:r>
        <w:rPr>
          <w:rFonts w:ascii="Book Antiqua" w:eastAsia="Book Antiqua" w:hAnsi="Book Antiqua" w:cs="Book Antiqua"/>
          <w:color w:val="000000"/>
        </w:rPr>
        <w:t>after treatment with DHTS for 24 h in KYSE30 cells and Eca109 cells; C</w:t>
      </w:r>
      <w:r w:rsidR="002C1FD3">
        <w:rPr>
          <w:rFonts w:ascii="Book Antiqua" w:eastAsia="Book Antiqua" w:hAnsi="Book Antiqua" w:cs="Book Antiqua"/>
          <w:color w:val="000000"/>
        </w:rPr>
        <w:t xml:space="preserve"> and </w:t>
      </w:r>
      <w:r>
        <w:rPr>
          <w:rFonts w:ascii="Book Antiqua" w:eastAsia="Book Antiqua" w:hAnsi="Book Antiqua" w:cs="Book Antiqua"/>
          <w:color w:val="000000"/>
        </w:rPr>
        <w:t>D:</w:t>
      </w:r>
      <w:r>
        <w:rPr>
          <w:rFonts w:ascii="Book Antiqua" w:eastAsia="Book Antiqua" w:hAnsi="Book Antiqua" w:cs="Book Antiqua"/>
          <w:b/>
          <w:bCs/>
          <w:color w:val="000000"/>
        </w:rPr>
        <w:t> </w:t>
      </w:r>
      <w:r>
        <w:rPr>
          <w:rFonts w:ascii="Book Antiqua" w:eastAsia="Book Antiqua" w:hAnsi="Book Antiqua" w:cs="Book Antiqua"/>
          <w:color w:val="000000"/>
        </w:rPr>
        <w:t xml:space="preserve">Western blot </w:t>
      </w:r>
      <w:r w:rsidR="002C1FD3">
        <w:rPr>
          <w:rFonts w:ascii="Book Antiqua" w:eastAsia="Book Antiqua" w:hAnsi="Book Antiqua" w:cs="Book Antiqua"/>
          <w:color w:val="000000"/>
        </w:rPr>
        <w:t>analysis of</w:t>
      </w:r>
      <w:r>
        <w:rPr>
          <w:rFonts w:ascii="Book Antiqua" w:eastAsia="Book Antiqua" w:hAnsi="Book Antiqua" w:cs="Book Antiqua"/>
          <w:color w:val="000000"/>
        </w:rPr>
        <w:t xml:space="preserve"> proteins associated with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cell cycle in KYSE30 cells and Eca109 cells.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vs</w:t>
      </w:r>
      <w:r w:rsidR="002C1FD3">
        <w:rPr>
          <w:rFonts w:ascii="Book Antiqua" w:eastAsia="Book Antiqua" w:hAnsi="Book Antiqua" w:cs="Book Antiqua"/>
          <w:color w:val="000000"/>
        </w:rPr>
        <w:t xml:space="preserve"> </w:t>
      </w:r>
      <w:r>
        <w:rPr>
          <w:rFonts w:ascii="Book Antiqua" w:eastAsia="Book Antiqua" w:hAnsi="Book Antiqua" w:cs="Book Antiqua"/>
          <w:color w:val="000000"/>
        </w:rPr>
        <w:t>control.</w:t>
      </w:r>
      <w:r>
        <w:rPr>
          <w:rFonts w:ascii="Book Antiqua" w:hAnsi="Book Antiqua" w:cs="Book Antiqua"/>
          <w:color w:val="000000"/>
          <w:lang w:eastAsia="zh-CN"/>
        </w:rPr>
        <w:t xml:space="preserve"> </w:t>
      </w:r>
      <w:r>
        <w:rPr>
          <w:rFonts w:ascii="Book Antiqua" w:eastAsia="Book Antiqua" w:hAnsi="Book Antiqua" w:cs="Book Antiqua"/>
          <w:color w:val="000000"/>
        </w:rPr>
        <w:t xml:space="preserve">DHTS: Dihydrotanshinone </w:t>
      </w:r>
      <w:r>
        <w:rPr>
          <w:rFonts w:ascii="Book Antiqua" w:eastAsia="宋体" w:hAnsi="Book Antiqua" w:cs="宋体"/>
          <w:color w:val="000000"/>
          <w:lang w:eastAsia="zh-CN"/>
        </w:rPr>
        <w:t>I</w:t>
      </w:r>
      <w:r>
        <w:rPr>
          <w:rFonts w:ascii="Book Antiqua" w:eastAsia="Book Antiqua" w:hAnsi="Book Antiqua" w:cs="Book Antiqua"/>
          <w:color w:val="000000"/>
        </w:rPr>
        <w:t>.</w:t>
      </w:r>
    </w:p>
    <w:p w14:paraId="6464201D" w14:textId="77777777" w:rsidR="006A4945" w:rsidRDefault="006A4945">
      <w:pPr>
        <w:adjustRightInd w:val="0"/>
        <w:snapToGrid w:val="0"/>
        <w:spacing w:line="360" w:lineRule="auto"/>
        <w:jc w:val="both"/>
        <w:rPr>
          <w:rFonts w:ascii="Book Antiqua" w:hAnsi="Book Antiqua"/>
        </w:rPr>
      </w:pPr>
    </w:p>
    <w:p w14:paraId="7030F6B6"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1804711E" wp14:editId="7D7456C0">
            <wp:extent cx="5943600" cy="3355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43600" cy="3355340"/>
                    </a:xfrm>
                    <a:prstGeom prst="rect">
                      <a:avLst/>
                    </a:prstGeom>
                  </pic:spPr>
                </pic:pic>
              </a:graphicData>
            </a:graphic>
          </wp:inline>
        </w:drawing>
      </w:r>
    </w:p>
    <w:p w14:paraId="21759FD3"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7330EF32" wp14:editId="37553D49">
            <wp:extent cx="5943600" cy="29381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943600" cy="2938145"/>
                    </a:xfrm>
                    <a:prstGeom prst="rect">
                      <a:avLst/>
                    </a:prstGeom>
                  </pic:spPr>
                </pic:pic>
              </a:graphicData>
            </a:graphic>
          </wp:inline>
        </w:drawing>
      </w:r>
      <w:r>
        <w:rPr>
          <w:rFonts w:ascii="Book Antiqua" w:hAnsi="Book Antiqua"/>
          <w:noProof/>
          <w:lang w:eastAsia="zh-CN"/>
        </w:rPr>
        <w:drawing>
          <wp:inline distT="0" distB="0" distL="0" distR="0" wp14:anchorId="5C1CF78E" wp14:editId="5E51DADA">
            <wp:extent cx="5943600" cy="2901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943600" cy="2901950"/>
                    </a:xfrm>
                    <a:prstGeom prst="rect">
                      <a:avLst/>
                    </a:prstGeom>
                  </pic:spPr>
                </pic:pic>
              </a:graphicData>
            </a:graphic>
          </wp:inline>
        </w:drawing>
      </w:r>
    </w:p>
    <w:p w14:paraId="3881374C" w14:textId="1D9B4B80" w:rsidR="006A4945"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Dihydrotanshin</w:t>
      </w:r>
      <w:r>
        <w:rPr>
          <w:rFonts w:ascii="Book Antiqua" w:eastAsia="Book Antiqua" w:hAnsi="Book Antiqua" w:cs="Book Antiqua"/>
          <w:b/>
          <w:bCs/>
          <w:color w:val="000000"/>
        </w:rPr>
        <w:t xml:space="preserve">one I </w:t>
      </w:r>
      <w:r w:rsidR="002C1FD3">
        <w:rPr>
          <w:rFonts w:ascii="Book Antiqua" w:eastAsia="Book Antiqua" w:hAnsi="Book Antiqua" w:cs="Book Antiqua"/>
          <w:b/>
          <w:bCs/>
          <w:color w:val="000000"/>
        </w:rPr>
        <w:t xml:space="preserve">induces </w:t>
      </w:r>
      <w:r>
        <w:rPr>
          <w:rFonts w:ascii="Book Antiqua" w:eastAsia="Book Antiqua" w:hAnsi="Book Antiqua" w:cs="Book Antiqua"/>
          <w:b/>
          <w:bCs/>
          <w:color w:val="000000"/>
        </w:rPr>
        <w:t>apoptosis in esophageal squamous cell carcinoma cells. </w:t>
      </w:r>
      <w:r>
        <w:rPr>
          <w:rFonts w:ascii="Book Antiqua" w:eastAsia="Book Antiqua" w:hAnsi="Book Antiqua" w:cs="Book Antiqua"/>
          <w:color w:val="000000"/>
        </w:rPr>
        <w:t>A and B: Cell apoptosis</w:t>
      </w:r>
      <w:r w:rsidR="002C1FD3">
        <w:rPr>
          <w:rFonts w:ascii="Book Antiqua" w:eastAsia="Book Antiqua" w:hAnsi="Book Antiqua" w:cs="Book Antiqua"/>
          <w:color w:val="000000"/>
        </w:rPr>
        <w:t xml:space="preserve"> </w:t>
      </w:r>
      <w:r>
        <w:rPr>
          <w:rFonts w:ascii="Book Antiqua" w:eastAsia="Book Antiqua" w:hAnsi="Book Antiqua" w:cs="Book Antiqua"/>
          <w:color w:val="000000"/>
        </w:rPr>
        <w:t>analyzed using flow cytometry with annexin V-PE/7-ADD double staining in KYSE30 cells and Eca109 cells; C and D: Apoptosis-related morphologic changes in the cells</w:t>
      </w:r>
      <w:r w:rsidR="002C1FD3">
        <w:rPr>
          <w:rFonts w:ascii="Book Antiqua" w:eastAsia="Book Antiqua" w:hAnsi="Book Antiqua" w:cs="Book Antiqua"/>
          <w:color w:val="000000"/>
        </w:rPr>
        <w:t xml:space="preserve"> </w:t>
      </w:r>
      <w:r>
        <w:rPr>
          <w:rFonts w:ascii="Book Antiqua" w:eastAsia="Book Antiqua" w:hAnsi="Book Antiqua" w:cs="Book Antiqua"/>
          <w:color w:val="000000"/>
        </w:rPr>
        <w:t xml:space="preserve">detected using Hoechst 33258 staining in KYSE30 cells and Eca109 cells.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con</w:t>
      </w:r>
      <w:r>
        <w:rPr>
          <w:rFonts w:ascii="Book Antiqua" w:eastAsia="Book Antiqua" w:hAnsi="Book Antiqua" w:cs="Book Antiqua"/>
          <w:color w:val="000000"/>
        </w:rPr>
        <w:t>trol.</w:t>
      </w:r>
    </w:p>
    <w:p w14:paraId="503329B0" w14:textId="77777777" w:rsidR="006A4945" w:rsidRDefault="006A4945">
      <w:pPr>
        <w:adjustRightInd w:val="0"/>
        <w:snapToGrid w:val="0"/>
        <w:spacing w:line="360" w:lineRule="auto"/>
        <w:jc w:val="both"/>
        <w:rPr>
          <w:rFonts w:ascii="Book Antiqua" w:hAnsi="Book Antiqua"/>
        </w:rPr>
      </w:pPr>
    </w:p>
    <w:p w14:paraId="55D31EED" w14:textId="77777777" w:rsidR="006A4945" w:rsidRDefault="006A4945">
      <w:pPr>
        <w:adjustRightInd w:val="0"/>
        <w:snapToGrid w:val="0"/>
        <w:spacing w:line="360" w:lineRule="auto"/>
        <w:jc w:val="both"/>
        <w:rPr>
          <w:rFonts w:ascii="Book Antiqua" w:eastAsia="Book Antiqua" w:hAnsi="Book Antiqua" w:cs="Book Antiqua"/>
          <w:b/>
          <w:bCs/>
          <w:color w:val="000000"/>
        </w:rPr>
      </w:pPr>
    </w:p>
    <w:p w14:paraId="1F5649B5" w14:textId="77777777" w:rsidR="006A4945" w:rsidRDefault="006A4945">
      <w:pPr>
        <w:adjustRightInd w:val="0"/>
        <w:snapToGrid w:val="0"/>
        <w:spacing w:line="360" w:lineRule="auto"/>
        <w:jc w:val="both"/>
        <w:rPr>
          <w:rFonts w:ascii="Book Antiqua" w:eastAsia="Book Antiqua" w:hAnsi="Book Antiqua" w:cs="Book Antiqua"/>
          <w:b/>
          <w:bCs/>
          <w:color w:val="000000"/>
        </w:rPr>
      </w:pPr>
    </w:p>
    <w:p w14:paraId="4C5675E7"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0545B5FD" wp14:editId="5E6367C0">
            <wp:extent cx="5943600" cy="35515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943600" cy="3551555"/>
                    </a:xfrm>
                    <a:prstGeom prst="rect">
                      <a:avLst/>
                    </a:prstGeom>
                  </pic:spPr>
                </pic:pic>
              </a:graphicData>
            </a:graphic>
          </wp:inline>
        </w:drawing>
      </w:r>
    </w:p>
    <w:p w14:paraId="2BF5EDE5" w14:textId="03B69F06" w:rsidR="006A4945"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Dihydrotansh</w:t>
      </w:r>
      <w:r>
        <w:rPr>
          <w:rFonts w:ascii="Book Antiqua" w:eastAsia="Book Antiqua" w:hAnsi="Book Antiqua" w:cs="Book Antiqua"/>
          <w:b/>
          <w:bCs/>
          <w:color w:val="000000"/>
        </w:rPr>
        <w:t xml:space="preserve">inone I </w:t>
      </w:r>
      <w:r w:rsidR="002C1FD3">
        <w:rPr>
          <w:rFonts w:ascii="Book Antiqua" w:eastAsia="Book Antiqua" w:hAnsi="Book Antiqua" w:cs="Book Antiqua"/>
          <w:b/>
          <w:bCs/>
          <w:color w:val="000000"/>
        </w:rPr>
        <w:t xml:space="preserve">does </w:t>
      </w:r>
      <w:r>
        <w:rPr>
          <w:rFonts w:ascii="Book Antiqua" w:eastAsia="Book Antiqua" w:hAnsi="Book Antiqua" w:cs="Book Antiqua"/>
          <w:b/>
          <w:bCs/>
          <w:color w:val="000000"/>
        </w:rPr>
        <w:t>not induce apoptosis significantly in normal esophageal epithelial cells. </w:t>
      </w:r>
      <w:r>
        <w:rPr>
          <w:rFonts w:ascii="Book Antiqua" w:eastAsia="Book Antiqua" w:hAnsi="Book Antiqua" w:cs="Book Antiqua"/>
          <w:color w:val="000000"/>
        </w:rPr>
        <w:t>A</w:t>
      </w:r>
      <w:r w:rsidR="00A177F8">
        <w:rPr>
          <w:rFonts w:ascii="Book Antiqua" w:eastAsia="Book Antiqua" w:hAnsi="Book Antiqua" w:cs="Book Antiqua"/>
          <w:color w:val="000000"/>
        </w:rPr>
        <w:t xml:space="preserve"> and </w:t>
      </w:r>
      <w:r>
        <w:rPr>
          <w:rFonts w:ascii="Book Antiqua" w:eastAsia="Book Antiqua" w:hAnsi="Book Antiqua" w:cs="Book Antiqua"/>
          <w:color w:val="000000"/>
        </w:rPr>
        <w:t>B: Cell apoptosis</w:t>
      </w:r>
      <w:r w:rsidR="002C1FD3">
        <w:rPr>
          <w:rFonts w:ascii="Book Antiqua" w:eastAsia="Book Antiqua" w:hAnsi="Book Antiqua" w:cs="Book Antiqua"/>
          <w:color w:val="000000"/>
        </w:rPr>
        <w:t xml:space="preserve"> </w:t>
      </w:r>
      <w:r>
        <w:rPr>
          <w:rFonts w:ascii="Book Antiqua" w:eastAsia="Book Antiqua" w:hAnsi="Book Antiqua" w:cs="Book Antiqua"/>
          <w:color w:val="000000"/>
        </w:rPr>
        <w:t xml:space="preserve">analyzed using flow cytometry with annexin V-PE/7-ADD double staining in Het-1A cells.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c</w:t>
      </w:r>
      <w:r>
        <w:rPr>
          <w:rFonts w:ascii="Book Antiqua" w:eastAsia="Book Antiqua" w:hAnsi="Book Antiqua" w:cs="Book Antiqua"/>
          <w:color w:val="000000"/>
        </w:rPr>
        <w:t>ontrol.</w:t>
      </w:r>
    </w:p>
    <w:p w14:paraId="14B42EE7" w14:textId="77777777" w:rsidR="006A4945" w:rsidRDefault="006A4945">
      <w:pPr>
        <w:adjustRightInd w:val="0"/>
        <w:snapToGrid w:val="0"/>
        <w:spacing w:line="360" w:lineRule="auto"/>
        <w:jc w:val="both"/>
        <w:rPr>
          <w:rFonts w:ascii="Book Antiqua" w:hAnsi="Book Antiqua"/>
        </w:rPr>
      </w:pPr>
    </w:p>
    <w:p w14:paraId="5F781D0C"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26901D79" wp14:editId="01C773F1">
            <wp:extent cx="5943600" cy="40557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943600" cy="4055745"/>
                    </a:xfrm>
                    <a:prstGeom prst="rect">
                      <a:avLst/>
                    </a:prstGeom>
                  </pic:spPr>
                </pic:pic>
              </a:graphicData>
            </a:graphic>
          </wp:inline>
        </w:drawing>
      </w:r>
      <w:r>
        <w:rPr>
          <w:rFonts w:ascii="Book Antiqua" w:eastAsia="Book Antiqua" w:hAnsi="Book Antiqua" w:cs="Book Antiqua"/>
          <w:b/>
          <w:bCs/>
          <w:color w:val="000000"/>
        </w:rPr>
        <w:t xml:space="preserve"> </w:t>
      </w:r>
    </w:p>
    <w:p w14:paraId="1DFF39FE" w14:textId="77777777" w:rsidR="006A4945" w:rsidRDefault="006A4945">
      <w:pPr>
        <w:adjustRightInd w:val="0"/>
        <w:snapToGrid w:val="0"/>
        <w:spacing w:line="360" w:lineRule="auto"/>
        <w:jc w:val="both"/>
        <w:rPr>
          <w:rFonts w:ascii="Book Antiqua" w:eastAsia="Book Antiqua" w:hAnsi="Book Antiqua" w:cs="Book Antiqua"/>
          <w:b/>
          <w:bCs/>
          <w:color w:val="000000"/>
        </w:rPr>
      </w:pPr>
    </w:p>
    <w:p w14:paraId="63607693"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5BB794E1" wp14:editId="2CD75BA6">
            <wp:extent cx="5943600" cy="26904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943600" cy="2690495"/>
                    </a:xfrm>
                    <a:prstGeom prst="rect">
                      <a:avLst/>
                    </a:prstGeom>
                  </pic:spPr>
                </pic:pic>
              </a:graphicData>
            </a:graphic>
          </wp:inline>
        </w:drawing>
      </w:r>
      <w:r>
        <w:rPr>
          <w:rFonts w:ascii="Book Antiqua" w:eastAsia="Book Antiqua" w:hAnsi="Book Antiqua" w:cs="Book Antiqua"/>
          <w:b/>
          <w:bCs/>
          <w:color w:val="000000"/>
        </w:rPr>
        <w:t xml:space="preserve"> </w:t>
      </w:r>
    </w:p>
    <w:p w14:paraId="06B1D32D" w14:textId="094DAD84" w:rsidR="006A4945"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Dihydrotanshin</w:t>
      </w:r>
      <w:r>
        <w:rPr>
          <w:rFonts w:ascii="Book Antiqua" w:eastAsia="Book Antiqua" w:hAnsi="Book Antiqua" w:cs="Book Antiqua"/>
          <w:b/>
          <w:bCs/>
          <w:color w:val="000000"/>
        </w:rPr>
        <w:t xml:space="preserve">one I </w:t>
      </w:r>
      <w:r w:rsidR="002C1FD3">
        <w:rPr>
          <w:rFonts w:ascii="Book Antiqua" w:eastAsia="Book Antiqua" w:hAnsi="Book Antiqua" w:cs="Book Antiqua"/>
          <w:b/>
          <w:bCs/>
          <w:color w:val="000000"/>
        </w:rPr>
        <w:t xml:space="preserve">activates the </w:t>
      </w:r>
      <w:r>
        <w:rPr>
          <w:rFonts w:ascii="Book Antiqua" w:eastAsia="Book Antiqua" w:hAnsi="Book Antiqua" w:cs="Book Antiqua"/>
          <w:b/>
          <w:bCs/>
          <w:color w:val="000000"/>
        </w:rPr>
        <w:t xml:space="preserve">mitochondrial pathway in esophageal squamous cell carcinoma cells. </w:t>
      </w:r>
      <w:r>
        <w:rPr>
          <w:rFonts w:ascii="Book Antiqua" w:eastAsia="Book Antiqua" w:hAnsi="Book Antiqua" w:cs="Book Antiqua"/>
          <w:color w:val="000000"/>
        </w:rPr>
        <w:t>A</w:t>
      </w:r>
      <w:r w:rsidR="002C1FD3">
        <w:rPr>
          <w:rFonts w:ascii="Book Antiqua" w:eastAsia="Book Antiqua" w:hAnsi="Book Antiqua" w:cs="Book Antiqua"/>
          <w:color w:val="000000"/>
        </w:rPr>
        <w:t xml:space="preserve"> and </w:t>
      </w:r>
      <w:r>
        <w:rPr>
          <w:rFonts w:ascii="Book Antiqua" w:eastAsia="Book Antiqua" w:hAnsi="Book Antiqua" w:cs="Book Antiqua"/>
          <w:color w:val="000000"/>
        </w:rPr>
        <w:t>B:</w:t>
      </w:r>
      <w:r>
        <w:rPr>
          <w:rFonts w:ascii="Book Antiqua" w:eastAsia="Book Antiqua" w:hAnsi="Book Antiqua" w:cs="Book Antiqua"/>
          <w:b/>
          <w:bCs/>
          <w:color w:val="000000"/>
        </w:rPr>
        <w:t> </w:t>
      </w:r>
      <w:r>
        <w:rPr>
          <w:rFonts w:ascii="Book Antiqua" w:eastAsia="Book Antiqua" w:hAnsi="Book Antiqua" w:cs="Book Antiqua"/>
          <w:color w:val="000000"/>
        </w:rPr>
        <w:t xml:space="preserve">Bax and Bcl2 </w:t>
      </w:r>
      <w:r w:rsidR="002C1FD3">
        <w:rPr>
          <w:rFonts w:ascii="Book Antiqua" w:eastAsia="Book Antiqua" w:hAnsi="Book Antiqua" w:cs="Book Antiqua"/>
          <w:color w:val="000000"/>
        </w:rPr>
        <w:t xml:space="preserve">levels </w:t>
      </w:r>
      <w:r>
        <w:rPr>
          <w:rFonts w:ascii="Book Antiqua" w:eastAsia="Book Antiqua" w:hAnsi="Book Antiqua" w:cs="Book Antiqua"/>
          <w:color w:val="000000"/>
        </w:rPr>
        <w:t xml:space="preserve">detected using </w:t>
      </w:r>
      <w:r w:rsidR="002C1FD3">
        <w:rPr>
          <w:rFonts w:ascii="Book Antiqua" w:eastAsia="Book Antiqua" w:hAnsi="Book Antiqua" w:cs="Book Antiqua"/>
          <w:color w:val="000000"/>
        </w:rPr>
        <w:t xml:space="preserve">Western </w:t>
      </w:r>
      <w:r>
        <w:rPr>
          <w:rFonts w:ascii="Book Antiqua" w:eastAsia="Book Antiqua" w:hAnsi="Book Antiqua" w:cs="Book Antiqua"/>
          <w:color w:val="000000"/>
        </w:rPr>
        <w:t>blot and the ratio of Bax and Bcl2</w:t>
      </w:r>
      <w:r w:rsidR="002C1FD3">
        <w:rPr>
          <w:rFonts w:ascii="Book Antiqua" w:eastAsia="Book Antiqua" w:hAnsi="Book Antiqua" w:cs="Book Antiqua"/>
          <w:color w:val="000000"/>
        </w:rPr>
        <w:t xml:space="preserve"> </w:t>
      </w:r>
      <w:r>
        <w:rPr>
          <w:rFonts w:ascii="Book Antiqua" w:eastAsia="Book Antiqua" w:hAnsi="Book Antiqua" w:cs="Book Antiqua"/>
          <w:color w:val="000000"/>
        </w:rPr>
        <w:t>calculated in KYSE30 cells and Eca109 cells; C</w:t>
      </w:r>
      <w:r w:rsidR="002C1FD3">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D:</w:t>
      </w:r>
      <w:r>
        <w:rPr>
          <w:rFonts w:ascii="Book Antiqua" w:eastAsia="Book Antiqua" w:hAnsi="Book Antiqua" w:cs="Book Antiqua"/>
          <w:b/>
          <w:bCs/>
          <w:color w:val="000000"/>
        </w:rPr>
        <w:t> </w:t>
      </w:r>
      <w:r>
        <w:rPr>
          <w:rFonts w:ascii="Book Antiqua" w:eastAsia="Book Antiqua" w:hAnsi="Book Antiqua" w:cs="Book Antiqua"/>
          <w:color w:val="000000"/>
        </w:rPr>
        <w:t xml:space="preserve">Proteins associated with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mitochondrial pathway detected using </w:t>
      </w:r>
      <w:r w:rsidR="002C1FD3">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in KYSE30 cells and Eca109 cells.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 </w:t>
      </w:r>
    </w:p>
    <w:p w14:paraId="6EFF1CCB" w14:textId="77777777" w:rsidR="006A4945" w:rsidRDefault="006A4945">
      <w:pPr>
        <w:adjustRightInd w:val="0"/>
        <w:snapToGrid w:val="0"/>
        <w:spacing w:line="360" w:lineRule="auto"/>
        <w:jc w:val="both"/>
        <w:rPr>
          <w:rFonts w:ascii="Book Antiqua" w:hAnsi="Book Antiqua"/>
        </w:rPr>
      </w:pPr>
    </w:p>
    <w:p w14:paraId="4C008178"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5CE3CCF7" wp14:editId="2A3AFB85">
            <wp:extent cx="5943600" cy="15817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943600" cy="1581785"/>
                    </a:xfrm>
                    <a:prstGeom prst="rect">
                      <a:avLst/>
                    </a:prstGeom>
                  </pic:spPr>
                </pic:pic>
              </a:graphicData>
            </a:graphic>
          </wp:inline>
        </w:drawing>
      </w:r>
    </w:p>
    <w:p w14:paraId="4A73BDD2"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33CFE459" wp14:editId="49780BAA">
            <wp:extent cx="5943600" cy="55327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943600" cy="5532755"/>
                    </a:xfrm>
                    <a:prstGeom prst="rect">
                      <a:avLst/>
                    </a:prstGeom>
                  </pic:spPr>
                </pic:pic>
              </a:graphicData>
            </a:graphic>
          </wp:inline>
        </w:drawing>
      </w:r>
    </w:p>
    <w:p w14:paraId="55460A56"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1D6450BA" wp14:editId="2C79AC7D">
            <wp:extent cx="5943600" cy="56680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943600" cy="5668010"/>
                    </a:xfrm>
                    <a:prstGeom prst="rect">
                      <a:avLst/>
                    </a:prstGeom>
                  </pic:spPr>
                </pic:pic>
              </a:graphicData>
            </a:graphic>
          </wp:inline>
        </w:drawing>
      </w:r>
    </w:p>
    <w:p w14:paraId="7B077867" w14:textId="1ED959DD" w:rsidR="006A4945"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 Dihydrotanshi</w:t>
      </w:r>
      <w:r>
        <w:rPr>
          <w:rFonts w:ascii="Book Antiqua" w:eastAsia="Book Antiqua" w:hAnsi="Book Antiqua" w:cs="Book Antiqua"/>
          <w:b/>
          <w:bCs/>
          <w:color w:val="000000"/>
        </w:rPr>
        <w:t xml:space="preserve">none I </w:t>
      </w:r>
      <w:r w:rsidR="0070127C">
        <w:rPr>
          <w:rFonts w:ascii="Book Antiqua" w:eastAsia="Book Antiqua" w:hAnsi="Book Antiqua" w:cs="Book Antiqua"/>
          <w:b/>
          <w:bCs/>
          <w:color w:val="000000"/>
        </w:rPr>
        <w:t xml:space="preserve">inhibits </w:t>
      </w:r>
      <w:r>
        <w:rPr>
          <w:rFonts w:ascii="Book Antiqua" w:eastAsia="Book Antiqua" w:hAnsi="Book Antiqua" w:cs="Book Antiqua"/>
          <w:b/>
          <w:bCs/>
          <w:color w:val="000000"/>
        </w:rPr>
        <w:t xml:space="preserve">the expression of phosphorylated STAT3 in esophageal squamous cell carcinoma cells. </w:t>
      </w:r>
      <w:r>
        <w:rPr>
          <w:rFonts w:ascii="Book Antiqua" w:eastAsia="Book Antiqua" w:hAnsi="Book Antiqua" w:cs="Book Antiqua"/>
          <w:color w:val="000000"/>
        </w:rPr>
        <w:t>A</w:t>
      </w:r>
      <w:r w:rsidR="00191E2E">
        <w:rPr>
          <w:rFonts w:ascii="Book Antiqua" w:eastAsia="Book Antiqua" w:hAnsi="Book Antiqua" w:cs="Book Antiqua"/>
          <w:color w:val="000000"/>
        </w:rPr>
        <w:t xml:space="preserve"> and </w:t>
      </w:r>
      <w:r>
        <w:rPr>
          <w:rFonts w:ascii="Book Antiqua" w:eastAsia="Book Antiqua" w:hAnsi="Book Antiqua" w:cs="Book Antiqua"/>
          <w:color w:val="000000"/>
        </w:rPr>
        <w:t xml:space="preserve">B: Levels of STAT3 and pSTAT3 detected using </w:t>
      </w:r>
      <w:r w:rsidR="0070127C">
        <w:rPr>
          <w:rFonts w:ascii="Book Antiqua" w:eastAsia="Book Antiqua" w:hAnsi="Book Antiqua" w:cs="Book Antiqua"/>
          <w:color w:val="000000"/>
        </w:rPr>
        <w:t>Western </w:t>
      </w:r>
      <w:r>
        <w:rPr>
          <w:rFonts w:ascii="Book Antiqua" w:eastAsia="Book Antiqua" w:hAnsi="Book Antiqua" w:cs="Book Antiqua"/>
          <w:color w:val="000000"/>
        </w:rPr>
        <w:t>blot in KYSE30 cells and Eca109 cells; C</w:t>
      </w:r>
      <w:r w:rsidR="00CB213F">
        <w:rPr>
          <w:rFonts w:ascii="Book Antiqua" w:eastAsia="Book Antiqua" w:hAnsi="Book Antiqua" w:cs="Book Antiqua"/>
          <w:color w:val="000000"/>
        </w:rPr>
        <w:t xml:space="preserve"> and </w:t>
      </w:r>
      <w:r>
        <w:rPr>
          <w:rFonts w:ascii="Book Antiqua" w:eastAsia="Book Antiqua" w:hAnsi="Book Antiqua" w:cs="Book Antiqua"/>
          <w:color w:val="000000"/>
        </w:rPr>
        <w:t>D:</w:t>
      </w:r>
      <w:r>
        <w:rPr>
          <w:rFonts w:ascii="Book Antiqua" w:eastAsia="Book Antiqua" w:hAnsi="Book Antiqua" w:cs="Book Antiqua"/>
          <w:b/>
          <w:bCs/>
          <w:color w:val="000000"/>
        </w:rPr>
        <w:t> </w:t>
      </w:r>
      <w:r>
        <w:rPr>
          <w:rFonts w:ascii="Book Antiqua" w:eastAsia="Book Antiqua" w:hAnsi="Book Antiqua" w:cs="Book Antiqua"/>
          <w:color w:val="000000"/>
        </w:rPr>
        <w:t>Expression and location of phosphorylated STAT3</w:t>
      </w:r>
      <w:r w:rsidR="0070127C">
        <w:rPr>
          <w:rFonts w:ascii="Book Antiqua" w:eastAsia="Book Antiqua" w:hAnsi="Book Antiqua" w:cs="Book Antiqua"/>
          <w:color w:val="000000"/>
        </w:rPr>
        <w:t xml:space="preserve"> </w:t>
      </w:r>
      <w:r>
        <w:rPr>
          <w:rFonts w:ascii="Book Antiqua" w:eastAsia="Book Antiqua" w:hAnsi="Book Antiqua" w:cs="Book Antiqua"/>
          <w:color w:val="000000"/>
        </w:rPr>
        <w:t>detected by immunofluorescence in KYSE30 cells and Eca109 cells.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pSTAT3: Phosphorylated </w:t>
      </w:r>
      <w:r>
        <w:rPr>
          <w:rFonts w:ascii="Book Antiqua" w:eastAsia="Book Antiqua" w:hAnsi="Book Antiqua" w:cs="Book Antiqua"/>
          <w:color w:val="000000"/>
        </w:rPr>
        <w:t>STAT3.</w:t>
      </w:r>
    </w:p>
    <w:p w14:paraId="68A30E96" w14:textId="77777777" w:rsidR="006A4945" w:rsidRDefault="006A4945">
      <w:pPr>
        <w:adjustRightInd w:val="0"/>
        <w:snapToGrid w:val="0"/>
        <w:spacing w:line="360" w:lineRule="auto"/>
        <w:jc w:val="both"/>
        <w:rPr>
          <w:rFonts w:ascii="Book Antiqua" w:hAnsi="Book Antiqua"/>
        </w:rPr>
      </w:pPr>
    </w:p>
    <w:p w14:paraId="52738468" w14:textId="77777777" w:rsidR="006A4945" w:rsidRDefault="006A4945">
      <w:pPr>
        <w:adjustRightInd w:val="0"/>
        <w:snapToGrid w:val="0"/>
        <w:spacing w:line="360" w:lineRule="auto"/>
        <w:jc w:val="both"/>
        <w:rPr>
          <w:rFonts w:ascii="Book Antiqua" w:eastAsia="Book Antiqua" w:hAnsi="Book Antiqua" w:cs="Book Antiqua"/>
          <w:b/>
          <w:bCs/>
          <w:color w:val="000000"/>
        </w:rPr>
      </w:pPr>
    </w:p>
    <w:p w14:paraId="34AB638C"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52DB04BC" wp14:editId="37518B85">
            <wp:extent cx="5943600" cy="21228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943600" cy="2122805"/>
                    </a:xfrm>
                    <a:prstGeom prst="rect">
                      <a:avLst/>
                    </a:prstGeom>
                  </pic:spPr>
                </pic:pic>
              </a:graphicData>
            </a:graphic>
          </wp:inline>
        </w:drawing>
      </w:r>
      <w:r>
        <w:rPr>
          <w:rFonts w:ascii="Book Antiqua" w:eastAsia="Book Antiqua" w:hAnsi="Book Antiqua" w:cs="Book Antiqua"/>
          <w:b/>
          <w:bCs/>
          <w:color w:val="000000"/>
        </w:rPr>
        <w:t xml:space="preserve"> </w:t>
      </w:r>
    </w:p>
    <w:p w14:paraId="2E16BC90"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4E624462" wp14:editId="2AE63FFD">
            <wp:extent cx="5943600" cy="30626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943600" cy="3062605"/>
                    </a:xfrm>
                    <a:prstGeom prst="rect">
                      <a:avLst/>
                    </a:prstGeom>
                  </pic:spPr>
                </pic:pic>
              </a:graphicData>
            </a:graphic>
          </wp:inline>
        </w:drawing>
      </w:r>
    </w:p>
    <w:p w14:paraId="394CBDD3"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5E31A553" wp14:editId="31A047E1">
            <wp:extent cx="5943600" cy="28028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943600" cy="2802890"/>
                    </a:xfrm>
                    <a:prstGeom prst="rect">
                      <a:avLst/>
                    </a:prstGeom>
                  </pic:spPr>
                </pic:pic>
              </a:graphicData>
            </a:graphic>
          </wp:inline>
        </w:drawing>
      </w:r>
      <w:r>
        <w:rPr>
          <w:rFonts w:ascii="Book Antiqua" w:eastAsia="Book Antiqua" w:hAnsi="Book Antiqua" w:cs="Book Antiqua"/>
          <w:b/>
          <w:bCs/>
          <w:color w:val="000000"/>
        </w:rPr>
        <w:t xml:space="preserve"> </w:t>
      </w:r>
    </w:p>
    <w:p w14:paraId="501B1581" w14:textId="334AC762" w:rsidR="006A4945"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7 STAT3</w:t>
      </w:r>
      <w:r>
        <w:rPr>
          <w:rFonts w:ascii="Book Antiqua" w:eastAsia="Book Antiqua" w:hAnsi="Book Antiqua" w:cs="Book Antiqua"/>
          <w:b/>
          <w:bCs/>
          <w:color w:val="000000"/>
        </w:rPr>
        <w:t xml:space="preserve"> knockdown </w:t>
      </w:r>
      <w:r w:rsidR="00451A4E">
        <w:rPr>
          <w:rFonts w:ascii="Book Antiqua" w:eastAsia="Book Antiqua" w:hAnsi="Book Antiqua" w:cs="Book Antiqua"/>
          <w:b/>
          <w:bCs/>
          <w:color w:val="000000"/>
        </w:rPr>
        <w:t>promotes</w:t>
      </w:r>
      <w:r w:rsidR="0070127C">
        <w:rPr>
          <w:rFonts w:ascii="Book Antiqua" w:eastAsia="Book Antiqua" w:hAnsi="Book Antiqua" w:cs="Book Antiqua"/>
          <w:b/>
          <w:bCs/>
          <w:color w:val="000000"/>
        </w:rPr>
        <w:t xml:space="preserve"> </w:t>
      </w:r>
      <w:r>
        <w:rPr>
          <w:rFonts w:ascii="Book Antiqua" w:eastAsia="Book Antiqua" w:hAnsi="Book Antiqua" w:cs="Book Antiqua"/>
          <w:b/>
          <w:bCs/>
          <w:color w:val="000000"/>
        </w:rPr>
        <w:t>dihydrotan</w:t>
      </w:r>
      <w:r>
        <w:rPr>
          <w:rFonts w:ascii="Book Antiqua" w:eastAsia="Book Antiqua" w:hAnsi="Book Antiqua" w:cs="Book Antiqua"/>
          <w:b/>
          <w:bCs/>
          <w:color w:val="000000"/>
        </w:rPr>
        <w:t xml:space="preserve">shinone I-induced apoptosis in esophageal squamous cell carcinoma cells. </w:t>
      </w:r>
      <w:r>
        <w:rPr>
          <w:rFonts w:ascii="Book Antiqua" w:eastAsia="Book Antiqua" w:hAnsi="Book Antiqua" w:cs="Book Antiqua"/>
          <w:color w:val="000000"/>
        </w:rPr>
        <w:t>A: Knockdown efficiency of STAT3 and phosphorylated S</w:t>
      </w:r>
      <w:r>
        <w:rPr>
          <w:rFonts w:ascii="Book Antiqua" w:eastAsia="Book Antiqua" w:hAnsi="Book Antiqua" w:cs="Book Antiqua"/>
          <w:color w:val="000000"/>
        </w:rPr>
        <w:t>TAT3</w:t>
      </w:r>
      <w:r w:rsidR="0070127C" w:rsidRPr="0070127C">
        <w:rPr>
          <w:rFonts w:ascii="Book Antiqua" w:eastAsia="Book Antiqua" w:hAnsi="Book Antiqua" w:cs="Book Antiqua"/>
          <w:color w:val="000000"/>
        </w:rPr>
        <w:t xml:space="preserve"> </w:t>
      </w:r>
      <w:r w:rsidR="0070127C">
        <w:rPr>
          <w:rFonts w:ascii="Book Antiqua" w:eastAsia="Book Antiqua" w:hAnsi="Book Antiqua" w:cs="Book Antiqua"/>
          <w:color w:val="000000"/>
        </w:rPr>
        <w:t>identified using Western blot</w:t>
      </w:r>
      <w:r>
        <w:rPr>
          <w:rFonts w:ascii="Book Antiqua" w:eastAsia="Book Antiqua" w:hAnsi="Book Antiqua" w:cs="Book Antiqua"/>
          <w:color w:val="000000"/>
        </w:rPr>
        <w:t xml:space="preserve"> in esophageal squamous cell carcinoma cells; B</w:t>
      </w:r>
      <w:r w:rsidR="0070127C">
        <w:rPr>
          <w:rFonts w:ascii="Book Antiqua" w:eastAsia="Book Antiqua" w:hAnsi="Book Antiqua" w:cs="Book Antiqua"/>
          <w:color w:val="000000"/>
        </w:rPr>
        <w:t xml:space="preserve"> and </w:t>
      </w:r>
      <w:r>
        <w:rPr>
          <w:rFonts w:ascii="Book Antiqua" w:eastAsia="Book Antiqua" w:hAnsi="Book Antiqua" w:cs="Book Antiqua"/>
          <w:color w:val="000000"/>
        </w:rPr>
        <w:t>C: Knockdown efficiency of STAT3 identified using RT-qPCR in KYSE30 cells and Eca109 cells; D: Apoptosis-related morphological changes in STAT3 knockdown cells detected using Hoechst 33258 staining in KYSE30/sh-vector and KYSE30/shSTAT3 cells treated with 0.5 μmol/L DHTS; E: Apoptosis-related morphologic changes</w:t>
      </w:r>
      <w:r w:rsidR="0070127C">
        <w:rPr>
          <w:rFonts w:ascii="Book Antiqua" w:eastAsia="Book Antiqua" w:hAnsi="Book Antiqua" w:cs="Book Antiqua"/>
          <w:color w:val="000000"/>
        </w:rPr>
        <w:t xml:space="preserve"> </w:t>
      </w:r>
      <w:r>
        <w:rPr>
          <w:rFonts w:ascii="Book Antiqua" w:eastAsia="Book Antiqua" w:hAnsi="Book Antiqua" w:cs="Book Antiqua"/>
          <w:color w:val="000000"/>
        </w:rPr>
        <w:t>detected using Hoechst 33258 staining in Eca109/sh-vector and Eca109/shSTAT3 cells treated with 5 μmol/L DHTS; F: Cell apoptosis</w:t>
      </w:r>
      <w:r w:rsidR="0070127C">
        <w:rPr>
          <w:rFonts w:ascii="Book Antiqua" w:eastAsia="Book Antiqua" w:hAnsi="Book Antiqua" w:cs="Book Antiqua"/>
          <w:color w:val="000000"/>
        </w:rPr>
        <w:t xml:space="preserve"> </w:t>
      </w:r>
      <w:r>
        <w:rPr>
          <w:rFonts w:ascii="Book Antiqua" w:eastAsia="Book Antiqua" w:hAnsi="Book Antiqua" w:cs="Book Antiqua"/>
          <w:color w:val="000000"/>
        </w:rPr>
        <w:t>analyzed using flow cytometry with annexin V-PE/7-ADD double staining in KYSE30/sh-vector and KYSE30/shSTAT3 cells treated with 0.5 μmol/L DHTS; G: Cell apoptosis</w:t>
      </w:r>
      <w:r w:rsidR="0070127C">
        <w:rPr>
          <w:rFonts w:ascii="Book Antiqua" w:eastAsia="Book Antiqua" w:hAnsi="Book Antiqua" w:cs="Book Antiqua"/>
          <w:color w:val="000000"/>
        </w:rPr>
        <w:t xml:space="preserve"> </w:t>
      </w:r>
      <w:r>
        <w:rPr>
          <w:rFonts w:ascii="Book Antiqua" w:eastAsia="Book Antiqua" w:hAnsi="Book Antiqua" w:cs="Book Antiqua"/>
          <w:color w:val="000000"/>
        </w:rPr>
        <w:t xml:space="preserve">analyzed using flow cytometry with annexin V-PE/7-ADD double staining in Eca109/sh-vector and Eca109/shSTAT3 cells treated with 5 μmol/L.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3A14C523" w14:textId="77777777" w:rsidR="006A4945" w:rsidRDefault="006A4945">
      <w:pPr>
        <w:adjustRightInd w:val="0"/>
        <w:snapToGrid w:val="0"/>
        <w:spacing w:line="360" w:lineRule="auto"/>
        <w:jc w:val="both"/>
        <w:rPr>
          <w:rFonts w:ascii="Book Antiqua" w:hAnsi="Book Antiqua"/>
        </w:rPr>
      </w:pPr>
    </w:p>
    <w:p w14:paraId="49DBB04C"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6CF25DB3" wp14:editId="29018980">
            <wp:extent cx="5943600" cy="44088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4"/>
                    <a:stretch>
                      <a:fillRect/>
                    </a:stretch>
                  </pic:blipFill>
                  <pic:spPr>
                    <a:xfrm>
                      <a:off x="0" y="0"/>
                      <a:ext cx="5943600" cy="4408805"/>
                    </a:xfrm>
                    <a:prstGeom prst="rect">
                      <a:avLst/>
                    </a:prstGeom>
                  </pic:spPr>
                </pic:pic>
              </a:graphicData>
            </a:graphic>
          </wp:inline>
        </w:drawing>
      </w:r>
      <w:r>
        <w:rPr>
          <w:rFonts w:ascii="Book Antiqua" w:eastAsia="Book Antiqua" w:hAnsi="Book Antiqua" w:cs="Book Antiqua"/>
          <w:b/>
          <w:bCs/>
          <w:color w:val="000000"/>
        </w:rPr>
        <w:t xml:space="preserve"> </w:t>
      </w:r>
    </w:p>
    <w:p w14:paraId="0C07329F" w14:textId="2E46CC74" w:rsidR="006A4945"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 STAT3 k</w:t>
      </w:r>
      <w:r>
        <w:rPr>
          <w:rFonts w:ascii="Book Antiqua" w:eastAsia="Book Antiqua" w:hAnsi="Book Antiqua" w:cs="Book Antiqua"/>
          <w:b/>
          <w:bCs/>
          <w:color w:val="000000"/>
        </w:rPr>
        <w:t xml:space="preserve">nockdown </w:t>
      </w:r>
      <w:r w:rsidR="0070127C">
        <w:rPr>
          <w:rFonts w:ascii="Book Antiqua" w:eastAsia="Book Antiqua" w:hAnsi="Book Antiqua" w:cs="Book Antiqua"/>
          <w:b/>
          <w:bCs/>
          <w:color w:val="000000"/>
        </w:rPr>
        <w:t xml:space="preserve">synergizes </w:t>
      </w:r>
      <w:r>
        <w:rPr>
          <w:rFonts w:ascii="Book Antiqua" w:eastAsia="Book Antiqua" w:hAnsi="Book Antiqua" w:cs="Book Antiqua"/>
          <w:b/>
          <w:bCs/>
          <w:color w:val="000000"/>
        </w:rPr>
        <w:t>with dihydrotanshinone I in the activation of</w:t>
      </w:r>
      <w:r>
        <w:rPr>
          <w:rFonts w:ascii="Book Antiqua" w:eastAsia="宋体" w:hAnsi="Book Antiqua" w:cs="Book Antiqua" w:hint="eastAsia"/>
          <w:b/>
          <w:bCs/>
          <w:color w:val="000000"/>
          <w:lang w:eastAsia="zh-CN"/>
        </w:rPr>
        <w:t xml:space="preserve"> </w:t>
      </w:r>
      <w:r w:rsidR="0070127C">
        <w:rPr>
          <w:rFonts w:ascii="Book Antiqua" w:eastAsia="宋体" w:hAnsi="Book Antiqua" w:cs="Book Antiqua"/>
          <w:b/>
          <w:bCs/>
          <w:color w:val="000000"/>
          <w:lang w:eastAsia="zh-CN"/>
        </w:rPr>
        <w:t xml:space="preserve">the </w:t>
      </w:r>
      <w:r>
        <w:rPr>
          <w:rFonts w:ascii="Book Antiqua" w:eastAsia="Book Antiqua" w:hAnsi="Book Antiqua" w:cs="Book Antiqua"/>
          <w:b/>
          <w:bCs/>
          <w:color w:val="000000"/>
        </w:rPr>
        <w:t>mitochondrial pathway in esophageal squamous cell carcinoma cells. </w:t>
      </w:r>
      <w:r>
        <w:rPr>
          <w:rFonts w:ascii="Book Antiqua" w:eastAsia="Book Antiqua" w:hAnsi="Book Antiqua" w:cs="Book Antiqua"/>
          <w:color w:val="000000"/>
        </w:rPr>
        <w:t>A:</w:t>
      </w:r>
      <w:r>
        <w:rPr>
          <w:rFonts w:ascii="Book Antiqua" w:eastAsia="Book Antiqua" w:hAnsi="Book Antiqua" w:cs="Book Antiqua"/>
          <w:b/>
          <w:bCs/>
          <w:color w:val="000000"/>
        </w:rPr>
        <w:t> </w:t>
      </w:r>
      <w:r>
        <w:rPr>
          <w:rFonts w:ascii="Book Antiqua" w:eastAsia="Book Antiqua" w:hAnsi="Book Antiqua" w:cs="Book Antiqua"/>
          <w:color w:val="000000"/>
        </w:rPr>
        <w:t xml:space="preserve">KYSE30/sh-vector and KYSE30/shSTAT3 cells were treated with 0.5 μmol/L DHTS, and </w:t>
      </w:r>
      <w:r w:rsidR="0070127C">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was performed to detect the levels of related proteins; B: Eca109/sh-vector and Eca109/shSTAT3 cells were treated with 5 μmol/L dihydrotanshinone I, and </w:t>
      </w:r>
      <w:r w:rsidR="0070127C">
        <w:rPr>
          <w:rFonts w:ascii="Book Antiqua" w:eastAsia="Book Antiqua" w:hAnsi="Book Antiqua" w:cs="Book Antiqua"/>
          <w:color w:val="000000"/>
        </w:rPr>
        <w:t xml:space="preserve">Western </w:t>
      </w:r>
      <w:r>
        <w:rPr>
          <w:rFonts w:ascii="Book Antiqua" w:eastAsia="Book Antiqua" w:hAnsi="Book Antiqua" w:cs="Book Antiqua"/>
          <w:color w:val="000000"/>
        </w:rPr>
        <w:t>blot was perf</w:t>
      </w:r>
      <w:r>
        <w:rPr>
          <w:rFonts w:ascii="Book Antiqua" w:eastAsia="Book Antiqua" w:hAnsi="Book Antiqua" w:cs="Book Antiqua"/>
          <w:color w:val="000000"/>
        </w:rPr>
        <w:t xml:space="preserve">ormed to detect the levels of related proteins. </w:t>
      </w:r>
    </w:p>
    <w:p w14:paraId="0B2DBD87" w14:textId="77777777" w:rsidR="006A4945" w:rsidRPr="0070127C" w:rsidRDefault="006A4945">
      <w:pPr>
        <w:adjustRightInd w:val="0"/>
        <w:snapToGrid w:val="0"/>
        <w:spacing w:line="360" w:lineRule="auto"/>
        <w:jc w:val="both"/>
        <w:rPr>
          <w:rFonts w:ascii="Book Antiqua" w:hAnsi="Book Antiqua"/>
          <w:lang w:eastAsia="zh-CN"/>
        </w:rPr>
      </w:pPr>
    </w:p>
    <w:p w14:paraId="74CCAD9F"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3B04B583" wp14:editId="3EB43D67">
            <wp:extent cx="5943600" cy="178752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5943600" cy="1787525"/>
                    </a:xfrm>
                    <a:prstGeom prst="rect">
                      <a:avLst/>
                    </a:prstGeom>
                  </pic:spPr>
                </pic:pic>
              </a:graphicData>
            </a:graphic>
          </wp:inline>
        </w:drawing>
      </w:r>
      <w:r>
        <w:rPr>
          <w:rFonts w:ascii="Book Antiqua" w:eastAsia="Book Antiqua" w:hAnsi="Book Antiqua" w:cs="Book Antiqua"/>
          <w:b/>
          <w:bCs/>
          <w:color w:val="000000"/>
        </w:rPr>
        <w:t xml:space="preserve"> </w:t>
      </w:r>
    </w:p>
    <w:p w14:paraId="6B2D94D6"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23A477F4" wp14:editId="779A95D1">
            <wp:extent cx="5943600" cy="33731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5943600" cy="3373120"/>
                    </a:xfrm>
                    <a:prstGeom prst="rect">
                      <a:avLst/>
                    </a:prstGeom>
                  </pic:spPr>
                </pic:pic>
              </a:graphicData>
            </a:graphic>
          </wp:inline>
        </w:drawing>
      </w:r>
      <w:r>
        <w:rPr>
          <w:rFonts w:ascii="Book Antiqua" w:eastAsia="Book Antiqua" w:hAnsi="Book Antiqua" w:cs="Book Antiqua"/>
          <w:b/>
          <w:bCs/>
          <w:color w:val="000000"/>
        </w:rPr>
        <w:t xml:space="preserve"> </w:t>
      </w:r>
    </w:p>
    <w:p w14:paraId="4EB3BB1F" w14:textId="217FBABA" w:rsidR="006A4945"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9 STAT3 overexpr</w:t>
      </w:r>
      <w:r>
        <w:rPr>
          <w:rFonts w:ascii="Book Antiqua" w:eastAsia="Book Antiqua" w:hAnsi="Book Antiqua" w:cs="Book Antiqua"/>
          <w:b/>
          <w:bCs/>
          <w:color w:val="000000"/>
        </w:rPr>
        <w:t xml:space="preserve">ession </w:t>
      </w:r>
      <w:r w:rsidR="0070127C">
        <w:rPr>
          <w:rFonts w:ascii="Book Antiqua" w:eastAsia="Book Antiqua" w:hAnsi="Book Antiqua" w:cs="Book Antiqua"/>
          <w:b/>
          <w:bCs/>
          <w:color w:val="000000"/>
        </w:rPr>
        <w:t xml:space="preserve">blocks </w:t>
      </w:r>
      <w:r>
        <w:rPr>
          <w:rFonts w:ascii="Book Antiqua" w:eastAsia="Book Antiqua" w:hAnsi="Book Antiqua" w:cs="Book Antiqua"/>
          <w:b/>
          <w:bCs/>
          <w:color w:val="000000"/>
        </w:rPr>
        <w:t>the mitochondrial pathway activated by dihydrotanshinone I in esophageal squamous cell carcinoma cells. </w:t>
      </w:r>
      <w:r>
        <w:rPr>
          <w:rFonts w:ascii="Book Antiqua" w:eastAsia="Book Antiqua" w:hAnsi="Book Antiqua" w:cs="Book Antiqua"/>
          <w:color w:val="000000"/>
        </w:rPr>
        <w:t xml:space="preserve">A: Overexpression efficiency of STAT3 </w:t>
      </w:r>
      <w:r w:rsidR="0070127C">
        <w:rPr>
          <w:rFonts w:ascii="Book Antiqua" w:eastAsia="Book Antiqua" w:hAnsi="Book Antiqua" w:cs="Book Antiqua"/>
          <w:color w:val="000000"/>
        </w:rPr>
        <w:t xml:space="preserve">identified using Western blot </w:t>
      </w:r>
      <w:r>
        <w:rPr>
          <w:rFonts w:ascii="Book Antiqua" w:eastAsia="Book Antiqua" w:hAnsi="Book Antiqua" w:cs="Book Antiqua"/>
          <w:color w:val="000000"/>
        </w:rPr>
        <w:t>in esophageal squamous cell carcinoma cells; B</w:t>
      </w:r>
      <w:r w:rsidR="0070127C">
        <w:rPr>
          <w:rFonts w:ascii="Book Antiqua" w:eastAsia="Book Antiqua" w:hAnsi="Book Antiqua" w:cs="Book Antiqua"/>
          <w:color w:val="000000"/>
        </w:rPr>
        <w:t xml:space="preserve"> and </w:t>
      </w:r>
      <w:r>
        <w:rPr>
          <w:rFonts w:ascii="Book Antiqua" w:eastAsia="Book Antiqua" w:hAnsi="Book Antiqua" w:cs="Book Antiqua"/>
          <w:color w:val="000000"/>
        </w:rPr>
        <w:t xml:space="preserve">C: Overexpression efficiency of </w:t>
      </w:r>
      <w:r w:rsidR="0070127C">
        <w:rPr>
          <w:rFonts w:ascii="Book Antiqua" w:eastAsia="Book Antiqua" w:hAnsi="Book Antiqua" w:cs="Book Antiqua"/>
          <w:color w:val="000000"/>
        </w:rPr>
        <w:t xml:space="preserve">STAT3 </w:t>
      </w:r>
      <w:r>
        <w:rPr>
          <w:rFonts w:ascii="Book Antiqua" w:eastAsia="Book Antiqua" w:hAnsi="Book Antiqua" w:cs="Book Antiqua"/>
          <w:color w:val="000000"/>
        </w:rPr>
        <w:t xml:space="preserve">identified using RT-qPCR in KYSE30 cells and Eca109 cells; D: KYSE30/OE-vector and KYSE30/OE-STAT3 cells were treated with 0.5 μmol/L DHTS, and </w:t>
      </w:r>
      <w:r w:rsidR="0070127C">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was performed to detect the levels of related proteins; E: Eca109/OE-vector and Eca109/OE-STAT3 cells were treated with 5 μmol/L DHTS, and </w:t>
      </w:r>
      <w:r w:rsidR="0070127C">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was performed to detect the levels of related proteins. OE: Overexpression.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vs</w:t>
      </w:r>
      <w:r w:rsidR="0070127C">
        <w:rPr>
          <w:rFonts w:ascii="Book Antiqua" w:hAnsi="Book Antiqua" w:cs="Book Antiqua"/>
          <w:color w:val="000000"/>
          <w:lang w:eastAsia="zh-CN"/>
        </w:rPr>
        <w:t xml:space="preserve"> </w:t>
      </w:r>
      <w:r>
        <w:rPr>
          <w:rFonts w:ascii="Book Antiqua" w:eastAsia="Book Antiqua" w:hAnsi="Book Antiqua" w:cs="Book Antiqua"/>
          <w:color w:val="000000"/>
        </w:rPr>
        <w:t>control.</w:t>
      </w:r>
    </w:p>
    <w:p w14:paraId="601E64F5" w14:textId="77777777" w:rsidR="006A4945" w:rsidRDefault="006A4945">
      <w:pPr>
        <w:adjustRightInd w:val="0"/>
        <w:snapToGrid w:val="0"/>
        <w:spacing w:line="360" w:lineRule="auto"/>
        <w:jc w:val="both"/>
        <w:rPr>
          <w:rFonts w:ascii="Book Antiqua" w:hAnsi="Book Antiqua"/>
        </w:rPr>
      </w:pPr>
    </w:p>
    <w:p w14:paraId="0913FCE6"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00726C64" wp14:editId="40B4D660">
            <wp:extent cx="5943600" cy="29603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5943600" cy="2960370"/>
                    </a:xfrm>
                    <a:prstGeom prst="rect">
                      <a:avLst/>
                    </a:prstGeom>
                  </pic:spPr>
                </pic:pic>
              </a:graphicData>
            </a:graphic>
          </wp:inline>
        </w:drawing>
      </w:r>
      <w:r>
        <w:rPr>
          <w:rFonts w:ascii="Book Antiqua" w:eastAsia="Book Antiqua" w:hAnsi="Book Antiqua" w:cs="Book Antiqua"/>
          <w:b/>
          <w:bCs/>
          <w:color w:val="000000"/>
        </w:rPr>
        <w:t xml:space="preserve"> </w:t>
      </w:r>
    </w:p>
    <w:p w14:paraId="5ED9BAA0" w14:textId="77777777" w:rsidR="006A4945" w:rsidRDefault="00C3017B">
      <w:pPr>
        <w:adjustRightInd w:val="0"/>
        <w:snapToGrid w:val="0"/>
        <w:spacing w:line="360" w:lineRule="auto"/>
        <w:jc w:val="both"/>
        <w:rPr>
          <w:rFonts w:ascii="Book Antiqua" w:eastAsia="宋体" w:hAnsi="Book Antiqua" w:cs="Book Antiqua"/>
          <w:b/>
          <w:bCs/>
          <w:color w:val="000000"/>
          <w:lang w:eastAsia="zh-CN"/>
        </w:rPr>
      </w:pPr>
      <w:r>
        <w:rPr>
          <w:rFonts w:ascii="Book Antiqua" w:eastAsia="Book Antiqua" w:hAnsi="Book Antiqua" w:cs="Book Antiqua"/>
          <w:b/>
          <w:bCs/>
          <w:color w:val="000000"/>
        </w:rPr>
        <w:t xml:space="preserve"> </w:t>
      </w:r>
      <w:r>
        <w:rPr>
          <w:rFonts w:ascii="Book Antiqua" w:eastAsia="宋体" w:hAnsi="Book Antiqua" w:cs="Book Antiqua" w:hint="eastAsia"/>
          <w:b/>
          <w:bCs/>
          <w:noProof/>
          <w:color w:val="000000"/>
          <w:lang w:eastAsia="zh-CN"/>
        </w:rPr>
        <w:drawing>
          <wp:inline distT="0" distB="0" distL="114300" distR="114300" wp14:anchorId="7490F47E" wp14:editId="78008659">
            <wp:extent cx="5933440" cy="1593850"/>
            <wp:effectExtent l="0" t="0" r="10160" b="6350"/>
            <wp:docPr id="24" name="图片 24" descr="figure10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igure10 B-D"/>
                    <pic:cNvPicPr>
                      <a:picLocks noChangeAspect="1"/>
                    </pic:cNvPicPr>
                  </pic:nvPicPr>
                  <pic:blipFill>
                    <a:blip r:embed="rId28"/>
                    <a:stretch>
                      <a:fillRect/>
                    </a:stretch>
                  </pic:blipFill>
                  <pic:spPr>
                    <a:xfrm>
                      <a:off x="0" y="0"/>
                      <a:ext cx="5933440" cy="1593850"/>
                    </a:xfrm>
                    <a:prstGeom prst="rect">
                      <a:avLst/>
                    </a:prstGeom>
                  </pic:spPr>
                </pic:pic>
              </a:graphicData>
            </a:graphic>
          </wp:inline>
        </w:drawing>
      </w:r>
    </w:p>
    <w:p w14:paraId="61D9795E"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472EF8D8" wp14:editId="700D61B0">
            <wp:extent cx="5943600" cy="3645535"/>
            <wp:effectExtent l="0" t="0" r="0"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5943600" cy="3645535"/>
                    </a:xfrm>
                    <a:prstGeom prst="rect">
                      <a:avLst/>
                    </a:prstGeom>
                  </pic:spPr>
                </pic:pic>
              </a:graphicData>
            </a:graphic>
          </wp:inline>
        </w:drawing>
      </w:r>
      <w:r>
        <w:rPr>
          <w:rFonts w:ascii="Book Antiqua" w:eastAsia="Book Antiqua" w:hAnsi="Book Antiqua" w:cs="Book Antiqua"/>
          <w:b/>
          <w:bCs/>
          <w:color w:val="000000"/>
        </w:rPr>
        <w:t xml:space="preserve"> </w:t>
      </w:r>
    </w:p>
    <w:p w14:paraId="6F1204E8" w14:textId="77777777" w:rsidR="006A4945" w:rsidRDefault="00C3017B" w:rsidP="00C3017B">
      <w:pPr>
        <w:adjustRightInd w:val="0"/>
        <w:snapToGrid w:val="0"/>
        <w:spacing w:line="360" w:lineRule="auto"/>
        <w:jc w:val="center"/>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114300" distR="114300" wp14:anchorId="4C699A5E" wp14:editId="0A53E4B0">
            <wp:extent cx="5514975" cy="2215515"/>
            <wp:effectExtent l="0" t="0" r="0" b="6985"/>
            <wp:docPr id="15" name="图片 15" descr="figure 10 F and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ure 10 F and G"/>
                    <pic:cNvPicPr>
                      <a:picLocks noChangeAspect="1"/>
                    </pic:cNvPicPr>
                  </pic:nvPicPr>
                  <pic:blipFill>
                    <a:blip r:embed="rId30"/>
                    <a:stretch>
                      <a:fillRect/>
                    </a:stretch>
                  </pic:blipFill>
                  <pic:spPr>
                    <a:xfrm>
                      <a:off x="0" y="0"/>
                      <a:ext cx="5514975" cy="2215515"/>
                    </a:xfrm>
                    <a:prstGeom prst="rect">
                      <a:avLst/>
                    </a:prstGeom>
                  </pic:spPr>
                </pic:pic>
              </a:graphicData>
            </a:graphic>
          </wp:inline>
        </w:drawing>
      </w:r>
    </w:p>
    <w:p w14:paraId="2153187E" w14:textId="37A50DBA" w:rsidR="006A4945"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10 Dihydrotans</w:t>
      </w:r>
      <w:bookmarkStart w:id="0" w:name="_GoBack"/>
      <w:r>
        <w:rPr>
          <w:rFonts w:ascii="Book Antiqua" w:eastAsia="Book Antiqua" w:hAnsi="Book Antiqua" w:cs="Book Antiqua"/>
          <w:b/>
          <w:bCs/>
          <w:color w:val="000000"/>
        </w:rPr>
        <w:t xml:space="preserve">hinone I </w:t>
      </w:r>
      <w:r w:rsidR="0070127C">
        <w:rPr>
          <w:rFonts w:ascii="Book Antiqua" w:eastAsia="Book Antiqua" w:hAnsi="Book Antiqua" w:cs="Book Antiqua"/>
          <w:b/>
          <w:bCs/>
          <w:color w:val="000000"/>
        </w:rPr>
        <w:t xml:space="preserve">inhibits </w:t>
      </w:r>
      <w:r>
        <w:rPr>
          <w:rFonts w:ascii="Book Antiqua" w:eastAsia="Book Antiqua" w:hAnsi="Book Antiqua" w:cs="Book Antiqua"/>
          <w:b/>
          <w:bCs/>
          <w:color w:val="000000"/>
        </w:rPr>
        <w:t xml:space="preserve">proliferation and </w:t>
      </w:r>
      <w:r w:rsidR="0070127C">
        <w:rPr>
          <w:rFonts w:ascii="Book Antiqua" w:eastAsia="Book Antiqua" w:hAnsi="Book Antiqua" w:cs="Book Antiqua"/>
          <w:b/>
          <w:bCs/>
          <w:color w:val="000000"/>
        </w:rPr>
        <w:t xml:space="preserve">induces </w:t>
      </w:r>
      <w:r>
        <w:rPr>
          <w:rFonts w:ascii="Book Antiqua" w:eastAsia="Book Antiqua" w:hAnsi="Book Antiqua" w:cs="Book Antiqua"/>
          <w:b/>
          <w:bCs/>
          <w:color w:val="000000"/>
        </w:rPr>
        <w:t>apoptosis in esophageal squamous cell carcinoma</w:t>
      </w:r>
      <w:r>
        <w:rPr>
          <w:rFonts w:ascii="Book Antiqua" w:eastAsia="Book Antiqua" w:hAnsi="Book Antiqua" w:cs="Book Antiqua"/>
          <w:b/>
          <w:bCs/>
          <w:i/>
          <w:iCs/>
          <w:color w:val="000000"/>
        </w:rPr>
        <w:t xml:space="preserve"> in vivo</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Pr>
          <w:rFonts w:ascii="Book Antiqua" w:eastAsia="Book Antiqua" w:hAnsi="Book Antiqua" w:cs="Book Antiqua"/>
          <w:b/>
          <w:bCs/>
          <w:color w:val="000000"/>
        </w:rPr>
        <w:t> </w:t>
      </w:r>
      <w:r>
        <w:rPr>
          <w:rFonts w:ascii="Book Antiqua" w:eastAsia="Book Antiqua" w:hAnsi="Book Antiqua" w:cs="Book Antiqua"/>
          <w:color w:val="000000"/>
        </w:rPr>
        <w:t>Morphology of the subcutaneous implanted tumors;</w:t>
      </w:r>
      <w:r>
        <w:rPr>
          <w:rFonts w:ascii="Book Antiqua" w:eastAsia="Book Antiqua" w:hAnsi="Book Antiqua" w:cs="Book Antiqua"/>
          <w:b/>
          <w:bCs/>
          <w:color w:val="000000"/>
        </w:rPr>
        <w:t> </w:t>
      </w:r>
      <w:r>
        <w:rPr>
          <w:rFonts w:ascii="Book Antiqua" w:eastAsia="Book Antiqua" w:hAnsi="Book Antiqua" w:cs="Book Antiqua"/>
          <w:color w:val="000000"/>
        </w:rPr>
        <w:t>B:</w:t>
      </w:r>
      <w:r>
        <w:rPr>
          <w:rFonts w:ascii="Book Antiqua" w:eastAsia="Book Antiqua" w:hAnsi="Book Antiqua" w:cs="Book Antiqua"/>
          <w:b/>
          <w:bCs/>
          <w:color w:val="000000"/>
        </w:rPr>
        <w:t> </w:t>
      </w:r>
      <w:r>
        <w:rPr>
          <w:rFonts w:ascii="Book Antiqua" w:eastAsia="Book Antiqua" w:hAnsi="Book Antiqua" w:cs="Book Antiqua"/>
          <w:color w:val="000000"/>
        </w:rPr>
        <w:t>Mean tumor volume at each time point;</w:t>
      </w:r>
      <w:r>
        <w:rPr>
          <w:rFonts w:ascii="Book Antiqua" w:eastAsia="Book Antiqua" w:hAnsi="Book Antiqua" w:cs="Book Antiqua"/>
          <w:b/>
          <w:bCs/>
          <w:color w:val="000000"/>
        </w:rPr>
        <w:t> </w:t>
      </w:r>
      <w:r>
        <w:rPr>
          <w:rFonts w:ascii="Book Antiqua" w:eastAsia="Book Antiqua" w:hAnsi="Book Antiqua" w:cs="Book Antiqua"/>
          <w:color w:val="000000"/>
        </w:rPr>
        <w:t>C: Tumor weight obtained at the end of the experiment; D:</w:t>
      </w:r>
      <w:r>
        <w:rPr>
          <w:rFonts w:ascii="Book Antiqua" w:eastAsia="Book Antiqua" w:hAnsi="Book Antiqua" w:cs="Book Antiqua"/>
          <w:b/>
          <w:bCs/>
          <w:color w:val="000000"/>
        </w:rPr>
        <w:t> </w:t>
      </w:r>
      <w:r>
        <w:rPr>
          <w:rFonts w:ascii="Book Antiqua" w:eastAsia="Book Antiqua" w:hAnsi="Book Antiqua" w:cs="Book Antiqua"/>
          <w:color w:val="000000"/>
        </w:rPr>
        <w:t>Recorded body weight of the mice; E: Immunohistochemistry detect</w:t>
      </w:r>
      <w:r w:rsidR="0070127C">
        <w:rPr>
          <w:rFonts w:ascii="Book Antiqua" w:eastAsia="Book Antiqua" w:hAnsi="Book Antiqua" w:cs="Book Antiqua"/>
          <w:color w:val="000000"/>
        </w:rPr>
        <w:t>ion of</w:t>
      </w:r>
      <w:r>
        <w:rPr>
          <w:rFonts w:ascii="Book Antiqua" w:eastAsia="Book Antiqua" w:hAnsi="Book Antiqua" w:cs="Book Antiqua"/>
          <w:color w:val="000000"/>
        </w:rPr>
        <w:t xml:space="preserve"> the expression of Ki67 in the tumor tissue; F</w:t>
      </w:r>
      <w:r w:rsidR="0070127C">
        <w:rPr>
          <w:rFonts w:ascii="Book Antiqua" w:eastAsia="Book Antiqua" w:hAnsi="Book Antiqua" w:cs="Book Antiqua"/>
          <w:color w:val="000000"/>
        </w:rPr>
        <w:t xml:space="preserve"> and </w:t>
      </w:r>
      <w:r>
        <w:rPr>
          <w:rFonts w:ascii="Book Antiqua" w:eastAsia="Book Antiqua" w:hAnsi="Book Antiqua" w:cs="Book Antiqua"/>
          <w:color w:val="000000"/>
        </w:rPr>
        <w:t>G</w:t>
      </w:r>
      <w:r>
        <w:rPr>
          <w:rFonts w:ascii="Book Antiqua" w:eastAsia="Book Antiqua" w:hAnsi="Book Antiqua" w:cs="Book Antiqua"/>
          <w:b/>
          <w:bCs/>
          <w:color w:val="000000"/>
        </w:rPr>
        <w:t>: </w:t>
      </w:r>
      <w:r>
        <w:rPr>
          <w:rFonts w:ascii="Book Antiqua" w:eastAsia="Book Antiqua" w:hAnsi="Book Antiqua" w:cs="Book Antiqua"/>
          <w:color w:val="000000"/>
        </w:rPr>
        <w:t xml:space="preserve">A TUNEL assay was performed to detect apoptotic cells in the tumor tissue.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 xml:space="preserve">vs </w:t>
      </w:r>
      <w:r>
        <w:rPr>
          <w:rFonts w:ascii="Book Antiqua" w:eastAsia="Book Antiqua" w:hAnsi="Book Antiqua" w:cs="Book Antiqua"/>
          <w:color w:val="000000"/>
        </w:rPr>
        <w:t>control.</w:t>
      </w:r>
    </w:p>
    <w:bookmarkEnd w:id="0"/>
    <w:p w14:paraId="0BDF55F2" w14:textId="77777777" w:rsidR="006A4945" w:rsidRDefault="00C3017B">
      <w:pPr>
        <w:adjustRightInd w:val="0"/>
        <w:snapToGrid w:val="0"/>
        <w:spacing w:line="360" w:lineRule="auto"/>
        <w:jc w:val="both"/>
        <w:rPr>
          <w:rFonts w:ascii="Book Antiqua" w:hAnsi="Book Antiqua"/>
          <w:b/>
          <w:bCs/>
          <w:color w:val="000000"/>
        </w:rPr>
      </w:pPr>
      <w:r>
        <w:rPr>
          <w:rFonts w:ascii="Book Antiqua" w:eastAsia="Book Antiqua" w:hAnsi="Book Antiqua" w:cs="Book Antiqua"/>
          <w:color w:val="000000"/>
        </w:rPr>
        <w:br w:type="page"/>
      </w:r>
      <w:r>
        <w:rPr>
          <w:rFonts w:ascii="Book Antiqua" w:hAnsi="Book Antiqua"/>
          <w:b/>
          <w:bCs/>
          <w:color w:val="000000"/>
        </w:rPr>
        <w:lastRenderedPageBreak/>
        <w:t>Table 1 IC</w:t>
      </w:r>
      <w:r>
        <w:rPr>
          <w:rFonts w:ascii="Book Antiqua" w:hAnsi="Book Antiqua"/>
          <w:b/>
          <w:bCs/>
          <w:color w:val="000000"/>
          <w:vertAlign w:val="subscript"/>
        </w:rPr>
        <w:t>50</w:t>
      </w:r>
      <w:r>
        <w:rPr>
          <w:rFonts w:ascii="Book Antiqua" w:hAnsi="Book Antiqua"/>
          <w:b/>
          <w:bCs/>
          <w:color w:val="000000"/>
        </w:rPr>
        <w:t xml:space="preserve"> of </w:t>
      </w:r>
      <w:r>
        <w:rPr>
          <w:rFonts w:ascii="Book Antiqua" w:eastAsia="Book Antiqua" w:hAnsi="Book Antiqua" w:cs="Book Antiqua"/>
          <w:b/>
          <w:bCs/>
          <w:color w:val="000000"/>
        </w:rPr>
        <w:t>dihydrotanshinone I</w:t>
      </w:r>
      <w:r>
        <w:rPr>
          <w:rFonts w:ascii="Book Antiqua" w:hAnsi="Book Antiqua"/>
          <w:b/>
          <w:bCs/>
          <w:color w:val="000000"/>
        </w:rPr>
        <w:t xml:space="preserve"> in </w:t>
      </w:r>
      <w:r>
        <w:rPr>
          <w:rFonts w:ascii="Book Antiqua" w:eastAsia="Book Antiqua" w:hAnsi="Book Antiqua" w:cs="Book Antiqua"/>
          <w:b/>
          <w:bCs/>
          <w:color w:val="000000"/>
        </w:rPr>
        <w:t>esophageal squamous cell carcinoma</w:t>
      </w:r>
      <w:r>
        <w:rPr>
          <w:rFonts w:ascii="Book Antiqua" w:hAnsi="Book Antiqua"/>
          <w:b/>
          <w:bCs/>
          <w:color w:val="000000"/>
        </w:rPr>
        <w:t xml:space="preserve"> cells</w:t>
      </w:r>
      <w:r>
        <w:rPr>
          <w:rFonts w:ascii="Book Antiqua" w:hAnsi="Book Antiqua"/>
          <w:b/>
          <w:bCs/>
          <w:color w:val="000000"/>
          <w:lang w:eastAsia="zh-CN"/>
        </w:rPr>
        <w:t xml:space="preserve"> and normal esophageal epithelial cells</w:t>
      </w:r>
    </w:p>
    <w:tbl>
      <w:tblPr>
        <w:tblW w:w="5000" w:type="pct"/>
        <w:jc w:val="center"/>
        <w:tblBorders>
          <w:top w:val="single" w:sz="8" w:space="0" w:color="auto"/>
          <w:bottom w:val="single" w:sz="8" w:space="0" w:color="auto"/>
        </w:tblBorders>
        <w:tblLook w:val="04A0" w:firstRow="1" w:lastRow="0" w:firstColumn="1" w:lastColumn="0" w:noHBand="0" w:noVBand="1"/>
      </w:tblPr>
      <w:tblGrid>
        <w:gridCol w:w="1559"/>
        <w:gridCol w:w="2235"/>
        <w:gridCol w:w="2370"/>
        <w:gridCol w:w="3196"/>
      </w:tblGrid>
      <w:tr w:rsidR="006A4945" w14:paraId="67A7CA66" w14:textId="77777777">
        <w:trPr>
          <w:jc w:val="center"/>
        </w:trPr>
        <w:tc>
          <w:tcPr>
            <w:tcW w:w="833" w:type="pct"/>
            <w:tcBorders>
              <w:top w:val="single" w:sz="8" w:space="0" w:color="auto"/>
              <w:bottom w:val="single" w:sz="8" w:space="0" w:color="auto"/>
            </w:tcBorders>
            <w:shd w:val="clear" w:color="auto" w:fill="auto"/>
          </w:tcPr>
          <w:p w14:paraId="11F0D2EC" w14:textId="77777777" w:rsidR="006A4945" w:rsidRDefault="006A4945">
            <w:pPr>
              <w:adjustRightInd w:val="0"/>
              <w:snapToGrid w:val="0"/>
              <w:spacing w:line="360" w:lineRule="auto"/>
              <w:jc w:val="both"/>
              <w:rPr>
                <w:rFonts w:ascii="Book Antiqua" w:eastAsia="Times New Roman" w:hAnsi="Book Antiqua"/>
                <w:b/>
                <w:bCs/>
              </w:rPr>
            </w:pPr>
          </w:p>
        </w:tc>
        <w:tc>
          <w:tcPr>
            <w:tcW w:w="1194" w:type="pct"/>
            <w:tcBorders>
              <w:top w:val="single" w:sz="8" w:space="0" w:color="auto"/>
              <w:bottom w:val="single" w:sz="8" w:space="0" w:color="auto"/>
            </w:tcBorders>
            <w:shd w:val="clear" w:color="auto" w:fill="auto"/>
            <w:vAlign w:val="center"/>
          </w:tcPr>
          <w:p w14:paraId="5ED86F70" w14:textId="77777777" w:rsidR="006A4945" w:rsidRDefault="00C3017B">
            <w:pPr>
              <w:adjustRightInd w:val="0"/>
              <w:snapToGrid w:val="0"/>
              <w:spacing w:line="360" w:lineRule="auto"/>
              <w:jc w:val="both"/>
              <w:rPr>
                <w:rFonts w:ascii="Book Antiqua" w:eastAsia="Times New Roman" w:hAnsi="Book Antiqua"/>
                <w:b/>
                <w:bCs/>
              </w:rPr>
            </w:pPr>
            <w:r>
              <w:rPr>
                <w:rFonts w:ascii="Book Antiqua" w:eastAsia="Times New Roman" w:hAnsi="Book Antiqua"/>
                <w:b/>
                <w:bCs/>
              </w:rPr>
              <w:t>Time of treatment</w:t>
            </w:r>
          </w:p>
        </w:tc>
        <w:tc>
          <w:tcPr>
            <w:tcW w:w="1266" w:type="pct"/>
            <w:tcBorders>
              <w:top w:val="single" w:sz="8" w:space="0" w:color="auto"/>
              <w:bottom w:val="single" w:sz="8" w:space="0" w:color="auto"/>
            </w:tcBorders>
            <w:shd w:val="clear" w:color="auto" w:fill="auto"/>
            <w:vAlign w:val="center"/>
          </w:tcPr>
          <w:p w14:paraId="3038155F" w14:textId="77777777" w:rsidR="006A4945" w:rsidRDefault="00C3017B">
            <w:pPr>
              <w:adjustRightInd w:val="0"/>
              <w:snapToGrid w:val="0"/>
              <w:spacing w:line="360" w:lineRule="auto"/>
              <w:jc w:val="both"/>
              <w:rPr>
                <w:rFonts w:ascii="Book Antiqua" w:eastAsia="Times New Roman" w:hAnsi="Book Antiqua"/>
                <w:b/>
                <w:bCs/>
              </w:rPr>
            </w:pPr>
            <w:r>
              <w:rPr>
                <w:rFonts w:ascii="Book Antiqua" w:eastAsia="Times New Roman" w:hAnsi="Book Antiqua"/>
                <w:b/>
                <w:bCs/>
              </w:rPr>
              <w:t>IC</w:t>
            </w:r>
            <w:r>
              <w:rPr>
                <w:rFonts w:ascii="Book Antiqua" w:eastAsia="Times New Roman" w:hAnsi="Book Antiqua"/>
                <w:b/>
                <w:bCs/>
                <w:vertAlign w:val="subscript"/>
              </w:rPr>
              <w:t xml:space="preserve">50 </w:t>
            </w:r>
            <w:r>
              <w:rPr>
                <w:rFonts w:ascii="Book Antiqua" w:eastAsia="Times New Roman" w:hAnsi="Book Antiqua"/>
                <w:b/>
                <w:bCs/>
                <w:color w:val="000000"/>
              </w:rPr>
              <w:t>(μmol/L)</w:t>
            </w:r>
          </w:p>
        </w:tc>
        <w:tc>
          <w:tcPr>
            <w:tcW w:w="1708" w:type="pct"/>
            <w:tcBorders>
              <w:top w:val="single" w:sz="8" w:space="0" w:color="auto"/>
              <w:bottom w:val="single" w:sz="8" w:space="0" w:color="auto"/>
            </w:tcBorders>
            <w:shd w:val="clear" w:color="auto" w:fill="auto"/>
            <w:vAlign w:val="center"/>
          </w:tcPr>
          <w:p w14:paraId="7298B6C0" w14:textId="77777777" w:rsidR="006A4945" w:rsidRDefault="00C3017B">
            <w:pPr>
              <w:adjustRightInd w:val="0"/>
              <w:snapToGrid w:val="0"/>
              <w:spacing w:line="360" w:lineRule="auto"/>
              <w:jc w:val="both"/>
              <w:rPr>
                <w:rFonts w:ascii="Book Antiqua" w:eastAsia="Times New Roman" w:hAnsi="Book Antiqua"/>
                <w:b/>
                <w:bCs/>
              </w:rPr>
            </w:pPr>
            <w:r>
              <w:rPr>
                <w:rFonts w:ascii="Book Antiqua" w:eastAsia="Times New Roman" w:hAnsi="Book Antiqua"/>
                <w:b/>
                <w:bCs/>
              </w:rPr>
              <w:t xml:space="preserve">95 % CI </w:t>
            </w:r>
            <w:r>
              <w:rPr>
                <w:rFonts w:ascii="Book Antiqua" w:eastAsia="Times New Roman" w:hAnsi="Book Antiqua"/>
                <w:b/>
                <w:bCs/>
                <w:color w:val="000000"/>
              </w:rPr>
              <w:t>(μmol/L)</w:t>
            </w:r>
          </w:p>
        </w:tc>
      </w:tr>
      <w:tr w:rsidR="006A4945" w14:paraId="2013BD8A" w14:textId="77777777">
        <w:trPr>
          <w:jc w:val="center"/>
        </w:trPr>
        <w:tc>
          <w:tcPr>
            <w:tcW w:w="833" w:type="pct"/>
            <w:vMerge w:val="restart"/>
            <w:tcBorders>
              <w:top w:val="single" w:sz="8" w:space="0" w:color="auto"/>
            </w:tcBorders>
            <w:shd w:val="clear" w:color="auto" w:fill="auto"/>
            <w:vAlign w:val="center"/>
          </w:tcPr>
          <w:p w14:paraId="2B0CA59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KYSE30</w:t>
            </w:r>
          </w:p>
        </w:tc>
        <w:tc>
          <w:tcPr>
            <w:tcW w:w="1194" w:type="pct"/>
            <w:tcBorders>
              <w:top w:val="single" w:sz="8" w:space="0" w:color="auto"/>
            </w:tcBorders>
            <w:shd w:val="clear" w:color="auto" w:fill="auto"/>
            <w:vAlign w:val="center"/>
          </w:tcPr>
          <w:p w14:paraId="1F385E7B"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12 h</w:t>
            </w:r>
          </w:p>
        </w:tc>
        <w:tc>
          <w:tcPr>
            <w:tcW w:w="1266" w:type="pct"/>
            <w:tcBorders>
              <w:top w:val="single" w:sz="8" w:space="0" w:color="auto"/>
            </w:tcBorders>
            <w:shd w:val="clear" w:color="auto" w:fill="auto"/>
            <w:vAlign w:val="center"/>
          </w:tcPr>
          <w:p w14:paraId="508D4E01"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1.313</w:t>
            </w:r>
          </w:p>
        </w:tc>
        <w:tc>
          <w:tcPr>
            <w:tcW w:w="1708" w:type="pct"/>
            <w:tcBorders>
              <w:top w:val="single" w:sz="8" w:space="0" w:color="auto"/>
            </w:tcBorders>
            <w:shd w:val="clear" w:color="auto" w:fill="auto"/>
            <w:vAlign w:val="center"/>
          </w:tcPr>
          <w:p w14:paraId="57F6547A"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0.962-1.675</w:t>
            </w:r>
          </w:p>
        </w:tc>
      </w:tr>
      <w:tr w:rsidR="006A4945" w14:paraId="13126FC6" w14:textId="77777777">
        <w:trPr>
          <w:jc w:val="center"/>
        </w:trPr>
        <w:tc>
          <w:tcPr>
            <w:tcW w:w="833" w:type="pct"/>
            <w:vMerge/>
            <w:shd w:val="clear" w:color="auto" w:fill="auto"/>
            <w:vAlign w:val="center"/>
          </w:tcPr>
          <w:p w14:paraId="305B1C38"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325655F4"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24 h</w:t>
            </w:r>
          </w:p>
        </w:tc>
        <w:tc>
          <w:tcPr>
            <w:tcW w:w="1266" w:type="pct"/>
            <w:shd w:val="clear" w:color="auto" w:fill="auto"/>
            <w:vAlign w:val="center"/>
          </w:tcPr>
          <w:p w14:paraId="352C41AA"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0.697</w:t>
            </w:r>
          </w:p>
        </w:tc>
        <w:tc>
          <w:tcPr>
            <w:tcW w:w="1708" w:type="pct"/>
            <w:shd w:val="clear" w:color="auto" w:fill="auto"/>
            <w:vAlign w:val="center"/>
          </w:tcPr>
          <w:p w14:paraId="7DDFF04B"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0.438-0.961</w:t>
            </w:r>
          </w:p>
        </w:tc>
      </w:tr>
      <w:tr w:rsidR="006A4945" w14:paraId="7699854E" w14:textId="77777777">
        <w:trPr>
          <w:jc w:val="center"/>
        </w:trPr>
        <w:tc>
          <w:tcPr>
            <w:tcW w:w="833" w:type="pct"/>
            <w:vMerge/>
            <w:shd w:val="clear" w:color="auto" w:fill="auto"/>
            <w:vAlign w:val="center"/>
          </w:tcPr>
          <w:p w14:paraId="4556C297"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2C73F585"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36 h</w:t>
            </w:r>
          </w:p>
        </w:tc>
        <w:tc>
          <w:tcPr>
            <w:tcW w:w="1266" w:type="pct"/>
            <w:shd w:val="clear" w:color="auto" w:fill="auto"/>
            <w:vAlign w:val="center"/>
          </w:tcPr>
          <w:p w14:paraId="779EC0E9"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0.407</w:t>
            </w:r>
          </w:p>
        </w:tc>
        <w:tc>
          <w:tcPr>
            <w:tcW w:w="1708" w:type="pct"/>
            <w:shd w:val="clear" w:color="auto" w:fill="auto"/>
            <w:vAlign w:val="center"/>
          </w:tcPr>
          <w:p w14:paraId="205BA36E"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0.219-0.607</w:t>
            </w:r>
          </w:p>
        </w:tc>
      </w:tr>
      <w:tr w:rsidR="006A4945" w14:paraId="5A2CC297" w14:textId="77777777">
        <w:trPr>
          <w:jc w:val="center"/>
        </w:trPr>
        <w:tc>
          <w:tcPr>
            <w:tcW w:w="833" w:type="pct"/>
            <w:vMerge w:val="restart"/>
            <w:shd w:val="clear" w:color="auto" w:fill="auto"/>
            <w:vAlign w:val="center"/>
          </w:tcPr>
          <w:p w14:paraId="7A9BF313"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Eca109</w:t>
            </w:r>
          </w:p>
        </w:tc>
        <w:tc>
          <w:tcPr>
            <w:tcW w:w="1194" w:type="pct"/>
            <w:shd w:val="clear" w:color="auto" w:fill="auto"/>
            <w:vAlign w:val="center"/>
          </w:tcPr>
          <w:p w14:paraId="4BC915EA"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12 h</w:t>
            </w:r>
          </w:p>
        </w:tc>
        <w:tc>
          <w:tcPr>
            <w:tcW w:w="1266" w:type="pct"/>
            <w:shd w:val="clear" w:color="auto" w:fill="auto"/>
            <w:vAlign w:val="center"/>
          </w:tcPr>
          <w:p w14:paraId="7C5A8F24"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9.750</w:t>
            </w:r>
          </w:p>
        </w:tc>
        <w:tc>
          <w:tcPr>
            <w:tcW w:w="1708" w:type="pct"/>
            <w:shd w:val="clear" w:color="auto" w:fill="auto"/>
            <w:vAlign w:val="center"/>
          </w:tcPr>
          <w:p w14:paraId="39324FD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8.363-11.499</w:t>
            </w:r>
          </w:p>
        </w:tc>
      </w:tr>
      <w:tr w:rsidR="006A4945" w14:paraId="26F653EF" w14:textId="77777777">
        <w:trPr>
          <w:jc w:val="center"/>
        </w:trPr>
        <w:tc>
          <w:tcPr>
            <w:tcW w:w="833" w:type="pct"/>
            <w:vMerge/>
            <w:shd w:val="clear" w:color="auto" w:fill="auto"/>
            <w:vAlign w:val="center"/>
          </w:tcPr>
          <w:p w14:paraId="02320781"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5456A1E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24 h</w:t>
            </w:r>
          </w:p>
        </w:tc>
        <w:tc>
          <w:tcPr>
            <w:tcW w:w="1266" w:type="pct"/>
            <w:shd w:val="clear" w:color="auto" w:fill="auto"/>
            <w:vAlign w:val="center"/>
          </w:tcPr>
          <w:p w14:paraId="1A8CE931"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5.895</w:t>
            </w:r>
          </w:p>
        </w:tc>
        <w:tc>
          <w:tcPr>
            <w:tcW w:w="1708" w:type="pct"/>
            <w:shd w:val="clear" w:color="auto" w:fill="auto"/>
            <w:vAlign w:val="center"/>
          </w:tcPr>
          <w:p w14:paraId="2ADACCFA"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3.766-9.633</w:t>
            </w:r>
          </w:p>
        </w:tc>
      </w:tr>
      <w:tr w:rsidR="006A4945" w14:paraId="57566A56" w14:textId="77777777">
        <w:trPr>
          <w:jc w:val="center"/>
        </w:trPr>
        <w:tc>
          <w:tcPr>
            <w:tcW w:w="833" w:type="pct"/>
            <w:vMerge/>
            <w:shd w:val="clear" w:color="auto" w:fill="auto"/>
            <w:vAlign w:val="center"/>
          </w:tcPr>
          <w:p w14:paraId="52FECBBE"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13DB22A6"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36 h</w:t>
            </w:r>
          </w:p>
        </w:tc>
        <w:tc>
          <w:tcPr>
            <w:tcW w:w="1266" w:type="pct"/>
            <w:shd w:val="clear" w:color="auto" w:fill="auto"/>
            <w:vAlign w:val="center"/>
          </w:tcPr>
          <w:p w14:paraId="58CCFFFD"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2.279</w:t>
            </w:r>
          </w:p>
        </w:tc>
        <w:tc>
          <w:tcPr>
            <w:tcW w:w="1708" w:type="pct"/>
            <w:shd w:val="clear" w:color="auto" w:fill="auto"/>
            <w:vAlign w:val="center"/>
          </w:tcPr>
          <w:p w14:paraId="4B8563E7"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1.700-2.988</w:t>
            </w:r>
          </w:p>
        </w:tc>
      </w:tr>
      <w:tr w:rsidR="006A4945" w14:paraId="0C018B21" w14:textId="77777777">
        <w:trPr>
          <w:jc w:val="center"/>
        </w:trPr>
        <w:tc>
          <w:tcPr>
            <w:tcW w:w="833" w:type="pct"/>
            <w:vMerge w:val="restart"/>
            <w:shd w:val="clear" w:color="auto" w:fill="auto"/>
            <w:vAlign w:val="center"/>
          </w:tcPr>
          <w:p w14:paraId="293A41C8"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KYSE450</w:t>
            </w:r>
          </w:p>
        </w:tc>
        <w:tc>
          <w:tcPr>
            <w:tcW w:w="1194" w:type="pct"/>
            <w:shd w:val="clear" w:color="auto" w:fill="auto"/>
            <w:vAlign w:val="center"/>
          </w:tcPr>
          <w:p w14:paraId="3AFA55A5"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12 h</w:t>
            </w:r>
          </w:p>
        </w:tc>
        <w:tc>
          <w:tcPr>
            <w:tcW w:w="1266" w:type="pct"/>
            <w:shd w:val="clear" w:color="auto" w:fill="auto"/>
            <w:vAlign w:val="center"/>
          </w:tcPr>
          <w:p w14:paraId="30B4796D"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18.890</w:t>
            </w:r>
          </w:p>
        </w:tc>
        <w:tc>
          <w:tcPr>
            <w:tcW w:w="1708" w:type="pct"/>
            <w:shd w:val="clear" w:color="auto" w:fill="auto"/>
            <w:vAlign w:val="center"/>
          </w:tcPr>
          <w:p w14:paraId="16A3265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13.967-28.640</w:t>
            </w:r>
          </w:p>
        </w:tc>
      </w:tr>
      <w:tr w:rsidR="006A4945" w14:paraId="22935B0C" w14:textId="77777777">
        <w:trPr>
          <w:jc w:val="center"/>
        </w:trPr>
        <w:tc>
          <w:tcPr>
            <w:tcW w:w="833" w:type="pct"/>
            <w:vMerge/>
            <w:shd w:val="clear" w:color="auto" w:fill="auto"/>
            <w:vAlign w:val="center"/>
          </w:tcPr>
          <w:p w14:paraId="32433014"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569846DB"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24 h</w:t>
            </w:r>
          </w:p>
        </w:tc>
        <w:tc>
          <w:tcPr>
            <w:tcW w:w="1266" w:type="pct"/>
            <w:shd w:val="clear" w:color="auto" w:fill="auto"/>
            <w:vAlign w:val="center"/>
          </w:tcPr>
          <w:p w14:paraId="2AE3265D"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13.878</w:t>
            </w:r>
          </w:p>
        </w:tc>
        <w:tc>
          <w:tcPr>
            <w:tcW w:w="1708" w:type="pct"/>
            <w:shd w:val="clear" w:color="auto" w:fill="auto"/>
            <w:vAlign w:val="center"/>
          </w:tcPr>
          <w:p w14:paraId="6743795A"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10.287-20.148</w:t>
            </w:r>
          </w:p>
        </w:tc>
      </w:tr>
      <w:tr w:rsidR="006A4945" w14:paraId="3602786B" w14:textId="77777777">
        <w:trPr>
          <w:jc w:val="center"/>
        </w:trPr>
        <w:tc>
          <w:tcPr>
            <w:tcW w:w="833" w:type="pct"/>
            <w:vMerge/>
            <w:shd w:val="clear" w:color="auto" w:fill="auto"/>
            <w:vAlign w:val="center"/>
          </w:tcPr>
          <w:p w14:paraId="0A189DAD"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6D659FCE"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36 h</w:t>
            </w:r>
          </w:p>
        </w:tc>
        <w:tc>
          <w:tcPr>
            <w:tcW w:w="1266" w:type="pct"/>
            <w:shd w:val="clear" w:color="auto" w:fill="auto"/>
            <w:vAlign w:val="center"/>
          </w:tcPr>
          <w:p w14:paraId="6EB0973F"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9.196</w:t>
            </w:r>
          </w:p>
        </w:tc>
        <w:tc>
          <w:tcPr>
            <w:tcW w:w="1708" w:type="pct"/>
            <w:shd w:val="clear" w:color="auto" w:fill="auto"/>
            <w:vAlign w:val="center"/>
          </w:tcPr>
          <w:p w14:paraId="07A73E02"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6.849-12.921</w:t>
            </w:r>
          </w:p>
        </w:tc>
      </w:tr>
      <w:tr w:rsidR="006A4945" w14:paraId="1A184C5D" w14:textId="77777777">
        <w:trPr>
          <w:jc w:val="center"/>
        </w:trPr>
        <w:tc>
          <w:tcPr>
            <w:tcW w:w="833" w:type="pct"/>
            <w:vMerge w:val="restart"/>
            <w:shd w:val="clear" w:color="auto" w:fill="auto"/>
            <w:vAlign w:val="center"/>
          </w:tcPr>
          <w:p w14:paraId="17D2625C"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KYSE510</w:t>
            </w:r>
          </w:p>
        </w:tc>
        <w:tc>
          <w:tcPr>
            <w:tcW w:w="1194" w:type="pct"/>
            <w:shd w:val="clear" w:color="auto" w:fill="auto"/>
            <w:vAlign w:val="center"/>
          </w:tcPr>
          <w:p w14:paraId="7D1433D1"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12 h</w:t>
            </w:r>
          </w:p>
        </w:tc>
        <w:tc>
          <w:tcPr>
            <w:tcW w:w="1266" w:type="pct"/>
            <w:shd w:val="clear" w:color="auto" w:fill="auto"/>
            <w:vAlign w:val="center"/>
          </w:tcPr>
          <w:p w14:paraId="0B14D54F"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13.962</w:t>
            </w:r>
          </w:p>
        </w:tc>
        <w:tc>
          <w:tcPr>
            <w:tcW w:w="1708" w:type="pct"/>
            <w:shd w:val="clear" w:color="auto" w:fill="auto"/>
            <w:vAlign w:val="center"/>
          </w:tcPr>
          <w:p w14:paraId="3947FF42"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12.063-16.416</w:t>
            </w:r>
          </w:p>
        </w:tc>
      </w:tr>
      <w:tr w:rsidR="006A4945" w14:paraId="1707B930" w14:textId="77777777">
        <w:trPr>
          <w:jc w:val="center"/>
        </w:trPr>
        <w:tc>
          <w:tcPr>
            <w:tcW w:w="833" w:type="pct"/>
            <w:vMerge/>
            <w:shd w:val="clear" w:color="auto" w:fill="auto"/>
            <w:vAlign w:val="center"/>
          </w:tcPr>
          <w:p w14:paraId="313646E8"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0A4AF1D3"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24 h</w:t>
            </w:r>
          </w:p>
        </w:tc>
        <w:tc>
          <w:tcPr>
            <w:tcW w:w="1266" w:type="pct"/>
            <w:shd w:val="clear" w:color="auto" w:fill="auto"/>
            <w:vAlign w:val="center"/>
          </w:tcPr>
          <w:p w14:paraId="782BE053"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9.943</w:t>
            </w:r>
          </w:p>
        </w:tc>
        <w:tc>
          <w:tcPr>
            <w:tcW w:w="1708" w:type="pct"/>
            <w:shd w:val="clear" w:color="auto" w:fill="auto"/>
            <w:vAlign w:val="center"/>
          </w:tcPr>
          <w:p w14:paraId="4649C497"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7.675-13.496</w:t>
            </w:r>
          </w:p>
        </w:tc>
      </w:tr>
      <w:tr w:rsidR="006A4945" w14:paraId="5AABFEC5" w14:textId="77777777">
        <w:trPr>
          <w:jc w:val="center"/>
        </w:trPr>
        <w:tc>
          <w:tcPr>
            <w:tcW w:w="833" w:type="pct"/>
            <w:vMerge/>
            <w:shd w:val="clear" w:color="auto" w:fill="auto"/>
            <w:vAlign w:val="center"/>
          </w:tcPr>
          <w:p w14:paraId="1E58223C"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36260953"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36 h</w:t>
            </w:r>
          </w:p>
        </w:tc>
        <w:tc>
          <w:tcPr>
            <w:tcW w:w="1266" w:type="pct"/>
            <w:shd w:val="clear" w:color="auto" w:fill="auto"/>
            <w:vAlign w:val="center"/>
          </w:tcPr>
          <w:p w14:paraId="6C409176"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6.325</w:t>
            </w:r>
          </w:p>
        </w:tc>
        <w:tc>
          <w:tcPr>
            <w:tcW w:w="1708" w:type="pct"/>
            <w:shd w:val="clear" w:color="auto" w:fill="auto"/>
            <w:vAlign w:val="center"/>
          </w:tcPr>
          <w:p w14:paraId="041953AE"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4.831-8.423</w:t>
            </w:r>
          </w:p>
        </w:tc>
      </w:tr>
      <w:tr w:rsidR="006A4945" w14:paraId="49C7D79C" w14:textId="77777777">
        <w:trPr>
          <w:jc w:val="center"/>
        </w:trPr>
        <w:tc>
          <w:tcPr>
            <w:tcW w:w="833" w:type="pct"/>
            <w:vMerge w:val="restart"/>
            <w:shd w:val="clear" w:color="auto" w:fill="auto"/>
            <w:vAlign w:val="center"/>
          </w:tcPr>
          <w:p w14:paraId="1359AD2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Het-1A</w:t>
            </w:r>
          </w:p>
        </w:tc>
        <w:tc>
          <w:tcPr>
            <w:tcW w:w="1194" w:type="pct"/>
            <w:shd w:val="clear" w:color="auto" w:fill="auto"/>
            <w:vAlign w:val="center"/>
          </w:tcPr>
          <w:p w14:paraId="72536B21"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12 h</w:t>
            </w:r>
          </w:p>
        </w:tc>
        <w:tc>
          <w:tcPr>
            <w:tcW w:w="1266" w:type="pct"/>
            <w:shd w:val="clear" w:color="auto" w:fill="auto"/>
            <w:vAlign w:val="center"/>
          </w:tcPr>
          <w:p w14:paraId="0541CE46"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778.956</w:t>
            </w:r>
          </w:p>
        </w:tc>
        <w:tc>
          <w:tcPr>
            <w:tcW w:w="1708" w:type="pct"/>
            <w:shd w:val="clear" w:color="auto" w:fill="auto"/>
            <w:vAlign w:val="center"/>
          </w:tcPr>
          <w:p w14:paraId="4892FB84"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216.388-175793.136</w:t>
            </w:r>
          </w:p>
        </w:tc>
      </w:tr>
      <w:tr w:rsidR="006A4945" w14:paraId="1A011D6D" w14:textId="77777777">
        <w:trPr>
          <w:jc w:val="center"/>
        </w:trPr>
        <w:tc>
          <w:tcPr>
            <w:tcW w:w="833" w:type="pct"/>
            <w:vMerge/>
            <w:shd w:val="clear" w:color="auto" w:fill="auto"/>
            <w:vAlign w:val="center"/>
          </w:tcPr>
          <w:p w14:paraId="12A761A7"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3A59FF5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24 h</w:t>
            </w:r>
          </w:p>
        </w:tc>
        <w:tc>
          <w:tcPr>
            <w:tcW w:w="1266" w:type="pct"/>
            <w:shd w:val="clear" w:color="auto" w:fill="auto"/>
            <w:vAlign w:val="center"/>
          </w:tcPr>
          <w:p w14:paraId="29A46A05"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758.751</w:t>
            </w:r>
          </w:p>
        </w:tc>
        <w:tc>
          <w:tcPr>
            <w:tcW w:w="1708" w:type="pct"/>
            <w:shd w:val="clear" w:color="auto" w:fill="auto"/>
            <w:vAlign w:val="center"/>
          </w:tcPr>
          <w:p w14:paraId="23840002"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238.424-20168.744</w:t>
            </w:r>
          </w:p>
        </w:tc>
      </w:tr>
      <w:tr w:rsidR="006A4945" w14:paraId="4F9142A8" w14:textId="77777777">
        <w:trPr>
          <w:jc w:val="center"/>
        </w:trPr>
        <w:tc>
          <w:tcPr>
            <w:tcW w:w="833" w:type="pct"/>
            <w:vMerge/>
            <w:shd w:val="clear" w:color="auto" w:fill="auto"/>
            <w:vAlign w:val="center"/>
          </w:tcPr>
          <w:p w14:paraId="37D2AA20"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27D56B1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36 h</w:t>
            </w:r>
          </w:p>
        </w:tc>
        <w:tc>
          <w:tcPr>
            <w:tcW w:w="1266" w:type="pct"/>
            <w:shd w:val="clear" w:color="auto" w:fill="auto"/>
            <w:vAlign w:val="center"/>
          </w:tcPr>
          <w:p w14:paraId="41790BB2"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632.324</w:t>
            </w:r>
          </w:p>
        </w:tc>
        <w:tc>
          <w:tcPr>
            <w:tcW w:w="1708" w:type="pct"/>
            <w:shd w:val="clear" w:color="auto" w:fill="auto"/>
            <w:vAlign w:val="center"/>
          </w:tcPr>
          <w:p w14:paraId="5BC27F0F"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227.536-6313.869</w:t>
            </w:r>
          </w:p>
        </w:tc>
      </w:tr>
    </w:tbl>
    <w:p w14:paraId="12B70991" w14:textId="77777777" w:rsidR="006A4945" w:rsidRDefault="006A4945">
      <w:pPr>
        <w:adjustRightInd w:val="0"/>
        <w:snapToGrid w:val="0"/>
        <w:spacing w:line="360" w:lineRule="auto"/>
        <w:jc w:val="both"/>
        <w:rPr>
          <w:rFonts w:ascii="Book Antiqua" w:hAnsi="Book Antiqua"/>
        </w:rPr>
      </w:pPr>
    </w:p>
    <w:sectPr w:rsidR="006A4945">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937F2" w16cex:dateUtc="2021-07-14T0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62C49A" w16cid:durableId="249937F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4F80E" w14:textId="77777777" w:rsidR="00873B73" w:rsidRDefault="00873B73">
      <w:r>
        <w:separator/>
      </w:r>
    </w:p>
  </w:endnote>
  <w:endnote w:type="continuationSeparator" w:id="0">
    <w:p w14:paraId="7EFA30D7" w14:textId="77777777" w:rsidR="00873B73" w:rsidRDefault="00873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538158"/>
    </w:sdtPr>
    <w:sdtEndPr/>
    <w:sdtContent>
      <w:sdt>
        <w:sdtPr>
          <w:id w:val="-1769616900"/>
        </w:sdtPr>
        <w:sdtEndPr/>
        <w:sdtContent>
          <w:p w14:paraId="1AC9A654" w14:textId="77777777" w:rsidR="0070127C" w:rsidRDefault="0070127C">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8241A">
              <w:rPr>
                <w:b/>
                <w:bCs/>
                <w:noProof/>
              </w:rPr>
              <w:t>44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8241A">
              <w:rPr>
                <w:b/>
                <w:bCs/>
                <w:noProof/>
              </w:rPr>
              <w:t>44</w:t>
            </w:r>
            <w:r>
              <w:rPr>
                <w:b/>
                <w:bCs/>
                <w:sz w:val="24"/>
                <w:szCs w:val="24"/>
              </w:rPr>
              <w:fldChar w:fldCharType="end"/>
            </w:r>
          </w:p>
        </w:sdtContent>
      </w:sdt>
    </w:sdtContent>
  </w:sdt>
  <w:p w14:paraId="44FEA6D4" w14:textId="77777777" w:rsidR="0070127C" w:rsidRDefault="0070127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D5B7C" w14:textId="77777777" w:rsidR="00873B73" w:rsidRDefault="00873B73">
      <w:r>
        <w:separator/>
      </w:r>
    </w:p>
  </w:footnote>
  <w:footnote w:type="continuationSeparator" w:id="0">
    <w:p w14:paraId="49C10B59" w14:textId="77777777" w:rsidR="00873B73" w:rsidRDefault="00873B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1E2D"/>
    <w:rsid w:val="0002445A"/>
    <w:rsid w:val="00027459"/>
    <w:rsid w:val="0008241A"/>
    <w:rsid w:val="000945FE"/>
    <w:rsid w:val="000D3AB2"/>
    <w:rsid w:val="000E4C01"/>
    <w:rsid w:val="00102231"/>
    <w:rsid w:val="0011160C"/>
    <w:rsid w:val="00136C99"/>
    <w:rsid w:val="00156216"/>
    <w:rsid w:val="00167310"/>
    <w:rsid w:val="00191E2E"/>
    <w:rsid w:val="001B1CEA"/>
    <w:rsid w:val="001C35F7"/>
    <w:rsid w:val="0021386D"/>
    <w:rsid w:val="002371D3"/>
    <w:rsid w:val="00255C0C"/>
    <w:rsid w:val="00256CDD"/>
    <w:rsid w:val="002B4F22"/>
    <w:rsid w:val="002C1FD3"/>
    <w:rsid w:val="002C27AC"/>
    <w:rsid w:val="00307585"/>
    <w:rsid w:val="00323CEC"/>
    <w:rsid w:val="0033314B"/>
    <w:rsid w:val="00341EAE"/>
    <w:rsid w:val="003B3ADF"/>
    <w:rsid w:val="003C4C71"/>
    <w:rsid w:val="00410340"/>
    <w:rsid w:val="00427FA9"/>
    <w:rsid w:val="00446010"/>
    <w:rsid w:val="00451A4E"/>
    <w:rsid w:val="004624BD"/>
    <w:rsid w:val="004872DC"/>
    <w:rsid w:val="004875E4"/>
    <w:rsid w:val="004965D0"/>
    <w:rsid w:val="004A07C7"/>
    <w:rsid w:val="004B1CCA"/>
    <w:rsid w:val="004D11D4"/>
    <w:rsid w:val="00537633"/>
    <w:rsid w:val="0054654F"/>
    <w:rsid w:val="00561B42"/>
    <w:rsid w:val="00571512"/>
    <w:rsid w:val="00583A9B"/>
    <w:rsid w:val="00585054"/>
    <w:rsid w:val="005C4721"/>
    <w:rsid w:val="005E6F40"/>
    <w:rsid w:val="00601E55"/>
    <w:rsid w:val="006024FB"/>
    <w:rsid w:val="00606E75"/>
    <w:rsid w:val="00630CDD"/>
    <w:rsid w:val="00662582"/>
    <w:rsid w:val="00670952"/>
    <w:rsid w:val="006715EF"/>
    <w:rsid w:val="00677B10"/>
    <w:rsid w:val="00681AA7"/>
    <w:rsid w:val="006A0E98"/>
    <w:rsid w:val="006A4945"/>
    <w:rsid w:val="006B1159"/>
    <w:rsid w:val="0070127C"/>
    <w:rsid w:val="00730AA5"/>
    <w:rsid w:val="00750F4D"/>
    <w:rsid w:val="00761E98"/>
    <w:rsid w:val="00791FBD"/>
    <w:rsid w:val="007B3B6E"/>
    <w:rsid w:val="007C5D0C"/>
    <w:rsid w:val="007E6C47"/>
    <w:rsid w:val="008204F4"/>
    <w:rsid w:val="00825BDD"/>
    <w:rsid w:val="008338B9"/>
    <w:rsid w:val="00873B73"/>
    <w:rsid w:val="00890732"/>
    <w:rsid w:val="008F02F6"/>
    <w:rsid w:val="0095583B"/>
    <w:rsid w:val="00983A80"/>
    <w:rsid w:val="009A597D"/>
    <w:rsid w:val="009C266A"/>
    <w:rsid w:val="009C44F3"/>
    <w:rsid w:val="00A177F8"/>
    <w:rsid w:val="00A2095E"/>
    <w:rsid w:val="00A224B8"/>
    <w:rsid w:val="00A77B3E"/>
    <w:rsid w:val="00AA2963"/>
    <w:rsid w:val="00AB5E54"/>
    <w:rsid w:val="00AC36A3"/>
    <w:rsid w:val="00AC5866"/>
    <w:rsid w:val="00AE2B18"/>
    <w:rsid w:val="00B26E7F"/>
    <w:rsid w:val="00B34FC3"/>
    <w:rsid w:val="00B6006E"/>
    <w:rsid w:val="00B656D3"/>
    <w:rsid w:val="00B774A9"/>
    <w:rsid w:val="00B82A55"/>
    <w:rsid w:val="00B8682E"/>
    <w:rsid w:val="00BD76C5"/>
    <w:rsid w:val="00C23F45"/>
    <w:rsid w:val="00C3017B"/>
    <w:rsid w:val="00C8576A"/>
    <w:rsid w:val="00CA2A55"/>
    <w:rsid w:val="00CB0E08"/>
    <w:rsid w:val="00CB213F"/>
    <w:rsid w:val="00CF5B16"/>
    <w:rsid w:val="00D05701"/>
    <w:rsid w:val="00D26848"/>
    <w:rsid w:val="00D45C19"/>
    <w:rsid w:val="00D5164E"/>
    <w:rsid w:val="00D8568F"/>
    <w:rsid w:val="00D859FF"/>
    <w:rsid w:val="00D85A1F"/>
    <w:rsid w:val="00D86DC8"/>
    <w:rsid w:val="00DB0C6B"/>
    <w:rsid w:val="00DB40DD"/>
    <w:rsid w:val="00DB6C3B"/>
    <w:rsid w:val="00DE5810"/>
    <w:rsid w:val="00E15D6A"/>
    <w:rsid w:val="00E61B1C"/>
    <w:rsid w:val="00EB534F"/>
    <w:rsid w:val="00EE17BD"/>
    <w:rsid w:val="00EF1451"/>
    <w:rsid w:val="00EF22FC"/>
    <w:rsid w:val="00F004DE"/>
    <w:rsid w:val="00F17278"/>
    <w:rsid w:val="00F26A0C"/>
    <w:rsid w:val="00FA51C8"/>
    <w:rsid w:val="00FB5E80"/>
    <w:rsid w:val="00FC09C0"/>
    <w:rsid w:val="00FD7EE8"/>
    <w:rsid w:val="00FF642A"/>
    <w:rsid w:val="071A79EF"/>
    <w:rsid w:val="0F7D25EF"/>
    <w:rsid w:val="2D1E6C00"/>
    <w:rsid w:val="44C72639"/>
    <w:rsid w:val="5BA66E4A"/>
    <w:rsid w:val="7C662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7F09FF"/>
  <w15:docId w15:val="{3B9D19D6-4240-4C94-A6F1-A984CECEB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qFormat/>
    <w:rPr>
      <w:sz w:val="24"/>
      <w:szCs w:val="24"/>
    </w:rPr>
  </w:style>
  <w:style w:type="character" w:customStyle="1" w:styleId="Char2">
    <w:name w:val="批注主题 Char"/>
    <w:basedOn w:val="Char"/>
    <w:link w:val="a6"/>
    <w:semiHidden/>
    <w:qFormat/>
    <w:rPr>
      <w:b/>
      <w:bCs/>
      <w:sz w:val="24"/>
      <w:szCs w:val="24"/>
    </w:rPr>
  </w:style>
  <w:style w:type="paragraph" w:styleId="a8">
    <w:name w:val="Balloon Text"/>
    <w:basedOn w:val="a"/>
    <w:link w:val="Char3"/>
    <w:semiHidden/>
    <w:unhideWhenUsed/>
    <w:rsid w:val="0008241A"/>
    <w:rPr>
      <w:sz w:val="18"/>
      <w:szCs w:val="18"/>
    </w:rPr>
  </w:style>
  <w:style w:type="character" w:customStyle="1" w:styleId="Char3">
    <w:name w:val="批注框文本 Char"/>
    <w:basedOn w:val="a0"/>
    <w:link w:val="a8"/>
    <w:semiHidden/>
    <w:rsid w:val="0008241A"/>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microsoft.com/office/2016/09/relationships/commentsIds" Target="commentsId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tif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if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Pages>
  <Words>8565</Words>
  <Characters>48826</Characters>
  <Application>Microsoft Office Word</Application>
  <DocSecurity>0</DocSecurity>
  <Lines>406</Lines>
  <Paragraphs>114</Paragraphs>
  <ScaleCrop>false</ScaleCrop>
  <Company/>
  <LinksUpToDate>false</LinksUpToDate>
  <CharactersWithSpaces>57277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qmm</dc:creator>
  <cp:lastModifiedBy>ibm</cp:lastModifiedBy>
  <cp:revision>3</cp:revision>
  <dcterms:created xsi:type="dcterms:W3CDTF">2021-07-15T07:49:00Z</dcterms:created>
  <dcterms:modified xsi:type="dcterms:W3CDTF">2021-07-15T07:59:00Z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849D593D40994569A51D243B8DBA0296</vt:lpwstr>
  </property>
</Properties>
</file>