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AADA4"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443C60"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68332</w:t>
      </w:r>
    </w:p>
    <w:p w14:paraId="08CD19E0"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F666889" w14:textId="77777777" w:rsidR="00D37FBD" w:rsidRDefault="00D37FBD">
      <w:pPr>
        <w:spacing w:line="360" w:lineRule="auto"/>
        <w:jc w:val="both"/>
        <w:rPr>
          <w:rFonts w:ascii="Book Antiqua" w:hAnsi="Book Antiqua"/>
        </w:rPr>
      </w:pPr>
    </w:p>
    <w:p w14:paraId="56C53885" w14:textId="77777777" w:rsidR="00D37FBD" w:rsidRDefault="00536838">
      <w:pPr>
        <w:spacing w:line="360" w:lineRule="auto"/>
        <w:jc w:val="both"/>
        <w:rPr>
          <w:rFonts w:ascii="Book Antiqua" w:hAnsi="Book Antiqua"/>
          <w:lang w:eastAsia="zh-CN"/>
        </w:rPr>
      </w:pPr>
      <w:r>
        <w:rPr>
          <w:rFonts w:ascii="Book Antiqua" w:eastAsia="Book Antiqua" w:hAnsi="Book Antiqua" w:cs="Book Antiqua"/>
          <w:b/>
          <w:color w:val="000000"/>
        </w:rPr>
        <w:t xml:space="preserve">Itraconazole therapy for infant hemangioma: </w:t>
      </w:r>
      <w:r>
        <w:rPr>
          <w:rFonts w:ascii="Book Antiqua" w:hAnsi="Book Antiqua" w:cs="Book Antiqua" w:hint="eastAsia"/>
          <w:b/>
          <w:color w:val="000000"/>
          <w:lang w:eastAsia="zh-CN"/>
        </w:rPr>
        <w:t xml:space="preserve">Two </w:t>
      </w:r>
      <w:r>
        <w:rPr>
          <w:rFonts w:ascii="Book Antiqua" w:eastAsia="Book Antiqua" w:hAnsi="Book Antiqua" w:cs="Book Antiqua"/>
          <w:b/>
          <w:color w:val="000000"/>
        </w:rPr>
        <w:t>case report</w:t>
      </w:r>
      <w:r>
        <w:rPr>
          <w:rFonts w:ascii="Book Antiqua" w:hAnsi="Book Antiqua" w:cs="Book Antiqua" w:hint="eastAsia"/>
          <w:b/>
          <w:color w:val="000000"/>
          <w:lang w:eastAsia="zh-CN"/>
        </w:rPr>
        <w:t>s</w:t>
      </w:r>
    </w:p>
    <w:p w14:paraId="67161D9B" w14:textId="77777777" w:rsidR="00D37FBD" w:rsidRDefault="00D37FBD">
      <w:pPr>
        <w:spacing w:line="360" w:lineRule="auto"/>
        <w:jc w:val="both"/>
        <w:rPr>
          <w:rFonts w:ascii="Book Antiqua" w:hAnsi="Book Antiqua"/>
        </w:rPr>
      </w:pPr>
    </w:p>
    <w:p w14:paraId="567AB499"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Liu </w:t>
      </w:r>
      <w:r>
        <w:rPr>
          <w:rFonts w:ascii="Book Antiqua" w:hAnsi="Book Antiqua" w:cs="Book Antiqua" w:hint="eastAsia"/>
          <w:color w:val="000000"/>
          <w:lang w:eastAsia="zh-CN"/>
        </w:rPr>
        <w:t xml:space="preserve">Z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Itraconazole for infant hemangioma</w:t>
      </w:r>
    </w:p>
    <w:p w14:paraId="3C6F4400" w14:textId="77777777" w:rsidR="00D37FBD" w:rsidRDefault="00D37FBD">
      <w:pPr>
        <w:spacing w:line="360" w:lineRule="auto"/>
        <w:jc w:val="both"/>
        <w:rPr>
          <w:rFonts w:ascii="Book Antiqua" w:hAnsi="Book Antiqua"/>
        </w:rPr>
      </w:pPr>
    </w:p>
    <w:p w14:paraId="1390757E"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Zhe Liu, Sha Lv, Shuang Wang, Sheng-Ming Qu, Gui-Yun Zhang, Yi-Tong Lin, Lei Yang, Fu-Qiu Li</w:t>
      </w:r>
    </w:p>
    <w:p w14:paraId="27F80CCF" w14:textId="77777777" w:rsidR="00D37FBD" w:rsidRDefault="00D37FBD">
      <w:pPr>
        <w:spacing w:line="360" w:lineRule="auto"/>
        <w:jc w:val="both"/>
        <w:rPr>
          <w:rFonts w:ascii="Book Antiqua" w:hAnsi="Book Antiqua"/>
        </w:rPr>
      </w:pPr>
    </w:p>
    <w:p w14:paraId="72103737"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Zhe Liu, Sha Lv, Shuang Wang, Sheng-Ming Qu, Gui-Yun Zhang, Yi-Tong Lin, Lei Yang, Fu-Qiu Li, </w:t>
      </w:r>
      <w:r>
        <w:rPr>
          <w:rFonts w:ascii="Book Antiqua" w:eastAsia="Book Antiqua" w:hAnsi="Book Antiqua" w:cs="Book Antiqua"/>
          <w:color w:val="000000"/>
        </w:rPr>
        <w:t xml:space="preserve">Department of Dermatology, The Second Hospital of Jilin University, Changchun 130041, </w:t>
      </w:r>
      <w:r>
        <w:rPr>
          <w:rFonts w:ascii="Book Antiqua" w:hAnsi="Book Antiqua" w:cs="Book Antiqua" w:hint="eastAsia"/>
          <w:color w:val="000000"/>
          <w:lang w:eastAsia="zh-CN"/>
        </w:rPr>
        <w:t xml:space="preserve">Jilin Province, </w:t>
      </w:r>
      <w:r>
        <w:rPr>
          <w:rFonts w:ascii="Book Antiqua" w:eastAsia="Book Antiqua" w:hAnsi="Book Antiqua" w:cs="Book Antiqua"/>
          <w:color w:val="000000"/>
        </w:rPr>
        <w:t>China</w:t>
      </w:r>
    </w:p>
    <w:p w14:paraId="732326E6" w14:textId="77777777" w:rsidR="00D37FBD" w:rsidRDefault="00D37FBD">
      <w:pPr>
        <w:spacing w:line="360" w:lineRule="auto"/>
        <w:jc w:val="both"/>
        <w:rPr>
          <w:rFonts w:ascii="Book Antiqua" w:hAnsi="Book Antiqua"/>
        </w:rPr>
      </w:pPr>
    </w:p>
    <w:p w14:paraId="26983161" w14:textId="26162BCA"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FQ provided the case; Liu Z was a major contributor in writing the manuscript; Lv S, Wang S and Qu SM consulted the infants’ parents about other treatment methods; Zhang GY and Lin YT reviewed the relevant literature on itraconazole in the treatment of hemangioma; Lin YT provided daily nursing advice to the infants’ parents; </w:t>
      </w:r>
      <w:r w:rsidR="00FD7391">
        <w:rPr>
          <w:rFonts w:ascii="Book Antiqua" w:hAnsi="Book Antiqua" w:cs="Book Antiqua"/>
          <w:color w:val="000000"/>
          <w:lang w:eastAsia="zh-CN"/>
        </w:rPr>
        <w:t>A</w:t>
      </w:r>
      <w:r>
        <w:rPr>
          <w:rFonts w:ascii="Book Antiqua" w:eastAsia="Book Antiqua" w:hAnsi="Book Antiqua" w:cs="Book Antiqua"/>
          <w:color w:val="000000"/>
        </w:rPr>
        <w:t>ll authors have read and approve the final manuscript.</w:t>
      </w:r>
    </w:p>
    <w:p w14:paraId="37AB1867" w14:textId="77777777" w:rsidR="00D37FBD" w:rsidRDefault="00D37FBD">
      <w:pPr>
        <w:spacing w:line="360" w:lineRule="auto"/>
        <w:jc w:val="both"/>
        <w:rPr>
          <w:rFonts w:ascii="Book Antiqua" w:hAnsi="Book Antiqua"/>
        </w:rPr>
      </w:pPr>
    </w:p>
    <w:p w14:paraId="39D3E9CE"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Corresponding author: Fu-Qiu Li, MD, </w:t>
      </w:r>
      <w:r w:rsidR="00DA62C3" w:rsidRPr="00DA62C3">
        <w:rPr>
          <w:rFonts w:ascii="Book Antiqua" w:eastAsia="Book Antiqua" w:hAnsi="Book Antiqua" w:cs="Book Antiqua" w:hint="eastAsia"/>
          <w:b/>
          <w:bCs/>
          <w:color w:val="000000"/>
        </w:rPr>
        <w:t>Chief Doctor</w:t>
      </w:r>
      <w:r w:rsidR="00DA62C3">
        <w:rPr>
          <w:rFonts w:ascii="Book Antiqua" w:hAnsi="Book Antiqua" w:cs="Book Antiqua" w:hint="eastAsia"/>
          <w:b/>
          <w:bCs/>
          <w:color w:val="000000"/>
          <w:lang w:eastAsia="zh-CN"/>
        </w:rPr>
        <w:t>,</w:t>
      </w:r>
      <w:r w:rsidR="00DA62C3" w:rsidRPr="00DA62C3">
        <w:rPr>
          <w:rFonts w:ascii="Book Antiqua" w:eastAsia="Book Antiqua" w:hAnsi="Book Antiqua" w:cs="Book Antiqua" w:hint="eastAsia"/>
          <w:b/>
          <w:bCs/>
          <w:color w:val="000000"/>
        </w:rPr>
        <w:t xml:space="preserve"> 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Dermatology, The Second Hospital of Jilin University, No. 218 Ziqiang Road, Nanguan District, Changchun 130041</w:t>
      </w:r>
      <w:r>
        <w:rPr>
          <w:rFonts w:ascii="Book Antiqua" w:hAnsi="Book Antiqua" w:cs="Book Antiqua" w:hint="eastAsia"/>
          <w:color w:val="000000"/>
          <w:lang w:eastAsia="zh-CN"/>
        </w:rPr>
        <w:t>,</w:t>
      </w:r>
      <w:r>
        <w:rPr>
          <w:rFonts w:ascii="Book Antiqua" w:eastAsia="Book Antiqua" w:hAnsi="Book Antiqua" w:cs="Book Antiqua"/>
          <w:color w:val="000000"/>
        </w:rPr>
        <w:t xml:space="preserve"> Jilin Province, China. lifuqiu1234@126.com</w:t>
      </w:r>
    </w:p>
    <w:p w14:paraId="11BD5B21" w14:textId="77777777" w:rsidR="00D37FBD" w:rsidRDefault="00D37FBD">
      <w:pPr>
        <w:spacing w:line="360" w:lineRule="auto"/>
        <w:jc w:val="both"/>
        <w:rPr>
          <w:rFonts w:ascii="Book Antiqua" w:hAnsi="Book Antiqua"/>
        </w:rPr>
      </w:pPr>
    </w:p>
    <w:p w14:paraId="285DCBEB"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2021</w:t>
      </w:r>
    </w:p>
    <w:p w14:paraId="3164C26D"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July 5, 2021</w:t>
      </w:r>
    </w:p>
    <w:p w14:paraId="01839117" w14:textId="3E1E75C3"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C86DBD">
        <w:rPr>
          <w:rFonts w:ascii="Book Antiqua" w:eastAsia="SimSun" w:hAnsi="Book Antiqua"/>
          <w:color w:val="000000" w:themeColor="text1"/>
        </w:rPr>
        <w:t>J</w:t>
      </w:r>
      <w:r w:rsidR="00C86DBD">
        <w:rPr>
          <w:rFonts w:ascii="Book Antiqua" w:eastAsia="SimSun" w:hAnsi="Book Antiqua" w:hint="eastAsia"/>
          <w:color w:val="000000" w:themeColor="text1"/>
        </w:rPr>
        <w:t>u</w:t>
      </w:r>
      <w:r w:rsidR="00C86DBD">
        <w:rPr>
          <w:rFonts w:ascii="Book Antiqua" w:eastAsia="SimSun" w:hAnsi="Book Antiqua"/>
          <w:color w:val="000000" w:themeColor="text1"/>
        </w:rPr>
        <w:t>ly</w:t>
      </w:r>
      <w:r w:rsidR="00C86DBD" w:rsidRPr="00F06907">
        <w:rPr>
          <w:rFonts w:ascii="Book Antiqua" w:eastAsia="SimSun" w:hAnsi="Book Antiqua"/>
          <w:color w:val="000000" w:themeColor="text1"/>
        </w:rPr>
        <w:t xml:space="preserve"> </w:t>
      </w:r>
      <w:r w:rsidR="00C86DBD">
        <w:rPr>
          <w:rFonts w:ascii="Book Antiqua" w:eastAsia="SimSun" w:hAnsi="Book Antiqua"/>
          <w:color w:val="000000" w:themeColor="text1"/>
        </w:rPr>
        <w:t>19</w:t>
      </w:r>
      <w:r w:rsidR="00C86DBD" w:rsidRPr="00F06907">
        <w:rPr>
          <w:rFonts w:ascii="Book Antiqua" w:eastAsia="SimSun" w:hAnsi="Book Antiqua"/>
          <w:color w:val="000000" w:themeColor="text1"/>
        </w:rPr>
        <w:t>, 2021</w:t>
      </w:r>
      <w:bookmarkEnd w:id="0"/>
      <w:bookmarkEnd w:id="1"/>
      <w:bookmarkEnd w:id="2"/>
    </w:p>
    <w:p w14:paraId="2F61C964"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577D759" w14:textId="77777777" w:rsidR="00D37FBD" w:rsidRDefault="00D37FBD">
      <w:pPr>
        <w:spacing w:line="360" w:lineRule="auto"/>
        <w:jc w:val="both"/>
        <w:rPr>
          <w:rFonts w:ascii="Book Antiqua" w:hAnsi="Book Antiqua"/>
        </w:rPr>
        <w:sectPr w:rsidR="00D37FBD">
          <w:footerReference w:type="default" r:id="rId7"/>
          <w:pgSz w:w="12240" w:h="15840"/>
          <w:pgMar w:top="1440" w:right="1440" w:bottom="1440" w:left="1440" w:header="720" w:footer="720" w:gutter="0"/>
          <w:cols w:space="720"/>
          <w:docGrid w:linePitch="360"/>
        </w:sectPr>
      </w:pPr>
    </w:p>
    <w:p w14:paraId="718D4463"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3858466"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BACKGROUND</w:t>
      </w:r>
    </w:p>
    <w:p w14:paraId="44350F67" w14:textId="0E78D77E" w:rsidR="00D37FBD" w:rsidRDefault="00536838">
      <w:pPr>
        <w:spacing w:line="360" w:lineRule="auto"/>
        <w:jc w:val="both"/>
        <w:rPr>
          <w:rFonts w:ascii="Book Antiqua" w:hAnsi="Book Antiqua"/>
        </w:rPr>
      </w:pPr>
      <w:r>
        <w:rPr>
          <w:rFonts w:ascii="Book Antiqua" w:eastAsia="Book Antiqua" w:hAnsi="Book Antiqua" w:cs="Book Antiqua"/>
          <w:color w:val="000000"/>
        </w:rPr>
        <w:t>Infantile hemangiomas (IHs) are the most common childhood benign tumors, showing distinctive progression characteristics and outcomes. Due to the high demand for aesthetics among parents of IH babies, early intervention is critical in some cases. β-</w:t>
      </w:r>
      <w:r w:rsidR="005412FF">
        <w:rPr>
          <w:rFonts w:ascii="Book Antiqua" w:eastAsia="Book Antiqua" w:hAnsi="Book Antiqua" w:cs="Book Antiqua"/>
          <w:color w:val="000000"/>
        </w:rPr>
        <w:t>A</w:t>
      </w:r>
      <w:r>
        <w:rPr>
          <w:rFonts w:ascii="Book Antiqua" w:eastAsia="Book Antiqua" w:hAnsi="Book Antiqua" w:cs="Book Antiqua"/>
          <w:color w:val="000000"/>
        </w:rPr>
        <w:t xml:space="preserve">drenergic blockers and corticosteroids are first-line medications for IHs, while itraconazole, an antifungal medicine, has shown positive results in recent years. </w:t>
      </w:r>
    </w:p>
    <w:p w14:paraId="429CADCC" w14:textId="77777777" w:rsidR="00D37FBD" w:rsidRDefault="00D37FBD">
      <w:pPr>
        <w:spacing w:line="360" w:lineRule="auto"/>
        <w:jc w:val="both"/>
        <w:rPr>
          <w:rFonts w:ascii="Book Antiqua" w:hAnsi="Book Antiqua"/>
        </w:rPr>
      </w:pPr>
    </w:p>
    <w:p w14:paraId="0FC43A9D"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CASE SUMMARY</w:t>
      </w:r>
    </w:p>
    <w:p w14:paraId="760941CB" w14:textId="4CEFAB3B"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In the present study, itraconazole was applied to treat two IH cases. The therapeutic course lasted 80-90 d, during which the visible lesion faded by more than 90%. Moreover, no obvious side effects were reported, and the compliance of the baby and parents was desirable. </w:t>
      </w:r>
    </w:p>
    <w:p w14:paraId="5C2E01C1" w14:textId="77777777" w:rsidR="00D37FBD" w:rsidRDefault="00D37FBD">
      <w:pPr>
        <w:spacing w:line="360" w:lineRule="auto"/>
        <w:jc w:val="both"/>
        <w:rPr>
          <w:rFonts w:ascii="Book Antiqua" w:hAnsi="Book Antiqua"/>
        </w:rPr>
      </w:pPr>
    </w:p>
    <w:p w14:paraId="6C063070"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CONCLUSION</w:t>
      </w:r>
    </w:p>
    <w:p w14:paraId="447D2509" w14:textId="16777874" w:rsidR="00D37FBD" w:rsidRDefault="00536838">
      <w:pPr>
        <w:spacing w:line="360" w:lineRule="auto"/>
        <w:jc w:val="both"/>
        <w:rPr>
          <w:rFonts w:ascii="Book Antiqua" w:hAnsi="Book Antiqua"/>
          <w:lang w:eastAsia="zh-CN"/>
        </w:rPr>
      </w:pPr>
      <w:r>
        <w:rPr>
          <w:rFonts w:ascii="Book Antiqua" w:eastAsia="Book Antiqua" w:hAnsi="Book Antiqua" w:cs="Book Antiqua"/>
          <w:color w:val="000000"/>
        </w:rPr>
        <w:t xml:space="preserve">Although these outcomes further support itraconazole as an effective therapeutic choice for IHs, large-scale clinical and basic </w:t>
      </w:r>
      <w:r w:rsidR="00C620B0">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are still warranted to </w:t>
      </w:r>
      <w:r w:rsidR="00C620B0">
        <w:rPr>
          <w:rFonts w:ascii="Book Antiqua" w:eastAsia="Book Antiqua" w:hAnsi="Book Antiqua" w:cs="Book Antiqua"/>
          <w:color w:val="000000"/>
        </w:rPr>
        <w:t xml:space="preserve">improve </w:t>
      </w:r>
      <w:r>
        <w:rPr>
          <w:rFonts w:ascii="Book Antiqua" w:eastAsia="Book Antiqua" w:hAnsi="Book Antiqua" w:cs="Book Antiqua"/>
          <w:color w:val="000000"/>
        </w:rPr>
        <w:t>further treatment.</w:t>
      </w:r>
    </w:p>
    <w:p w14:paraId="100296ED" w14:textId="77777777" w:rsidR="00D37FBD" w:rsidRDefault="00D37FBD">
      <w:pPr>
        <w:spacing w:line="360" w:lineRule="auto"/>
        <w:jc w:val="both"/>
        <w:rPr>
          <w:rFonts w:ascii="Book Antiqua" w:hAnsi="Book Antiqua"/>
        </w:rPr>
      </w:pPr>
    </w:p>
    <w:p w14:paraId="4E64AE9B"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Infant; Hemangiomas; Therapeutics; Itraconazole; Oral; </w:t>
      </w:r>
      <w:r>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078B461B" w14:textId="77777777" w:rsidR="00D37FBD" w:rsidRDefault="00D37FBD">
      <w:pPr>
        <w:spacing w:line="360" w:lineRule="auto"/>
        <w:jc w:val="both"/>
        <w:rPr>
          <w:rFonts w:ascii="Book Antiqua" w:hAnsi="Book Antiqua"/>
        </w:rPr>
      </w:pPr>
    </w:p>
    <w:p w14:paraId="050D2C77"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Liu Z, Lv S, Wang S, Qu SM, Zhang GY, Lin YT, Yang L, Li FQ. Itraconazole therapy for infant hemangioma: </w:t>
      </w:r>
      <w:r>
        <w:rPr>
          <w:rFonts w:ascii="Book Antiqua" w:hAnsi="Book Antiqua" w:cs="Book Antiqua" w:hint="eastAsia"/>
          <w:color w:val="000000"/>
          <w:lang w:eastAsia="zh-CN"/>
        </w:rPr>
        <w:t xml:space="preserve">Two </w:t>
      </w:r>
      <w:r>
        <w:rPr>
          <w:rFonts w:ascii="Book Antiqua" w:eastAsia="Book Antiqua" w:hAnsi="Book Antiqua" w:cs="Book Antiqua"/>
          <w:color w:val="000000"/>
        </w:rPr>
        <w:t>case report</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56F7C9D" w14:textId="77777777" w:rsidR="00D37FBD" w:rsidRDefault="00D37FBD">
      <w:pPr>
        <w:spacing w:line="360" w:lineRule="auto"/>
        <w:jc w:val="both"/>
        <w:rPr>
          <w:rFonts w:ascii="Book Antiqua" w:hAnsi="Book Antiqua"/>
        </w:rPr>
      </w:pPr>
    </w:p>
    <w:p w14:paraId="010C7366" w14:textId="4BD4953A"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Infantile hemangiomas (IHs) stand as the most common vascular tumors in infants, mainly due to the disorder of vascular architecture and aberrant proliferation of endothelial cells. Early intervention is critical for restraining lesion growth, reducing the risk of complications, and mitigating psychosocial stress. In the two IH cases listed in the study, oral administration of itraconazole, which was dissolved in milk for 80-90 d, yielded satisfying outcomes, including fading of lesions by more than 90%, few side </w:t>
      </w:r>
      <w:r>
        <w:rPr>
          <w:rFonts w:ascii="Book Antiqua" w:eastAsia="Book Antiqua" w:hAnsi="Book Antiqua" w:cs="Book Antiqua"/>
          <w:color w:val="000000"/>
        </w:rPr>
        <w:lastRenderedPageBreak/>
        <w:t>effects, and desirable compliance of the baby’s parents. Overall, itraconazole has been demonstrated being an effective therapeutic choice for IHs.</w:t>
      </w:r>
    </w:p>
    <w:p w14:paraId="55B3B3CB" w14:textId="77777777" w:rsidR="00D37FBD" w:rsidRDefault="00D37FBD">
      <w:pPr>
        <w:spacing w:line="360" w:lineRule="auto"/>
        <w:jc w:val="both"/>
        <w:rPr>
          <w:rFonts w:ascii="Book Antiqua" w:hAnsi="Book Antiqua"/>
        </w:rPr>
      </w:pPr>
    </w:p>
    <w:p w14:paraId="6A05653C"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C09A914" w14:textId="49410288"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Infantile hemangiomas (IHs), the most common vascular tumors in infants, are caused by disorder of vascular architecture and aberrant proliferation of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Several retrospective and prospective studies reported 1%-3% incidence of IHs among infants, 2.6%-9.9% incidence in older children, and up to 22%-30% incidence in preterm infants weighing less than 1 kg</w:t>
      </w:r>
      <w:r>
        <w:rPr>
          <w:rFonts w:ascii="Book Antiqua" w:eastAsia="Book Antiqua" w:hAnsi="Book Antiqua" w:cs="Book Antiqua"/>
          <w:color w:val="000000"/>
          <w:vertAlign w:val="superscript"/>
        </w:rPr>
        <w:t>[2]</w:t>
      </w:r>
      <w:r>
        <w:rPr>
          <w:rFonts w:ascii="Book Antiqua" w:eastAsia="Book Antiqua" w:hAnsi="Book Antiqua" w:cs="Book Antiqua"/>
          <w:color w:val="000000"/>
        </w:rPr>
        <w:t>. The initial onset of IHs usually appears before 4 wk of age with complete growth by 5 mo. For most IH cases, the involution begins at 12 mo and finalizes by age 4</w:t>
      </w:r>
      <w:r>
        <w:rPr>
          <w:rFonts w:ascii="Book Antiqua" w:eastAsia="Book Antiqua" w:hAnsi="Book Antiqua" w:cs="Book Antiqua"/>
          <w:color w:val="000000"/>
          <w:vertAlign w:val="superscript"/>
        </w:rPr>
        <w:t>[2]</w:t>
      </w:r>
      <w:r>
        <w:rPr>
          <w:rFonts w:ascii="Book Antiqua" w:eastAsia="Book Antiqua" w:hAnsi="Book Antiqua" w:cs="Book Antiqua"/>
          <w:color w:val="000000"/>
        </w:rPr>
        <w:t>. Although a large portion of IHs tend to fade spontaneously without structural or aesthetics challenges, some are accompanied by vital complications or residual disfigurement</w:t>
      </w:r>
      <w:r>
        <w:rPr>
          <w:rFonts w:ascii="Book Antiqua" w:eastAsia="Book Antiqua" w:hAnsi="Book Antiqua" w:cs="Book Antiqua"/>
          <w:color w:val="000000"/>
          <w:vertAlign w:val="superscript"/>
        </w:rPr>
        <w:t>[3]</w:t>
      </w:r>
      <w:r>
        <w:rPr>
          <w:rFonts w:ascii="Book Antiqua" w:eastAsia="Book Antiqua" w:hAnsi="Book Antiqua" w:cs="Book Antiqua"/>
          <w:color w:val="000000"/>
        </w:rPr>
        <w:t>. In such cases, early intervention is critical for restraining the lesion growth, reducing the risk of complications, and mitigating psychosocial stress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49A84EE3" w14:textId="5E0B07FA" w:rsidR="00D37FBD" w:rsidRDefault="0053683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IH intervention approaches involve medications and laser treatments, while surgery is required for patients who fail to respond to </w:t>
      </w:r>
      <w:proofErr w:type="gramStart"/>
      <w:r>
        <w:rPr>
          <w:rFonts w:ascii="Book Antiqua" w:eastAsia="Book Antiqua" w:hAnsi="Book Antiqua" w:cs="Book Antiqua"/>
          <w:color w:val="000000"/>
        </w:rPr>
        <w:t>pharmacotherapy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Orally administrated propranolol or topical applied timolol, as β-adrenergic blockers, have shown clear efficacy on the superficial IHs</w:t>
      </w:r>
      <w:r>
        <w:rPr>
          <w:rFonts w:ascii="Book Antiqua" w:eastAsia="Book Antiqua" w:hAnsi="Book Antiqua" w:cs="Book Antiqua"/>
          <w:color w:val="000000"/>
          <w:vertAlign w:val="superscript"/>
        </w:rPr>
        <w:t>[5]</w:t>
      </w:r>
      <w:r>
        <w:rPr>
          <w:rFonts w:ascii="Book Antiqua" w:eastAsia="Book Antiqua" w:hAnsi="Book Antiqua" w:cs="Book Antiqua"/>
          <w:color w:val="000000"/>
        </w:rPr>
        <w:t>. While systemic corticosteroids are the typical first-line therapy for IHs, their distinct adverse effects limit their application in clinic</w:t>
      </w:r>
      <w:r>
        <w:rPr>
          <w:rFonts w:ascii="Book Antiqua" w:eastAsia="Book Antiqua" w:hAnsi="Book Antiqua" w:cs="Book Antiqua"/>
          <w:color w:val="000000"/>
          <w:vertAlign w:val="superscript"/>
        </w:rPr>
        <w:t>[6]</w:t>
      </w:r>
      <w:r>
        <w:rPr>
          <w:rFonts w:ascii="Book Antiqua" w:eastAsia="Book Antiqua" w:hAnsi="Book Antiqua" w:cs="Book Antiqua"/>
          <w:color w:val="000000"/>
        </w:rPr>
        <w:t>. Other medications, including vincristine, interferon-α</w:t>
      </w:r>
      <w:r w:rsidR="006259BD">
        <w:rPr>
          <w:rFonts w:ascii="Book Antiqua" w:eastAsia="Book Antiqua" w:hAnsi="Book Antiqua" w:cs="Book Antiqua"/>
          <w:color w:val="000000"/>
        </w:rPr>
        <w:t>,</w:t>
      </w:r>
      <w:r>
        <w:rPr>
          <w:rFonts w:ascii="Book Antiqua" w:eastAsia="Book Antiqua" w:hAnsi="Book Antiqua" w:cs="Book Antiqua"/>
          <w:color w:val="000000"/>
        </w:rPr>
        <w:t xml:space="preserve"> and imiquimod, are also commonly used but result in remarkable complications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58E74696" w14:textId="683DE33A" w:rsidR="00D37FBD" w:rsidRDefault="00536838">
      <w:pPr>
        <w:spacing w:line="360" w:lineRule="auto"/>
        <w:ind w:firstLineChars="200" w:firstLine="480"/>
        <w:jc w:val="both"/>
        <w:rPr>
          <w:rFonts w:ascii="Book Antiqua" w:hAnsi="Book Antiqua"/>
        </w:rPr>
      </w:pPr>
      <w:r>
        <w:rPr>
          <w:rFonts w:ascii="Book Antiqua" w:eastAsia="Book Antiqua" w:hAnsi="Book Antiqua" w:cs="Book Antiqua"/>
          <w:color w:val="000000"/>
        </w:rPr>
        <w:t>Itraconazole is an antifungal medication to treat infections caused by fungus in the lungs, mouth, throat, toenails, and fingernails in adults</w:t>
      </w:r>
      <w:r>
        <w:rPr>
          <w:rFonts w:ascii="Book Antiqua" w:eastAsia="Book Antiqua" w:hAnsi="Book Antiqua" w:cs="Book Antiqua"/>
          <w:color w:val="000000"/>
          <w:vertAlign w:val="superscript"/>
        </w:rPr>
        <w:t>[7]</w:t>
      </w:r>
      <w:r>
        <w:rPr>
          <w:rFonts w:ascii="Book Antiqua" w:eastAsia="Book Antiqua" w:hAnsi="Book Antiqua" w:cs="Book Antiqua"/>
          <w:color w:val="000000"/>
        </w:rPr>
        <w:t>. However, complications associated with this medicine include heart failure, liver, and kidney disease</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 recent study has suggested that the treatment of IH with 5 mg/kg </w:t>
      </w:r>
      <w:r w:rsidRPr="0002636A">
        <w:rPr>
          <w:rFonts w:ascii="Book Antiqua" w:eastAsia="Book Antiqua" w:hAnsi="Book Antiqua" w:cs="Book Antiqua"/>
          <w:iCs/>
          <w:color w:val="000000"/>
        </w:rPr>
        <w:t>per</w:t>
      </w:r>
      <w:r w:rsidRPr="00FD7391">
        <w:rPr>
          <w:rFonts w:ascii="Book Antiqua" w:eastAsia="Book Antiqua" w:hAnsi="Book Antiqua" w:cs="Book Antiqua"/>
          <w:iCs/>
          <w:color w:val="000000"/>
        </w:rPr>
        <w:t xml:space="preserve"> </w:t>
      </w:r>
      <w:r>
        <w:rPr>
          <w:rFonts w:ascii="Book Antiqua" w:eastAsia="Book Antiqua" w:hAnsi="Book Antiqua" w:cs="Book Antiqua"/>
          <w:color w:val="000000"/>
        </w:rPr>
        <w:t xml:space="preserve">day itraconazole (oral) induced a substantial alleviation of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underlying reasons for the success are related to angiogenesis inhibition and depressed cellular proliferation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Despite this evidence, further research is still required to confirm the contribution of itraconazole. Therefore, we describe two cases in which infants presenting IHs were treated by itraconazole for 80-90 d and exhibited satisfying results without any noticeable complications. In both cases, the infants and parents showed promising compliance to the therapeutic approaches. </w:t>
      </w:r>
    </w:p>
    <w:p w14:paraId="3B8BC674" w14:textId="77777777" w:rsidR="00D37FBD" w:rsidRDefault="00D37FBD">
      <w:pPr>
        <w:spacing w:line="360" w:lineRule="auto"/>
        <w:jc w:val="both"/>
        <w:rPr>
          <w:rFonts w:ascii="Book Antiqua" w:hAnsi="Book Antiqua"/>
        </w:rPr>
      </w:pPr>
    </w:p>
    <w:p w14:paraId="7C49216F"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lastRenderedPageBreak/>
        <w:t>CASE PRESENTATION</w:t>
      </w:r>
    </w:p>
    <w:p w14:paraId="1C94A29A"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Chief complaints</w:t>
      </w:r>
    </w:p>
    <w:p w14:paraId="0D2EAA6A" w14:textId="29430702"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A 4-mo-old baby presented slightly raised soft reddish-purple patches on the right hand at birth.</w:t>
      </w:r>
    </w:p>
    <w:p w14:paraId="524C6E63" w14:textId="77777777" w:rsidR="00D37FBD" w:rsidRDefault="00D37FBD">
      <w:pPr>
        <w:spacing w:line="360" w:lineRule="auto"/>
        <w:jc w:val="both"/>
        <w:rPr>
          <w:rFonts w:ascii="Book Antiqua" w:hAnsi="Book Antiqua"/>
          <w:lang w:eastAsia="zh-CN"/>
        </w:rPr>
      </w:pPr>
    </w:p>
    <w:p w14:paraId="5933A98D" w14:textId="0B709087"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A 6-mo-old baby visited the hospital for a bright red raised soft patch on the surface of the right ala nasi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color w:val="000000"/>
          <w:lang w:eastAsia="zh-CN"/>
        </w:rPr>
        <w:t>1</w:t>
      </w:r>
      <w:r>
        <w:rPr>
          <w:rFonts w:ascii="Book Antiqua" w:eastAsia="Book Antiqua" w:hAnsi="Book Antiqua" w:cs="Book Antiqua"/>
          <w:color w:val="000000"/>
        </w:rPr>
        <w:t xml:space="preserve">). </w:t>
      </w:r>
    </w:p>
    <w:p w14:paraId="2DFC5B0B" w14:textId="77777777" w:rsidR="00D37FBD" w:rsidRDefault="00D37FBD">
      <w:pPr>
        <w:spacing w:line="360" w:lineRule="auto"/>
        <w:jc w:val="both"/>
        <w:rPr>
          <w:rFonts w:ascii="Book Antiqua" w:hAnsi="Book Antiqua"/>
        </w:rPr>
      </w:pPr>
    </w:p>
    <w:p w14:paraId="453D8026"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36A12C3" w14:textId="78653261"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Within </w:t>
      </w:r>
      <w:r w:rsidR="006259BD">
        <w:rPr>
          <w:rFonts w:ascii="Book Antiqua" w:eastAsia="Book Antiqua" w:hAnsi="Book Antiqua" w:cs="Book Antiqua"/>
          <w:color w:val="000000"/>
        </w:rPr>
        <w:t xml:space="preserve">3 </w:t>
      </w:r>
      <w:proofErr w:type="spellStart"/>
      <w:r w:rsidR="006259B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lesion grew rapidly in size and thickness, showing no fading tendency. The lesions were limited to the right palm and dorsum and exhibited a reddish-purple color, well-defined boundary, and nodular shape with slight lobulation (Figure </w:t>
      </w:r>
      <w:r>
        <w:rPr>
          <w:rFonts w:ascii="Book Antiqua" w:hAnsi="Book Antiqua" w:cs="Book Antiqua"/>
          <w:color w:val="000000"/>
          <w:lang w:eastAsia="zh-CN"/>
        </w:rPr>
        <w:t>2</w:t>
      </w:r>
      <w:r>
        <w:rPr>
          <w:rFonts w:ascii="Book Antiqua" w:eastAsia="Book Antiqua" w:hAnsi="Book Antiqua" w:cs="Book Antiqua"/>
          <w:color w:val="000000"/>
        </w:rPr>
        <w:t>).</w:t>
      </w:r>
    </w:p>
    <w:p w14:paraId="775E9E53" w14:textId="77777777" w:rsidR="00D37FBD" w:rsidRDefault="00D37FBD">
      <w:pPr>
        <w:spacing w:line="360" w:lineRule="auto"/>
        <w:jc w:val="both"/>
        <w:rPr>
          <w:rFonts w:ascii="Book Antiqua" w:hAnsi="Book Antiqua"/>
          <w:lang w:eastAsia="zh-CN"/>
        </w:rPr>
      </w:pPr>
    </w:p>
    <w:p w14:paraId="03ECCE0B" w14:textId="76539B59"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lesion appeared </w:t>
      </w:r>
      <w:r w:rsidR="006259BD">
        <w:rPr>
          <w:rFonts w:ascii="Book Antiqua" w:eastAsia="Book Antiqua" w:hAnsi="Book Antiqua" w:cs="Book Antiqua"/>
          <w:color w:val="000000"/>
        </w:rPr>
        <w:t xml:space="preserve">1 </w:t>
      </w:r>
      <w:proofErr w:type="spellStart"/>
      <w:r w:rsidR="006259B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birth and rapidly enlarged in size and thickness within 5 mo, showing no fading tendency. The patient had received radionuclide application therapy in another hospital </w:t>
      </w:r>
      <w:r w:rsidR="006259BD">
        <w:rPr>
          <w:rFonts w:ascii="Book Antiqua" w:eastAsia="Book Antiqua" w:hAnsi="Book Antiqua" w:cs="Book Antiqua"/>
          <w:color w:val="000000"/>
        </w:rPr>
        <w:t xml:space="preserve">2 </w:t>
      </w:r>
      <w:proofErr w:type="spellStart"/>
      <w:r w:rsidR="006259B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which flatte</w:t>
      </w:r>
      <w:r w:rsidR="006259BD">
        <w:rPr>
          <w:rFonts w:ascii="Book Antiqua" w:eastAsia="Book Antiqua" w:hAnsi="Book Antiqua" w:cs="Book Antiqua"/>
          <w:color w:val="000000"/>
        </w:rPr>
        <w:t>ne</w:t>
      </w:r>
      <w:r>
        <w:rPr>
          <w:rFonts w:ascii="Book Antiqua" w:eastAsia="Book Antiqua" w:hAnsi="Book Antiqua" w:cs="Book Antiqua"/>
          <w:color w:val="000000"/>
        </w:rPr>
        <w:t xml:space="preserve">d the lesion slightly, but the response lasted only half a month. The lesion relapsed and thickened quickly, displaying a bright-red strawberry shape and clear boundary that faded upon pressing, thus was diagnosed as infantile strawberry hemangioma. The lesion extended into the nasal cavity causing vascular malformation on nasal mucosa. </w:t>
      </w:r>
    </w:p>
    <w:p w14:paraId="2EA92116" w14:textId="77777777" w:rsidR="00D37FBD" w:rsidRDefault="00D37FBD">
      <w:pPr>
        <w:spacing w:line="360" w:lineRule="auto"/>
        <w:jc w:val="both"/>
        <w:rPr>
          <w:rFonts w:ascii="Book Antiqua" w:hAnsi="Book Antiqua"/>
        </w:rPr>
      </w:pPr>
    </w:p>
    <w:p w14:paraId="29671F76"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42EBCDE"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patient showed a clear previous medical history.</w:t>
      </w:r>
    </w:p>
    <w:p w14:paraId="40108A08" w14:textId="77777777" w:rsidR="00D37FBD" w:rsidRDefault="00D37FBD">
      <w:pPr>
        <w:spacing w:line="360" w:lineRule="auto"/>
        <w:jc w:val="both"/>
        <w:rPr>
          <w:rFonts w:ascii="Book Antiqua" w:hAnsi="Book Antiqua"/>
          <w:lang w:eastAsia="zh-CN"/>
        </w:rPr>
      </w:pPr>
    </w:p>
    <w:p w14:paraId="558C38A3"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previous medical history of the patient was clear. </w:t>
      </w:r>
    </w:p>
    <w:p w14:paraId="7F6595FC" w14:textId="77777777" w:rsidR="00D37FBD" w:rsidRDefault="00D37FBD">
      <w:pPr>
        <w:spacing w:line="360" w:lineRule="auto"/>
        <w:jc w:val="both"/>
        <w:rPr>
          <w:rFonts w:ascii="Book Antiqua" w:hAnsi="Book Antiqua"/>
        </w:rPr>
      </w:pPr>
    </w:p>
    <w:p w14:paraId="7737DD67"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3535B82C"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baby’s parents reported no special personal and family medical history.</w:t>
      </w:r>
    </w:p>
    <w:p w14:paraId="68E73E48" w14:textId="77777777" w:rsidR="00D37FBD" w:rsidRDefault="00D37FBD">
      <w:pPr>
        <w:spacing w:line="360" w:lineRule="auto"/>
        <w:jc w:val="both"/>
        <w:rPr>
          <w:rFonts w:ascii="Book Antiqua" w:hAnsi="Book Antiqua"/>
          <w:lang w:eastAsia="zh-CN"/>
        </w:rPr>
      </w:pPr>
    </w:p>
    <w:p w14:paraId="0A4D493E"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lastRenderedPageBreak/>
        <w:t>Case 2:</w:t>
      </w:r>
      <w:r>
        <w:rPr>
          <w:rFonts w:ascii="Book Antiqua" w:eastAsia="Book Antiqua" w:hAnsi="Book Antiqua" w:cs="Book Antiqua"/>
          <w:color w:val="000000"/>
        </w:rPr>
        <w:t xml:space="preserve"> No special personal and family medical history was reported. </w:t>
      </w:r>
    </w:p>
    <w:p w14:paraId="51FF9761" w14:textId="77777777" w:rsidR="00D37FBD" w:rsidRDefault="00D37FBD">
      <w:pPr>
        <w:spacing w:line="360" w:lineRule="auto"/>
        <w:jc w:val="both"/>
        <w:rPr>
          <w:rFonts w:ascii="Book Antiqua" w:hAnsi="Book Antiqua"/>
        </w:rPr>
      </w:pPr>
    </w:p>
    <w:p w14:paraId="555F457F"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Physical examination</w:t>
      </w:r>
    </w:p>
    <w:p w14:paraId="42F9EA22"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baby weighed 5 kg, and the physical examination revealed no abnormal signs.</w:t>
      </w:r>
    </w:p>
    <w:p w14:paraId="089801C2" w14:textId="77777777" w:rsidR="00D37FBD" w:rsidRDefault="00D37FBD">
      <w:pPr>
        <w:spacing w:line="360" w:lineRule="auto"/>
        <w:jc w:val="both"/>
        <w:rPr>
          <w:rFonts w:ascii="Book Antiqua" w:hAnsi="Book Antiqua"/>
          <w:lang w:eastAsia="zh-CN"/>
        </w:rPr>
      </w:pPr>
    </w:p>
    <w:p w14:paraId="4A881610"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baby weighed 7.9 kg, and the physical examination found no abnormality.</w:t>
      </w:r>
    </w:p>
    <w:p w14:paraId="61C3528E" w14:textId="77777777" w:rsidR="00D37FBD" w:rsidRDefault="00D37FBD">
      <w:pPr>
        <w:spacing w:line="360" w:lineRule="auto"/>
        <w:jc w:val="both"/>
        <w:rPr>
          <w:rFonts w:ascii="Book Antiqua" w:hAnsi="Book Antiqua"/>
        </w:rPr>
      </w:pPr>
    </w:p>
    <w:p w14:paraId="1D42FD43"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DFAA77E"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Liver function was normal, and no other vital organs were involved. </w:t>
      </w:r>
    </w:p>
    <w:p w14:paraId="03F85070" w14:textId="77777777" w:rsidR="00D37FBD" w:rsidRDefault="00D37FBD">
      <w:pPr>
        <w:spacing w:line="360" w:lineRule="auto"/>
        <w:jc w:val="both"/>
        <w:rPr>
          <w:rFonts w:ascii="Book Antiqua" w:hAnsi="Book Antiqua"/>
        </w:rPr>
      </w:pPr>
    </w:p>
    <w:p w14:paraId="68328CFC" w14:textId="77777777" w:rsidR="00D37FBD" w:rsidRDefault="00536838">
      <w:pPr>
        <w:spacing w:line="360" w:lineRule="auto"/>
        <w:jc w:val="both"/>
        <w:rPr>
          <w:rFonts w:ascii="Book Antiqua" w:hAnsi="Book Antiqua"/>
        </w:rPr>
      </w:pPr>
      <w:r>
        <w:rPr>
          <w:rFonts w:ascii="Book Antiqua" w:eastAsia="Book Antiqua" w:hAnsi="Book Antiqua" w:cs="Book Antiqua"/>
          <w:b/>
          <w:i/>
          <w:color w:val="000000"/>
        </w:rPr>
        <w:t>Imaging examinations</w:t>
      </w:r>
    </w:p>
    <w:p w14:paraId="76579781"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None of the imaging examinations revealed anomaly.</w:t>
      </w:r>
    </w:p>
    <w:p w14:paraId="195C28A6" w14:textId="77777777" w:rsidR="00D37FBD" w:rsidRDefault="00D37FBD">
      <w:pPr>
        <w:spacing w:line="360" w:lineRule="auto"/>
        <w:jc w:val="both"/>
        <w:rPr>
          <w:rFonts w:ascii="Book Antiqua" w:hAnsi="Book Antiqua"/>
          <w:lang w:eastAsia="zh-CN"/>
        </w:rPr>
      </w:pPr>
    </w:p>
    <w:p w14:paraId="7F903AA6"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All the imaging examinations were normal. </w:t>
      </w:r>
    </w:p>
    <w:p w14:paraId="5B26E40B" w14:textId="77777777" w:rsidR="00D37FBD" w:rsidRDefault="00D37FBD">
      <w:pPr>
        <w:spacing w:line="360" w:lineRule="auto"/>
        <w:jc w:val="both"/>
        <w:rPr>
          <w:rFonts w:ascii="Book Antiqua" w:hAnsi="Book Antiqua"/>
        </w:rPr>
      </w:pPr>
    </w:p>
    <w:p w14:paraId="7E077001"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E60D9C9"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All the clinical features supported the diagnosis of infantile cavernous hemangioma.</w:t>
      </w:r>
    </w:p>
    <w:p w14:paraId="648FE4EF" w14:textId="77777777" w:rsidR="00D37FBD" w:rsidRDefault="00D37FBD">
      <w:pPr>
        <w:spacing w:line="360" w:lineRule="auto"/>
        <w:jc w:val="both"/>
        <w:rPr>
          <w:rFonts w:ascii="Book Antiqua" w:hAnsi="Book Antiqua"/>
          <w:lang w:eastAsia="zh-CN"/>
        </w:rPr>
      </w:pPr>
    </w:p>
    <w:p w14:paraId="7F4E9AD5"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The clinical features of this patient supported the diagnosis of IH.</w:t>
      </w:r>
    </w:p>
    <w:p w14:paraId="0596E0CF" w14:textId="77777777" w:rsidR="00D37FBD" w:rsidRDefault="00D37FBD">
      <w:pPr>
        <w:spacing w:line="360" w:lineRule="auto"/>
        <w:jc w:val="both"/>
        <w:rPr>
          <w:rFonts w:ascii="Book Antiqua" w:hAnsi="Book Antiqua"/>
        </w:rPr>
      </w:pPr>
    </w:p>
    <w:p w14:paraId="083B0965"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BE410E7"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With the written informed consent obtained from the baby’s parents, oral itraconazole (5 mg/kg</w:t>
      </w:r>
      <w:r>
        <w:rPr>
          <w:rFonts w:ascii="Book Antiqua" w:hAnsi="Book Antiqua" w:cs="Book Antiqua" w:hint="eastAsia"/>
          <w:color w:val="000000"/>
          <w:lang w:eastAsia="zh-CN"/>
        </w:rPr>
        <w:t>/</w:t>
      </w:r>
      <w:r>
        <w:rPr>
          <w:rFonts w:ascii="Book Antiqua" w:eastAsia="Book Antiqua" w:hAnsi="Book Antiqua" w:cs="Book Antiqua"/>
          <w:color w:val="000000"/>
        </w:rPr>
        <w:t>d, Janssen Pharmaceutical Co. Ltd) was chosen as the only treatment. The medicine (2000 mg itraconazole dissolved in milk) was fed to the baby for 80 d.</w:t>
      </w:r>
    </w:p>
    <w:p w14:paraId="57694402" w14:textId="77777777" w:rsidR="00D37FBD" w:rsidRDefault="00D37FBD">
      <w:pPr>
        <w:spacing w:line="360" w:lineRule="auto"/>
        <w:jc w:val="both"/>
        <w:rPr>
          <w:rFonts w:ascii="Book Antiqua" w:hAnsi="Book Antiqua"/>
          <w:lang w:eastAsia="zh-CN"/>
        </w:rPr>
      </w:pPr>
    </w:p>
    <w:p w14:paraId="7C62F59D"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After obtaining the written informed consent from the baby’s parents, oral itraconazole (5 mg/kg</w:t>
      </w:r>
      <w:r>
        <w:rPr>
          <w:rFonts w:ascii="Book Antiqua" w:hAnsi="Book Antiqua" w:cs="Book Antiqua" w:hint="eastAsia"/>
          <w:color w:val="000000"/>
          <w:lang w:eastAsia="zh-CN"/>
        </w:rPr>
        <w:t>/</w:t>
      </w:r>
      <w:r>
        <w:rPr>
          <w:rFonts w:ascii="Book Antiqua" w:eastAsia="Book Antiqua" w:hAnsi="Book Antiqua" w:cs="Book Antiqua"/>
          <w:color w:val="000000"/>
        </w:rPr>
        <w:t xml:space="preserve">d, Janssen Pharmaceutical Co. Ltd) was chosen as the only </w:t>
      </w:r>
      <w:r>
        <w:rPr>
          <w:rFonts w:ascii="Book Antiqua" w:eastAsia="Book Antiqua" w:hAnsi="Book Antiqua" w:cs="Book Antiqua"/>
          <w:color w:val="000000"/>
        </w:rPr>
        <w:lastRenderedPageBreak/>
        <w:t xml:space="preserve">treatment. One of two equal parts of the 100-mg itraconazole capsule was dissolved in 5 mL of milk, which was fed to the baby once a day. The treatment included 39.5 mg/d itraconazole and lasted for 90 d, thus a total of 3600 mg itraconazole was administered to the baby. </w:t>
      </w:r>
    </w:p>
    <w:p w14:paraId="7B756FA8" w14:textId="77777777" w:rsidR="00D37FBD" w:rsidRDefault="00D37FBD">
      <w:pPr>
        <w:spacing w:line="360" w:lineRule="auto"/>
        <w:jc w:val="both"/>
        <w:rPr>
          <w:rFonts w:ascii="Book Antiqua" w:hAnsi="Book Antiqua"/>
        </w:rPr>
      </w:pPr>
    </w:p>
    <w:p w14:paraId="63498853"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6FFC194" w14:textId="77777777"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follow-up examinations were performed on day 43, 80, 124, and 1 year after the treatment began. No biochemical anomaly was found, and normal liver function was maintained. The patient showed fine compliance. On day 43, the lesions were less raised with a slightly faded color, narrowed size, and emergence of cracks, invagination, and ruffle on the surface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color w:val="000000"/>
          <w:lang w:eastAsia="zh-CN"/>
        </w:rPr>
        <w:t>2</w:t>
      </w:r>
      <w:r>
        <w:rPr>
          <w:rFonts w:ascii="Book Antiqua" w:eastAsia="Book Antiqua" w:hAnsi="Book Antiqua" w:cs="Book Antiqua"/>
          <w:color w:val="000000"/>
        </w:rPr>
        <w:t xml:space="preserve">). On day 80, the size and color of lesions were reduced further (Figure </w:t>
      </w:r>
      <w:r>
        <w:rPr>
          <w:rFonts w:ascii="Book Antiqua" w:hAnsi="Book Antiqua" w:cs="Book Antiqua"/>
          <w:color w:val="000000"/>
          <w:lang w:eastAsia="zh-CN"/>
        </w:rPr>
        <w:t>2</w:t>
      </w:r>
      <w:r>
        <w:rPr>
          <w:rFonts w:ascii="Book Antiqua" w:eastAsia="Book Antiqua" w:hAnsi="Book Antiqua" w:cs="Book Antiqua"/>
          <w:color w:val="000000"/>
        </w:rPr>
        <w:t>), therefore itraconazole administration was halted. The follow-up examination at month 4 revealed flattened lesions with light pink fibrous and adipose tissues and substantially lessened vascular structures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color w:val="000000"/>
          <w:lang w:eastAsia="zh-CN"/>
        </w:rPr>
        <w:t>1</w:t>
      </w:r>
      <w:r>
        <w:rPr>
          <w:rFonts w:ascii="Book Antiqua" w:eastAsia="Book Antiqua" w:hAnsi="Book Antiqua" w:cs="Book Antiqua"/>
          <w:color w:val="000000"/>
        </w:rPr>
        <w:t>). At the 1-year follow-up, only a trace of light pink fibrous and adipose tissues as well as vascular structures were left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color w:val="000000"/>
          <w:lang w:eastAsia="zh-CN"/>
        </w:rPr>
        <w:t>1</w:t>
      </w:r>
      <w:r>
        <w:rPr>
          <w:rFonts w:ascii="Book Antiqua" w:eastAsia="Book Antiqua" w:hAnsi="Book Antiqua" w:cs="Book Antiqua"/>
          <w:color w:val="000000"/>
        </w:rPr>
        <w:t>).</w:t>
      </w:r>
    </w:p>
    <w:p w14:paraId="6CB2140B" w14:textId="77777777" w:rsidR="00D37FBD" w:rsidRDefault="00D37FBD">
      <w:pPr>
        <w:spacing w:line="360" w:lineRule="auto"/>
        <w:jc w:val="both"/>
        <w:rPr>
          <w:rFonts w:ascii="Book Antiqua" w:hAnsi="Book Antiqua"/>
          <w:lang w:eastAsia="zh-CN"/>
        </w:rPr>
      </w:pPr>
    </w:p>
    <w:p w14:paraId="06B7DC91"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follow-up examinations were assigned on day 30, 60, 80, and 90. The biochemical indices and liver function remained normal, and the parents did not report any discomfort of the baby. Upon visual observation on day 30, the lesion was flattened with reduced size and color, and invagination appeared on the surface of the lesion, which indicated clear fading tendency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color w:val="000000"/>
          <w:lang w:eastAsia="zh-CN"/>
        </w:rPr>
        <w:t>1</w:t>
      </w:r>
      <w:r>
        <w:rPr>
          <w:rFonts w:ascii="Book Antiqua" w:eastAsia="Book Antiqua" w:hAnsi="Book Antiqua" w:cs="Book Antiqua"/>
          <w:color w:val="000000"/>
        </w:rPr>
        <w:t>). The color B type ultrasonography detected a smaller vascular malformation inside the nasal cavity. After day 90, the baby’s parents decided by themselves to stop the medication and no longer visit the hospital. One year later, a photo of the baby revealed only a small light-pink scar at the original site of the IH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color w:val="000000"/>
          <w:lang w:eastAsia="zh-CN"/>
        </w:rPr>
        <w:t>1</w:t>
      </w:r>
      <w:r>
        <w:rPr>
          <w:rFonts w:ascii="Book Antiqua" w:eastAsia="Book Antiqua" w:hAnsi="Book Antiqua" w:cs="Book Antiqua"/>
          <w:color w:val="000000"/>
        </w:rPr>
        <w:t>).</w:t>
      </w:r>
    </w:p>
    <w:p w14:paraId="56954FCF" w14:textId="77777777" w:rsidR="00D37FBD" w:rsidRDefault="00D37FBD">
      <w:pPr>
        <w:spacing w:line="360" w:lineRule="auto"/>
        <w:jc w:val="both"/>
        <w:rPr>
          <w:rFonts w:ascii="Book Antiqua" w:hAnsi="Book Antiqua"/>
        </w:rPr>
      </w:pPr>
    </w:p>
    <w:p w14:paraId="3923ADB0"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8CB0B96" w14:textId="447C7A15"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IH </w:t>
      </w:r>
      <w:r>
        <w:rPr>
          <w:rFonts w:ascii="Book Antiqua" w:hAnsi="Book Antiqua" w:cs="Book Antiqua" w:hint="eastAsia"/>
          <w:color w:val="000000"/>
          <w:lang w:eastAsia="zh-CN"/>
        </w:rPr>
        <w:t>is</w:t>
      </w:r>
      <w:r>
        <w:rPr>
          <w:rFonts w:ascii="Book Antiqua" w:eastAsia="Book Antiqua" w:hAnsi="Book Antiqua" w:cs="Book Antiqua"/>
          <w:color w:val="000000"/>
        </w:rPr>
        <w:t xml:space="preserve"> the most common benign tumor in children with distinctive progress and outcomes. Specifically, they can grow quickly in the early infancy, then fade slowly but </w:t>
      </w:r>
      <w:r>
        <w:rPr>
          <w:rFonts w:ascii="Book Antiqua" w:eastAsia="Book Antiqua" w:hAnsi="Book Antiqua" w:cs="Book Antiqua"/>
          <w:color w:val="000000"/>
        </w:rPr>
        <w:lastRenderedPageBreak/>
        <w:t>spontaneously</w:t>
      </w:r>
      <w:r w:rsidR="00E023A2">
        <w:rPr>
          <w:rFonts w:ascii="Book Antiqua" w:eastAsia="Book Antiqua" w:hAnsi="Book Antiqua" w:cs="Book Antiqua"/>
          <w:color w:val="000000"/>
        </w:rPr>
        <w:t xml:space="preserve"> grow</w:t>
      </w:r>
      <w:r>
        <w:rPr>
          <w:rFonts w:ascii="Book Antiqua" w:eastAsia="Book Antiqua" w:hAnsi="Book Antiqua" w:cs="Book Antiqua"/>
          <w:color w:val="000000"/>
        </w:rPr>
        <w:t xml:space="preserve"> in the following years, which is characteristic of the most uncomplicated IHs. However, if IHs are present on risky sites, such as the eye, lip, nose, cheek, or central nervous system, early intervention becomes a necessity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hAnsi="Book Antiqua"/>
        </w:rPr>
        <w:t>Darrow</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proved that the most remarkable growth of IHs occurs 5.5 and 6.5 wk after the onset of the disease, much sooner than previous predictions. This report also recommends early intervention before this time frame to prevent the irreversible anatomic deformation or complications</w:t>
      </w:r>
      <w:r>
        <w:rPr>
          <w:rFonts w:ascii="Book Antiqua" w:eastAsia="Book Antiqua" w:hAnsi="Book Antiqua" w:cs="Book Antiqua"/>
          <w:color w:val="000000"/>
          <w:vertAlign w:val="superscript"/>
        </w:rPr>
        <w:t>[2]</w:t>
      </w:r>
      <w:r>
        <w:rPr>
          <w:rFonts w:ascii="Book Antiqua" w:eastAsia="Book Antiqua" w:hAnsi="Book Antiqua" w:cs="Book Antiqua"/>
          <w:color w:val="000000"/>
        </w:rPr>
        <w:t>. While systemic corticosteroids have been the first-line option for IH therapy, propranolol was found effective in 2008</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demonstrated higher safety and efficacy than corticosteroids in later studies.</w:t>
      </w:r>
    </w:p>
    <w:p w14:paraId="10883A62" w14:textId="75CD2A1B" w:rsidR="00D37FBD" w:rsidRDefault="0053683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2015, Ran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w:t>
      </w:r>
      <w:r w:rsidR="00E023A2">
        <w:rPr>
          <w:rFonts w:ascii="Book Antiqua" w:eastAsia="Book Antiqua" w:hAnsi="Book Antiqua" w:cs="Book Antiqua"/>
          <w:color w:val="000000"/>
        </w:rPr>
        <w:t>6</w:t>
      </w:r>
      <w:r>
        <w:rPr>
          <w:rFonts w:ascii="Book Antiqua" w:eastAsia="Book Antiqua" w:hAnsi="Book Antiqua" w:cs="Book Antiqua"/>
          <w:color w:val="000000"/>
        </w:rPr>
        <w:t xml:space="preserve"> IH cases in which oral itraconazole was used as the only treatment</w:t>
      </w:r>
      <w:r>
        <w:rPr>
          <w:rFonts w:ascii="Book Antiqua" w:eastAsia="Book Antiqua" w:hAnsi="Book Antiqua" w:cs="Book Antiqua"/>
          <w:color w:val="000000"/>
          <w:vertAlign w:val="superscript"/>
        </w:rPr>
        <w:t>[9]</w:t>
      </w:r>
      <w:r>
        <w:rPr>
          <w:rFonts w:ascii="Book Antiqua" w:eastAsia="Book Antiqua" w:hAnsi="Book Antiqua" w:cs="Book Antiqua"/>
          <w:color w:val="000000"/>
        </w:rPr>
        <w:t>. A favorable outcome was achieved as the lesions faded by 80%-100% after 2-9 wk of itraconazole treatment (5 mg/kg</w:t>
      </w:r>
      <w:r>
        <w:rPr>
          <w:rFonts w:ascii="Book Antiqua" w:hAnsi="Book Antiqua" w:cs="Book Antiqua" w:hint="eastAsia"/>
          <w:color w:val="000000"/>
          <w:lang w:eastAsia="zh-CN"/>
        </w:rPr>
        <w:t>/</w:t>
      </w:r>
      <w:r>
        <w:rPr>
          <w:rFonts w:ascii="Book Antiqua" w:eastAsia="Book Antiqua" w:hAnsi="Book Antiqua" w:cs="Book Antiqua"/>
          <w:color w:val="000000"/>
        </w:rPr>
        <w:t>d), although minor digestive symptoms, such as diarrhea</w:t>
      </w:r>
      <w:r w:rsidR="00E023A2">
        <w:rPr>
          <w:rFonts w:ascii="Book Antiqua" w:eastAsia="Book Antiqua" w:hAnsi="Book Antiqua" w:cs="Book Antiqua"/>
          <w:color w:val="000000"/>
        </w:rPr>
        <w:t>,</w:t>
      </w:r>
      <w:r>
        <w:rPr>
          <w:rFonts w:ascii="Book Antiqua" w:eastAsia="Book Antiqua" w:hAnsi="Book Antiqua" w:cs="Book Antiqua"/>
          <w:color w:val="000000"/>
        </w:rPr>
        <w:t xml:space="preserve"> appeared. Later, the same team reported positive results of a giant tufted angioma, which faded within 3 mo of oral itraconazole treatment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liver function and blood test were normal during the treatment, and conditions continued to improve 6 mo after withdrawal of the medicine. Moreover, </w:t>
      </w:r>
      <w:r>
        <w:rPr>
          <w:rFonts w:ascii="Book Antiqua" w:hAnsi="Book Antiqua" w:cs="Book Antiqua" w:hint="eastAsia"/>
          <w:color w:val="000000"/>
          <w:lang w:eastAsia="zh-CN"/>
        </w:rPr>
        <w:t>Li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selected specimens of 5 IHs cases and 11 capillary malformations to perform an adenosine triphosphate sensitivity assay to detect the growth inhibition activity of propranolol, rapamycin, sildenafil, and itraconazole</w:t>
      </w:r>
      <w:r>
        <w:rPr>
          <w:rFonts w:ascii="Book Antiqua" w:eastAsia="Book Antiqua" w:hAnsi="Book Antiqua" w:cs="Book Antiqua"/>
          <w:color w:val="000000"/>
          <w:vertAlign w:val="superscript"/>
        </w:rPr>
        <w:t>[13]</w:t>
      </w:r>
      <w:r>
        <w:rPr>
          <w:rFonts w:ascii="Book Antiqua" w:eastAsia="Book Antiqua" w:hAnsi="Book Antiqua" w:cs="Book Antiqua"/>
          <w:color w:val="000000"/>
        </w:rPr>
        <w:t>. They found that itraconazole exhibited clear inhibition on the cellular proliferation of both IHs and capillary malformations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Bessar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investigated the efficacy of propranolol and itraconazole on IHs by observing the variation of serum angiopoietin-2. They reported that oral itraconazole is a promising alternative to propranolol with shorter treatment duration and higher safety</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We chose itraconazole for the </w:t>
      </w:r>
      <w:r w:rsidR="00E023A2">
        <w:rPr>
          <w:rFonts w:ascii="Book Antiqua" w:eastAsia="Book Antiqua" w:hAnsi="Book Antiqua" w:cs="Book Antiqua"/>
          <w:color w:val="000000"/>
        </w:rPr>
        <w:t>2</w:t>
      </w:r>
      <w:r>
        <w:rPr>
          <w:rFonts w:ascii="Book Antiqua" w:eastAsia="Book Antiqua" w:hAnsi="Book Antiqua" w:cs="Book Antiqua"/>
          <w:color w:val="000000"/>
        </w:rPr>
        <w:t xml:space="preserve"> cases considering its superiority compared to propranolol, less side effects, reliance on electrocardiogram monitoring, and therapeutic capability on cardiovascular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Both the patients were satisfied with the treatment. Nonetheless, because only a few dermatologists are aware of the benefits of itraconazole to</w:t>
      </w:r>
      <w:r w:rsidR="00E023A2">
        <w:rPr>
          <w:rFonts w:ascii="Book Antiqua" w:eastAsia="Book Antiqua" w:hAnsi="Book Antiqua" w:cs="Book Antiqua"/>
          <w:color w:val="000000"/>
        </w:rPr>
        <w:t xml:space="preserve"> </w:t>
      </w:r>
      <w:r>
        <w:rPr>
          <w:rFonts w:ascii="Book Antiqua" w:eastAsia="Book Antiqua" w:hAnsi="Book Antiqua" w:cs="Book Antiqua"/>
          <w:color w:val="000000"/>
        </w:rPr>
        <w:t>date, in the present study, the effect of itraconazole was further observed in two babies with IHs.</w:t>
      </w:r>
    </w:p>
    <w:p w14:paraId="5534809E" w14:textId="77777777" w:rsidR="00D37FBD" w:rsidRDefault="00536838">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lastRenderedPageBreak/>
        <w:t>Patients of the two cases exhibited lesions on exposed sites. A large and rapidly growing lesion on the right hand with no fading tendency was reported in case 1. In case 2, the lesion was presented on the ala nasi, affecting the nasal cavity and creating an apparent vascular deformation. Both cases met the need for early intervention; thus, the parents of case 1 chose itraconazole as the only treatment, and the case 2 parents selected radionuclide application therapy before oral itraconazole. Currently, the 90Sr and 32P radionuclides are the most frequently used for IHs, which emit β-rays upon decay</w:t>
      </w:r>
      <w:r>
        <w:rPr>
          <w:rFonts w:ascii="Book Antiqua" w:eastAsia="Book Antiqua" w:hAnsi="Book Antiqua" w:cs="Book Antiqua"/>
          <w:color w:val="000000"/>
          <w:vertAlign w:val="superscript"/>
        </w:rPr>
        <w:t>[17]</w:t>
      </w:r>
      <w:r>
        <w:rPr>
          <w:rFonts w:ascii="Book Antiqua" w:eastAsia="Book Antiqua" w:hAnsi="Book Antiqua" w:cs="Book Antiqua"/>
          <w:color w:val="000000"/>
        </w:rPr>
        <w:t>. IH tissues are more sensitive to radioactive rays than the surrounding normal tissues, whereby the ionization induces swelling and necrosis of vascular endothelial cells and the subsequent occlusion and atrophy of vascular lumen. The 90Sr applicator is used often in clinic for superficial IHs since β-rays possess a 3-mm penetrating power and, thus, cannot reach deep lesions</w:t>
      </w:r>
      <w:r>
        <w:rPr>
          <w:rFonts w:ascii="Book Antiqua" w:eastAsia="Book Antiqua" w:hAnsi="Book Antiqua" w:cs="Book Antiqua"/>
          <w:color w:val="000000"/>
          <w:vertAlign w:val="superscript"/>
        </w:rPr>
        <w:t>[18]</w:t>
      </w:r>
      <w:r>
        <w:rPr>
          <w:rFonts w:ascii="Book Antiqua" w:eastAsia="Book Antiqua" w:hAnsi="Book Antiqua" w:cs="Book Antiqua"/>
          <w:color w:val="000000"/>
        </w:rPr>
        <w:t>. Besides, the radionuclide application therapy brings about several complications, such as skin atrophy, pigmentation or depigmentation, and scarring</w:t>
      </w:r>
      <w:r>
        <w:rPr>
          <w:rFonts w:ascii="Book Antiqua" w:eastAsia="Book Antiqua" w:hAnsi="Book Antiqua" w:cs="Book Antiqua"/>
          <w:color w:val="000000"/>
          <w:vertAlign w:val="superscript"/>
        </w:rPr>
        <w:t>[17]</w:t>
      </w:r>
      <w:r>
        <w:rPr>
          <w:rFonts w:ascii="Book Antiqua" w:eastAsia="Book Antiqua" w:hAnsi="Book Antiqua" w:cs="Book Antiqua"/>
          <w:color w:val="000000"/>
        </w:rPr>
        <w:t>. In case 2, the negative response to radionuclide application suggests that the lesion is located in deeper tissues, therefore the residue scan of this case could be a complication of radioactive treatment.</w:t>
      </w:r>
    </w:p>
    <w:p w14:paraId="5A36FE05" w14:textId="5AD5555A" w:rsidR="00D37FBD" w:rsidRDefault="00536838">
      <w:pPr>
        <w:spacing w:line="360" w:lineRule="auto"/>
        <w:ind w:firstLineChars="200" w:firstLine="480"/>
        <w:jc w:val="both"/>
        <w:rPr>
          <w:rFonts w:ascii="Book Antiqua" w:hAnsi="Book Antiqua"/>
        </w:rPr>
      </w:pPr>
      <w:r>
        <w:rPr>
          <w:rFonts w:ascii="Book Antiqua" w:eastAsia="Book Antiqua" w:hAnsi="Book Antiqua" w:cs="Book Antiqua"/>
          <w:color w:val="000000"/>
        </w:rPr>
        <w:t>As for the preparation of medicine, lipophilic itraconazole is almost completely insoluble in water</w:t>
      </w:r>
      <w:r>
        <w:rPr>
          <w:rFonts w:ascii="Book Antiqua" w:eastAsia="Book Antiqua" w:hAnsi="Book Antiqua" w:cs="Book Antiqua"/>
          <w:color w:val="000000"/>
          <w:vertAlign w:val="superscript"/>
        </w:rPr>
        <w:t>[19]</w:t>
      </w:r>
      <w:r>
        <w:rPr>
          <w:rFonts w:ascii="Book Antiqua" w:eastAsia="Book Antiqua" w:hAnsi="Book Antiqua" w:cs="Book Antiqua"/>
          <w:color w:val="000000"/>
        </w:rPr>
        <w:t>, so its bioavailability would be reduced by 40% with fasting</w:t>
      </w:r>
      <w:r>
        <w:rPr>
          <w:rFonts w:ascii="Book Antiqua" w:eastAsia="Book Antiqua" w:hAnsi="Book Antiqua" w:cs="Book Antiqua"/>
          <w:color w:val="000000"/>
          <w:vertAlign w:val="superscript"/>
        </w:rPr>
        <w:t>[20]</w:t>
      </w:r>
      <w:r>
        <w:rPr>
          <w:rFonts w:ascii="Book Antiqua" w:eastAsia="Book Antiqua" w:hAnsi="Book Antiqua" w:cs="Book Antiqua"/>
          <w:color w:val="000000"/>
        </w:rPr>
        <w:t>. A previous study implied that milk as a medium can improve the dissolving velocity and solubility of itraconazole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Therefore, we used milk as the delivery medium in these </w:t>
      </w:r>
      <w:r w:rsidR="00E023A2">
        <w:rPr>
          <w:rFonts w:ascii="Book Antiqua" w:eastAsia="Book Antiqua" w:hAnsi="Book Antiqua" w:cs="Book Antiqua"/>
          <w:color w:val="000000"/>
        </w:rPr>
        <w:t>2</w:t>
      </w:r>
      <w:r>
        <w:rPr>
          <w:rFonts w:ascii="Book Antiqua" w:eastAsia="Book Antiqua" w:hAnsi="Book Antiqua" w:cs="Book Antiqua"/>
          <w:color w:val="000000"/>
        </w:rPr>
        <w:t xml:space="preserve"> cases, during which neither baby showed any obvious adverse effect.</w:t>
      </w:r>
    </w:p>
    <w:p w14:paraId="0ABBF0BE" w14:textId="319AF683" w:rsidR="00D37FBD" w:rsidRDefault="00536838">
      <w:pPr>
        <w:spacing w:line="360" w:lineRule="auto"/>
        <w:ind w:firstLineChars="200" w:firstLine="480"/>
        <w:jc w:val="both"/>
        <w:rPr>
          <w:rFonts w:ascii="Book Antiqua" w:hAnsi="Book Antiqua"/>
        </w:rPr>
      </w:pPr>
      <w:r>
        <w:rPr>
          <w:rFonts w:ascii="Book Antiqua" w:eastAsia="Book Antiqua" w:hAnsi="Book Antiqua" w:cs="Book Antiqua"/>
          <w:color w:val="000000"/>
        </w:rPr>
        <w:t>For more than 30 years, itraconazole has been widely acknowledged as a safe and effective treatment in clinic to treat fungal infections of infants and children</w:t>
      </w:r>
      <w:r>
        <w:rPr>
          <w:rFonts w:ascii="Book Antiqua" w:eastAsia="Book Antiqua" w:hAnsi="Book Antiqua" w:cs="Book Antiqua"/>
          <w:color w:val="000000"/>
          <w:vertAlign w:val="superscript"/>
        </w:rPr>
        <w:t>[22,23]</w:t>
      </w:r>
      <w:r>
        <w:rPr>
          <w:rFonts w:ascii="Book Antiqua" w:eastAsia="Book Antiqua" w:hAnsi="Book Antiqua" w:cs="Book Antiqua"/>
          <w:color w:val="000000"/>
        </w:rPr>
        <w:t>. The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Pr>
          <w:rFonts w:ascii="Book Antiqua" w:hAnsi="Book Antiqua" w:cs="Book Antiqua" w:hint="eastAsia"/>
          <w:color w:val="000000"/>
          <w:lang w:eastAsia="zh-CN"/>
        </w:rPr>
        <w:t>tates</w:t>
      </w:r>
      <w:r>
        <w:rPr>
          <w:rFonts w:ascii="Book Antiqua" w:eastAsia="Book Antiqua" w:hAnsi="Book Antiqua" w:cs="Book Antiqua"/>
          <w:color w:val="000000"/>
        </w:rPr>
        <w:t xml:space="preserve"> Food and Drug Administration has approved itraconazole as an inhibitor of the hedgehog pathway to treat cancers, such as basal cell carcinoma</w:t>
      </w:r>
      <w:r>
        <w:rPr>
          <w:rFonts w:ascii="Book Antiqua" w:eastAsia="Book Antiqua" w:hAnsi="Book Antiqua" w:cs="Book Antiqua"/>
          <w:color w:val="000000"/>
          <w:vertAlign w:val="superscript"/>
        </w:rPr>
        <w:t>[24]</w:t>
      </w:r>
      <w:r>
        <w:rPr>
          <w:rFonts w:ascii="Book Antiqua" w:eastAsia="Book Antiqua" w:hAnsi="Book Antiqua" w:cs="Book Antiqua"/>
          <w:color w:val="000000"/>
        </w:rPr>
        <w:t>. Compared to other triazole antifungal medications, itraconazole retains the endothelium in the G1 phase of the cell cycle</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and restrains the angiogenesis through the vascular endothelial-derived growth factor signal pathway</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 recent study indicated that itraconazole can reduce the platelet-derived growth factor content to suppress the activation of </w:t>
      </w:r>
      <w:r w:rsidR="00E023A2">
        <w:rPr>
          <w:rFonts w:ascii="Book Antiqua" w:eastAsia="Book Antiqua" w:hAnsi="Book Antiqua" w:cs="Book Antiqua"/>
          <w:color w:val="000000"/>
        </w:rPr>
        <w:t>platelet-derived growth factor</w:t>
      </w:r>
      <w:r>
        <w:rPr>
          <w:rFonts w:ascii="Book Antiqua" w:eastAsia="Book Antiqua" w:hAnsi="Book Antiqua" w:cs="Book Antiqua"/>
          <w:color w:val="000000"/>
        </w:rPr>
        <w:t xml:space="preserve">-β and downstream effectors, including </w:t>
      </w:r>
      <w:r w:rsidR="00E023A2">
        <w:rPr>
          <w:rFonts w:ascii="Book Antiqua" w:eastAsia="Book Antiqua" w:hAnsi="Book Antiqua" w:cs="Book Antiqua"/>
          <w:color w:val="000000"/>
        </w:rPr>
        <w:t>phosphatidylinositol-3-</w:t>
      </w:r>
      <w:r w:rsidR="00E023A2">
        <w:rPr>
          <w:rFonts w:ascii="Book Antiqua" w:eastAsia="Book Antiqua" w:hAnsi="Book Antiqua" w:cs="Book Antiqua"/>
          <w:color w:val="000000"/>
        </w:rPr>
        <w:lastRenderedPageBreak/>
        <w:t>kiase</w:t>
      </w:r>
      <w:r>
        <w:rPr>
          <w:rFonts w:ascii="Book Antiqua" w:eastAsia="Book Antiqua" w:hAnsi="Book Antiqua" w:cs="Book Antiqua"/>
          <w:color w:val="000000"/>
        </w:rPr>
        <w:t xml:space="preserve">, Akt, </w:t>
      </w:r>
      <w:r w:rsidR="00E023A2">
        <w:rPr>
          <w:rFonts w:ascii="Book Antiqua" w:eastAsia="Book Antiqua" w:hAnsi="Book Antiqua" w:cs="Book Antiqua"/>
          <w:color w:val="000000"/>
        </w:rPr>
        <w:t xml:space="preserve">4E binding protein </w:t>
      </w:r>
      <w:r>
        <w:rPr>
          <w:rFonts w:ascii="Book Antiqua" w:eastAsia="Book Antiqua" w:hAnsi="Book Antiqua" w:cs="Book Antiqua"/>
          <w:color w:val="000000"/>
        </w:rPr>
        <w:t>1, and p70S6</w:t>
      </w:r>
      <w:proofErr w:type="gramStart"/>
      <w:r>
        <w:rPr>
          <w:rFonts w:ascii="Book Antiqua" w:eastAsia="Book Antiqua" w:hAnsi="Book Antiqua" w:cs="Book Antiqua"/>
          <w:color w:val="000000"/>
        </w:rPr>
        <w:t>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This discovery partly explains the therapeutic effect of itraconazole on the growth and survival of IHs cells.</w:t>
      </w:r>
    </w:p>
    <w:p w14:paraId="670F6437" w14:textId="77777777" w:rsidR="00D37FBD" w:rsidRDefault="00D37FBD">
      <w:pPr>
        <w:spacing w:line="360" w:lineRule="auto"/>
        <w:jc w:val="both"/>
        <w:rPr>
          <w:rFonts w:ascii="Book Antiqua" w:hAnsi="Book Antiqua"/>
        </w:rPr>
      </w:pPr>
    </w:p>
    <w:p w14:paraId="54847EDA" w14:textId="77777777" w:rsidR="00D37FBD" w:rsidRDefault="0053683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A03481C" w14:textId="2BF0E895" w:rsidR="00D37FBD" w:rsidRDefault="00536838">
      <w:pPr>
        <w:spacing w:line="360" w:lineRule="auto"/>
        <w:jc w:val="both"/>
        <w:rPr>
          <w:rFonts w:ascii="Book Antiqua" w:hAnsi="Book Antiqua"/>
        </w:rPr>
      </w:pPr>
      <w:r>
        <w:rPr>
          <w:rFonts w:ascii="Book Antiqua" w:eastAsia="Book Antiqua" w:hAnsi="Book Antiqua" w:cs="Book Antiqua"/>
          <w:color w:val="000000"/>
        </w:rPr>
        <w:t xml:space="preserve">In both cases, satisfying outcomes were achieved after the patients received oral administration of itraconazole, which further demonstrated the remarkable efficacy of this medication on IHs. Since there was no need for the patients and their parents to stay in the hospital, the compliance of parents could be ensured. Considering its low price and minor side effects, itraconazole stands as a promising new therapeutic approach for IHs. Nevertheless, high-quality large-scale multicenter clinical </w:t>
      </w:r>
      <w:r w:rsidR="00A0195C">
        <w:rPr>
          <w:rFonts w:ascii="Book Antiqua" w:eastAsia="Book Antiqua" w:hAnsi="Book Antiqua" w:cs="Book Antiqua"/>
          <w:color w:val="000000"/>
        </w:rPr>
        <w:t>studies</w:t>
      </w:r>
      <w:r>
        <w:rPr>
          <w:rFonts w:ascii="Book Antiqua" w:eastAsia="Book Antiqua" w:hAnsi="Book Antiqua" w:cs="Book Antiqua"/>
          <w:color w:val="000000"/>
        </w:rPr>
        <w:t xml:space="preserve"> and </w:t>
      </w:r>
      <w:r w:rsidR="00A0195C">
        <w:rPr>
          <w:rFonts w:ascii="Book Antiqua" w:eastAsia="Book Antiqua" w:hAnsi="Book Antiqua" w:cs="Book Antiqua"/>
          <w:color w:val="000000"/>
        </w:rPr>
        <w:t xml:space="preserve">a </w:t>
      </w:r>
      <w:r>
        <w:rPr>
          <w:rFonts w:ascii="Book Antiqua" w:eastAsia="Book Antiqua" w:hAnsi="Book Antiqua" w:cs="Book Antiqua"/>
          <w:color w:val="000000"/>
        </w:rPr>
        <w:t xml:space="preserve">further comparative study between itraconazole and propranolol are still needed to confirm its efficacy. In addition, considering the younger age of IH patients and the long therapeutic course of itraconazole (daily oral administration for more than 3 mo), other adverse effects, including bone growth inhibition, should be closely observed for a longer duration. Overall, more </w:t>
      </w:r>
      <w:proofErr w:type="gramStart"/>
      <w:r>
        <w:rPr>
          <w:rFonts w:ascii="Book Antiqua" w:eastAsia="Book Antiqua" w:hAnsi="Book Antiqua" w:cs="Book Antiqua"/>
          <w:color w:val="000000"/>
        </w:rPr>
        <w:t>clinical</w:t>
      </w:r>
      <w:proofErr w:type="gramEnd"/>
      <w:r>
        <w:rPr>
          <w:rFonts w:ascii="Book Antiqua" w:eastAsia="Book Antiqua" w:hAnsi="Book Antiqua" w:cs="Book Antiqua"/>
          <w:color w:val="000000"/>
        </w:rPr>
        <w:t xml:space="preserve"> and basic research regarding the effect of itraconazole on IHs are warranted.</w:t>
      </w:r>
    </w:p>
    <w:p w14:paraId="6AF24EFC" w14:textId="77777777" w:rsidR="00D37FBD" w:rsidRDefault="00D37FBD">
      <w:pPr>
        <w:spacing w:line="360" w:lineRule="auto"/>
        <w:jc w:val="both"/>
        <w:rPr>
          <w:rFonts w:ascii="Book Antiqua" w:hAnsi="Book Antiqua"/>
        </w:rPr>
      </w:pPr>
    </w:p>
    <w:p w14:paraId="6CCCFA47"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REFERENCES</w:t>
      </w:r>
    </w:p>
    <w:p w14:paraId="0EAA62D1" w14:textId="77777777" w:rsidR="00D37FBD" w:rsidRDefault="00536838">
      <w:pPr>
        <w:spacing w:line="360" w:lineRule="auto"/>
        <w:jc w:val="both"/>
        <w:rPr>
          <w:rFonts w:ascii="Book Antiqua" w:hAnsi="Book Antiqua"/>
        </w:rPr>
      </w:pPr>
      <w:bookmarkStart w:id="3" w:name="OLE_LINK21"/>
      <w:r>
        <w:rPr>
          <w:rFonts w:ascii="Book Antiqua" w:hAnsi="Book Antiqua"/>
        </w:rPr>
        <w:t xml:space="preserve">1 </w:t>
      </w:r>
      <w:r>
        <w:rPr>
          <w:rFonts w:ascii="Book Antiqua" w:hAnsi="Book Antiqua"/>
          <w:b/>
          <w:bCs/>
        </w:rPr>
        <w:t>Satterfield KR</w:t>
      </w:r>
      <w:r>
        <w:rPr>
          <w:rFonts w:ascii="Book Antiqua" w:hAnsi="Book Antiqua"/>
        </w:rPr>
        <w:t xml:space="preserve">, Chambers CB. Current treatment and management of infantile hemangiomas. </w:t>
      </w:r>
      <w:proofErr w:type="spellStart"/>
      <w:r>
        <w:rPr>
          <w:rFonts w:ascii="Book Antiqua" w:hAnsi="Book Antiqua"/>
          <w:i/>
          <w:iCs/>
        </w:rPr>
        <w:t>Surv</w:t>
      </w:r>
      <w:proofErr w:type="spellEnd"/>
      <w:r>
        <w:rPr>
          <w:rFonts w:ascii="Book Antiqua" w:hAnsi="Book Antiqua"/>
          <w:i/>
          <w:iCs/>
        </w:rPr>
        <w:t xml:space="preserve"> </w:t>
      </w:r>
      <w:proofErr w:type="spellStart"/>
      <w:r>
        <w:rPr>
          <w:rFonts w:ascii="Book Antiqua" w:hAnsi="Book Antiqua"/>
          <w:i/>
          <w:iCs/>
        </w:rPr>
        <w:t>Ophthalmol</w:t>
      </w:r>
      <w:proofErr w:type="spellEnd"/>
      <w:r>
        <w:rPr>
          <w:rFonts w:ascii="Book Antiqua" w:hAnsi="Book Antiqua"/>
        </w:rPr>
        <w:t xml:space="preserve"> 2019; </w:t>
      </w:r>
      <w:r>
        <w:rPr>
          <w:rFonts w:ascii="Book Antiqua" w:hAnsi="Book Antiqua"/>
          <w:b/>
          <w:bCs/>
        </w:rPr>
        <w:t>64</w:t>
      </w:r>
      <w:r>
        <w:rPr>
          <w:rFonts w:ascii="Book Antiqua" w:hAnsi="Book Antiqua"/>
        </w:rPr>
        <w:t>: 608-618 [PMID: 30772366 DOI: 10.1016/j.survophthal.2019.02.005]</w:t>
      </w:r>
    </w:p>
    <w:p w14:paraId="399DAA7E" w14:textId="1FF0435D" w:rsidR="00D37FBD" w:rsidRDefault="00536838">
      <w:pPr>
        <w:spacing w:line="360" w:lineRule="auto"/>
        <w:jc w:val="both"/>
        <w:rPr>
          <w:rFonts w:ascii="Book Antiqua" w:hAnsi="Book Antiqua"/>
          <w:lang w:eastAsia="zh-CN"/>
        </w:rPr>
      </w:pPr>
      <w:r>
        <w:rPr>
          <w:rFonts w:ascii="Book Antiqua" w:hAnsi="Book Antiqua"/>
        </w:rPr>
        <w:t xml:space="preserve">2 </w:t>
      </w:r>
      <w:r>
        <w:rPr>
          <w:rFonts w:ascii="Book Antiqua" w:hAnsi="Book Antiqua"/>
          <w:b/>
        </w:rPr>
        <w:t>Darrow DH,</w:t>
      </w:r>
      <w:r>
        <w:rPr>
          <w:rFonts w:ascii="Book Antiqua" w:hAnsi="Book Antiqua"/>
        </w:rPr>
        <w:t xml:space="preserve"> Greene AK, Mancini AJ, </w:t>
      </w:r>
      <w:proofErr w:type="spellStart"/>
      <w:r>
        <w:rPr>
          <w:rFonts w:ascii="Book Antiqua" w:hAnsi="Book Antiqua"/>
        </w:rPr>
        <w:t>Nopper</w:t>
      </w:r>
      <w:proofErr w:type="spellEnd"/>
      <w:r>
        <w:rPr>
          <w:rFonts w:ascii="Book Antiqua" w:hAnsi="Book Antiqua"/>
        </w:rPr>
        <w:t xml:space="preserve"> AJ; </w:t>
      </w:r>
      <w:r w:rsidR="00C86DBD">
        <w:rPr>
          <w:rFonts w:ascii="Book Antiqua" w:hAnsi="Book Antiqua"/>
        </w:rPr>
        <w:t>Section on Dermatology, Section on Otolaryngology–Head and Neck Surgery</w:t>
      </w:r>
      <w:r>
        <w:rPr>
          <w:rFonts w:ascii="Book Antiqua" w:hAnsi="Book Antiqua"/>
        </w:rPr>
        <w:t xml:space="preserve">, and </w:t>
      </w:r>
      <w:r w:rsidR="00C86DBD">
        <w:rPr>
          <w:rFonts w:ascii="Book Antiqua" w:hAnsi="Book Antiqua"/>
        </w:rPr>
        <w:t>Section on Plastic Surgery</w:t>
      </w:r>
      <w:r>
        <w:rPr>
          <w:rFonts w:ascii="Book Antiqua" w:hAnsi="Book Antiqua"/>
        </w:rPr>
        <w:t xml:space="preserve">. Diagnosis and Management of Infantile Hemangioma. </w:t>
      </w:r>
      <w:r>
        <w:rPr>
          <w:rFonts w:ascii="Book Antiqua" w:hAnsi="Book Antiqua"/>
          <w:i/>
        </w:rPr>
        <w:t>Pediatrics</w:t>
      </w:r>
      <w:r>
        <w:rPr>
          <w:rFonts w:ascii="Book Antiqua" w:hAnsi="Book Antiqua"/>
        </w:rPr>
        <w:t xml:space="preserve"> 2015;</w:t>
      </w:r>
      <w:r>
        <w:rPr>
          <w:rFonts w:ascii="Book Antiqua" w:hAnsi="Book Antiqua" w:hint="eastAsia"/>
          <w:lang w:eastAsia="zh-CN"/>
        </w:rPr>
        <w:t xml:space="preserve"> </w:t>
      </w:r>
      <w:r>
        <w:rPr>
          <w:rFonts w:ascii="Book Antiqua" w:hAnsi="Book Antiqua"/>
        </w:rPr>
        <w:t>136:</w:t>
      </w:r>
      <w:r>
        <w:rPr>
          <w:rFonts w:ascii="Book Antiqua" w:hAnsi="Book Antiqua" w:hint="eastAsia"/>
          <w:lang w:eastAsia="zh-CN"/>
        </w:rPr>
        <w:t xml:space="preserve"> </w:t>
      </w:r>
      <w:r>
        <w:rPr>
          <w:rFonts w:ascii="Book Antiqua" w:hAnsi="Book Antiqua"/>
        </w:rPr>
        <w:t>e1060-</w:t>
      </w:r>
      <w:r>
        <w:rPr>
          <w:rFonts w:ascii="Book Antiqua" w:hAnsi="Book Antiqua" w:hint="eastAsia"/>
          <w:lang w:eastAsia="zh-CN"/>
        </w:rPr>
        <w:t>1</w:t>
      </w:r>
      <w:r>
        <w:rPr>
          <w:rFonts w:ascii="Book Antiqua" w:hAnsi="Book Antiqua"/>
        </w:rPr>
        <w:t xml:space="preserve">104 </w:t>
      </w:r>
      <w:r>
        <w:rPr>
          <w:rFonts w:ascii="Book Antiqua" w:hAnsi="Book Antiqua" w:hint="eastAsia"/>
          <w:lang w:eastAsia="zh-CN"/>
        </w:rPr>
        <w:t>[</w:t>
      </w:r>
      <w:r>
        <w:rPr>
          <w:rFonts w:ascii="Book Antiqua" w:hAnsi="Book Antiqua"/>
        </w:rPr>
        <w:t>PMID: 26416931</w:t>
      </w:r>
      <w:r>
        <w:rPr>
          <w:rFonts w:ascii="Book Antiqua" w:hAnsi="Book Antiqua" w:hint="eastAsia"/>
          <w:lang w:eastAsia="zh-CN"/>
        </w:rPr>
        <w:t xml:space="preserve"> DOI</w:t>
      </w:r>
      <w:r>
        <w:rPr>
          <w:rFonts w:ascii="Book Antiqua" w:hAnsi="Book Antiqua"/>
        </w:rPr>
        <w:t>: 10.1542/peds.2015-2485</w:t>
      </w:r>
      <w:r>
        <w:rPr>
          <w:rFonts w:ascii="Book Antiqua" w:hAnsi="Book Antiqua" w:hint="eastAsia"/>
          <w:lang w:eastAsia="zh-CN"/>
        </w:rPr>
        <w:t>]</w:t>
      </w:r>
    </w:p>
    <w:p w14:paraId="70A270F2" w14:textId="77777777" w:rsidR="00D37FBD" w:rsidRDefault="00536838">
      <w:pPr>
        <w:spacing w:line="360" w:lineRule="auto"/>
        <w:jc w:val="both"/>
        <w:rPr>
          <w:rFonts w:ascii="Book Antiqua" w:hAnsi="Book Antiqua"/>
        </w:rPr>
      </w:pPr>
      <w:r>
        <w:rPr>
          <w:rFonts w:ascii="Book Antiqua" w:hAnsi="Book Antiqua"/>
        </w:rPr>
        <w:t xml:space="preserve">3 </w:t>
      </w:r>
      <w:r>
        <w:rPr>
          <w:rFonts w:ascii="Book Antiqua" w:hAnsi="Book Antiqua"/>
          <w:b/>
          <w:bCs/>
        </w:rPr>
        <w:t>Fei Q</w:t>
      </w:r>
      <w:r>
        <w:rPr>
          <w:rFonts w:ascii="Book Antiqua" w:hAnsi="Book Antiqua"/>
        </w:rPr>
        <w:t xml:space="preserve">, Lin Y, Chen X. Treatments for infantile Hemangioma: A systematic review and network meta-analysis. </w:t>
      </w:r>
      <w:proofErr w:type="spellStart"/>
      <w:r>
        <w:rPr>
          <w:rFonts w:ascii="Book Antiqua" w:hAnsi="Book Antiqua"/>
          <w:i/>
          <w:iCs/>
        </w:rPr>
        <w:t>EClinicalMedicine</w:t>
      </w:r>
      <w:proofErr w:type="spellEnd"/>
      <w:r>
        <w:rPr>
          <w:rFonts w:ascii="Book Antiqua" w:hAnsi="Book Antiqua"/>
        </w:rPr>
        <w:t xml:space="preserve"> 2020; </w:t>
      </w:r>
      <w:r>
        <w:rPr>
          <w:rFonts w:ascii="Book Antiqua" w:hAnsi="Book Antiqua"/>
          <w:b/>
          <w:bCs/>
        </w:rPr>
        <w:t>26</w:t>
      </w:r>
      <w:r>
        <w:rPr>
          <w:rFonts w:ascii="Book Antiqua" w:hAnsi="Book Antiqua"/>
        </w:rPr>
        <w:t>: 100506 [PMID: 33089121 DOI: 10.1016/j.eclinm.2020.100506]</w:t>
      </w:r>
    </w:p>
    <w:p w14:paraId="22D3F791" w14:textId="77777777" w:rsidR="00D37FBD" w:rsidRDefault="00536838">
      <w:pPr>
        <w:spacing w:line="360" w:lineRule="auto"/>
        <w:jc w:val="both"/>
        <w:rPr>
          <w:rFonts w:ascii="Book Antiqua" w:hAnsi="Book Antiqua"/>
        </w:rPr>
      </w:pPr>
      <w:r>
        <w:rPr>
          <w:rFonts w:ascii="Book Antiqua" w:hAnsi="Book Antiqua"/>
        </w:rPr>
        <w:lastRenderedPageBreak/>
        <w:t xml:space="preserve">4 </w:t>
      </w:r>
      <w:proofErr w:type="spellStart"/>
      <w:r>
        <w:rPr>
          <w:rFonts w:ascii="Book Antiqua" w:hAnsi="Book Antiqua"/>
          <w:b/>
          <w:bCs/>
        </w:rPr>
        <w:t>Tiemann</w:t>
      </w:r>
      <w:proofErr w:type="spellEnd"/>
      <w:r>
        <w:rPr>
          <w:rFonts w:ascii="Book Antiqua" w:hAnsi="Book Antiqua"/>
          <w:b/>
          <w:bCs/>
        </w:rPr>
        <w:t xml:space="preserve"> L</w:t>
      </w:r>
      <w:r>
        <w:rPr>
          <w:rFonts w:ascii="Book Antiqua" w:hAnsi="Book Antiqua"/>
        </w:rPr>
        <w:t xml:space="preserve">, Hein S. Infantile Hemangioma: A Review of Current Pharmacotherapy Treatment and Practice Pearls.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2020; </w:t>
      </w:r>
      <w:r>
        <w:rPr>
          <w:rFonts w:ascii="Book Antiqua" w:hAnsi="Book Antiqua"/>
          <w:b/>
          <w:bCs/>
        </w:rPr>
        <w:t>25</w:t>
      </w:r>
      <w:r>
        <w:rPr>
          <w:rFonts w:ascii="Book Antiqua" w:hAnsi="Book Antiqua"/>
        </w:rPr>
        <w:t>: 586-599 [PMID: 33041713 DOI: 10.5863/1551-6776-25.7.586]</w:t>
      </w:r>
    </w:p>
    <w:p w14:paraId="38CD2EB2" w14:textId="77777777" w:rsidR="00D37FBD" w:rsidRDefault="00536838">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Marqueling</w:t>
      </w:r>
      <w:proofErr w:type="spellEnd"/>
      <w:r>
        <w:rPr>
          <w:rFonts w:ascii="Book Antiqua" w:hAnsi="Book Antiqua"/>
          <w:b/>
          <w:bCs/>
        </w:rPr>
        <w:t xml:space="preserve"> AL</w:t>
      </w:r>
      <w:r>
        <w:rPr>
          <w:rFonts w:ascii="Book Antiqua" w:hAnsi="Book Antiqua"/>
        </w:rPr>
        <w:t xml:space="preserve">, </w:t>
      </w:r>
      <w:proofErr w:type="spellStart"/>
      <w:r>
        <w:rPr>
          <w:rFonts w:ascii="Book Antiqua" w:hAnsi="Book Antiqua"/>
        </w:rPr>
        <w:t>Oza</w:t>
      </w:r>
      <w:proofErr w:type="spellEnd"/>
      <w:r>
        <w:rPr>
          <w:rFonts w:ascii="Book Antiqua" w:hAnsi="Book Antiqua"/>
        </w:rPr>
        <w:t xml:space="preserve"> V, Frieden IJ, </w:t>
      </w:r>
      <w:proofErr w:type="spellStart"/>
      <w:r>
        <w:rPr>
          <w:rFonts w:ascii="Book Antiqua" w:hAnsi="Book Antiqua"/>
        </w:rPr>
        <w:t>Puttgen</w:t>
      </w:r>
      <w:proofErr w:type="spellEnd"/>
      <w:r>
        <w:rPr>
          <w:rFonts w:ascii="Book Antiqua" w:hAnsi="Book Antiqua"/>
        </w:rPr>
        <w:t xml:space="preserve"> KB. Propranolol and infantile hemangiomas four years later: a systematic review. </w:t>
      </w:r>
      <w:r>
        <w:rPr>
          <w:rFonts w:ascii="Book Antiqua" w:hAnsi="Book Antiqua"/>
          <w:i/>
          <w:iCs/>
        </w:rPr>
        <w:t>Pediatr Dermatol</w:t>
      </w:r>
      <w:r>
        <w:rPr>
          <w:rFonts w:ascii="Book Antiqua" w:hAnsi="Book Antiqua"/>
        </w:rPr>
        <w:t xml:space="preserve"> 2013; </w:t>
      </w:r>
      <w:r>
        <w:rPr>
          <w:rFonts w:ascii="Book Antiqua" w:hAnsi="Book Antiqua"/>
          <w:b/>
          <w:bCs/>
        </w:rPr>
        <w:t>30</w:t>
      </w:r>
      <w:r>
        <w:rPr>
          <w:rFonts w:ascii="Book Antiqua" w:hAnsi="Book Antiqua"/>
        </w:rPr>
        <w:t>: 182-191 [PMID: 23405852 DOI: 10.1111/pde.12089]</w:t>
      </w:r>
    </w:p>
    <w:p w14:paraId="32854545" w14:textId="77777777" w:rsidR="00D37FBD" w:rsidRDefault="00536838">
      <w:pPr>
        <w:spacing w:line="360" w:lineRule="auto"/>
        <w:jc w:val="both"/>
        <w:rPr>
          <w:rFonts w:ascii="Book Antiqua" w:hAnsi="Book Antiqua"/>
        </w:rPr>
      </w:pPr>
      <w:r>
        <w:rPr>
          <w:rFonts w:ascii="Book Antiqua" w:hAnsi="Book Antiqua"/>
        </w:rPr>
        <w:t xml:space="preserve">6 </w:t>
      </w:r>
      <w:r>
        <w:rPr>
          <w:rFonts w:ascii="Book Antiqua" w:hAnsi="Book Antiqua"/>
          <w:b/>
          <w:bCs/>
        </w:rPr>
        <w:t>Cheng CE</w:t>
      </w:r>
      <w:r>
        <w:rPr>
          <w:rFonts w:ascii="Book Antiqua" w:hAnsi="Book Antiqua"/>
        </w:rPr>
        <w:t xml:space="preserve">, Friedlander SF. Infantile hemangiomas, complications and treatments. </w:t>
      </w:r>
      <w:r>
        <w:rPr>
          <w:rFonts w:ascii="Book Antiqua" w:hAnsi="Book Antiqua"/>
          <w:i/>
          <w:iCs/>
        </w:rPr>
        <w:t xml:space="preserve">Semin </w:t>
      </w:r>
      <w:proofErr w:type="spellStart"/>
      <w:r>
        <w:rPr>
          <w:rFonts w:ascii="Book Antiqua" w:hAnsi="Book Antiqua"/>
          <w:i/>
          <w:iCs/>
        </w:rPr>
        <w:t>Cutan</w:t>
      </w:r>
      <w:proofErr w:type="spellEnd"/>
      <w:r>
        <w:rPr>
          <w:rFonts w:ascii="Book Antiqua" w:hAnsi="Book Antiqua"/>
          <w:i/>
          <w:iCs/>
        </w:rPr>
        <w:t xml:space="preserve"> Med Surg</w:t>
      </w:r>
      <w:r>
        <w:rPr>
          <w:rFonts w:ascii="Book Antiqua" w:hAnsi="Book Antiqua"/>
        </w:rPr>
        <w:t xml:space="preserve"> 2016; </w:t>
      </w:r>
      <w:r>
        <w:rPr>
          <w:rFonts w:ascii="Book Antiqua" w:hAnsi="Book Antiqua"/>
          <w:b/>
          <w:bCs/>
        </w:rPr>
        <w:t>35</w:t>
      </w:r>
      <w:r>
        <w:rPr>
          <w:rFonts w:ascii="Book Antiqua" w:hAnsi="Book Antiqua"/>
        </w:rPr>
        <w:t>: 108-116 [PMID: 27607318 DOI: 10.12788/j.sder.2016.050]</w:t>
      </w:r>
    </w:p>
    <w:p w14:paraId="3DBF4368" w14:textId="77777777" w:rsidR="00D37FBD" w:rsidRDefault="00536838">
      <w:pPr>
        <w:spacing w:line="360" w:lineRule="auto"/>
        <w:jc w:val="both"/>
        <w:rPr>
          <w:rFonts w:ascii="Book Antiqua" w:hAnsi="Book Antiqua"/>
        </w:rPr>
      </w:pPr>
      <w:r>
        <w:rPr>
          <w:rFonts w:ascii="Book Antiqua" w:hAnsi="Book Antiqua"/>
        </w:rPr>
        <w:t xml:space="preserve">7 </w:t>
      </w:r>
      <w:r>
        <w:rPr>
          <w:rFonts w:ascii="Book Antiqua" w:hAnsi="Book Antiqua"/>
          <w:b/>
          <w:bCs/>
        </w:rPr>
        <w:t>Clark NM,</w:t>
      </w:r>
      <w:r>
        <w:rPr>
          <w:rFonts w:ascii="Book Antiqua" w:hAnsi="Book Antiqua"/>
        </w:rPr>
        <w:t xml:space="preserve"> Grim SA, Lynch JP, 3rd. Posaconazole: Use in the Prophylaxis and Treatment of Fungal Infections. </w:t>
      </w:r>
      <w:r>
        <w:rPr>
          <w:rFonts w:ascii="Book Antiqua" w:hAnsi="Book Antiqua"/>
          <w:i/>
        </w:rPr>
        <w:t>Semin Respir Crit Care Med</w:t>
      </w:r>
      <w:r>
        <w:rPr>
          <w:rFonts w:ascii="Book Antiqua" w:hAnsi="Book Antiqua"/>
        </w:rPr>
        <w:t xml:space="preserve"> 2015; </w:t>
      </w:r>
      <w:r>
        <w:rPr>
          <w:rFonts w:ascii="Book Antiqua" w:hAnsi="Book Antiqua"/>
          <w:b/>
        </w:rPr>
        <w:t>36:</w:t>
      </w:r>
      <w:r>
        <w:rPr>
          <w:rFonts w:ascii="Book Antiqua" w:hAnsi="Book Antiqua"/>
        </w:rPr>
        <w:t xml:space="preserve"> 767-785 [</w:t>
      </w:r>
      <w:r>
        <w:rPr>
          <w:rFonts w:ascii="Book Antiqua" w:hAnsi="Book Antiqua" w:hint="eastAsia"/>
        </w:rPr>
        <w:t xml:space="preserve">PMID: </w:t>
      </w:r>
      <w:r>
        <w:rPr>
          <w:rFonts w:ascii="Book Antiqua" w:hAnsi="Book Antiqua"/>
        </w:rPr>
        <w:t>26398542</w:t>
      </w:r>
      <w:r>
        <w:rPr>
          <w:rFonts w:ascii="Book Antiqua" w:hAnsi="Book Antiqua" w:hint="eastAsia"/>
        </w:rPr>
        <w:t xml:space="preserve"> DOI: </w:t>
      </w:r>
      <w:r>
        <w:rPr>
          <w:rFonts w:ascii="Book Antiqua" w:hAnsi="Book Antiqua"/>
        </w:rPr>
        <w:t>10.1055/s-0035-1562902]</w:t>
      </w:r>
    </w:p>
    <w:p w14:paraId="6D89B05D" w14:textId="77777777" w:rsidR="00D37FBD" w:rsidRDefault="00536838">
      <w:pPr>
        <w:spacing w:line="360" w:lineRule="auto"/>
        <w:jc w:val="both"/>
        <w:rPr>
          <w:rFonts w:ascii="Book Antiqua" w:hAnsi="Book Antiqua"/>
          <w:lang w:eastAsia="zh-CN"/>
        </w:rPr>
      </w:pPr>
      <w:r>
        <w:rPr>
          <w:rFonts w:ascii="Book Antiqua" w:hAnsi="Book Antiqua"/>
        </w:rPr>
        <w:t xml:space="preserve">8 </w:t>
      </w:r>
      <w:proofErr w:type="spellStart"/>
      <w:r>
        <w:rPr>
          <w:rFonts w:ascii="Book Antiqua" w:hAnsi="Book Antiqua"/>
          <w:b/>
        </w:rPr>
        <w:t>Kurn</w:t>
      </w:r>
      <w:proofErr w:type="spellEnd"/>
      <w:r>
        <w:rPr>
          <w:rFonts w:ascii="Book Antiqua" w:hAnsi="Book Antiqua"/>
          <w:b/>
        </w:rPr>
        <w:t xml:space="preserve"> H, </w:t>
      </w:r>
      <w:r>
        <w:rPr>
          <w:rFonts w:ascii="Book Antiqua" w:hAnsi="Book Antiqua"/>
        </w:rPr>
        <w:t xml:space="preserve">Wadhwa R. Itraconazole. 2021 May 10. In: </w:t>
      </w:r>
      <w:proofErr w:type="spellStart"/>
      <w:r>
        <w:rPr>
          <w:rFonts w:ascii="Book Antiqua" w:hAnsi="Book Antiqua"/>
        </w:rPr>
        <w:t>StatPearls</w:t>
      </w:r>
      <w:proofErr w:type="spellEnd"/>
      <w:r>
        <w:rPr>
          <w:rFonts w:ascii="Book Antiqua" w:hAnsi="Book Antiqua"/>
        </w:rPr>
        <w:t xml:space="preserve"> [Internet]. Treasure Island (FL): </w:t>
      </w:r>
      <w:proofErr w:type="spellStart"/>
      <w:r>
        <w:rPr>
          <w:rFonts w:ascii="Book Antiqua" w:hAnsi="Book Antiqua"/>
        </w:rPr>
        <w:t>StatPearls</w:t>
      </w:r>
      <w:proofErr w:type="spellEnd"/>
      <w:r>
        <w:rPr>
          <w:rFonts w:ascii="Book Antiqua" w:hAnsi="Book Antiqua"/>
        </w:rPr>
        <w:t xml:space="preserve"> Publishing; 2021 Jan–. </w:t>
      </w:r>
      <w:r>
        <w:rPr>
          <w:rFonts w:ascii="Book Antiqua" w:hAnsi="Book Antiqua" w:hint="eastAsia"/>
          <w:lang w:eastAsia="zh-CN"/>
        </w:rPr>
        <w:t>[</w:t>
      </w:r>
      <w:r>
        <w:rPr>
          <w:rFonts w:ascii="Book Antiqua" w:hAnsi="Book Antiqua"/>
        </w:rPr>
        <w:t>PMID: 32491797</w:t>
      </w:r>
      <w:r>
        <w:rPr>
          <w:rFonts w:ascii="Book Antiqua" w:hAnsi="Book Antiqua" w:hint="eastAsia"/>
          <w:lang w:eastAsia="zh-CN"/>
        </w:rPr>
        <w:t>]</w:t>
      </w:r>
    </w:p>
    <w:p w14:paraId="563FD9D8" w14:textId="77777777" w:rsidR="00D37FBD" w:rsidRDefault="00536838">
      <w:pPr>
        <w:spacing w:line="360" w:lineRule="auto"/>
        <w:jc w:val="both"/>
        <w:rPr>
          <w:rFonts w:ascii="Book Antiqua" w:hAnsi="Book Antiqua"/>
        </w:rPr>
      </w:pPr>
      <w:r>
        <w:rPr>
          <w:rFonts w:ascii="Book Antiqua" w:hAnsi="Book Antiqua"/>
        </w:rPr>
        <w:t xml:space="preserve">9 </w:t>
      </w:r>
      <w:r>
        <w:rPr>
          <w:rFonts w:ascii="Book Antiqua" w:hAnsi="Book Antiqua"/>
          <w:b/>
          <w:bCs/>
        </w:rPr>
        <w:t>Ran Y</w:t>
      </w:r>
      <w:r>
        <w:rPr>
          <w:rFonts w:ascii="Book Antiqua" w:hAnsi="Book Antiqua"/>
        </w:rPr>
        <w:t xml:space="preserve">, Chen S, Dai Y, Kang D, Lama J, Ran X, Zhuang K. Successful treatment of oral itraconazole for infantile hemangiomas: a case series. </w:t>
      </w:r>
      <w:r>
        <w:rPr>
          <w:rFonts w:ascii="Book Antiqua" w:hAnsi="Book Antiqua"/>
          <w:i/>
          <w:iCs/>
        </w:rPr>
        <w:t>J Dermatol</w:t>
      </w:r>
      <w:r>
        <w:rPr>
          <w:rFonts w:ascii="Book Antiqua" w:hAnsi="Book Antiqua"/>
        </w:rPr>
        <w:t xml:space="preserve"> 2015; </w:t>
      </w:r>
      <w:r>
        <w:rPr>
          <w:rFonts w:ascii="Book Antiqua" w:hAnsi="Book Antiqua"/>
          <w:b/>
          <w:bCs/>
        </w:rPr>
        <w:t>42</w:t>
      </w:r>
      <w:r>
        <w:rPr>
          <w:rFonts w:ascii="Book Antiqua" w:hAnsi="Book Antiqua"/>
        </w:rPr>
        <w:t>: 202-206 [PMID: 25512128 DOI: 10.1111/1346-8138.12724]</w:t>
      </w:r>
    </w:p>
    <w:p w14:paraId="6A950942" w14:textId="77777777" w:rsidR="00D37FBD" w:rsidRDefault="00536838">
      <w:pPr>
        <w:spacing w:line="360" w:lineRule="auto"/>
        <w:jc w:val="both"/>
        <w:rPr>
          <w:rFonts w:ascii="Book Antiqua" w:hAnsi="Book Antiqua"/>
        </w:rPr>
      </w:pPr>
      <w:r>
        <w:rPr>
          <w:rFonts w:ascii="Book Antiqua" w:hAnsi="Book Antiqua"/>
        </w:rPr>
        <w:t xml:space="preserve">10 </w:t>
      </w:r>
      <w:r>
        <w:rPr>
          <w:rFonts w:ascii="Book Antiqua" w:hAnsi="Book Antiqua"/>
          <w:b/>
          <w:bCs/>
        </w:rPr>
        <w:t>Tsai YC</w:t>
      </w:r>
      <w:r>
        <w:rPr>
          <w:rFonts w:ascii="Book Antiqua" w:hAnsi="Book Antiqua"/>
        </w:rPr>
        <w:t xml:space="preserve">, Tsai TF. Itraconazole in the Treatment of Nonfungal Cutaneous Diseases: A Review. </w:t>
      </w:r>
      <w:r>
        <w:rPr>
          <w:rFonts w:ascii="Book Antiqua" w:hAnsi="Book Antiqua"/>
          <w:i/>
          <w:iCs/>
        </w:rPr>
        <w:t xml:space="preserve">Dermatol </w:t>
      </w:r>
      <w:proofErr w:type="spellStart"/>
      <w:r>
        <w:rPr>
          <w:rFonts w:ascii="Book Antiqua" w:hAnsi="Book Antiqua"/>
          <w:i/>
          <w:iCs/>
        </w:rPr>
        <w:t>Ther</w:t>
      </w:r>
      <w:proofErr w:type="spellEnd"/>
      <w:r>
        <w:rPr>
          <w:rFonts w:ascii="Book Antiqua" w:hAnsi="Book Antiqua"/>
          <w:i/>
          <w:iCs/>
        </w:rPr>
        <w:t xml:space="preserve"> (</w:t>
      </w:r>
      <w:proofErr w:type="spellStart"/>
      <w:r>
        <w:rPr>
          <w:rFonts w:ascii="Book Antiqua" w:hAnsi="Book Antiqua"/>
          <w:i/>
          <w:iCs/>
        </w:rPr>
        <w:t>Heidelb</w:t>
      </w:r>
      <w:proofErr w:type="spellEnd"/>
      <w:r>
        <w:rPr>
          <w:rFonts w:ascii="Book Antiqua" w:hAnsi="Book Antiqua"/>
          <w:i/>
          <w:iCs/>
        </w:rPr>
        <w:t>)</w:t>
      </w:r>
      <w:r>
        <w:rPr>
          <w:rFonts w:ascii="Book Antiqua" w:hAnsi="Book Antiqua"/>
        </w:rPr>
        <w:t xml:space="preserve"> 2019; </w:t>
      </w:r>
      <w:r>
        <w:rPr>
          <w:rFonts w:ascii="Book Antiqua" w:hAnsi="Book Antiqua"/>
          <w:b/>
          <w:bCs/>
        </w:rPr>
        <w:t>9</w:t>
      </w:r>
      <w:r>
        <w:rPr>
          <w:rFonts w:ascii="Book Antiqua" w:hAnsi="Book Antiqua"/>
        </w:rPr>
        <w:t>: 271-280 [PMID: 31041664 DOI: 10.1007/s13555-019-0299-9]</w:t>
      </w:r>
    </w:p>
    <w:p w14:paraId="7291285A" w14:textId="77777777" w:rsidR="00D37FBD" w:rsidRDefault="00536838">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Léauté-Labrèze</w:t>
      </w:r>
      <w:proofErr w:type="spellEnd"/>
      <w:r>
        <w:rPr>
          <w:rFonts w:ascii="Book Antiqua" w:hAnsi="Book Antiqua"/>
          <w:b/>
          <w:bCs/>
        </w:rPr>
        <w:t xml:space="preserve"> C</w:t>
      </w:r>
      <w:r>
        <w:rPr>
          <w:rFonts w:ascii="Book Antiqua" w:hAnsi="Book Antiqua"/>
        </w:rPr>
        <w:t xml:space="preserve">, Dumas de la Roque E, </w:t>
      </w:r>
      <w:proofErr w:type="spellStart"/>
      <w:r>
        <w:rPr>
          <w:rFonts w:ascii="Book Antiqua" w:hAnsi="Book Antiqua"/>
        </w:rPr>
        <w:t>Hubiche</w:t>
      </w:r>
      <w:proofErr w:type="spellEnd"/>
      <w:r>
        <w:rPr>
          <w:rFonts w:ascii="Book Antiqua" w:hAnsi="Book Antiqua"/>
        </w:rPr>
        <w:t xml:space="preserve"> T, </w:t>
      </w:r>
      <w:proofErr w:type="spellStart"/>
      <w:r>
        <w:rPr>
          <w:rFonts w:ascii="Book Antiqua" w:hAnsi="Book Antiqua"/>
        </w:rPr>
        <w:t>Boralevi</w:t>
      </w:r>
      <w:proofErr w:type="spellEnd"/>
      <w:r>
        <w:rPr>
          <w:rFonts w:ascii="Book Antiqua" w:hAnsi="Book Antiqua"/>
        </w:rPr>
        <w:t xml:space="preserve"> F, </w:t>
      </w:r>
      <w:proofErr w:type="spellStart"/>
      <w:r>
        <w:rPr>
          <w:rFonts w:ascii="Book Antiqua" w:hAnsi="Book Antiqua"/>
        </w:rPr>
        <w:t>Thambo</w:t>
      </w:r>
      <w:proofErr w:type="spellEnd"/>
      <w:r>
        <w:rPr>
          <w:rFonts w:ascii="Book Antiqua" w:hAnsi="Book Antiqua"/>
        </w:rPr>
        <w:t xml:space="preserve"> JB, </w:t>
      </w:r>
      <w:proofErr w:type="spellStart"/>
      <w:r>
        <w:rPr>
          <w:rFonts w:ascii="Book Antiqua" w:hAnsi="Book Antiqua"/>
        </w:rPr>
        <w:t>Taïeb</w:t>
      </w:r>
      <w:proofErr w:type="spellEnd"/>
      <w:r>
        <w:rPr>
          <w:rFonts w:ascii="Book Antiqua" w:hAnsi="Book Antiqua"/>
        </w:rPr>
        <w:t xml:space="preserve"> A. Propranolol for severe hemangiomas of infancy.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2008; </w:t>
      </w:r>
      <w:r>
        <w:rPr>
          <w:rFonts w:ascii="Book Antiqua" w:hAnsi="Book Antiqua"/>
          <w:b/>
          <w:bCs/>
        </w:rPr>
        <w:t>358</w:t>
      </w:r>
      <w:r>
        <w:rPr>
          <w:rFonts w:ascii="Book Antiqua" w:hAnsi="Book Antiqua"/>
        </w:rPr>
        <w:t>: 2649-2651 [PMID: 18550886 DOI: 10.1056/NEJMc0708819]</w:t>
      </w:r>
    </w:p>
    <w:p w14:paraId="45C5FCCE" w14:textId="77777777" w:rsidR="00D37FBD" w:rsidRDefault="00536838">
      <w:pPr>
        <w:spacing w:line="360" w:lineRule="auto"/>
        <w:jc w:val="both"/>
        <w:rPr>
          <w:rFonts w:ascii="Book Antiqua" w:hAnsi="Book Antiqua"/>
        </w:rPr>
      </w:pPr>
      <w:r>
        <w:rPr>
          <w:rFonts w:ascii="Book Antiqua" w:hAnsi="Book Antiqua"/>
        </w:rPr>
        <w:t xml:space="preserve">12 </w:t>
      </w:r>
      <w:r>
        <w:rPr>
          <w:rFonts w:ascii="Book Antiqua" w:hAnsi="Book Antiqua"/>
          <w:b/>
          <w:bCs/>
        </w:rPr>
        <w:t>Wu W</w:t>
      </w:r>
      <w:r>
        <w:rPr>
          <w:rFonts w:ascii="Book Antiqua" w:hAnsi="Book Antiqua"/>
        </w:rPr>
        <w:t xml:space="preserve">, Shi J, Li Z, Li D, Dou S, Pradhan S, Ran X, Ran Y. Oral itraconazole for the treatment of giant tufted angioma with hair loss arising during pregnancy: A case report. </w:t>
      </w:r>
      <w:r>
        <w:rPr>
          <w:rFonts w:ascii="Book Antiqua" w:hAnsi="Book Antiqua"/>
          <w:i/>
          <w:iCs/>
        </w:rPr>
        <w:t>J Dermatol</w:t>
      </w:r>
      <w:r>
        <w:rPr>
          <w:rFonts w:ascii="Book Antiqua" w:hAnsi="Book Antiqua"/>
        </w:rPr>
        <w:t xml:space="preserve"> 2020; </w:t>
      </w:r>
      <w:r>
        <w:rPr>
          <w:rFonts w:ascii="Book Antiqua" w:hAnsi="Book Antiqua"/>
          <w:b/>
          <w:bCs/>
        </w:rPr>
        <w:t>47</w:t>
      </w:r>
      <w:r>
        <w:rPr>
          <w:rFonts w:ascii="Book Antiqua" w:hAnsi="Book Antiqua"/>
        </w:rPr>
        <w:t>: e35-e36 [PMID: 31729054 DOI: 10.1111/1346-8138.15144]</w:t>
      </w:r>
    </w:p>
    <w:p w14:paraId="57804B44" w14:textId="77777777" w:rsidR="00D37FBD" w:rsidRDefault="00536838">
      <w:pPr>
        <w:spacing w:line="360" w:lineRule="auto"/>
        <w:jc w:val="both"/>
        <w:rPr>
          <w:rFonts w:ascii="Book Antiqua" w:hAnsi="Book Antiqua"/>
        </w:rPr>
      </w:pPr>
      <w:r>
        <w:rPr>
          <w:rFonts w:ascii="Book Antiqua" w:hAnsi="Book Antiqua"/>
        </w:rPr>
        <w:t xml:space="preserve">13 </w:t>
      </w:r>
      <w:r>
        <w:rPr>
          <w:rFonts w:ascii="Book Antiqua" w:hAnsi="Book Antiqua"/>
          <w:b/>
          <w:bCs/>
        </w:rPr>
        <w:t>Li L</w:t>
      </w:r>
      <w:r>
        <w:rPr>
          <w:rFonts w:ascii="Book Antiqua" w:hAnsi="Book Antiqua"/>
        </w:rPr>
        <w:t xml:space="preserve">, Yang B, Wei L, Zhang B, Han XF, Xu ZG, Ma L. Application of the adenosine triphosphate sensitivity assay in infantile vascular anomalies. </w:t>
      </w:r>
      <w:r>
        <w:rPr>
          <w:rFonts w:ascii="Book Antiqua" w:hAnsi="Book Antiqua"/>
          <w:i/>
          <w:iCs/>
        </w:rPr>
        <w:t>BMC Pediatr</w:t>
      </w:r>
      <w:r>
        <w:rPr>
          <w:rFonts w:ascii="Book Antiqua" w:hAnsi="Book Antiqua"/>
        </w:rPr>
        <w:t xml:space="preserve"> 2020; </w:t>
      </w:r>
      <w:r>
        <w:rPr>
          <w:rFonts w:ascii="Book Antiqua" w:hAnsi="Book Antiqua"/>
          <w:b/>
          <w:bCs/>
        </w:rPr>
        <w:t>20</w:t>
      </w:r>
      <w:r>
        <w:rPr>
          <w:rFonts w:ascii="Book Antiqua" w:hAnsi="Book Antiqua"/>
        </w:rPr>
        <w:t>: 78 [PMID: 32075603 DOI: 10.1186/s12887-020-1974-9]</w:t>
      </w:r>
    </w:p>
    <w:p w14:paraId="6FD46723" w14:textId="77777777" w:rsidR="00D37FBD" w:rsidRDefault="00536838">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Bessar</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Kandil</w:t>
      </w:r>
      <w:proofErr w:type="spellEnd"/>
      <w:r>
        <w:rPr>
          <w:rFonts w:ascii="Book Antiqua" w:hAnsi="Book Antiqua"/>
        </w:rPr>
        <w:t xml:space="preserve"> AH, Nasr NM, Khattab F. Itraconazole Versus Propranolol: Therapeutic and Pharmacologic Effect On Serum Angiopoietin-2 In Patients With </w:t>
      </w:r>
      <w:r>
        <w:rPr>
          <w:rFonts w:ascii="Book Antiqua" w:hAnsi="Book Antiqua"/>
        </w:rPr>
        <w:lastRenderedPageBreak/>
        <w:t xml:space="preserve">Infantile Hemangioma. </w:t>
      </w:r>
      <w:r>
        <w:rPr>
          <w:rFonts w:ascii="Book Antiqua" w:hAnsi="Book Antiqua"/>
          <w:i/>
          <w:iCs/>
        </w:rPr>
        <w:t xml:space="preserve">J </w:t>
      </w:r>
      <w:proofErr w:type="spellStart"/>
      <w:r>
        <w:rPr>
          <w:rFonts w:ascii="Book Antiqua" w:hAnsi="Book Antiqua"/>
          <w:i/>
          <w:iCs/>
        </w:rPr>
        <w:t>Dermatolog</w:t>
      </w:r>
      <w:proofErr w:type="spellEnd"/>
      <w:r>
        <w:rPr>
          <w:rFonts w:ascii="Book Antiqua" w:hAnsi="Book Antiqua"/>
          <w:i/>
          <w:iCs/>
        </w:rPr>
        <w:t xml:space="preserve"> Treat</w:t>
      </w:r>
      <w:r>
        <w:rPr>
          <w:rFonts w:ascii="Book Antiqua" w:hAnsi="Book Antiqua"/>
        </w:rPr>
        <w:t xml:space="preserve"> 2019: 1-25 [PMID: 31668109 DOI: 10.1080/09546634.2019.1687822]</w:t>
      </w:r>
    </w:p>
    <w:p w14:paraId="42859816" w14:textId="77777777" w:rsidR="00D37FBD" w:rsidRDefault="00536838">
      <w:pPr>
        <w:spacing w:line="360" w:lineRule="auto"/>
        <w:jc w:val="both"/>
        <w:rPr>
          <w:rFonts w:ascii="Book Antiqua" w:hAnsi="Book Antiqua"/>
        </w:rPr>
      </w:pPr>
      <w:r>
        <w:rPr>
          <w:rFonts w:ascii="Book Antiqua" w:hAnsi="Book Antiqua"/>
        </w:rPr>
        <w:t xml:space="preserve">15 </w:t>
      </w:r>
      <w:r>
        <w:rPr>
          <w:rFonts w:ascii="Book Antiqua" w:hAnsi="Book Antiqua"/>
          <w:b/>
          <w:bCs/>
        </w:rPr>
        <w:t>Ji Y</w:t>
      </w:r>
      <w:r>
        <w:rPr>
          <w:rFonts w:ascii="Book Antiqua" w:hAnsi="Book Antiqua"/>
        </w:rPr>
        <w:t xml:space="preserve">, Chen S, Xiang B, Yang Y, Qiu L. Safety and tolerance of propranolol in neonates with severe infantile hemangiomas: a prospective study.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1503 [PMID: 28473717 DOI: 10.1038/s41598-017-01321-2]</w:t>
      </w:r>
    </w:p>
    <w:p w14:paraId="1A284CE6" w14:textId="77777777" w:rsidR="00D37FBD" w:rsidRDefault="00536838">
      <w:pPr>
        <w:spacing w:line="360" w:lineRule="auto"/>
        <w:jc w:val="both"/>
        <w:rPr>
          <w:rFonts w:ascii="Book Antiqua" w:hAnsi="Book Antiqua"/>
        </w:rPr>
      </w:pPr>
      <w:r>
        <w:rPr>
          <w:rFonts w:ascii="Book Antiqua" w:hAnsi="Book Antiqua"/>
        </w:rPr>
        <w:t xml:space="preserve">16 </w:t>
      </w:r>
      <w:r>
        <w:rPr>
          <w:rFonts w:ascii="Book Antiqua" w:hAnsi="Book Antiqua"/>
          <w:b/>
          <w:bCs/>
        </w:rPr>
        <w:t>Chen S</w:t>
      </w:r>
      <w:r>
        <w:rPr>
          <w:rFonts w:ascii="Book Antiqua" w:hAnsi="Book Antiqua"/>
        </w:rPr>
        <w:t xml:space="preserve">, Sun KY, Feng XW, Ran X, Lama J, Ran YP. Efficacy and safety of itraconazole use in infants. </w:t>
      </w:r>
      <w:r>
        <w:rPr>
          <w:rFonts w:ascii="Book Antiqua" w:hAnsi="Book Antiqua"/>
          <w:i/>
          <w:iCs/>
        </w:rPr>
        <w:t>World J Pediatr</w:t>
      </w:r>
      <w:r>
        <w:rPr>
          <w:rFonts w:ascii="Book Antiqua" w:hAnsi="Book Antiqua"/>
        </w:rPr>
        <w:t xml:space="preserve"> 2016; </w:t>
      </w:r>
      <w:r>
        <w:rPr>
          <w:rFonts w:ascii="Book Antiqua" w:hAnsi="Book Antiqua"/>
          <w:b/>
          <w:bCs/>
        </w:rPr>
        <w:t>12</w:t>
      </w:r>
      <w:r>
        <w:rPr>
          <w:rFonts w:ascii="Book Antiqua" w:hAnsi="Book Antiqua"/>
        </w:rPr>
        <w:t>: 399-407 [PMID: 27286691 DOI: 10.1007/s12519-016-0034-x]</w:t>
      </w:r>
    </w:p>
    <w:p w14:paraId="171AE348" w14:textId="77777777" w:rsidR="00D37FBD" w:rsidRDefault="00536838">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Bruscino</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Bonan</w:t>
      </w:r>
      <w:proofErr w:type="spellEnd"/>
      <w:r>
        <w:rPr>
          <w:rFonts w:ascii="Book Antiqua" w:hAnsi="Book Antiqua"/>
        </w:rPr>
        <w:t xml:space="preserve"> P, </w:t>
      </w:r>
      <w:proofErr w:type="spellStart"/>
      <w:r>
        <w:rPr>
          <w:rFonts w:ascii="Book Antiqua" w:hAnsi="Book Antiqua"/>
        </w:rPr>
        <w:t>Cannarozzo</w:t>
      </w:r>
      <w:proofErr w:type="spellEnd"/>
      <w:r>
        <w:rPr>
          <w:rFonts w:ascii="Book Antiqua" w:hAnsi="Book Antiqua"/>
        </w:rPr>
        <w:t xml:space="preserve"> G, Moretti S, </w:t>
      </w:r>
      <w:proofErr w:type="spellStart"/>
      <w:r>
        <w:rPr>
          <w:rFonts w:ascii="Book Antiqua" w:hAnsi="Book Antiqua"/>
        </w:rPr>
        <w:t>Lotti</w:t>
      </w:r>
      <w:proofErr w:type="spellEnd"/>
      <w:r>
        <w:rPr>
          <w:rFonts w:ascii="Book Antiqua" w:hAnsi="Book Antiqua"/>
        </w:rPr>
        <w:t xml:space="preserve"> T, </w:t>
      </w:r>
      <w:proofErr w:type="spellStart"/>
      <w:r>
        <w:rPr>
          <w:rFonts w:ascii="Book Antiqua" w:hAnsi="Book Antiqua"/>
        </w:rPr>
        <w:t>Campolmi</w:t>
      </w:r>
      <w:proofErr w:type="spellEnd"/>
      <w:r>
        <w:rPr>
          <w:rFonts w:ascii="Book Antiqua" w:hAnsi="Book Antiqua"/>
        </w:rPr>
        <w:t xml:space="preserve"> P. Laser use in infantile hemangiomas, when and how. </w:t>
      </w:r>
      <w:r>
        <w:rPr>
          <w:rFonts w:ascii="Book Antiqua" w:hAnsi="Book Antiqua"/>
          <w:i/>
          <w:iCs/>
        </w:rPr>
        <w:t xml:space="preserve">Dermatol </w:t>
      </w:r>
      <w:proofErr w:type="spellStart"/>
      <w:r>
        <w:rPr>
          <w:rFonts w:ascii="Book Antiqua" w:hAnsi="Book Antiqua"/>
          <w:i/>
          <w:iCs/>
        </w:rPr>
        <w:t>Ther</w:t>
      </w:r>
      <w:proofErr w:type="spellEnd"/>
      <w:r>
        <w:rPr>
          <w:rFonts w:ascii="Book Antiqua" w:hAnsi="Book Antiqua"/>
        </w:rPr>
        <w:t xml:space="preserve"> 2012; </w:t>
      </w:r>
      <w:r>
        <w:rPr>
          <w:rFonts w:ascii="Book Antiqua" w:hAnsi="Book Antiqua"/>
          <w:b/>
          <w:bCs/>
        </w:rPr>
        <w:t>25</w:t>
      </w:r>
      <w:r>
        <w:rPr>
          <w:rFonts w:ascii="Book Antiqua" w:hAnsi="Book Antiqua"/>
        </w:rPr>
        <w:t>: 314-321 [PMID: 22950558 DOI: 10.1111/j.1529-8019.2012.01466.x]</w:t>
      </w:r>
    </w:p>
    <w:p w14:paraId="7D8DFED2" w14:textId="77777777" w:rsidR="00D37FBD" w:rsidRDefault="00536838">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Grzesik</w:t>
      </w:r>
      <w:proofErr w:type="spellEnd"/>
      <w:r>
        <w:rPr>
          <w:rFonts w:ascii="Book Antiqua" w:hAnsi="Book Antiqua"/>
          <w:b/>
          <w:bCs/>
        </w:rPr>
        <w:t xml:space="preserve"> P</w:t>
      </w:r>
      <w:r>
        <w:rPr>
          <w:rFonts w:ascii="Book Antiqua" w:hAnsi="Book Antiqua"/>
        </w:rPr>
        <w:t xml:space="preserve">, Wu JK. Current perspectives on the optimal management of infantile hemangioma. </w:t>
      </w:r>
      <w:r>
        <w:rPr>
          <w:rFonts w:ascii="Book Antiqua" w:hAnsi="Book Antiqua"/>
          <w:i/>
          <w:iCs/>
        </w:rPr>
        <w:t xml:space="preserve">Pediatric Health Med </w:t>
      </w:r>
      <w:proofErr w:type="spellStart"/>
      <w:r>
        <w:rPr>
          <w:rFonts w:ascii="Book Antiqua" w:hAnsi="Book Antiqua"/>
          <w:i/>
          <w:iCs/>
        </w:rPr>
        <w:t>Ther</w:t>
      </w:r>
      <w:proofErr w:type="spellEnd"/>
      <w:r>
        <w:rPr>
          <w:rFonts w:ascii="Book Antiqua" w:hAnsi="Book Antiqua"/>
        </w:rPr>
        <w:t xml:space="preserve"> 2017; </w:t>
      </w:r>
      <w:r>
        <w:rPr>
          <w:rFonts w:ascii="Book Antiqua" w:hAnsi="Book Antiqua"/>
          <w:b/>
          <w:bCs/>
        </w:rPr>
        <w:t>8</w:t>
      </w:r>
      <w:r>
        <w:rPr>
          <w:rFonts w:ascii="Book Antiqua" w:hAnsi="Book Antiqua"/>
        </w:rPr>
        <w:t>: 107-116 [PMID: 29388636 DOI: 10.2147/PHMT.S115528]</w:t>
      </w:r>
    </w:p>
    <w:p w14:paraId="4B75AAEF" w14:textId="77777777" w:rsidR="00D37FBD" w:rsidRDefault="00536838">
      <w:pPr>
        <w:spacing w:line="360" w:lineRule="auto"/>
        <w:jc w:val="both"/>
        <w:rPr>
          <w:rFonts w:ascii="Book Antiqua" w:hAnsi="Book Antiqua"/>
        </w:rPr>
      </w:pPr>
      <w:r>
        <w:rPr>
          <w:rFonts w:ascii="Book Antiqua" w:hAnsi="Book Antiqua"/>
        </w:rPr>
        <w:t xml:space="preserve">19 </w:t>
      </w:r>
      <w:r>
        <w:rPr>
          <w:rFonts w:ascii="Book Antiqua" w:hAnsi="Book Antiqua"/>
          <w:b/>
          <w:bCs/>
        </w:rPr>
        <w:t>Binder B</w:t>
      </w:r>
      <w:r>
        <w:rPr>
          <w:rFonts w:ascii="Book Antiqua" w:hAnsi="Book Antiqua"/>
        </w:rPr>
        <w:t xml:space="preserve">, </w:t>
      </w:r>
      <w:proofErr w:type="spellStart"/>
      <w:r>
        <w:rPr>
          <w:rFonts w:ascii="Book Antiqua" w:hAnsi="Book Antiqua"/>
        </w:rPr>
        <w:t>Richtig</w:t>
      </w:r>
      <w:proofErr w:type="spellEnd"/>
      <w:r>
        <w:rPr>
          <w:rFonts w:ascii="Book Antiqua" w:hAnsi="Book Antiqua"/>
        </w:rPr>
        <w:t xml:space="preserve"> E, </w:t>
      </w:r>
      <w:proofErr w:type="spellStart"/>
      <w:r>
        <w:rPr>
          <w:rFonts w:ascii="Book Antiqua" w:hAnsi="Book Antiqua"/>
        </w:rPr>
        <w:t>Weger</w:t>
      </w:r>
      <w:proofErr w:type="spellEnd"/>
      <w:r>
        <w:rPr>
          <w:rFonts w:ascii="Book Antiqua" w:hAnsi="Book Antiqua"/>
        </w:rPr>
        <w:t xml:space="preserve"> W, Ginter-</w:t>
      </w:r>
      <w:proofErr w:type="spellStart"/>
      <w:r>
        <w:rPr>
          <w:rFonts w:ascii="Book Antiqua" w:hAnsi="Book Antiqua"/>
        </w:rPr>
        <w:t>Hanselmayer</w:t>
      </w:r>
      <w:proofErr w:type="spellEnd"/>
      <w:r>
        <w:rPr>
          <w:rFonts w:ascii="Book Antiqua" w:hAnsi="Book Antiqua"/>
        </w:rPr>
        <w:t xml:space="preserve"> G. Tinea capitis in early infancy treated with itraconazole: a pilot study. </w:t>
      </w:r>
      <w:r>
        <w:rPr>
          <w:rFonts w:ascii="Book Antiqua" w:hAnsi="Book Antiqua"/>
          <w:i/>
          <w:iCs/>
        </w:rPr>
        <w:t xml:space="preserve">J Eur </w:t>
      </w:r>
      <w:proofErr w:type="spellStart"/>
      <w:r>
        <w:rPr>
          <w:rFonts w:ascii="Book Antiqua" w:hAnsi="Book Antiqua"/>
          <w:i/>
          <w:iCs/>
        </w:rPr>
        <w:t>Acad</w:t>
      </w:r>
      <w:proofErr w:type="spellEnd"/>
      <w:r>
        <w:rPr>
          <w:rFonts w:ascii="Book Antiqua" w:hAnsi="Book Antiqua"/>
          <w:i/>
          <w:iCs/>
        </w:rPr>
        <w:t xml:space="preserve"> Dermatol </w:t>
      </w:r>
      <w:proofErr w:type="spellStart"/>
      <w:r>
        <w:rPr>
          <w:rFonts w:ascii="Book Antiqua" w:hAnsi="Book Antiqua"/>
          <w:i/>
          <w:iCs/>
        </w:rPr>
        <w:t>Venereol</w:t>
      </w:r>
      <w:proofErr w:type="spellEnd"/>
      <w:r>
        <w:rPr>
          <w:rFonts w:ascii="Book Antiqua" w:hAnsi="Book Antiqua"/>
        </w:rPr>
        <w:t xml:space="preserve"> 2009; </w:t>
      </w:r>
      <w:r>
        <w:rPr>
          <w:rFonts w:ascii="Book Antiqua" w:hAnsi="Book Antiqua"/>
          <w:b/>
          <w:bCs/>
        </w:rPr>
        <w:t>23</w:t>
      </w:r>
      <w:r>
        <w:rPr>
          <w:rFonts w:ascii="Book Antiqua" w:hAnsi="Book Antiqua"/>
        </w:rPr>
        <w:t>: 1161-1163 [PMID: 19453785 DOI: 10.1111/j.1468-3083.2009.03271.x]</w:t>
      </w:r>
    </w:p>
    <w:p w14:paraId="7C2B7B59" w14:textId="77777777" w:rsidR="00D37FBD" w:rsidRDefault="00536838">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Feola</w:t>
      </w:r>
      <w:proofErr w:type="spellEnd"/>
      <w:r>
        <w:rPr>
          <w:rFonts w:ascii="Book Antiqua" w:hAnsi="Book Antiqua"/>
          <w:b/>
          <w:bCs/>
        </w:rPr>
        <w:t xml:space="preserve"> D</w:t>
      </w:r>
      <w:r>
        <w:rPr>
          <w:rFonts w:ascii="Book Antiqua" w:hAnsi="Book Antiqua"/>
        </w:rPr>
        <w:t xml:space="preserve">, Rapp RP. Effect of food intake on the bioavailability of itraconazole. </w:t>
      </w:r>
      <w:r>
        <w:rPr>
          <w:rFonts w:ascii="Book Antiqua" w:hAnsi="Book Antiqua"/>
          <w:i/>
          <w:iCs/>
        </w:rPr>
        <w:t>Clin Infect Dis</w:t>
      </w:r>
      <w:r>
        <w:rPr>
          <w:rFonts w:ascii="Book Antiqua" w:hAnsi="Book Antiqua"/>
        </w:rPr>
        <w:t xml:space="preserve"> 1997; </w:t>
      </w:r>
      <w:r>
        <w:rPr>
          <w:rFonts w:ascii="Book Antiqua" w:hAnsi="Book Antiqua"/>
          <w:b/>
          <w:bCs/>
        </w:rPr>
        <w:t>25</w:t>
      </w:r>
      <w:r>
        <w:rPr>
          <w:rFonts w:ascii="Book Antiqua" w:hAnsi="Book Antiqua"/>
        </w:rPr>
        <w:t>: 344-345 [PMID: 9332549 DOI: 10.1086/516921]</w:t>
      </w:r>
    </w:p>
    <w:p w14:paraId="2B27EE15" w14:textId="77777777" w:rsidR="00D37FBD" w:rsidRDefault="00536838">
      <w:pPr>
        <w:spacing w:line="360" w:lineRule="auto"/>
        <w:jc w:val="both"/>
        <w:rPr>
          <w:rFonts w:ascii="Book Antiqua" w:hAnsi="Book Antiqua"/>
        </w:rPr>
      </w:pPr>
      <w:r>
        <w:rPr>
          <w:rFonts w:ascii="Book Antiqua" w:hAnsi="Book Antiqua"/>
        </w:rPr>
        <w:t xml:space="preserve">21 </w:t>
      </w:r>
      <w:r>
        <w:rPr>
          <w:rFonts w:ascii="Book Antiqua" w:hAnsi="Book Antiqua"/>
          <w:b/>
          <w:bCs/>
        </w:rPr>
        <w:t>Ghazal HS</w:t>
      </w:r>
      <w:r>
        <w:rPr>
          <w:rFonts w:ascii="Book Antiqua" w:hAnsi="Book Antiqua"/>
        </w:rPr>
        <w:t xml:space="preserve">, Dyas AM, Ford JL, Hutcheon GA. In vitro evaluation of the dissolution </w:t>
      </w:r>
      <w:proofErr w:type="spellStart"/>
      <w:r>
        <w:rPr>
          <w:rFonts w:ascii="Book Antiqua" w:hAnsi="Book Antiqua"/>
        </w:rPr>
        <w:t>behaviour</w:t>
      </w:r>
      <w:proofErr w:type="spellEnd"/>
      <w:r>
        <w:rPr>
          <w:rFonts w:ascii="Book Antiqua" w:hAnsi="Book Antiqua"/>
        </w:rPr>
        <w:t xml:space="preserve"> of itraconazole in bio-relevant media. </w:t>
      </w:r>
      <w:r>
        <w:rPr>
          <w:rFonts w:ascii="Book Antiqua" w:hAnsi="Book Antiqua"/>
          <w:i/>
          <w:iCs/>
        </w:rPr>
        <w:t>Int J Pharm</w:t>
      </w:r>
      <w:r>
        <w:rPr>
          <w:rFonts w:ascii="Book Antiqua" w:hAnsi="Book Antiqua"/>
        </w:rPr>
        <w:t xml:space="preserve"> 2009; </w:t>
      </w:r>
      <w:r>
        <w:rPr>
          <w:rFonts w:ascii="Book Antiqua" w:hAnsi="Book Antiqua"/>
          <w:b/>
          <w:bCs/>
        </w:rPr>
        <w:t>366</w:t>
      </w:r>
      <w:r>
        <w:rPr>
          <w:rFonts w:ascii="Book Antiqua" w:hAnsi="Book Antiqua"/>
        </w:rPr>
        <w:t>: 117-123 [PMID: 18832020 DOI: 10.1016/j.ijpharm.2008.09.003]</w:t>
      </w:r>
    </w:p>
    <w:p w14:paraId="35E57312" w14:textId="77777777" w:rsidR="00D37FBD" w:rsidRDefault="00536838">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Cauwenbergh</w:t>
      </w:r>
      <w:proofErr w:type="spellEnd"/>
      <w:r>
        <w:rPr>
          <w:rFonts w:ascii="Book Antiqua" w:hAnsi="Book Antiqua"/>
          <w:b/>
          <w:bCs/>
        </w:rPr>
        <w:t xml:space="preserve"> G</w:t>
      </w:r>
      <w:r>
        <w:rPr>
          <w:rFonts w:ascii="Book Antiqua" w:hAnsi="Book Antiqua"/>
        </w:rPr>
        <w:t xml:space="preserve">, De </w:t>
      </w:r>
      <w:proofErr w:type="spellStart"/>
      <w:r>
        <w:rPr>
          <w:rFonts w:ascii="Book Antiqua" w:hAnsi="Book Antiqua"/>
        </w:rPr>
        <w:t>Doncker</w:t>
      </w:r>
      <w:proofErr w:type="spellEnd"/>
      <w:r>
        <w:rPr>
          <w:rFonts w:ascii="Book Antiqua" w:hAnsi="Book Antiqua"/>
        </w:rPr>
        <w:t xml:space="preserve"> P, Stoops K, De </w:t>
      </w:r>
      <w:proofErr w:type="spellStart"/>
      <w:r>
        <w:rPr>
          <w:rFonts w:ascii="Book Antiqua" w:hAnsi="Book Antiqua"/>
        </w:rPr>
        <w:t>Dier</w:t>
      </w:r>
      <w:proofErr w:type="spellEnd"/>
      <w:r>
        <w:rPr>
          <w:rFonts w:ascii="Book Antiqua" w:hAnsi="Book Antiqua"/>
        </w:rPr>
        <w:t xml:space="preserve"> AM, </w:t>
      </w:r>
      <w:proofErr w:type="spellStart"/>
      <w:r>
        <w:rPr>
          <w:rFonts w:ascii="Book Antiqua" w:hAnsi="Book Antiqua"/>
        </w:rPr>
        <w:t>Goyvaerts</w:t>
      </w:r>
      <w:proofErr w:type="spellEnd"/>
      <w:r>
        <w:rPr>
          <w:rFonts w:ascii="Book Antiqua" w:hAnsi="Book Antiqua"/>
        </w:rPr>
        <w:t xml:space="preserve"> H, </w:t>
      </w:r>
      <w:proofErr w:type="spellStart"/>
      <w:r>
        <w:rPr>
          <w:rFonts w:ascii="Book Antiqua" w:hAnsi="Book Antiqua"/>
        </w:rPr>
        <w:t>Schuermans</w:t>
      </w:r>
      <w:proofErr w:type="spellEnd"/>
      <w:r>
        <w:rPr>
          <w:rFonts w:ascii="Book Antiqua" w:hAnsi="Book Antiqua"/>
        </w:rPr>
        <w:t xml:space="preserve"> V. Itraconazole in the treatment of human mycoses: review of three years of clinical experience. </w:t>
      </w:r>
      <w:r>
        <w:rPr>
          <w:rFonts w:ascii="Book Antiqua" w:hAnsi="Book Antiqua"/>
          <w:i/>
          <w:iCs/>
        </w:rPr>
        <w:t>Rev Infect Dis</w:t>
      </w:r>
      <w:r>
        <w:rPr>
          <w:rFonts w:ascii="Book Antiqua" w:hAnsi="Book Antiqua"/>
        </w:rPr>
        <w:t xml:space="preserve"> 1987; </w:t>
      </w:r>
      <w:r>
        <w:rPr>
          <w:rFonts w:ascii="Book Antiqua" w:hAnsi="Book Antiqua"/>
          <w:b/>
          <w:bCs/>
        </w:rPr>
        <w:t>9 Suppl 1</w:t>
      </w:r>
      <w:r>
        <w:rPr>
          <w:rFonts w:ascii="Book Antiqua" w:hAnsi="Book Antiqua"/>
        </w:rPr>
        <w:t>: S146-S152 [PMID: 3027842 DOI: 10.1093/</w:t>
      </w:r>
      <w:proofErr w:type="spellStart"/>
      <w:r>
        <w:rPr>
          <w:rFonts w:ascii="Book Antiqua" w:hAnsi="Book Antiqua"/>
        </w:rPr>
        <w:t>clinids</w:t>
      </w:r>
      <w:proofErr w:type="spellEnd"/>
      <w:r>
        <w:rPr>
          <w:rFonts w:ascii="Book Antiqua" w:hAnsi="Book Antiqua"/>
        </w:rPr>
        <w:t>/9.supplement_1.s146]</w:t>
      </w:r>
    </w:p>
    <w:p w14:paraId="3E7C5268" w14:textId="77777777" w:rsidR="00D37FBD" w:rsidRDefault="00536838">
      <w:pPr>
        <w:spacing w:line="360" w:lineRule="auto"/>
        <w:jc w:val="both"/>
        <w:rPr>
          <w:rFonts w:ascii="Book Antiqua" w:hAnsi="Book Antiqua"/>
        </w:rPr>
      </w:pPr>
      <w:r>
        <w:rPr>
          <w:rFonts w:ascii="Book Antiqua" w:hAnsi="Book Antiqua"/>
        </w:rPr>
        <w:t xml:space="preserve">23 </w:t>
      </w:r>
      <w:r>
        <w:rPr>
          <w:rFonts w:ascii="Book Antiqua" w:hAnsi="Book Antiqua"/>
          <w:b/>
          <w:bCs/>
        </w:rPr>
        <w:t>Grant SM</w:t>
      </w:r>
      <w:r>
        <w:rPr>
          <w:rFonts w:ascii="Book Antiqua" w:hAnsi="Book Antiqua"/>
        </w:rPr>
        <w:t xml:space="preserve">, Clissold SP. Itraconazole. A review of its pharmacodynamic and pharmacokinetic properties, and therapeutic use in superficial and systemic mycoses. </w:t>
      </w:r>
      <w:r>
        <w:rPr>
          <w:rFonts w:ascii="Book Antiqua" w:hAnsi="Book Antiqua"/>
          <w:i/>
          <w:iCs/>
        </w:rPr>
        <w:t>Drugs</w:t>
      </w:r>
      <w:r>
        <w:rPr>
          <w:rFonts w:ascii="Book Antiqua" w:hAnsi="Book Antiqua"/>
        </w:rPr>
        <w:t xml:space="preserve"> 1989; </w:t>
      </w:r>
      <w:r>
        <w:rPr>
          <w:rFonts w:ascii="Book Antiqua" w:hAnsi="Book Antiqua"/>
          <w:b/>
          <w:bCs/>
        </w:rPr>
        <w:t>37</w:t>
      </w:r>
      <w:r>
        <w:rPr>
          <w:rFonts w:ascii="Book Antiqua" w:hAnsi="Book Antiqua"/>
        </w:rPr>
        <w:t>: 310-344 [PMID: 2540949 DOI: 10.2165/00003495-198937030-00003]</w:t>
      </w:r>
    </w:p>
    <w:p w14:paraId="42722397" w14:textId="77777777" w:rsidR="00D37FBD" w:rsidRDefault="00536838">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Wei X</w:t>
      </w:r>
      <w:r>
        <w:rPr>
          <w:rFonts w:ascii="Book Antiqua" w:hAnsi="Book Antiqua"/>
        </w:rPr>
        <w:t xml:space="preserve">, Liu W, Wang JQ, Tang Z. "Hedgehog pathway": a potential target of itraconazole in the treatment of cancer. </w:t>
      </w:r>
      <w:r>
        <w:rPr>
          <w:rFonts w:ascii="Book Antiqua" w:hAnsi="Book Antiqua"/>
          <w:i/>
          <w:iCs/>
        </w:rPr>
        <w:t>J Cancer Res Clin Oncol</w:t>
      </w:r>
      <w:r>
        <w:rPr>
          <w:rFonts w:ascii="Book Antiqua" w:hAnsi="Book Antiqua"/>
        </w:rPr>
        <w:t xml:space="preserve"> 2020; </w:t>
      </w:r>
      <w:r>
        <w:rPr>
          <w:rFonts w:ascii="Book Antiqua" w:hAnsi="Book Antiqua"/>
          <w:b/>
          <w:bCs/>
        </w:rPr>
        <w:t>146</w:t>
      </w:r>
      <w:r>
        <w:rPr>
          <w:rFonts w:ascii="Book Antiqua" w:hAnsi="Book Antiqua"/>
        </w:rPr>
        <w:t>: 297-304 [PMID: 31960187 DOI: 10.1007/s00432-019-03117-5]</w:t>
      </w:r>
    </w:p>
    <w:p w14:paraId="2FCC4075" w14:textId="77777777" w:rsidR="00D37FBD" w:rsidRDefault="00536838">
      <w:pPr>
        <w:spacing w:line="360" w:lineRule="auto"/>
        <w:jc w:val="both"/>
        <w:rPr>
          <w:rFonts w:ascii="Book Antiqua" w:hAnsi="Book Antiqua"/>
        </w:rPr>
      </w:pPr>
      <w:r>
        <w:rPr>
          <w:rFonts w:ascii="Book Antiqua" w:hAnsi="Book Antiqua"/>
        </w:rPr>
        <w:t xml:space="preserve">25 </w:t>
      </w:r>
      <w:r>
        <w:rPr>
          <w:rFonts w:ascii="Book Antiqua" w:hAnsi="Book Antiqua"/>
          <w:b/>
        </w:rPr>
        <w:t>Chong CR,</w:t>
      </w:r>
      <w:r>
        <w:rPr>
          <w:rFonts w:ascii="Book Antiqua" w:hAnsi="Book Antiqua"/>
        </w:rPr>
        <w:t xml:space="preserve"> Xu J, Lu J, Bhat S, Sullivan DJ Jr, Liu JO. Inhibition of angiogenesis by the antifungal drug itraconazole. </w:t>
      </w:r>
      <w:r>
        <w:rPr>
          <w:rFonts w:ascii="Book Antiqua" w:hAnsi="Book Antiqua"/>
          <w:i/>
        </w:rPr>
        <w:t>ACS Chem Biol</w:t>
      </w:r>
      <w:r>
        <w:rPr>
          <w:rFonts w:ascii="Book Antiqua" w:hAnsi="Book Antiqua"/>
        </w:rPr>
        <w:t xml:space="preserve"> 2007;</w:t>
      </w:r>
      <w:r>
        <w:rPr>
          <w:rFonts w:ascii="Book Antiqua" w:hAnsi="Book Antiqua" w:hint="eastAsia"/>
          <w:lang w:eastAsia="zh-CN"/>
        </w:rPr>
        <w:t xml:space="preserve"> </w:t>
      </w:r>
      <w:r>
        <w:rPr>
          <w:rFonts w:ascii="Book Antiqua" w:hAnsi="Book Antiqua"/>
          <w:b/>
        </w:rPr>
        <w:t>2:</w:t>
      </w:r>
      <w:r>
        <w:rPr>
          <w:rFonts w:ascii="Book Antiqua" w:hAnsi="Book Antiqua" w:hint="eastAsia"/>
          <w:lang w:eastAsia="zh-CN"/>
        </w:rPr>
        <w:t xml:space="preserve"> </w:t>
      </w:r>
      <w:r>
        <w:rPr>
          <w:rFonts w:ascii="Book Antiqua" w:hAnsi="Book Antiqua"/>
        </w:rPr>
        <w:t>263-</w:t>
      </w:r>
      <w:r>
        <w:rPr>
          <w:rFonts w:ascii="Book Antiqua" w:hAnsi="Book Antiqua" w:hint="eastAsia"/>
          <w:lang w:eastAsia="zh-CN"/>
        </w:rPr>
        <w:t>2</w:t>
      </w:r>
      <w:r>
        <w:rPr>
          <w:rFonts w:ascii="Book Antiqua" w:hAnsi="Book Antiqua"/>
        </w:rPr>
        <w:t xml:space="preserve">70 </w:t>
      </w:r>
      <w:r>
        <w:rPr>
          <w:rFonts w:ascii="Book Antiqua" w:hAnsi="Book Antiqua" w:hint="eastAsia"/>
          <w:lang w:eastAsia="zh-CN"/>
        </w:rPr>
        <w:t>[</w:t>
      </w:r>
      <w:r>
        <w:rPr>
          <w:rFonts w:ascii="Book Antiqua" w:hAnsi="Book Antiqua"/>
        </w:rPr>
        <w:t>PMID: 17432820</w:t>
      </w:r>
      <w:r>
        <w:rPr>
          <w:rFonts w:ascii="Book Antiqua" w:hAnsi="Book Antiqua" w:hint="eastAsia"/>
          <w:lang w:eastAsia="zh-CN"/>
        </w:rPr>
        <w:t xml:space="preserve"> DOI</w:t>
      </w:r>
      <w:r>
        <w:rPr>
          <w:rFonts w:ascii="Book Antiqua" w:hAnsi="Book Antiqua"/>
        </w:rPr>
        <w:t>: 10.1021/cb600362d</w:t>
      </w:r>
      <w:r>
        <w:rPr>
          <w:rFonts w:ascii="Book Antiqua" w:hAnsi="Book Antiqua" w:hint="eastAsia"/>
          <w:lang w:eastAsia="zh-CN"/>
        </w:rPr>
        <w:t>]</w:t>
      </w:r>
      <w:r>
        <w:rPr>
          <w:rFonts w:ascii="Book Antiqua" w:hAnsi="Book Antiqua"/>
        </w:rPr>
        <w:t xml:space="preserve"> </w:t>
      </w:r>
    </w:p>
    <w:p w14:paraId="49D191DC" w14:textId="77777777" w:rsidR="00D37FBD" w:rsidRDefault="00536838">
      <w:pPr>
        <w:spacing w:line="360" w:lineRule="auto"/>
        <w:jc w:val="both"/>
        <w:rPr>
          <w:rFonts w:ascii="Book Antiqua" w:hAnsi="Book Antiqua"/>
        </w:rPr>
      </w:pPr>
      <w:r>
        <w:rPr>
          <w:rFonts w:ascii="Book Antiqua" w:hAnsi="Book Antiqua"/>
        </w:rPr>
        <w:t xml:space="preserve">26 </w:t>
      </w:r>
      <w:r>
        <w:rPr>
          <w:rFonts w:ascii="Book Antiqua" w:hAnsi="Book Antiqua"/>
          <w:b/>
          <w:bCs/>
        </w:rPr>
        <w:t>Aftab BT</w:t>
      </w:r>
      <w:r>
        <w:rPr>
          <w:rFonts w:ascii="Book Antiqua" w:hAnsi="Book Antiqua"/>
        </w:rPr>
        <w:t xml:space="preserve">, </w:t>
      </w:r>
      <w:proofErr w:type="spellStart"/>
      <w:r>
        <w:rPr>
          <w:rFonts w:ascii="Book Antiqua" w:hAnsi="Book Antiqua"/>
        </w:rPr>
        <w:t>Dobromilskaya</w:t>
      </w:r>
      <w:proofErr w:type="spellEnd"/>
      <w:r>
        <w:rPr>
          <w:rFonts w:ascii="Book Antiqua" w:hAnsi="Book Antiqua"/>
        </w:rPr>
        <w:t xml:space="preserve"> I, Liu JO, Rudin CM. Itraconazole inhibits angiogenesis and tumor growth in non-small cell lung cancer. </w:t>
      </w:r>
      <w:r>
        <w:rPr>
          <w:rFonts w:ascii="Book Antiqua" w:hAnsi="Book Antiqua"/>
          <w:i/>
          <w:iCs/>
        </w:rPr>
        <w:t>Cancer Res</w:t>
      </w:r>
      <w:r>
        <w:rPr>
          <w:rFonts w:ascii="Book Antiqua" w:hAnsi="Book Antiqua"/>
        </w:rPr>
        <w:t xml:space="preserve"> 2011; </w:t>
      </w:r>
      <w:r>
        <w:rPr>
          <w:rFonts w:ascii="Book Antiqua" w:hAnsi="Book Antiqua"/>
          <w:b/>
          <w:bCs/>
        </w:rPr>
        <w:t>71</w:t>
      </w:r>
      <w:r>
        <w:rPr>
          <w:rFonts w:ascii="Book Antiqua" w:hAnsi="Book Antiqua"/>
        </w:rPr>
        <w:t>: 6764-6772 [PMID: 21896639 DOI: 10.1158/0008-5472.CAN-11-0691]</w:t>
      </w:r>
    </w:p>
    <w:p w14:paraId="07D57819" w14:textId="77777777" w:rsidR="00D37FBD" w:rsidRDefault="00536838">
      <w:pPr>
        <w:spacing w:line="360" w:lineRule="auto"/>
        <w:jc w:val="both"/>
        <w:rPr>
          <w:rFonts w:ascii="Book Antiqua" w:hAnsi="Book Antiqua"/>
        </w:rPr>
      </w:pPr>
      <w:r>
        <w:rPr>
          <w:rFonts w:ascii="Book Antiqua" w:hAnsi="Book Antiqua"/>
        </w:rPr>
        <w:t xml:space="preserve">27 </w:t>
      </w:r>
      <w:r>
        <w:rPr>
          <w:rFonts w:ascii="Book Antiqua" w:hAnsi="Book Antiqua"/>
          <w:b/>
          <w:bCs/>
        </w:rPr>
        <w:t>Chen S</w:t>
      </w:r>
      <w:r>
        <w:rPr>
          <w:rFonts w:ascii="Book Antiqua" w:hAnsi="Book Antiqua"/>
        </w:rPr>
        <w:t xml:space="preserve">, Zhuang K, Sun K, Yang Q, Ran X, Xu X, Mu C, Zheng B, Lu Y, Zeng J, Dai Y, Pradhan S, Ran Y. Itraconazole Induces Regression of Infantile Hemangioma via Downregulation of the Platelet-Derived Growth Factor-D/PI3K/Akt/mTOR Pathway. </w:t>
      </w:r>
      <w:r>
        <w:rPr>
          <w:rFonts w:ascii="Book Antiqua" w:hAnsi="Book Antiqua"/>
          <w:i/>
          <w:iCs/>
        </w:rPr>
        <w:t>J Invest Dermatol</w:t>
      </w:r>
      <w:r>
        <w:rPr>
          <w:rFonts w:ascii="Book Antiqua" w:hAnsi="Book Antiqua"/>
        </w:rPr>
        <w:t xml:space="preserve"> 2019; </w:t>
      </w:r>
      <w:r>
        <w:rPr>
          <w:rFonts w:ascii="Book Antiqua" w:hAnsi="Book Antiqua"/>
          <w:b/>
          <w:bCs/>
        </w:rPr>
        <w:t>139</w:t>
      </w:r>
      <w:r>
        <w:rPr>
          <w:rFonts w:ascii="Book Antiqua" w:hAnsi="Book Antiqua"/>
        </w:rPr>
        <w:t>: 1574-1582 [PMID: 30690033 DOI: 10.1016/j.jid.2018.12.028]</w:t>
      </w:r>
    </w:p>
    <w:bookmarkEnd w:id="3"/>
    <w:p w14:paraId="236CFC06" w14:textId="77777777" w:rsidR="00D37FBD" w:rsidRDefault="00D37FBD">
      <w:pPr>
        <w:spacing w:line="360" w:lineRule="auto"/>
        <w:jc w:val="both"/>
        <w:rPr>
          <w:rFonts w:ascii="Book Antiqua" w:hAnsi="Book Antiqua"/>
        </w:rPr>
        <w:sectPr w:rsidR="00D37FBD">
          <w:pgSz w:w="12240" w:h="15840"/>
          <w:pgMar w:top="1440" w:right="1440" w:bottom="1440" w:left="1440" w:header="720" w:footer="720" w:gutter="0"/>
          <w:cols w:space="720"/>
          <w:docGrid w:linePitch="360"/>
        </w:sectPr>
      </w:pPr>
    </w:p>
    <w:p w14:paraId="270D3AB6"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1922B5D"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parents for the publication of this case report.</w:t>
      </w:r>
    </w:p>
    <w:p w14:paraId="1F96610F" w14:textId="77777777" w:rsidR="00D37FBD" w:rsidRDefault="00D37FBD">
      <w:pPr>
        <w:spacing w:line="360" w:lineRule="auto"/>
        <w:jc w:val="both"/>
        <w:rPr>
          <w:rFonts w:ascii="Book Antiqua" w:hAnsi="Book Antiqua"/>
        </w:rPr>
      </w:pPr>
    </w:p>
    <w:p w14:paraId="671640DB"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no potential conflicts of interest concerning the research, authorship, and/or publication of this article.</w:t>
      </w:r>
    </w:p>
    <w:p w14:paraId="5BC30B8A" w14:textId="77777777" w:rsidR="00D37FBD" w:rsidRDefault="00D37FBD">
      <w:pPr>
        <w:spacing w:line="360" w:lineRule="auto"/>
        <w:jc w:val="both"/>
        <w:rPr>
          <w:rFonts w:ascii="Book Antiqua" w:hAnsi="Book Antiqua"/>
        </w:rPr>
      </w:pPr>
    </w:p>
    <w:p w14:paraId="649EA23E"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4C3210E" w14:textId="77777777" w:rsidR="00D37FBD" w:rsidRDefault="00D37FBD">
      <w:pPr>
        <w:spacing w:line="360" w:lineRule="auto"/>
        <w:jc w:val="both"/>
        <w:rPr>
          <w:rFonts w:ascii="Book Antiqua" w:hAnsi="Book Antiqua"/>
        </w:rPr>
      </w:pPr>
    </w:p>
    <w:p w14:paraId="3CD7EB94" w14:textId="77777777" w:rsidR="00D37FBD" w:rsidRDefault="0053683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757045" w14:textId="77777777" w:rsidR="00D37FBD" w:rsidRDefault="00D37FBD">
      <w:pPr>
        <w:spacing w:line="360" w:lineRule="auto"/>
        <w:jc w:val="both"/>
        <w:rPr>
          <w:rFonts w:ascii="Book Antiqua" w:hAnsi="Book Antiqua"/>
        </w:rPr>
      </w:pPr>
    </w:p>
    <w:p w14:paraId="2E60E94C"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color w:val="000000"/>
          <w:lang w:eastAsia="zh-CN"/>
        </w:rPr>
        <w:t>m</w:t>
      </w:r>
      <w:r>
        <w:rPr>
          <w:rFonts w:ascii="Book Antiqua" w:eastAsia="Book Antiqua" w:hAnsi="Book Antiqua" w:cs="Book Antiqua"/>
          <w:color w:val="000000"/>
        </w:rPr>
        <w:t>anuscript</w:t>
      </w:r>
    </w:p>
    <w:p w14:paraId="56E2E778" w14:textId="77777777" w:rsidR="00D37FBD" w:rsidRDefault="00D37FBD">
      <w:pPr>
        <w:spacing w:line="360" w:lineRule="auto"/>
        <w:jc w:val="both"/>
        <w:rPr>
          <w:rFonts w:ascii="Book Antiqua" w:hAnsi="Book Antiqua"/>
        </w:rPr>
      </w:pPr>
    </w:p>
    <w:p w14:paraId="59D6BEC8"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2021</w:t>
      </w:r>
    </w:p>
    <w:p w14:paraId="1E61F6D8"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14:paraId="2F477D6F"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4A3D14E" w14:textId="77777777" w:rsidR="00D37FBD" w:rsidRDefault="00D37FBD">
      <w:pPr>
        <w:spacing w:line="360" w:lineRule="auto"/>
        <w:jc w:val="both"/>
        <w:rPr>
          <w:rFonts w:ascii="Book Antiqua" w:hAnsi="Book Antiqua"/>
        </w:rPr>
      </w:pPr>
    </w:p>
    <w:p w14:paraId="7BA19033"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4" w:name="_Hlk71726650"/>
      <w:bookmarkStart w:id="5" w:name="OLE_LINK1953"/>
      <w:bookmarkStart w:id="6" w:name="OLE_LINK2066"/>
      <w:bookmarkStart w:id="7" w:name="OLE_LINK1952"/>
      <w:r>
        <w:rPr>
          <w:rFonts w:ascii="Book Antiqua" w:eastAsia="Microsoft YaHei" w:hAnsi="Book Antiqua" w:cs="SimSun"/>
        </w:rPr>
        <w:t>Medicine, research and experimenta</w:t>
      </w:r>
      <w:bookmarkEnd w:id="4"/>
      <w:r>
        <w:rPr>
          <w:rFonts w:ascii="Book Antiqua" w:eastAsia="Microsoft YaHei" w:hAnsi="Book Antiqua" w:cs="SimSun"/>
        </w:rPr>
        <w:t>l</w:t>
      </w:r>
      <w:bookmarkEnd w:id="5"/>
      <w:bookmarkEnd w:id="6"/>
      <w:bookmarkEnd w:id="7"/>
    </w:p>
    <w:p w14:paraId="0025DFD4"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087FB0" w14:textId="77777777" w:rsidR="00D37FBD" w:rsidRDefault="0053683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9175B35"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Grade A (Excellent): 0</w:t>
      </w:r>
    </w:p>
    <w:p w14:paraId="6012C111"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Grade B (Very good): 0</w:t>
      </w:r>
    </w:p>
    <w:p w14:paraId="4A858796"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Grade C (Good): C, C, C</w:t>
      </w:r>
    </w:p>
    <w:p w14:paraId="7FAF5A3C"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t>Grade D (Fair): 0</w:t>
      </w:r>
    </w:p>
    <w:p w14:paraId="05259A59" w14:textId="77777777" w:rsidR="00D37FBD" w:rsidRDefault="00536838">
      <w:pPr>
        <w:spacing w:line="360" w:lineRule="auto"/>
        <w:jc w:val="both"/>
        <w:rPr>
          <w:rFonts w:ascii="Book Antiqua" w:hAnsi="Book Antiqua"/>
        </w:rPr>
      </w:pPr>
      <w:r>
        <w:rPr>
          <w:rFonts w:ascii="Book Antiqua" w:eastAsia="Book Antiqua" w:hAnsi="Book Antiqua" w:cs="Book Antiqua"/>
          <w:color w:val="000000"/>
        </w:rPr>
        <w:lastRenderedPageBreak/>
        <w:t>Grade E (Poor): 0</w:t>
      </w:r>
    </w:p>
    <w:p w14:paraId="0E9F0733" w14:textId="77777777" w:rsidR="00D37FBD" w:rsidRDefault="00D37FBD">
      <w:pPr>
        <w:spacing w:line="360" w:lineRule="auto"/>
        <w:jc w:val="both"/>
        <w:rPr>
          <w:rFonts w:ascii="Book Antiqua" w:hAnsi="Book Antiqua"/>
        </w:rPr>
      </w:pPr>
    </w:p>
    <w:p w14:paraId="05E3F238" w14:textId="22AE016C" w:rsidR="00D37FBD" w:rsidRDefault="00536838">
      <w:pPr>
        <w:spacing w:line="360" w:lineRule="auto"/>
        <w:jc w:val="both"/>
        <w:rPr>
          <w:rFonts w:ascii="Book Antiqua" w:hAnsi="Book Antiqua"/>
        </w:rPr>
        <w:sectPr w:rsidR="00D37FB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Chiba T, Kaur M, Syahputra DA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sidR="00DB4781">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14CFF4C9" w14:textId="77777777" w:rsidR="00D37FBD" w:rsidRDefault="0053683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8EE7D78" w14:textId="77777777" w:rsidR="00D37FBD" w:rsidRDefault="00536838">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6577E0E6" wp14:editId="42FBC77F">
            <wp:extent cx="5203825" cy="2334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04012" cy="2335306"/>
                    </a:xfrm>
                    <a:prstGeom prst="rect">
                      <a:avLst/>
                    </a:prstGeom>
                  </pic:spPr>
                </pic:pic>
              </a:graphicData>
            </a:graphic>
          </wp:inline>
        </w:drawing>
      </w:r>
    </w:p>
    <w:p w14:paraId="40500BC8" w14:textId="77777777" w:rsidR="00D37FBD" w:rsidRDefault="00536838">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50213B36" wp14:editId="25E96BEC">
            <wp:extent cx="5230495" cy="2235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35183" cy="2238153"/>
                    </a:xfrm>
                    <a:prstGeom prst="rect">
                      <a:avLst/>
                    </a:prstGeom>
                  </pic:spPr>
                </pic:pic>
              </a:graphicData>
            </a:graphic>
          </wp:inline>
        </w:drawing>
      </w:r>
    </w:p>
    <w:p w14:paraId="59E0D16B" w14:textId="77777777" w:rsidR="00D37FBD" w:rsidRDefault="00536838">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06DE0665" wp14:editId="0EA7F303">
            <wp:extent cx="5167630" cy="2101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168153" cy="2102223"/>
                    </a:xfrm>
                    <a:prstGeom prst="rect">
                      <a:avLst/>
                    </a:prstGeom>
                  </pic:spPr>
                </pic:pic>
              </a:graphicData>
            </a:graphic>
          </wp:inline>
        </w:drawing>
      </w:r>
    </w:p>
    <w:p w14:paraId="20CEE6F1" w14:textId="5B0BC2C2"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1</w:t>
      </w:r>
      <w:r>
        <w:rPr>
          <w:rFonts w:ascii="Book Antiqua" w:eastAsia="Book Antiqua" w:hAnsi="Book Antiqua" w:cs="Book Antiqua"/>
          <w:b/>
          <w:bCs/>
          <w:color w:val="000000"/>
        </w:rPr>
        <w:t xml:space="preserve"> </w:t>
      </w:r>
      <w:r>
        <w:rPr>
          <w:rFonts w:ascii="Book Antiqua" w:eastAsia="Book Antiqua" w:hAnsi="Book Antiqua" w:cs="Book Antiqua"/>
          <w:b/>
          <w:color w:val="000000"/>
        </w:rPr>
        <w:t>The manifestations of infantile hemangioma affecting right ala nasi in case 2 on first visit, day 30, 60, 80, 90, and 1 year after itraconazole treatment.</w:t>
      </w:r>
      <w:r>
        <w:rPr>
          <w:rFonts w:ascii="Book Antiqua" w:hAnsi="Book Antiqua" w:cs="Book Antiqua"/>
          <w:b/>
          <w:color w:val="000000"/>
          <w:lang w:eastAsia="zh-CN"/>
        </w:rPr>
        <w:t xml:space="preserve"> </w:t>
      </w:r>
      <w:r>
        <w:rPr>
          <w:rFonts w:ascii="Book Antiqua" w:hAnsi="Book Antiqua" w:cs="Book Antiqua"/>
          <w:color w:val="000000"/>
          <w:lang w:eastAsia="zh-CN"/>
        </w:rPr>
        <w:t>A: First visit; B: 30 d; C: 60 d; D: 80 d; E: 90 d; F: 1 y</w:t>
      </w:r>
      <w:r w:rsidR="00C86DBD">
        <w:rPr>
          <w:rFonts w:ascii="Book Antiqua" w:hAnsi="Book Antiqua" w:cs="Book Antiqua"/>
          <w:color w:val="000000"/>
          <w:lang w:eastAsia="zh-CN"/>
        </w:rPr>
        <w:t>ea</w:t>
      </w:r>
      <w:r>
        <w:rPr>
          <w:rFonts w:ascii="Book Antiqua" w:hAnsi="Book Antiqua" w:cs="Book Antiqua"/>
          <w:color w:val="000000"/>
          <w:lang w:eastAsia="zh-CN"/>
        </w:rPr>
        <w:t>r.</w:t>
      </w:r>
    </w:p>
    <w:p w14:paraId="3C7E62B3" w14:textId="77777777" w:rsidR="00D37FBD" w:rsidRDefault="0053683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14:anchorId="5C2274E8" wp14:editId="30EBD8AD">
            <wp:extent cx="5486400" cy="3970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86400" cy="3970020"/>
                    </a:xfrm>
                    <a:prstGeom prst="rect">
                      <a:avLst/>
                    </a:prstGeom>
                  </pic:spPr>
                </pic:pic>
              </a:graphicData>
            </a:graphic>
          </wp:inline>
        </w:drawing>
      </w:r>
    </w:p>
    <w:p w14:paraId="579D3AE0" w14:textId="77777777" w:rsidR="00D37FBD" w:rsidRDefault="00536838">
      <w:pPr>
        <w:spacing w:line="360" w:lineRule="auto"/>
        <w:jc w:val="both"/>
        <w:rPr>
          <w:rFonts w:ascii="Book Antiqua" w:hAnsi="Book Antiqua" w:cs="Book Antiqua"/>
          <w:b/>
          <w:bCs/>
          <w:color w:val="000000"/>
          <w:lang w:eastAsia="zh-CN"/>
        </w:rPr>
      </w:pPr>
      <w:r>
        <w:rPr>
          <w:rFonts w:ascii="Book Antiqua" w:hAnsi="Book Antiqua"/>
          <w:noProof/>
          <w:lang w:eastAsia="zh-CN"/>
        </w:rPr>
        <w:drawing>
          <wp:inline distT="0" distB="0" distL="0" distR="0" wp14:anchorId="62E42A01" wp14:editId="662C5B4D">
            <wp:extent cx="2576830" cy="188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577867" cy="1882963"/>
                    </a:xfrm>
                    <a:prstGeom prst="rect">
                      <a:avLst/>
                    </a:prstGeom>
                  </pic:spPr>
                </pic:pic>
              </a:graphicData>
            </a:graphic>
          </wp:inline>
        </w:drawing>
      </w:r>
    </w:p>
    <w:p w14:paraId="45E89903" w14:textId="1E82B88D" w:rsidR="00D37FBD" w:rsidRDefault="0053683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2</w:t>
      </w:r>
      <w:r>
        <w:rPr>
          <w:rFonts w:ascii="Book Antiqua" w:eastAsia="Book Antiqua" w:hAnsi="Book Antiqua" w:cs="Book Antiqua"/>
          <w:b/>
          <w:bCs/>
          <w:color w:val="000000"/>
        </w:rPr>
        <w:t xml:space="preserve"> </w:t>
      </w:r>
      <w:r>
        <w:rPr>
          <w:rFonts w:ascii="Book Antiqua" w:eastAsia="Book Antiqua" w:hAnsi="Book Antiqua" w:cs="Book Antiqua"/>
          <w:b/>
          <w:color w:val="000000"/>
        </w:rPr>
        <w:t>The manifestations of infantile hemangiomas affecting the right hand in case 1 on first visit, day 43, 80, 124, and 1 year after itraconazole treatment.</w:t>
      </w:r>
      <w:r>
        <w:rPr>
          <w:rFonts w:ascii="Book Antiqua" w:hAnsi="Book Antiqua" w:cs="Book Antiqua"/>
          <w:b/>
          <w:color w:val="000000"/>
          <w:lang w:eastAsia="zh-CN"/>
        </w:rPr>
        <w:t xml:space="preserve"> </w:t>
      </w:r>
      <w:r>
        <w:rPr>
          <w:rFonts w:ascii="Book Antiqua" w:hAnsi="Book Antiqua" w:cs="Book Antiqua"/>
          <w:color w:val="000000"/>
          <w:lang w:eastAsia="zh-CN"/>
        </w:rPr>
        <w:t>A: First visit; B: 43 d; C: 80 d; D: 124 d; E: 1 y</w:t>
      </w:r>
      <w:r w:rsidR="00C86DBD">
        <w:rPr>
          <w:rFonts w:ascii="Book Antiqua" w:hAnsi="Book Antiqua" w:cs="Book Antiqua"/>
          <w:color w:val="000000"/>
          <w:lang w:eastAsia="zh-CN"/>
        </w:rPr>
        <w:t>ea</w:t>
      </w:r>
      <w:r>
        <w:rPr>
          <w:rFonts w:ascii="Book Antiqua" w:hAnsi="Book Antiqua" w:cs="Book Antiqua"/>
          <w:color w:val="000000"/>
          <w:lang w:eastAsia="zh-CN"/>
        </w:rPr>
        <w:t>r.</w:t>
      </w:r>
    </w:p>
    <w:p w14:paraId="0742E8AD" w14:textId="77777777" w:rsidR="00D37FBD" w:rsidRDefault="00D37FBD">
      <w:pPr>
        <w:spacing w:line="360" w:lineRule="auto"/>
        <w:jc w:val="both"/>
        <w:rPr>
          <w:rFonts w:ascii="Book Antiqua" w:hAnsi="Book Antiqua" w:cs="Book Antiqua"/>
          <w:color w:val="000000"/>
          <w:lang w:eastAsia="zh-CN"/>
        </w:rPr>
      </w:pPr>
    </w:p>
    <w:p w14:paraId="2CE4ED7F" w14:textId="77777777" w:rsidR="00D37FBD" w:rsidRDefault="00D37FBD">
      <w:pPr>
        <w:spacing w:line="360" w:lineRule="auto"/>
        <w:jc w:val="both"/>
        <w:rPr>
          <w:rFonts w:ascii="Book Antiqua" w:hAnsi="Book Antiqua" w:cs="Book Antiqua"/>
          <w:color w:val="000000"/>
          <w:lang w:eastAsia="zh-CN"/>
        </w:rPr>
      </w:pPr>
    </w:p>
    <w:sectPr w:rsidR="00D37F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E6555" w14:textId="77777777" w:rsidR="009729A2" w:rsidRDefault="009729A2">
      <w:r>
        <w:separator/>
      </w:r>
    </w:p>
  </w:endnote>
  <w:endnote w:type="continuationSeparator" w:id="0">
    <w:p w14:paraId="1141DA83" w14:textId="77777777" w:rsidR="009729A2" w:rsidRDefault="00972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255693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14C5E3D" w14:textId="77777777" w:rsidR="00D37FBD" w:rsidRPr="00FD7391" w:rsidRDefault="00536838">
            <w:pPr>
              <w:pStyle w:val="Footer"/>
              <w:jc w:val="right"/>
              <w:rPr>
                <w:rFonts w:ascii="Book Antiqua" w:hAnsi="Book Antiqua"/>
                <w:sz w:val="24"/>
                <w:szCs w:val="24"/>
              </w:rPr>
            </w:pPr>
            <w:r>
              <w:rPr>
                <w:rFonts w:ascii="Book Antiqua" w:hAnsi="Book Antiqua"/>
                <w:sz w:val="24"/>
                <w:szCs w:val="24"/>
                <w:lang w:val="zh-CN" w:eastAsia="zh-CN"/>
              </w:rPr>
              <w:t xml:space="preserve"> </w:t>
            </w:r>
            <w:r w:rsidRPr="0002636A">
              <w:rPr>
                <w:rFonts w:ascii="Book Antiqua" w:hAnsi="Book Antiqua"/>
                <w:sz w:val="24"/>
                <w:szCs w:val="24"/>
              </w:rPr>
              <w:fldChar w:fldCharType="begin"/>
            </w:r>
            <w:r w:rsidRPr="0002636A">
              <w:rPr>
                <w:rFonts w:ascii="Book Antiqua" w:hAnsi="Book Antiqua"/>
                <w:sz w:val="24"/>
                <w:szCs w:val="24"/>
              </w:rPr>
              <w:instrText>PAGE</w:instrText>
            </w:r>
            <w:r w:rsidRPr="0002636A">
              <w:rPr>
                <w:rFonts w:ascii="Book Antiqua" w:hAnsi="Book Antiqua"/>
                <w:sz w:val="24"/>
                <w:szCs w:val="24"/>
              </w:rPr>
              <w:fldChar w:fldCharType="separate"/>
            </w:r>
            <w:r w:rsidR="00DA62C3" w:rsidRPr="0002636A">
              <w:rPr>
                <w:rFonts w:ascii="Book Antiqua" w:hAnsi="Book Antiqua"/>
                <w:noProof/>
                <w:sz w:val="24"/>
                <w:szCs w:val="24"/>
              </w:rPr>
              <w:t>1</w:t>
            </w:r>
            <w:r w:rsidRPr="0002636A">
              <w:rPr>
                <w:rFonts w:ascii="Book Antiqua" w:hAnsi="Book Antiqua"/>
                <w:sz w:val="24"/>
                <w:szCs w:val="24"/>
              </w:rPr>
              <w:fldChar w:fldCharType="end"/>
            </w:r>
            <w:r w:rsidRPr="00FD7391">
              <w:rPr>
                <w:rFonts w:ascii="Book Antiqua" w:hAnsi="Book Antiqua"/>
                <w:sz w:val="24"/>
                <w:szCs w:val="24"/>
                <w:lang w:val="zh-CN" w:eastAsia="zh-CN"/>
              </w:rPr>
              <w:t xml:space="preserve"> / </w:t>
            </w:r>
            <w:r w:rsidRPr="0002636A">
              <w:rPr>
                <w:rFonts w:ascii="Book Antiqua" w:hAnsi="Book Antiqua"/>
                <w:sz w:val="24"/>
                <w:szCs w:val="24"/>
              </w:rPr>
              <w:fldChar w:fldCharType="begin"/>
            </w:r>
            <w:r w:rsidRPr="0002636A">
              <w:rPr>
                <w:rFonts w:ascii="Book Antiqua" w:hAnsi="Book Antiqua"/>
                <w:sz w:val="24"/>
                <w:szCs w:val="24"/>
              </w:rPr>
              <w:instrText>NUMPAGES</w:instrText>
            </w:r>
            <w:r w:rsidRPr="0002636A">
              <w:rPr>
                <w:rFonts w:ascii="Book Antiqua" w:hAnsi="Book Antiqua"/>
                <w:sz w:val="24"/>
                <w:szCs w:val="24"/>
              </w:rPr>
              <w:fldChar w:fldCharType="separate"/>
            </w:r>
            <w:r w:rsidR="00DA62C3" w:rsidRPr="0002636A">
              <w:rPr>
                <w:rFonts w:ascii="Book Antiqua" w:hAnsi="Book Antiqua"/>
                <w:noProof/>
                <w:sz w:val="24"/>
                <w:szCs w:val="24"/>
              </w:rPr>
              <w:t>17</w:t>
            </w:r>
            <w:r w:rsidRPr="0002636A">
              <w:rPr>
                <w:rFonts w:ascii="Book Antiqua" w:hAnsi="Book Antiqua"/>
                <w:sz w:val="24"/>
                <w:szCs w:val="24"/>
              </w:rPr>
              <w:fldChar w:fldCharType="end"/>
            </w:r>
          </w:p>
        </w:sdtContent>
      </w:sdt>
    </w:sdtContent>
  </w:sdt>
  <w:p w14:paraId="09C80761" w14:textId="77777777" w:rsidR="00D37FBD" w:rsidRDefault="00D37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64BEE" w14:textId="77777777" w:rsidR="009729A2" w:rsidRDefault="009729A2">
      <w:r>
        <w:separator/>
      </w:r>
    </w:p>
  </w:footnote>
  <w:footnote w:type="continuationSeparator" w:id="0">
    <w:p w14:paraId="7C9DD9A0" w14:textId="77777777" w:rsidR="009729A2" w:rsidRDefault="009729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36A"/>
    <w:rsid w:val="00096D24"/>
    <w:rsid w:val="00163378"/>
    <w:rsid w:val="001D727D"/>
    <w:rsid w:val="001E0C70"/>
    <w:rsid w:val="00206E70"/>
    <w:rsid w:val="00237F3A"/>
    <w:rsid w:val="00280EE1"/>
    <w:rsid w:val="0028602F"/>
    <w:rsid w:val="003037EC"/>
    <w:rsid w:val="003805BB"/>
    <w:rsid w:val="003E2F8F"/>
    <w:rsid w:val="003E6D62"/>
    <w:rsid w:val="00497F96"/>
    <w:rsid w:val="00536838"/>
    <w:rsid w:val="005412FF"/>
    <w:rsid w:val="005F0987"/>
    <w:rsid w:val="005F1519"/>
    <w:rsid w:val="006259BD"/>
    <w:rsid w:val="006323C9"/>
    <w:rsid w:val="006C77BA"/>
    <w:rsid w:val="00794ED1"/>
    <w:rsid w:val="00832349"/>
    <w:rsid w:val="00836160"/>
    <w:rsid w:val="0092586F"/>
    <w:rsid w:val="00942F04"/>
    <w:rsid w:val="00956701"/>
    <w:rsid w:val="009729A2"/>
    <w:rsid w:val="00A0195C"/>
    <w:rsid w:val="00A45978"/>
    <w:rsid w:val="00A77B3E"/>
    <w:rsid w:val="00AA572D"/>
    <w:rsid w:val="00B64FB3"/>
    <w:rsid w:val="00C1366C"/>
    <w:rsid w:val="00C54BE3"/>
    <w:rsid w:val="00C620B0"/>
    <w:rsid w:val="00C86DBD"/>
    <w:rsid w:val="00C91DEF"/>
    <w:rsid w:val="00CA2A55"/>
    <w:rsid w:val="00CB5DCC"/>
    <w:rsid w:val="00CE521D"/>
    <w:rsid w:val="00D11B61"/>
    <w:rsid w:val="00D149D2"/>
    <w:rsid w:val="00D37FBD"/>
    <w:rsid w:val="00D93F63"/>
    <w:rsid w:val="00DA62C3"/>
    <w:rsid w:val="00DB4781"/>
    <w:rsid w:val="00E023A2"/>
    <w:rsid w:val="00E251CD"/>
    <w:rsid w:val="00E7174C"/>
    <w:rsid w:val="00E72AA6"/>
    <w:rsid w:val="00EA490C"/>
    <w:rsid w:val="00EC6B82"/>
    <w:rsid w:val="00F04C14"/>
    <w:rsid w:val="00F5018B"/>
    <w:rsid w:val="00F63C14"/>
    <w:rsid w:val="00F71DA2"/>
    <w:rsid w:val="00F948C2"/>
    <w:rsid w:val="00FA7CA6"/>
    <w:rsid w:val="00FC3160"/>
    <w:rsid w:val="00FD7391"/>
    <w:rsid w:val="00FF67B8"/>
    <w:rsid w:val="32E75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3453BE"/>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character" w:customStyle="1" w:styleId="jlqj4b">
    <w:name w:val="jlqj4b"/>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3547</Words>
  <Characters>20223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璐璐</dc:creator>
  <cp:lastModifiedBy>Donna Fox</cp:lastModifiedBy>
  <cp:revision>2</cp:revision>
  <dcterms:created xsi:type="dcterms:W3CDTF">2021-08-09T21:57:00Z</dcterms:created>
  <dcterms:modified xsi:type="dcterms:W3CDTF">2021-08-09T21:57:00Z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4ECE45AA0AC6478D9F4E67D59A7EB07C</vt:lpwstr>
  </property>
</Properties>
</file>