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E261"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Name of Journal: </w:t>
      </w:r>
      <w:r w:rsidRPr="00EF271B">
        <w:rPr>
          <w:rFonts w:ascii="Book Antiqua" w:eastAsia="Book Antiqua" w:hAnsi="Book Antiqua" w:cs="Book Antiqua"/>
          <w:i/>
          <w:color w:val="000000"/>
        </w:rPr>
        <w:t>World Journal of Orthopedics</w:t>
      </w:r>
    </w:p>
    <w:p w14:paraId="65B75031"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Manuscript NO: </w:t>
      </w:r>
      <w:r w:rsidRPr="00EF271B">
        <w:rPr>
          <w:rFonts w:ascii="Book Antiqua" w:eastAsia="Book Antiqua" w:hAnsi="Book Antiqua" w:cs="Book Antiqua"/>
          <w:color w:val="000000"/>
        </w:rPr>
        <w:t>68444</w:t>
      </w:r>
    </w:p>
    <w:p w14:paraId="448C6767"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Manuscript Type: </w:t>
      </w:r>
      <w:r w:rsidRPr="00EF271B">
        <w:rPr>
          <w:rFonts w:ascii="Book Antiqua" w:eastAsia="Book Antiqua" w:hAnsi="Book Antiqua" w:cs="Book Antiqua"/>
          <w:color w:val="000000"/>
        </w:rPr>
        <w:t>CASE REPORT</w:t>
      </w:r>
    </w:p>
    <w:p w14:paraId="5967C112" w14:textId="77777777" w:rsidR="00A77B3E" w:rsidRPr="00EF271B" w:rsidRDefault="00A77B3E" w:rsidP="00EF271B">
      <w:pPr>
        <w:adjustRightInd w:val="0"/>
        <w:snapToGrid w:val="0"/>
        <w:spacing w:line="360" w:lineRule="auto"/>
        <w:jc w:val="both"/>
        <w:rPr>
          <w:rFonts w:ascii="Book Antiqua" w:hAnsi="Book Antiqua"/>
        </w:rPr>
      </w:pPr>
    </w:p>
    <w:p w14:paraId="7C66A388" w14:textId="5FC9092A" w:rsidR="00A77B3E" w:rsidRPr="00EF271B" w:rsidRDefault="00107085" w:rsidP="00EF271B">
      <w:pPr>
        <w:adjustRightInd w:val="0"/>
        <w:snapToGrid w:val="0"/>
        <w:spacing w:line="360" w:lineRule="auto"/>
        <w:jc w:val="both"/>
        <w:rPr>
          <w:rFonts w:ascii="Book Antiqua" w:eastAsia="宋体" w:hAnsi="Book Antiqua"/>
          <w:lang w:eastAsia="zh-CN"/>
        </w:rPr>
      </w:pPr>
      <w:r w:rsidRPr="00EF271B">
        <w:rPr>
          <w:rFonts w:ascii="Book Antiqua" w:eastAsia="Book Antiqua" w:hAnsi="Book Antiqua" w:cs="Book Antiqua"/>
          <w:b/>
          <w:color w:val="000000"/>
        </w:rPr>
        <w:t>Pathological humerus fracture due to anti-interferon-gamma autoantibodies</w:t>
      </w:r>
      <w:r w:rsidR="00625434" w:rsidRPr="00EF271B">
        <w:rPr>
          <w:rFonts w:ascii="Book Antiqua" w:eastAsia="宋体" w:hAnsi="Book Antiqua" w:cs="Book Antiqua"/>
          <w:b/>
          <w:color w:val="000000"/>
          <w:lang w:eastAsia="zh-CN"/>
        </w:rPr>
        <w:t>: A case report</w:t>
      </w:r>
    </w:p>
    <w:p w14:paraId="089C8A00" w14:textId="77777777" w:rsidR="00A77B3E" w:rsidRPr="00EF271B" w:rsidRDefault="00A77B3E" w:rsidP="00EF271B">
      <w:pPr>
        <w:adjustRightInd w:val="0"/>
        <w:snapToGrid w:val="0"/>
        <w:spacing w:line="360" w:lineRule="auto"/>
        <w:jc w:val="both"/>
        <w:rPr>
          <w:rFonts w:ascii="Book Antiqua" w:hAnsi="Book Antiqua"/>
        </w:rPr>
      </w:pPr>
    </w:p>
    <w:p w14:paraId="1E34E2AE" w14:textId="289A4525" w:rsidR="00A77B3E" w:rsidRPr="00EF271B" w:rsidRDefault="00625434" w:rsidP="00EF271B">
      <w:pPr>
        <w:adjustRightInd w:val="0"/>
        <w:snapToGrid w:val="0"/>
        <w:spacing w:line="360" w:lineRule="auto"/>
        <w:jc w:val="both"/>
        <w:rPr>
          <w:rFonts w:ascii="Book Antiqua" w:eastAsia="宋体" w:hAnsi="Book Antiqua" w:cs="Book Antiqua"/>
          <w:color w:val="000000"/>
          <w:lang w:eastAsia="zh-CN"/>
        </w:rPr>
      </w:pPr>
      <w:r w:rsidRPr="00EF271B">
        <w:rPr>
          <w:rFonts w:ascii="Book Antiqua" w:eastAsia="Book Antiqua" w:hAnsi="Book Antiqua" w:cs="Book Antiqua"/>
          <w:color w:val="000000"/>
        </w:rPr>
        <w:t xml:space="preserve">Yang </w:t>
      </w:r>
      <w:r w:rsidRPr="00EF271B">
        <w:rPr>
          <w:rFonts w:ascii="Book Antiqua" w:eastAsia="宋体" w:hAnsi="Book Antiqua" w:cs="Book Antiqua"/>
          <w:color w:val="000000"/>
          <w:lang w:eastAsia="zh-CN"/>
        </w:rPr>
        <w:t xml:space="preserve">CH </w:t>
      </w:r>
      <w:r w:rsidRPr="00EF271B">
        <w:rPr>
          <w:rFonts w:ascii="Book Antiqua" w:eastAsia="宋体" w:hAnsi="Book Antiqua" w:cs="Book Antiqua"/>
          <w:i/>
          <w:color w:val="000000"/>
          <w:lang w:eastAsia="zh-CN"/>
        </w:rPr>
        <w:t>et al</w:t>
      </w:r>
      <w:r w:rsidRPr="00EF271B">
        <w:rPr>
          <w:rFonts w:ascii="Book Antiqua" w:eastAsia="宋体" w:hAnsi="Book Antiqua" w:cs="Book Antiqua"/>
          <w:color w:val="000000"/>
          <w:lang w:eastAsia="zh-CN"/>
        </w:rPr>
        <w:t xml:space="preserve">. </w:t>
      </w:r>
      <w:bookmarkStart w:id="0" w:name="OLE_LINK519"/>
      <w:bookmarkStart w:id="1" w:name="OLE_LINK520"/>
      <w:r w:rsidRPr="00EF271B">
        <w:rPr>
          <w:rFonts w:ascii="Book Antiqua" w:eastAsia="Book Antiqua" w:hAnsi="Book Antiqua" w:cs="Book Antiqua"/>
          <w:color w:val="000000"/>
        </w:rPr>
        <w:t>Pathological humerus fracture</w:t>
      </w:r>
      <w:bookmarkEnd w:id="0"/>
      <w:bookmarkEnd w:id="1"/>
    </w:p>
    <w:p w14:paraId="29DB5CF6" w14:textId="77777777" w:rsidR="00625434" w:rsidRPr="00EF271B" w:rsidRDefault="00625434" w:rsidP="00EF271B">
      <w:pPr>
        <w:adjustRightInd w:val="0"/>
        <w:snapToGrid w:val="0"/>
        <w:spacing w:line="360" w:lineRule="auto"/>
        <w:jc w:val="both"/>
        <w:rPr>
          <w:rFonts w:ascii="Book Antiqua" w:eastAsia="宋体" w:hAnsi="Book Antiqua"/>
          <w:lang w:eastAsia="zh-CN"/>
        </w:rPr>
      </w:pPr>
    </w:p>
    <w:p w14:paraId="6DE8FF41" w14:textId="77777777" w:rsidR="00A77B3E" w:rsidRPr="00EF271B" w:rsidRDefault="00107085" w:rsidP="00EF271B">
      <w:pPr>
        <w:adjustRightInd w:val="0"/>
        <w:snapToGrid w:val="0"/>
        <w:spacing w:line="360" w:lineRule="auto"/>
        <w:jc w:val="both"/>
        <w:rPr>
          <w:rFonts w:ascii="Book Antiqua" w:hAnsi="Book Antiqua"/>
        </w:rPr>
      </w:pPr>
      <w:bookmarkStart w:id="2" w:name="OLE_LINK505"/>
      <w:bookmarkStart w:id="3" w:name="OLE_LINK506"/>
      <w:r w:rsidRPr="00EF271B">
        <w:rPr>
          <w:rFonts w:ascii="Book Antiqua" w:eastAsia="Book Antiqua" w:hAnsi="Book Antiqua" w:cs="Book Antiqua"/>
          <w:color w:val="000000"/>
        </w:rPr>
        <w:t xml:space="preserve">Cheng </w:t>
      </w:r>
      <w:proofErr w:type="spellStart"/>
      <w:r w:rsidRPr="00EF271B">
        <w:rPr>
          <w:rFonts w:ascii="Book Antiqua" w:eastAsia="Book Antiqua" w:hAnsi="Book Antiqua" w:cs="Book Antiqua"/>
          <w:color w:val="000000"/>
        </w:rPr>
        <w:t>Hsun</w:t>
      </w:r>
      <w:proofErr w:type="spellEnd"/>
      <w:r w:rsidRPr="00EF271B">
        <w:rPr>
          <w:rFonts w:ascii="Book Antiqua" w:eastAsia="Book Antiqua" w:hAnsi="Book Antiqua" w:cs="Book Antiqua"/>
          <w:color w:val="000000"/>
        </w:rPr>
        <w:t xml:space="preserve"> Yang, Feng-</w:t>
      </w:r>
      <w:proofErr w:type="spellStart"/>
      <w:r w:rsidRPr="00EF271B">
        <w:rPr>
          <w:rFonts w:ascii="Book Antiqua" w:eastAsia="Book Antiqua" w:hAnsi="Book Antiqua" w:cs="Book Antiqua"/>
          <w:color w:val="000000"/>
        </w:rPr>
        <w:t>Chih</w:t>
      </w:r>
      <w:proofErr w:type="spellEnd"/>
      <w:r w:rsidRPr="00EF271B">
        <w:rPr>
          <w:rFonts w:ascii="Book Antiqua" w:eastAsia="Book Antiqua" w:hAnsi="Book Antiqua" w:cs="Book Antiqua"/>
          <w:color w:val="000000"/>
        </w:rPr>
        <w:t xml:space="preserve"> </w:t>
      </w:r>
      <w:proofErr w:type="spellStart"/>
      <w:r w:rsidRPr="00EF271B">
        <w:rPr>
          <w:rFonts w:ascii="Book Antiqua" w:eastAsia="Book Antiqua" w:hAnsi="Book Antiqua" w:cs="Book Antiqua"/>
          <w:color w:val="000000"/>
        </w:rPr>
        <w:t>Kuo</w:t>
      </w:r>
      <w:proofErr w:type="spellEnd"/>
      <w:r w:rsidRPr="00EF271B">
        <w:rPr>
          <w:rFonts w:ascii="Book Antiqua" w:eastAsia="Book Antiqua" w:hAnsi="Book Antiqua" w:cs="Book Antiqua"/>
          <w:color w:val="000000"/>
        </w:rPr>
        <w:t>, Chen-Hsiang Lee</w:t>
      </w:r>
    </w:p>
    <w:bookmarkEnd w:id="2"/>
    <w:bookmarkEnd w:id="3"/>
    <w:p w14:paraId="1E955CD9" w14:textId="77777777" w:rsidR="00A77B3E" w:rsidRPr="00EF271B" w:rsidRDefault="00A77B3E" w:rsidP="00EF271B">
      <w:pPr>
        <w:adjustRightInd w:val="0"/>
        <w:snapToGrid w:val="0"/>
        <w:spacing w:line="360" w:lineRule="auto"/>
        <w:jc w:val="both"/>
        <w:rPr>
          <w:rFonts w:ascii="Book Antiqua" w:hAnsi="Book Antiqua"/>
        </w:rPr>
      </w:pPr>
    </w:p>
    <w:p w14:paraId="6317AA9A" w14:textId="69E1F33D"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Cheng </w:t>
      </w:r>
      <w:proofErr w:type="spellStart"/>
      <w:r w:rsidRPr="00EF271B">
        <w:rPr>
          <w:rFonts w:ascii="Book Antiqua" w:eastAsia="Book Antiqua" w:hAnsi="Book Antiqua" w:cs="Book Antiqua"/>
          <w:b/>
          <w:bCs/>
          <w:color w:val="000000"/>
        </w:rPr>
        <w:t>Hsun</w:t>
      </w:r>
      <w:proofErr w:type="spellEnd"/>
      <w:r w:rsidRPr="00EF271B">
        <w:rPr>
          <w:rFonts w:ascii="Book Antiqua" w:eastAsia="Book Antiqua" w:hAnsi="Book Antiqua" w:cs="Book Antiqua"/>
          <w:b/>
          <w:bCs/>
          <w:color w:val="000000"/>
        </w:rPr>
        <w:t xml:space="preserve"> Yang, </w:t>
      </w:r>
      <w:bookmarkStart w:id="4" w:name="OLE_LINK507"/>
      <w:bookmarkStart w:id="5" w:name="OLE_LINK508"/>
      <w:r w:rsidR="008806BB" w:rsidRPr="00EF271B">
        <w:rPr>
          <w:rFonts w:ascii="Book Antiqua" w:eastAsia="Book Antiqua" w:hAnsi="Book Antiqua" w:cs="Book Antiqua"/>
          <w:color w:val="000000"/>
        </w:rPr>
        <w:t>Div</w:t>
      </w:r>
      <w:r w:rsidR="008806BB" w:rsidRPr="00EF271B">
        <w:rPr>
          <w:rFonts w:ascii="Book Antiqua" w:eastAsia="宋体" w:hAnsi="Book Antiqua" w:cs="Book Antiqua"/>
          <w:color w:val="000000"/>
          <w:lang w:eastAsia="zh-CN"/>
        </w:rPr>
        <w:t>ision</w:t>
      </w:r>
      <w:r w:rsidR="008806BB" w:rsidRPr="00EF271B">
        <w:rPr>
          <w:rFonts w:ascii="Book Antiqua" w:eastAsia="Book Antiqua" w:hAnsi="Book Antiqua" w:cs="Book Antiqua"/>
          <w:color w:val="000000"/>
        </w:rPr>
        <w:t xml:space="preserve"> </w:t>
      </w:r>
      <w:r w:rsidR="008806BB" w:rsidRPr="00EF271B">
        <w:rPr>
          <w:rFonts w:ascii="Book Antiqua" w:eastAsia="宋体" w:hAnsi="Book Antiqua" w:cs="Book Antiqua"/>
          <w:color w:val="000000"/>
          <w:lang w:eastAsia="zh-CN"/>
        </w:rPr>
        <w:t xml:space="preserve">of </w:t>
      </w:r>
      <w:r w:rsidR="008806BB" w:rsidRPr="00EF271B">
        <w:rPr>
          <w:rFonts w:ascii="Book Antiqua" w:eastAsia="Book Antiqua" w:hAnsi="Book Antiqua" w:cs="Book Antiqua"/>
          <w:color w:val="000000"/>
        </w:rPr>
        <w:t>Infect</w:t>
      </w:r>
      <w:r w:rsidR="008806BB" w:rsidRPr="00EF271B">
        <w:rPr>
          <w:rFonts w:ascii="Book Antiqua" w:eastAsia="宋体" w:hAnsi="Book Antiqua" w:cs="Book Antiqua"/>
          <w:color w:val="000000"/>
          <w:lang w:eastAsia="zh-CN"/>
        </w:rPr>
        <w:t>ion</w:t>
      </w:r>
      <w:r w:rsidR="008806BB" w:rsidRPr="00EF271B">
        <w:rPr>
          <w:rFonts w:ascii="Book Antiqua" w:eastAsia="Book Antiqua" w:hAnsi="Book Antiqua" w:cs="Book Antiqua"/>
          <w:color w:val="000000"/>
        </w:rPr>
        <w:t xml:space="preserve"> Dis</w:t>
      </w:r>
      <w:r w:rsidR="008806BB" w:rsidRPr="00EF271B">
        <w:rPr>
          <w:rFonts w:ascii="Book Antiqua" w:eastAsia="宋体" w:hAnsi="Book Antiqua" w:cs="Book Antiqua"/>
          <w:color w:val="000000"/>
          <w:lang w:eastAsia="zh-CN"/>
        </w:rPr>
        <w:t>ease</w:t>
      </w:r>
      <w:r w:rsidR="008806BB" w:rsidRPr="00EF271B">
        <w:rPr>
          <w:rFonts w:ascii="Book Antiqua" w:eastAsia="Book Antiqua" w:hAnsi="Book Antiqua" w:cs="Book Antiqua"/>
          <w:color w:val="000000"/>
        </w:rPr>
        <w:t>,</w:t>
      </w:r>
      <w:r w:rsidR="008806BB">
        <w:rPr>
          <w:rFonts w:asciiTheme="minorEastAsia" w:hAnsiTheme="minorEastAsia" w:cs="Book Antiqua" w:hint="eastAsia"/>
          <w:color w:val="000000"/>
          <w:lang w:eastAsia="zh-TW"/>
        </w:rPr>
        <w:t xml:space="preserve"> </w:t>
      </w:r>
      <w:r w:rsidRPr="00EF271B">
        <w:rPr>
          <w:rFonts w:ascii="Book Antiqua" w:eastAsia="Book Antiqua" w:hAnsi="Book Antiqua" w:cs="Book Antiqua"/>
          <w:color w:val="000000"/>
        </w:rPr>
        <w:t>Department of Internal Medicine</w:t>
      </w:r>
      <w:bookmarkEnd w:id="4"/>
      <w:bookmarkEnd w:id="5"/>
      <w:r w:rsidRPr="00EF271B">
        <w:rPr>
          <w:rFonts w:ascii="Book Antiqua" w:eastAsia="Book Antiqua" w:hAnsi="Book Antiqua" w:cs="Book Antiqua"/>
          <w:color w:val="000000"/>
        </w:rPr>
        <w:t xml:space="preserve">, </w:t>
      </w:r>
      <w:bookmarkStart w:id="6" w:name="OLE_LINK509"/>
      <w:bookmarkStart w:id="7" w:name="OLE_LINK510"/>
      <w:r w:rsidRPr="00EF271B">
        <w:rPr>
          <w:rFonts w:ascii="Book Antiqua" w:eastAsia="Book Antiqua" w:hAnsi="Book Antiqua" w:cs="Book Antiqua"/>
          <w:color w:val="000000"/>
        </w:rPr>
        <w:t>Kaohsiung Chang Gung Memorial Hospital</w:t>
      </w:r>
      <w:bookmarkEnd w:id="6"/>
      <w:bookmarkEnd w:id="7"/>
      <w:r w:rsidRPr="00EF271B">
        <w:rPr>
          <w:rFonts w:ascii="Book Antiqua" w:eastAsia="Book Antiqua" w:hAnsi="Book Antiqua" w:cs="Book Antiqua"/>
          <w:color w:val="000000"/>
        </w:rPr>
        <w:t>, Kaohsiung 833, Taiwan</w:t>
      </w:r>
    </w:p>
    <w:p w14:paraId="1DF8B183" w14:textId="77777777" w:rsidR="00A77B3E" w:rsidRPr="00EF271B" w:rsidRDefault="00A77B3E" w:rsidP="00EF271B">
      <w:pPr>
        <w:adjustRightInd w:val="0"/>
        <w:snapToGrid w:val="0"/>
        <w:spacing w:line="360" w:lineRule="auto"/>
        <w:jc w:val="both"/>
        <w:rPr>
          <w:rFonts w:ascii="Book Antiqua" w:hAnsi="Book Antiqua"/>
        </w:rPr>
      </w:pPr>
    </w:p>
    <w:p w14:paraId="68BEA0B7" w14:textId="6698C4BD" w:rsidR="00A77B3E" w:rsidRPr="00EF271B" w:rsidRDefault="00107085" w:rsidP="00EF271B">
      <w:pPr>
        <w:adjustRightInd w:val="0"/>
        <w:snapToGrid w:val="0"/>
        <w:spacing w:line="360" w:lineRule="auto"/>
        <w:jc w:val="both"/>
        <w:rPr>
          <w:rFonts w:ascii="Book Antiqua" w:hAnsi="Book Antiqua"/>
        </w:rPr>
      </w:pPr>
      <w:bookmarkStart w:id="8" w:name="OLE_LINK511"/>
      <w:bookmarkStart w:id="9" w:name="OLE_LINK512"/>
      <w:r w:rsidRPr="00EF271B">
        <w:rPr>
          <w:rFonts w:ascii="Book Antiqua" w:eastAsia="Book Antiqua" w:hAnsi="Book Antiqua" w:cs="Book Antiqua"/>
          <w:b/>
          <w:bCs/>
          <w:color w:val="000000"/>
        </w:rPr>
        <w:t>Feng-</w:t>
      </w:r>
      <w:proofErr w:type="spellStart"/>
      <w:r w:rsidRPr="00EF271B">
        <w:rPr>
          <w:rFonts w:ascii="Book Antiqua" w:eastAsia="Book Antiqua" w:hAnsi="Book Antiqua" w:cs="Book Antiqua"/>
          <w:b/>
          <w:bCs/>
          <w:color w:val="000000"/>
        </w:rPr>
        <w:t>Chih</w:t>
      </w:r>
      <w:proofErr w:type="spellEnd"/>
      <w:r w:rsidRPr="00EF271B">
        <w:rPr>
          <w:rFonts w:ascii="Book Antiqua" w:eastAsia="Book Antiqua" w:hAnsi="Book Antiqua" w:cs="Book Antiqua"/>
          <w:b/>
          <w:bCs/>
          <w:color w:val="000000"/>
        </w:rPr>
        <w:t xml:space="preserve"> </w:t>
      </w:r>
      <w:proofErr w:type="spellStart"/>
      <w:r w:rsidRPr="00EF271B">
        <w:rPr>
          <w:rFonts w:ascii="Book Antiqua" w:eastAsia="Book Antiqua" w:hAnsi="Book Antiqua" w:cs="Book Antiqua"/>
          <w:b/>
          <w:bCs/>
          <w:color w:val="000000"/>
        </w:rPr>
        <w:t>Kuo</w:t>
      </w:r>
      <w:proofErr w:type="spellEnd"/>
      <w:r w:rsidRPr="00EF271B">
        <w:rPr>
          <w:rFonts w:ascii="Book Antiqua" w:eastAsia="Book Antiqua" w:hAnsi="Book Antiqua" w:cs="Book Antiqua"/>
          <w:b/>
          <w:bCs/>
          <w:color w:val="000000"/>
        </w:rPr>
        <w:t xml:space="preserve">, </w:t>
      </w:r>
      <w:bookmarkStart w:id="10" w:name="OLE_LINK513"/>
      <w:bookmarkStart w:id="11" w:name="OLE_LINK514"/>
      <w:r w:rsidRPr="00EF271B">
        <w:rPr>
          <w:rFonts w:ascii="Book Antiqua" w:eastAsia="Book Antiqua" w:hAnsi="Book Antiqua" w:cs="Book Antiqua"/>
          <w:color w:val="000000"/>
        </w:rPr>
        <w:t xml:space="preserve">Department of </w:t>
      </w:r>
      <w:proofErr w:type="spellStart"/>
      <w:r w:rsidRPr="00EF271B">
        <w:rPr>
          <w:rFonts w:ascii="Book Antiqua" w:eastAsia="Book Antiqua" w:hAnsi="Book Antiqua" w:cs="Book Antiqua"/>
          <w:color w:val="000000"/>
        </w:rPr>
        <w:t>Orthopaedic</w:t>
      </w:r>
      <w:proofErr w:type="spellEnd"/>
      <w:r w:rsidRPr="00EF271B">
        <w:rPr>
          <w:rFonts w:ascii="Book Antiqua" w:eastAsia="Book Antiqua" w:hAnsi="Book Antiqua" w:cs="Book Antiqua"/>
          <w:color w:val="000000"/>
        </w:rPr>
        <w:t xml:space="preserve"> Surgery</w:t>
      </w:r>
      <w:bookmarkEnd w:id="10"/>
      <w:bookmarkEnd w:id="11"/>
      <w:r w:rsidRPr="00EF271B">
        <w:rPr>
          <w:rFonts w:ascii="Book Antiqua" w:eastAsia="Book Antiqua" w:hAnsi="Book Antiqua" w:cs="Book Antiqua"/>
          <w:color w:val="000000"/>
        </w:rPr>
        <w:t xml:space="preserve">, Kaohsiung Chang Gung </w:t>
      </w:r>
      <w:r w:rsidR="00625434" w:rsidRPr="00EF271B">
        <w:rPr>
          <w:rFonts w:ascii="Book Antiqua" w:eastAsia="Book Antiqua" w:hAnsi="Book Antiqua" w:cs="Book Antiqua"/>
          <w:color w:val="000000"/>
        </w:rPr>
        <w:t xml:space="preserve">Memorial </w:t>
      </w:r>
      <w:r w:rsidRPr="00EF271B">
        <w:rPr>
          <w:rFonts w:ascii="Book Antiqua" w:eastAsia="Book Antiqua" w:hAnsi="Book Antiqua" w:cs="Book Antiqua"/>
          <w:color w:val="000000"/>
        </w:rPr>
        <w:t>Hosp</w:t>
      </w:r>
      <w:r w:rsidR="00625434" w:rsidRPr="00EF271B">
        <w:rPr>
          <w:rFonts w:ascii="Book Antiqua" w:eastAsia="宋体" w:hAnsi="Book Antiqua" w:cs="Book Antiqua"/>
          <w:color w:val="000000"/>
          <w:lang w:eastAsia="zh-CN"/>
        </w:rPr>
        <w:t>ital</w:t>
      </w:r>
      <w:r w:rsidRPr="00EF271B">
        <w:rPr>
          <w:rFonts w:ascii="Book Antiqua" w:eastAsia="Book Antiqua" w:hAnsi="Book Antiqua" w:cs="Book Antiqua"/>
          <w:color w:val="000000"/>
        </w:rPr>
        <w:t xml:space="preserve">, </w:t>
      </w:r>
      <w:bookmarkStart w:id="12" w:name="OLE_LINK515"/>
      <w:bookmarkStart w:id="13" w:name="OLE_LINK516"/>
      <w:r w:rsidRPr="00EF271B">
        <w:rPr>
          <w:rFonts w:ascii="Book Antiqua" w:eastAsia="Book Antiqua" w:hAnsi="Book Antiqua" w:cs="Book Antiqua"/>
          <w:color w:val="000000"/>
        </w:rPr>
        <w:t xml:space="preserve">Kaohsiung </w:t>
      </w:r>
      <w:bookmarkEnd w:id="12"/>
      <w:bookmarkEnd w:id="13"/>
      <w:r w:rsidRPr="00EF271B">
        <w:rPr>
          <w:rFonts w:ascii="Book Antiqua" w:eastAsia="Book Antiqua" w:hAnsi="Book Antiqua" w:cs="Book Antiqua"/>
          <w:color w:val="000000"/>
        </w:rPr>
        <w:t>833, Taiwan</w:t>
      </w:r>
    </w:p>
    <w:bookmarkEnd w:id="8"/>
    <w:bookmarkEnd w:id="9"/>
    <w:p w14:paraId="74287A2C" w14:textId="77777777" w:rsidR="00A77B3E" w:rsidRPr="00EF271B" w:rsidRDefault="00A77B3E" w:rsidP="00EF271B">
      <w:pPr>
        <w:adjustRightInd w:val="0"/>
        <w:snapToGrid w:val="0"/>
        <w:spacing w:line="360" w:lineRule="auto"/>
        <w:jc w:val="both"/>
        <w:rPr>
          <w:rFonts w:ascii="Book Antiqua" w:hAnsi="Book Antiqua"/>
        </w:rPr>
      </w:pPr>
    </w:p>
    <w:p w14:paraId="4FE3E730" w14:textId="14EEC73E"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Chen-Hsiang Lee, </w:t>
      </w:r>
      <w:r w:rsidRPr="00EF271B">
        <w:rPr>
          <w:rFonts w:ascii="Book Antiqua" w:eastAsia="Book Antiqua" w:hAnsi="Book Antiqua" w:cs="Book Antiqua"/>
          <w:color w:val="000000"/>
        </w:rPr>
        <w:t>Div</w:t>
      </w:r>
      <w:r w:rsidR="00625434" w:rsidRPr="00EF271B">
        <w:rPr>
          <w:rFonts w:ascii="Book Antiqua" w:eastAsia="宋体" w:hAnsi="Book Antiqua" w:cs="Book Antiqua"/>
          <w:color w:val="000000"/>
          <w:lang w:eastAsia="zh-CN"/>
        </w:rPr>
        <w:t>ision</w:t>
      </w:r>
      <w:r w:rsidRPr="00EF271B">
        <w:rPr>
          <w:rFonts w:ascii="Book Antiqua" w:eastAsia="Book Antiqua" w:hAnsi="Book Antiqua" w:cs="Book Antiqua"/>
          <w:color w:val="000000"/>
        </w:rPr>
        <w:t xml:space="preserve"> </w:t>
      </w:r>
      <w:r w:rsidR="00625434" w:rsidRPr="00EF271B">
        <w:rPr>
          <w:rFonts w:ascii="Book Antiqua" w:eastAsia="宋体" w:hAnsi="Book Antiqua" w:cs="Book Antiqua"/>
          <w:color w:val="000000"/>
          <w:lang w:eastAsia="zh-CN"/>
        </w:rPr>
        <w:t xml:space="preserve">of </w:t>
      </w:r>
      <w:r w:rsidRPr="00EF271B">
        <w:rPr>
          <w:rFonts w:ascii="Book Antiqua" w:eastAsia="Book Antiqua" w:hAnsi="Book Antiqua" w:cs="Book Antiqua"/>
          <w:color w:val="000000"/>
        </w:rPr>
        <w:t>Infect</w:t>
      </w:r>
      <w:r w:rsidR="00625434" w:rsidRPr="00EF271B">
        <w:rPr>
          <w:rFonts w:ascii="Book Antiqua" w:eastAsia="宋体" w:hAnsi="Book Antiqua" w:cs="Book Antiqua"/>
          <w:color w:val="000000"/>
          <w:lang w:eastAsia="zh-CN"/>
        </w:rPr>
        <w:t>ion</w:t>
      </w:r>
      <w:r w:rsidRPr="00EF271B">
        <w:rPr>
          <w:rFonts w:ascii="Book Antiqua" w:eastAsia="Book Antiqua" w:hAnsi="Book Antiqua" w:cs="Book Antiqua"/>
          <w:color w:val="000000"/>
        </w:rPr>
        <w:t xml:space="preserve"> Dis</w:t>
      </w:r>
      <w:r w:rsidR="00625434" w:rsidRPr="00EF271B">
        <w:rPr>
          <w:rFonts w:ascii="Book Antiqua" w:eastAsia="宋体" w:hAnsi="Book Antiqua" w:cs="Book Antiqua"/>
          <w:color w:val="000000"/>
          <w:lang w:eastAsia="zh-CN"/>
        </w:rPr>
        <w:t>ease</w:t>
      </w:r>
      <w:r w:rsidRPr="00EF271B">
        <w:rPr>
          <w:rFonts w:ascii="Book Antiqua" w:eastAsia="Book Antiqua" w:hAnsi="Book Antiqua" w:cs="Book Antiqua"/>
          <w:color w:val="000000"/>
        </w:rPr>
        <w:t>,</w:t>
      </w:r>
      <w:r w:rsidR="00625434"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Dep</w:t>
      </w:r>
      <w:r w:rsidR="00625434" w:rsidRPr="00EF271B">
        <w:rPr>
          <w:rFonts w:ascii="Book Antiqua" w:eastAsia="宋体" w:hAnsi="Book Antiqua" w:cs="Book Antiqua"/>
          <w:color w:val="000000"/>
          <w:lang w:eastAsia="zh-CN"/>
        </w:rPr>
        <w:t>ar</w:t>
      </w:r>
      <w:r w:rsidRPr="00EF271B">
        <w:rPr>
          <w:rFonts w:ascii="Book Antiqua" w:eastAsia="Book Antiqua" w:hAnsi="Book Antiqua" w:cs="Book Antiqua"/>
          <w:color w:val="000000"/>
        </w:rPr>
        <w:t>t</w:t>
      </w:r>
      <w:r w:rsidR="00625434" w:rsidRPr="00EF271B">
        <w:rPr>
          <w:rFonts w:ascii="Book Antiqua" w:eastAsia="宋体" w:hAnsi="Book Antiqua" w:cs="Book Antiqua"/>
          <w:color w:val="000000"/>
          <w:lang w:eastAsia="zh-CN"/>
        </w:rPr>
        <w:t>ment</w:t>
      </w:r>
      <w:r w:rsidRPr="00EF271B">
        <w:rPr>
          <w:rFonts w:ascii="Book Antiqua" w:eastAsia="Book Antiqua" w:hAnsi="Book Antiqua" w:cs="Book Antiqua"/>
          <w:color w:val="000000"/>
        </w:rPr>
        <w:t xml:space="preserve"> Internal Med</w:t>
      </w:r>
      <w:r w:rsidR="00625434" w:rsidRPr="00EF271B">
        <w:rPr>
          <w:rFonts w:ascii="Book Antiqua" w:eastAsia="宋体" w:hAnsi="Book Antiqua" w:cs="Book Antiqua"/>
          <w:color w:val="000000"/>
          <w:lang w:eastAsia="zh-CN"/>
        </w:rPr>
        <w:t>icine</w:t>
      </w:r>
      <w:r w:rsidRPr="00EF271B">
        <w:rPr>
          <w:rFonts w:ascii="Book Antiqua" w:eastAsia="Book Antiqua" w:hAnsi="Book Antiqua" w:cs="Book Antiqua"/>
          <w:color w:val="000000"/>
        </w:rPr>
        <w:t>, Chang Gung Univ</w:t>
      </w:r>
      <w:r w:rsidR="00625434" w:rsidRPr="00EF271B">
        <w:rPr>
          <w:rFonts w:ascii="Book Antiqua" w:eastAsia="宋体" w:hAnsi="Book Antiqua" w:cs="Book Antiqua"/>
          <w:color w:val="000000"/>
          <w:lang w:eastAsia="zh-CN"/>
        </w:rPr>
        <w:t>ersity</w:t>
      </w:r>
      <w:r w:rsidRPr="00EF271B">
        <w:rPr>
          <w:rFonts w:ascii="Book Antiqua" w:eastAsia="Book Antiqua" w:hAnsi="Book Antiqua" w:cs="Book Antiqua"/>
          <w:color w:val="000000"/>
        </w:rPr>
        <w:t>, Coll</w:t>
      </w:r>
      <w:r w:rsidR="00625434" w:rsidRPr="00EF271B">
        <w:rPr>
          <w:rFonts w:ascii="Book Antiqua" w:eastAsia="宋体" w:hAnsi="Book Antiqua" w:cs="Book Antiqua"/>
          <w:color w:val="000000"/>
          <w:lang w:eastAsia="zh-CN"/>
        </w:rPr>
        <w:t>ege</w:t>
      </w:r>
      <w:r w:rsidRPr="00EF271B">
        <w:rPr>
          <w:rFonts w:ascii="Book Antiqua" w:eastAsia="Book Antiqua" w:hAnsi="Book Antiqua" w:cs="Book Antiqua"/>
          <w:color w:val="000000"/>
        </w:rPr>
        <w:t xml:space="preserve"> Med</w:t>
      </w:r>
      <w:r w:rsidR="00625434" w:rsidRPr="00EF271B">
        <w:rPr>
          <w:rFonts w:ascii="Book Antiqua" w:eastAsia="宋体" w:hAnsi="Book Antiqua" w:cs="Book Antiqua"/>
          <w:color w:val="000000"/>
          <w:lang w:eastAsia="zh-CN"/>
        </w:rPr>
        <w:t>icine</w:t>
      </w:r>
      <w:r w:rsidRPr="00EF271B">
        <w:rPr>
          <w:rFonts w:ascii="Book Antiqua" w:eastAsia="Book Antiqua" w:hAnsi="Book Antiqua" w:cs="Book Antiqua"/>
          <w:color w:val="000000"/>
        </w:rPr>
        <w:t xml:space="preserve">, Chang Gung </w:t>
      </w:r>
      <w:r w:rsidR="00625434" w:rsidRPr="00EF271B">
        <w:rPr>
          <w:rFonts w:ascii="Book Antiqua" w:eastAsia="Book Antiqua" w:hAnsi="Book Antiqua" w:cs="Book Antiqua"/>
          <w:color w:val="000000"/>
        </w:rPr>
        <w:t>Memorial Hosp</w:t>
      </w:r>
      <w:r w:rsidR="00625434" w:rsidRPr="00EF271B">
        <w:rPr>
          <w:rFonts w:ascii="Book Antiqua" w:eastAsia="宋体" w:hAnsi="Book Antiqua" w:cs="Book Antiqua"/>
          <w:color w:val="000000"/>
          <w:lang w:eastAsia="zh-CN"/>
        </w:rPr>
        <w:t>ital</w:t>
      </w:r>
      <w:r w:rsidRPr="00EF271B">
        <w:rPr>
          <w:rFonts w:ascii="Book Antiqua" w:eastAsia="Book Antiqua" w:hAnsi="Book Antiqua" w:cs="Book Antiqua"/>
          <w:color w:val="000000"/>
        </w:rPr>
        <w:t>, Kaohsiung Med</w:t>
      </w:r>
      <w:r w:rsidR="00625434" w:rsidRPr="00EF271B">
        <w:rPr>
          <w:rFonts w:ascii="Book Antiqua" w:eastAsia="宋体" w:hAnsi="Book Antiqua" w:cs="Book Antiqua"/>
          <w:color w:val="000000"/>
          <w:lang w:eastAsia="zh-CN"/>
        </w:rPr>
        <w:t>icine</w:t>
      </w:r>
      <w:r w:rsidRPr="00EF271B">
        <w:rPr>
          <w:rFonts w:ascii="Book Antiqua" w:eastAsia="Book Antiqua" w:hAnsi="Book Antiqua" w:cs="Book Antiqua"/>
          <w:color w:val="000000"/>
        </w:rPr>
        <w:t xml:space="preserve"> C</w:t>
      </w:r>
      <w:r w:rsidR="00625434" w:rsidRPr="00EF271B">
        <w:rPr>
          <w:rFonts w:ascii="Book Antiqua" w:eastAsia="宋体" w:hAnsi="Book Antiqua" w:cs="Book Antiqua"/>
          <w:color w:val="000000"/>
          <w:lang w:eastAsia="zh-CN"/>
        </w:rPr>
        <w:t>en</w:t>
      </w:r>
      <w:r w:rsidRPr="00EF271B">
        <w:rPr>
          <w:rFonts w:ascii="Book Antiqua" w:eastAsia="Book Antiqua" w:hAnsi="Book Antiqua" w:cs="Book Antiqua"/>
          <w:color w:val="000000"/>
        </w:rPr>
        <w:t>tr</w:t>
      </w:r>
      <w:r w:rsidR="00625434" w:rsidRPr="00EF271B">
        <w:rPr>
          <w:rFonts w:ascii="Book Antiqua" w:eastAsia="宋体" w:hAnsi="Book Antiqua" w:cs="Book Antiqua"/>
          <w:color w:val="000000"/>
          <w:lang w:eastAsia="zh-CN"/>
        </w:rPr>
        <w:t>e</w:t>
      </w:r>
      <w:r w:rsidRPr="00EF271B">
        <w:rPr>
          <w:rFonts w:ascii="Book Antiqua" w:eastAsia="Book Antiqua" w:hAnsi="Book Antiqua" w:cs="Book Antiqua"/>
          <w:color w:val="000000"/>
        </w:rPr>
        <w:t>, Kaohsiung 833, Taiwan</w:t>
      </w:r>
    </w:p>
    <w:p w14:paraId="75290A5B" w14:textId="77777777" w:rsidR="00A77B3E" w:rsidRPr="00EF271B" w:rsidRDefault="00A77B3E" w:rsidP="00EF271B">
      <w:pPr>
        <w:adjustRightInd w:val="0"/>
        <w:snapToGrid w:val="0"/>
        <w:spacing w:line="360" w:lineRule="auto"/>
        <w:jc w:val="both"/>
        <w:rPr>
          <w:rFonts w:ascii="Book Antiqua" w:hAnsi="Book Antiqua"/>
        </w:rPr>
      </w:pPr>
    </w:p>
    <w:p w14:paraId="427F30CE"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Author contributions: </w:t>
      </w:r>
      <w:r w:rsidRPr="00EF271B">
        <w:rPr>
          <w:rFonts w:ascii="Book Antiqua" w:eastAsia="Book Antiqua" w:hAnsi="Book Antiqua" w:cs="Book Antiqua"/>
          <w:color w:val="000000"/>
        </w:rPr>
        <w:t>Yang CH reviewed the literature and contributed to manuscript drafting; Guo FZ was the patient’s orthopedist and contributed to manuscript drafting; Lee CH was responsible for the revision of the manuscript for important intellectual content; All authors issued final approval for the version to be submitted.</w:t>
      </w:r>
    </w:p>
    <w:p w14:paraId="24803078" w14:textId="77777777" w:rsidR="00A77B3E" w:rsidRPr="00EF271B" w:rsidRDefault="00A77B3E" w:rsidP="00EF271B">
      <w:pPr>
        <w:adjustRightInd w:val="0"/>
        <w:snapToGrid w:val="0"/>
        <w:spacing w:line="360" w:lineRule="auto"/>
        <w:jc w:val="both"/>
        <w:rPr>
          <w:rFonts w:ascii="Book Antiqua" w:hAnsi="Book Antiqua"/>
        </w:rPr>
      </w:pPr>
    </w:p>
    <w:p w14:paraId="64D03911" w14:textId="10592C5E"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Corresponding author: Chen-Hsiang Lee, MD, Professor, </w:t>
      </w:r>
      <w:r w:rsidR="00625434" w:rsidRPr="00EF271B">
        <w:rPr>
          <w:rFonts w:ascii="Book Antiqua" w:eastAsia="Book Antiqua" w:hAnsi="Book Antiqua" w:cs="Book Antiqua"/>
          <w:color w:val="000000"/>
        </w:rPr>
        <w:t>Div</w:t>
      </w:r>
      <w:r w:rsidR="00625434" w:rsidRPr="00EF271B">
        <w:rPr>
          <w:rFonts w:ascii="Book Antiqua" w:eastAsia="宋体" w:hAnsi="Book Antiqua" w:cs="Book Antiqua"/>
          <w:color w:val="000000"/>
          <w:lang w:eastAsia="zh-CN"/>
        </w:rPr>
        <w:t>ision</w:t>
      </w:r>
      <w:r w:rsidR="00625434" w:rsidRPr="00EF271B">
        <w:rPr>
          <w:rFonts w:ascii="Book Antiqua" w:eastAsia="Book Antiqua" w:hAnsi="Book Antiqua" w:cs="Book Antiqua"/>
          <w:color w:val="000000"/>
        </w:rPr>
        <w:t xml:space="preserve"> </w:t>
      </w:r>
      <w:r w:rsidR="00625434" w:rsidRPr="00EF271B">
        <w:rPr>
          <w:rFonts w:ascii="Book Antiqua" w:eastAsia="宋体" w:hAnsi="Book Antiqua" w:cs="Book Antiqua"/>
          <w:color w:val="000000"/>
          <w:lang w:eastAsia="zh-CN"/>
        </w:rPr>
        <w:t xml:space="preserve">of </w:t>
      </w:r>
      <w:r w:rsidR="00625434" w:rsidRPr="00EF271B">
        <w:rPr>
          <w:rFonts w:ascii="Book Antiqua" w:eastAsia="Book Antiqua" w:hAnsi="Book Antiqua" w:cs="Book Antiqua"/>
          <w:color w:val="000000"/>
        </w:rPr>
        <w:t>Infect</w:t>
      </w:r>
      <w:r w:rsidR="00625434" w:rsidRPr="00EF271B">
        <w:rPr>
          <w:rFonts w:ascii="Book Antiqua" w:eastAsia="宋体" w:hAnsi="Book Antiqua" w:cs="Book Antiqua"/>
          <w:color w:val="000000"/>
          <w:lang w:eastAsia="zh-CN"/>
        </w:rPr>
        <w:t>ion</w:t>
      </w:r>
      <w:r w:rsidR="00625434" w:rsidRPr="00EF271B">
        <w:rPr>
          <w:rFonts w:ascii="Book Antiqua" w:eastAsia="Book Antiqua" w:hAnsi="Book Antiqua" w:cs="Book Antiqua"/>
          <w:color w:val="000000"/>
        </w:rPr>
        <w:t xml:space="preserve"> Dis</w:t>
      </w:r>
      <w:r w:rsidR="00625434" w:rsidRPr="00EF271B">
        <w:rPr>
          <w:rFonts w:ascii="Book Antiqua" w:eastAsia="宋体" w:hAnsi="Book Antiqua" w:cs="Book Antiqua"/>
          <w:color w:val="000000"/>
          <w:lang w:eastAsia="zh-CN"/>
        </w:rPr>
        <w:t>ease</w:t>
      </w:r>
      <w:r w:rsidR="00625434" w:rsidRPr="00EF271B">
        <w:rPr>
          <w:rFonts w:ascii="Book Antiqua" w:eastAsia="Book Antiqua" w:hAnsi="Book Antiqua" w:cs="Book Antiqua"/>
          <w:color w:val="000000"/>
        </w:rPr>
        <w:t>,</w:t>
      </w:r>
      <w:r w:rsidR="00625434" w:rsidRPr="00EF271B">
        <w:rPr>
          <w:rFonts w:ascii="Book Antiqua" w:eastAsia="宋体" w:hAnsi="Book Antiqua" w:cs="Book Antiqua"/>
          <w:color w:val="000000"/>
          <w:lang w:eastAsia="zh-CN"/>
        </w:rPr>
        <w:t xml:space="preserve"> </w:t>
      </w:r>
      <w:r w:rsidR="00625434" w:rsidRPr="00EF271B">
        <w:rPr>
          <w:rFonts w:ascii="Book Antiqua" w:eastAsia="Book Antiqua" w:hAnsi="Book Antiqua" w:cs="Book Antiqua"/>
          <w:color w:val="000000"/>
        </w:rPr>
        <w:t>Dep</w:t>
      </w:r>
      <w:r w:rsidR="00625434" w:rsidRPr="00EF271B">
        <w:rPr>
          <w:rFonts w:ascii="Book Antiqua" w:eastAsia="宋体" w:hAnsi="Book Antiqua" w:cs="Book Antiqua"/>
          <w:color w:val="000000"/>
          <w:lang w:eastAsia="zh-CN"/>
        </w:rPr>
        <w:t>ar</w:t>
      </w:r>
      <w:r w:rsidR="00625434" w:rsidRPr="00EF271B">
        <w:rPr>
          <w:rFonts w:ascii="Book Antiqua" w:eastAsia="Book Antiqua" w:hAnsi="Book Antiqua" w:cs="Book Antiqua"/>
          <w:color w:val="000000"/>
        </w:rPr>
        <w:t>t</w:t>
      </w:r>
      <w:r w:rsidR="00625434" w:rsidRPr="00EF271B">
        <w:rPr>
          <w:rFonts w:ascii="Book Antiqua" w:eastAsia="宋体" w:hAnsi="Book Antiqua" w:cs="Book Antiqua"/>
          <w:color w:val="000000"/>
          <w:lang w:eastAsia="zh-CN"/>
        </w:rPr>
        <w:t>ment</w:t>
      </w:r>
      <w:r w:rsidR="00625434" w:rsidRPr="00EF271B">
        <w:rPr>
          <w:rFonts w:ascii="Book Antiqua" w:eastAsia="Book Antiqua" w:hAnsi="Book Antiqua" w:cs="Book Antiqua"/>
          <w:color w:val="000000"/>
        </w:rPr>
        <w:t xml:space="preserve"> Internal Med</w:t>
      </w:r>
      <w:r w:rsidR="00625434" w:rsidRPr="00EF271B">
        <w:rPr>
          <w:rFonts w:ascii="Book Antiqua" w:eastAsia="宋体" w:hAnsi="Book Antiqua" w:cs="Book Antiqua"/>
          <w:color w:val="000000"/>
          <w:lang w:eastAsia="zh-CN"/>
        </w:rPr>
        <w:t>icine</w:t>
      </w:r>
      <w:r w:rsidR="00625434" w:rsidRPr="00EF271B">
        <w:rPr>
          <w:rFonts w:ascii="Book Antiqua" w:eastAsia="Book Antiqua" w:hAnsi="Book Antiqua" w:cs="Book Antiqua"/>
          <w:color w:val="000000"/>
        </w:rPr>
        <w:t>, Chang Gung Univ</w:t>
      </w:r>
      <w:r w:rsidR="00625434" w:rsidRPr="00EF271B">
        <w:rPr>
          <w:rFonts w:ascii="Book Antiqua" w:eastAsia="宋体" w:hAnsi="Book Antiqua" w:cs="Book Antiqua"/>
          <w:color w:val="000000"/>
          <w:lang w:eastAsia="zh-CN"/>
        </w:rPr>
        <w:t>ersity</w:t>
      </w:r>
      <w:r w:rsidR="00625434" w:rsidRPr="00EF271B">
        <w:rPr>
          <w:rFonts w:ascii="Book Antiqua" w:eastAsia="Book Antiqua" w:hAnsi="Book Antiqua" w:cs="Book Antiqua"/>
          <w:color w:val="000000"/>
        </w:rPr>
        <w:t>, Coll</w:t>
      </w:r>
      <w:r w:rsidR="00625434" w:rsidRPr="00EF271B">
        <w:rPr>
          <w:rFonts w:ascii="Book Antiqua" w:eastAsia="宋体" w:hAnsi="Book Antiqua" w:cs="Book Antiqua"/>
          <w:color w:val="000000"/>
          <w:lang w:eastAsia="zh-CN"/>
        </w:rPr>
        <w:t>ege</w:t>
      </w:r>
      <w:r w:rsidR="00625434" w:rsidRPr="00EF271B">
        <w:rPr>
          <w:rFonts w:ascii="Book Antiqua" w:eastAsia="Book Antiqua" w:hAnsi="Book Antiqua" w:cs="Book Antiqua"/>
          <w:color w:val="000000"/>
        </w:rPr>
        <w:t xml:space="preserve"> Med</w:t>
      </w:r>
      <w:r w:rsidR="00625434" w:rsidRPr="00EF271B">
        <w:rPr>
          <w:rFonts w:ascii="Book Antiqua" w:eastAsia="宋体" w:hAnsi="Book Antiqua" w:cs="Book Antiqua"/>
          <w:color w:val="000000"/>
          <w:lang w:eastAsia="zh-CN"/>
        </w:rPr>
        <w:t>icine</w:t>
      </w:r>
      <w:r w:rsidR="00625434" w:rsidRPr="00EF271B">
        <w:rPr>
          <w:rFonts w:ascii="Book Antiqua" w:eastAsia="Book Antiqua" w:hAnsi="Book Antiqua" w:cs="Book Antiqua"/>
          <w:color w:val="000000"/>
        </w:rPr>
        <w:t xml:space="preserve">, Chang Gung </w:t>
      </w:r>
      <w:r w:rsidR="00625434" w:rsidRPr="00EF271B">
        <w:rPr>
          <w:rFonts w:ascii="Book Antiqua" w:eastAsia="Book Antiqua" w:hAnsi="Book Antiqua" w:cs="Book Antiqua"/>
          <w:color w:val="000000"/>
        </w:rPr>
        <w:lastRenderedPageBreak/>
        <w:t>Memorial Hosp</w:t>
      </w:r>
      <w:r w:rsidR="00625434" w:rsidRPr="00EF271B">
        <w:rPr>
          <w:rFonts w:ascii="Book Antiqua" w:eastAsia="宋体" w:hAnsi="Book Antiqua" w:cs="Book Antiqua"/>
          <w:color w:val="000000"/>
          <w:lang w:eastAsia="zh-CN"/>
        </w:rPr>
        <w:t>ital</w:t>
      </w:r>
      <w:r w:rsidR="00625434" w:rsidRPr="00EF271B">
        <w:rPr>
          <w:rFonts w:ascii="Book Antiqua" w:eastAsia="Book Antiqua" w:hAnsi="Book Antiqua" w:cs="Book Antiqua"/>
          <w:color w:val="000000"/>
        </w:rPr>
        <w:t>, Kaohsiung Med</w:t>
      </w:r>
      <w:r w:rsidR="00625434" w:rsidRPr="00EF271B">
        <w:rPr>
          <w:rFonts w:ascii="Book Antiqua" w:eastAsia="宋体" w:hAnsi="Book Antiqua" w:cs="Book Antiqua"/>
          <w:color w:val="000000"/>
          <w:lang w:eastAsia="zh-CN"/>
        </w:rPr>
        <w:t>icine</w:t>
      </w:r>
      <w:r w:rsidR="00625434" w:rsidRPr="00EF271B">
        <w:rPr>
          <w:rFonts w:ascii="Book Antiqua" w:eastAsia="Book Antiqua" w:hAnsi="Book Antiqua" w:cs="Book Antiqua"/>
          <w:color w:val="000000"/>
        </w:rPr>
        <w:t xml:space="preserve"> C</w:t>
      </w:r>
      <w:r w:rsidR="00625434" w:rsidRPr="00EF271B">
        <w:rPr>
          <w:rFonts w:ascii="Book Antiqua" w:eastAsia="宋体" w:hAnsi="Book Antiqua" w:cs="Book Antiqua"/>
          <w:color w:val="000000"/>
          <w:lang w:eastAsia="zh-CN"/>
        </w:rPr>
        <w:t>en</w:t>
      </w:r>
      <w:r w:rsidR="00625434" w:rsidRPr="00EF271B">
        <w:rPr>
          <w:rFonts w:ascii="Book Antiqua" w:eastAsia="Book Antiqua" w:hAnsi="Book Antiqua" w:cs="Book Antiqua"/>
          <w:color w:val="000000"/>
        </w:rPr>
        <w:t>tr</w:t>
      </w:r>
      <w:r w:rsidR="00625434" w:rsidRPr="00EF271B">
        <w:rPr>
          <w:rFonts w:ascii="Book Antiqua" w:eastAsia="宋体" w:hAnsi="Book Antiqua" w:cs="Book Antiqua"/>
          <w:color w:val="000000"/>
          <w:lang w:eastAsia="zh-CN"/>
        </w:rPr>
        <w:t>e</w:t>
      </w:r>
      <w:r w:rsidR="00625434" w:rsidRPr="00EF271B">
        <w:rPr>
          <w:rFonts w:ascii="Book Antiqua" w:eastAsia="Book Antiqua" w:hAnsi="Book Antiqua" w:cs="Book Antiqua"/>
          <w:color w:val="000000"/>
        </w:rPr>
        <w:t xml:space="preserve">, </w:t>
      </w:r>
      <w:bookmarkStart w:id="14" w:name="OLE_LINK517"/>
      <w:bookmarkStart w:id="15" w:name="OLE_LINK518"/>
      <w:r w:rsidR="00625434" w:rsidRPr="00EF271B">
        <w:rPr>
          <w:rFonts w:ascii="Book Antiqua" w:eastAsia="Book Antiqua" w:hAnsi="Book Antiqua" w:cs="Book Antiqua"/>
          <w:color w:val="000000"/>
        </w:rPr>
        <w:t>123 Ta Pei R</w:t>
      </w:r>
      <w:r w:rsidR="00625434" w:rsidRPr="00EF271B">
        <w:rPr>
          <w:rFonts w:ascii="Book Antiqua" w:eastAsia="宋体" w:hAnsi="Book Antiqua" w:cs="Book Antiqua"/>
          <w:color w:val="000000"/>
          <w:lang w:eastAsia="zh-CN"/>
        </w:rPr>
        <w:t>oa</w:t>
      </w:r>
      <w:r w:rsidR="00625434" w:rsidRPr="00EF271B">
        <w:rPr>
          <w:rFonts w:ascii="Book Antiqua" w:eastAsia="Book Antiqua" w:hAnsi="Book Antiqua" w:cs="Book Antiqua"/>
          <w:color w:val="000000"/>
        </w:rPr>
        <w:t>d</w:t>
      </w:r>
      <w:bookmarkEnd w:id="14"/>
      <w:bookmarkEnd w:id="15"/>
      <w:r w:rsidR="00625434" w:rsidRPr="00EF271B">
        <w:rPr>
          <w:rFonts w:ascii="Book Antiqua" w:eastAsia="Book Antiqua" w:hAnsi="Book Antiqua" w:cs="Book Antiqua"/>
          <w:color w:val="000000"/>
        </w:rPr>
        <w:t>,</w:t>
      </w:r>
      <w:r w:rsidR="00625434" w:rsidRPr="00EF271B">
        <w:rPr>
          <w:rFonts w:ascii="Book Antiqua" w:eastAsia="宋体" w:hAnsi="Book Antiqua" w:cs="Book Antiqua"/>
          <w:color w:val="000000"/>
          <w:lang w:eastAsia="zh-CN"/>
        </w:rPr>
        <w:t xml:space="preserve"> </w:t>
      </w:r>
      <w:r w:rsidR="00625434" w:rsidRPr="00EF271B">
        <w:rPr>
          <w:rFonts w:ascii="Book Antiqua" w:eastAsia="Book Antiqua" w:hAnsi="Book Antiqua" w:cs="Book Antiqua"/>
          <w:color w:val="000000"/>
        </w:rPr>
        <w:t>Kaohsiung 833, Taiwan</w:t>
      </w:r>
      <w:r w:rsidR="00625434"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lee900@adm.cgmh.org.tw</w:t>
      </w:r>
    </w:p>
    <w:p w14:paraId="232A3A56" w14:textId="77777777" w:rsidR="00A77B3E" w:rsidRPr="00EF271B" w:rsidRDefault="00A77B3E" w:rsidP="00EF271B">
      <w:pPr>
        <w:adjustRightInd w:val="0"/>
        <w:snapToGrid w:val="0"/>
        <w:spacing w:line="360" w:lineRule="auto"/>
        <w:jc w:val="both"/>
        <w:rPr>
          <w:rFonts w:ascii="Book Antiqua" w:hAnsi="Book Antiqua"/>
        </w:rPr>
      </w:pPr>
    </w:p>
    <w:p w14:paraId="260CC412"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Received: </w:t>
      </w:r>
      <w:r w:rsidRPr="00EF271B">
        <w:rPr>
          <w:rFonts w:ascii="Book Antiqua" w:eastAsia="Book Antiqua" w:hAnsi="Book Antiqua" w:cs="Book Antiqua"/>
          <w:color w:val="000000"/>
        </w:rPr>
        <w:t>June 8, 2021</w:t>
      </w:r>
    </w:p>
    <w:p w14:paraId="52CA9D50" w14:textId="65C5F560" w:rsidR="00A77B3E" w:rsidRPr="00EF271B" w:rsidRDefault="00107085" w:rsidP="00EF271B">
      <w:pPr>
        <w:adjustRightInd w:val="0"/>
        <w:snapToGrid w:val="0"/>
        <w:spacing w:line="360" w:lineRule="auto"/>
        <w:jc w:val="both"/>
        <w:rPr>
          <w:rFonts w:ascii="Book Antiqua" w:eastAsia="宋体" w:hAnsi="Book Antiqua"/>
          <w:lang w:eastAsia="zh-CN"/>
        </w:rPr>
      </w:pPr>
      <w:r w:rsidRPr="00EF271B">
        <w:rPr>
          <w:rFonts w:ascii="Book Antiqua" w:eastAsia="Book Antiqua" w:hAnsi="Book Antiqua" w:cs="Book Antiqua"/>
          <w:b/>
          <w:bCs/>
          <w:color w:val="000000"/>
        </w:rPr>
        <w:t xml:space="preserve">Revised: </w:t>
      </w:r>
      <w:bookmarkStart w:id="16" w:name="OLE_LINK12"/>
      <w:bookmarkStart w:id="17" w:name="OLE_LINK13"/>
      <w:bookmarkStart w:id="18" w:name="OLE_LINK379"/>
      <w:r w:rsidR="009F6FAD" w:rsidRPr="00EF271B">
        <w:rPr>
          <w:rFonts w:ascii="Book Antiqua" w:hAnsi="Book Antiqua"/>
        </w:rPr>
        <w:t>August</w:t>
      </w:r>
      <w:bookmarkEnd w:id="16"/>
      <w:bookmarkEnd w:id="17"/>
      <w:bookmarkEnd w:id="18"/>
      <w:r w:rsidR="009F6FAD" w:rsidRPr="00EF271B">
        <w:rPr>
          <w:rFonts w:ascii="Book Antiqua" w:eastAsia="宋体" w:hAnsi="Book Antiqua"/>
          <w:lang w:eastAsia="zh-CN"/>
        </w:rPr>
        <w:t xml:space="preserve"> 6, 2021</w:t>
      </w:r>
    </w:p>
    <w:p w14:paraId="4201D76F" w14:textId="4EE84C79"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Accepted: </w:t>
      </w:r>
      <w:r w:rsidR="003E6693" w:rsidRPr="003E6693">
        <w:rPr>
          <w:rFonts w:ascii="Book Antiqua" w:eastAsia="Book Antiqua" w:hAnsi="Book Antiqua" w:cs="Book Antiqua"/>
          <w:color w:val="000000"/>
        </w:rPr>
        <w:t>September 15, 2021</w:t>
      </w:r>
    </w:p>
    <w:p w14:paraId="5BB2A134"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Published online: </w:t>
      </w:r>
    </w:p>
    <w:p w14:paraId="6EDF2699" w14:textId="77777777" w:rsidR="00A77B3E" w:rsidRPr="00EF271B" w:rsidRDefault="00A77B3E" w:rsidP="00EF271B">
      <w:pPr>
        <w:adjustRightInd w:val="0"/>
        <w:snapToGrid w:val="0"/>
        <w:spacing w:line="360" w:lineRule="auto"/>
        <w:jc w:val="both"/>
        <w:rPr>
          <w:rFonts w:ascii="Book Antiqua" w:hAnsi="Book Antiqua"/>
        </w:rPr>
        <w:sectPr w:rsidR="00A77B3E" w:rsidRPr="00EF271B">
          <w:footerReference w:type="default" r:id="rId6"/>
          <w:pgSz w:w="12240" w:h="15840"/>
          <w:pgMar w:top="1440" w:right="1440" w:bottom="1440" w:left="1440" w:header="720" w:footer="720" w:gutter="0"/>
          <w:cols w:space="720"/>
          <w:docGrid w:linePitch="360"/>
        </w:sectPr>
      </w:pPr>
    </w:p>
    <w:p w14:paraId="01D8AC34"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lastRenderedPageBreak/>
        <w:t>Abstract</w:t>
      </w:r>
    </w:p>
    <w:p w14:paraId="7052FAAA"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BACKGROUND</w:t>
      </w:r>
    </w:p>
    <w:p w14:paraId="3A67394E" w14:textId="4D084F09"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Various etiologies contribute to pathological fractures, including bone infections. Recently, non</w:t>
      </w:r>
      <w:r w:rsidR="008806BB">
        <w:rPr>
          <w:rFonts w:ascii="PMingLiU" w:eastAsia="PMingLiU" w:hAnsi="PMingLiU" w:cs="PMingLiU" w:hint="eastAsia"/>
          <w:color w:val="000000"/>
          <w:lang w:eastAsia="zh-TW"/>
        </w:rPr>
        <w:t>-</w:t>
      </w:r>
      <w:r w:rsidRPr="00EF271B">
        <w:rPr>
          <w:rFonts w:ascii="Book Antiqua" w:eastAsia="Book Antiqua" w:hAnsi="Book Antiqua" w:cs="Book Antiqua"/>
          <w:color w:val="000000"/>
        </w:rPr>
        <w:t xml:space="preserve">tuberculosis </w:t>
      </w:r>
      <w:r w:rsidRPr="00EF271B">
        <w:rPr>
          <w:rFonts w:ascii="Book Antiqua" w:eastAsia="Book Antiqua" w:hAnsi="Book Antiqua" w:cs="Book Antiqua"/>
          <w:i/>
          <w:iCs/>
          <w:color w:val="000000"/>
        </w:rPr>
        <w:t>Mycobacterium</w:t>
      </w:r>
      <w:r w:rsidRPr="00EF271B">
        <w:rPr>
          <w:rFonts w:ascii="Book Antiqua" w:eastAsia="Book Antiqua" w:hAnsi="Book Antiqua" w:cs="Book Antiqua"/>
          <w:color w:val="000000"/>
        </w:rPr>
        <w:t>-related bone infections among patients with anti-interferon-gamma autoantibody-induced adult-onset immunodeficiency has raised concerns in Southeast Asia, with the common presentations including osteomyelitis. However, it also rarely manifests as traumatic fractures, as reported in this case.</w:t>
      </w:r>
    </w:p>
    <w:p w14:paraId="250E4552" w14:textId="77777777" w:rsidR="00A77B3E" w:rsidRPr="00EF271B" w:rsidRDefault="00A77B3E" w:rsidP="00EF271B">
      <w:pPr>
        <w:adjustRightInd w:val="0"/>
        <w:snapToGrid w:val="0"/>
        <w:spacing w:line="360" w:lineRule="auto"/>
        <w:jc w:val="both"/>
        <w:rPr>
          <w:rFonts w:ascii="Book Antiqua" w:hAnsi="Book Antiqua"/>
        </w:rPr>
      </w:pPr>
    </w:p>
    <w:p w14:paraId="2F86286B"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CASE SUMMARY</w:t>
      </w:r>
    </w:p>
    <w:p w14:paraId="48C94B3D" w14:textId="18F539BC"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A diabetic female fractured her humerus after a traumatic accident and received fixation surgery. Abnormal necrotic bone tissue and abscess formation were noted, and she was diagnosed with a pathological fracture due to non</w:t>
      </w:r>
      <w:r w:rsidR="008806BB">
        <w:rPr>
          <w:rFonts w:ascii="Book Antiqua" w:eastAsia="Book Antiqua" w:hAnsi="Book Antiqua" w:cs="Book Antiqua"/>
          <w:color w:val="000000"/>
        </w:rPr>
        <w:t>-</w:t>
      </w:r>
      <w:r w:rsidRPr="00EF271B">
        <w:rPr>
          <w:rFonts w:ascii="Book Antiqua" w:eastAsia="Book Antiqua" w:hAnsi="Book Antiqua" w:cs="Book Antiqua"/>
          <w:color w:val="000000"/>
        </w:rPr>
        <w:t xml:space="preserve">tuberculosis </w:t>
      </w:r>
      <w:r w:rsidRPr="00EF271B">
        <w:rPr>
          <w:rFonts w:ascii="Book Antiqua" w:eastAsia="Book Antiqua" w:hAnsi="Book Antiqua" w:cs="Book Antiqua"/>
          <w:i/>
          <w:iCs/>
          <w:color w:val="000000"/>
        </w:rPr>
        <w:t>Mycobacterium</w:t>
      </w:r>
      <w:r w:rsidRPr="00EF271B">
        <w:rPr>
          <w:rFonts w:ascii="Book Antiqua" w:eastAsia="Book Antiqua" w:hAnsi="Book Antiqua" w:cs="Book Antiqua"/>
          <w:color w:val="000000"/>
        </w:rPr>
        <w:t xml:space="preserve"> infection. Multiple bone involvement was also revealed in a bone scan. Anti-interferon-gamma autoantibodies were then checked due to an unexplained immunocompromised status and found to be positive. Her humerus fracture and multiple bone infections healed after steroid and anti-non</w:t>
      </w:r>
      <w:r w:rsidR="008806BB">
        <w:rPr>
          <w:rFonts w:ascii="Book Antiqua" w:eastAsia="Book Antiqua" w:hAnsi="Book Antiqua" w:cs="Book Antiqua"/>
          <w:color w:val="000000"/>
        </w:rPr>
        <w:t>-</w:t>
      </w:r>
      <w:r w:rsidRPr="00EF271B">
        <w:rPr>
          <w:rFonts w:ascii="Book Antiqua" w:eastAsia="Book Antiqua" w:hAnsi="Book Antiqua" w:cs="Book Antiqua"/>
          <w:color w:val="000000"/>
        </w:rPr>
        <w:t xml:space="preserve">tuberculosis </w:t>
      </w:r>
      <w:r w:rsidRPr="00EF271B">
        <w:rPr>
          <w:rFonts w:ascii="Book Antiqua" w:eastAsia="Book Antiqua" w:hAnsi="Book Antiqua" w:cs="Book Antiqua"/>
          <w:i/>
          <w:iCs/>
          <w:color w:val="000000"/>
        </w:rPr>
        <w:t>Mycobacterium</w:t>
      </w:r>
      <w:r w:rsidRPr="00EF271B">
        <w:rPr>
          <w:rFonts w:ascii="Book Antiqua" w:eastAsia="Book Antiqua" w:hAnsi="Book Antiqua" w:cs="Book Antiqua"/>
          <w:color w:val="000000"/>
        </w:rPr>
        <w:t xml:space="preserve"> medication treatment following fixation surgery.</w:t>
      </w:r>
    </w:p>
    <w:p w14:paraId="6D58501A" w14:textId="77777777" w:rsidR="00A77B3E" w:rsidRPr="00EF271B" w:rsidRDefault="00A77B3E" w:rsidP="00EF271B">
      <w:pPr>
        <w:adjustRightInd w:val="0"/>
        <w:snapToGrid w:val="0"/>
        <w:spacing w:line="360" w:lineRule="auto"/>
        <w:jc w:val="both"/>
        <w:rPr>
          <w:rFonts w:ascii="Book Antiqua" w:hAnsi="Book Antiqua"/>
        </w:rPr>
      </w:pPr>
    </w:p>
    <w:p w14:paraId="7005F9B1"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CONCLUSION</w:t>
      </w:r>
    </w:p>
    <w:p w14:paraId="3048EC12"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Comprehensive preoperative evaluations may help identify pathological fractures and guide the treatment course.</w:t>
      </w:r>
    </w:p>
    <w:p w14:paraId="78953040" w14:textId="77777777" w:rsidR="00A77B3E" w:rsidRPr="00EF271B" w:rsidRDefault="00A77B3E" w:rsidP="00EF271B">
      <w:pPr>
        <w:adjustRightInd w:val="0"/>
        <w:snapToGrid w:val="0"/>
        <w:spacing w:line="360" w:lineRule="auto"/>
        <w:jc w:val="both"/>
        <w:rPr>
          <w:rFonts w:ascii="Book Antiqua" w:hAnsi="Book Antiqua"/>
        </w:rPr>
      </w:pPr>
    </w:p>
    <w:p w14:paraId="0E68EC8E" w14:textId="29E93640"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Key Words: </w:t>
      </w:r>
      <w:r w:rsidRPr="00EF271B">
        <w:rPr>
          <w:rFonts w:ascii="Book Antiqua" w:eastAsia="Book Antiqua" w:hAnsi="Book Antiqua" w:cs="Book Antiqua"/>
          <w:color w:val="000000"/>
        </w:rPr>
        <w:t xml:space="preserve">Immunocompromised status; </w:t>
      </w:r>
      <w:r w:rsidR="009F6FAD" w:rsidRPr="00EF271B">
        <w:rPr>
          <w:rFonts w:ascii="Book Antiqua" w:eastAsia="Book Antiqua" w:hAnsi="Book Antiqua" w:cs="Book Antiqua"/>
          <w:color w:val="000000"/>
        </w:rPr>
        <w:t>Neutralizing a</w:t>
      </w:r>
      <w:r w:rsidRPr="00EF271B">
        <w:rPr>
          <w:rFonts w:ascii="Book Antiqua" w:eastAsia="Book Antiqua" w:hAnsi="Book Antiqua" w:cs="Book Antiqua"/>
          <w:color w:val="000000"/>
        </w:rPr>
        <w:t xml:space="preserve">nti-interferon-gamma autoantibody; Non-tuberculosis </w:t>
      </w:r>
      <w:r w:rsidR="009F6FAD" w:rsidRPr="00EF271B">
        <w:rPr>
          <w:rFonts w:ascii="Book Antiqua" w:eastAsia="Book Antiqua" w:hAnsi="Book Antiqua" w:cs="Book Antiqua"/>
          <w:color w:val="000000"/>
        </w:rPr>
        <w:t>my</w:t>
      </w:r>
      <w:r w:rsidRPr="00EF271B">
        <w:rPr>
          <w:rFonts w:ascii="Book Antiqua" w:eastAsia="Book Antiqua" w:hAnsi="Book Antiqua" w:cs="Book Antiqua"/>
          <w:color w:val="000000"/>
        </w:rPr>
        <w:t>cobacterium; Pathological fracture; Pre-operative evaluations; Case report</w:t>
      </w:r>
    </w:p>
    <w:p w14:paraId="6A47CD3D" w14:textId="77777777" w:rsidR="00A77B3E" w:rsidRPr="00EF271B" w:rsidRDefault="00A77B3E" w:rsidP="00EF271B">
      <w:pPr>
        <w:adjustRightInd w:val="0"/>
        <w:snapToGrid w:val="0"/>
        <w:spacing w:line="360" w:lineRule="auto"/>
        <w:jc w:val="both"/>
        <w:rPr>
          <w:rFonts w:ascii="Book Antiqua" w:hAnsi="Book Antiqua"/>
        </w:rPr>
      </w:pPr>
    </w:p>
    <w:p w14:paraId="5F998C34" w14:textId="51BDEB89"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 xml:space="preserve">Yang CH, </w:t>
      </w:r>
      <w:proofErr w:type="spellStart"/>
      <w:r w:rsidRPr="00EF271B">
        <w:rPr>
          <w:rFonts w:ascii="Book Antiqua" w:eastAsia="Book Antiqua" w:hAnsi="Book Antiqua" w:cs="Book Antiqua"/>
          <w:color w:val="000000"/>
        </w:rPr>
        <w:t>Kuo</w:t>
      </w:r>
      <w:proofErr w:type="spellEnd"/>
      <w:r w:rsidRPr="00EF271B">
        <w:rPr>
          <w:rFonts w:ascii="Book Antiqua" w:eastAsia="Book Antiqua" w:hAnsi="Book Antiqua" w:cs="Book Antiqua"/>
          <w:color w:val="000000"/>
        </w:rPr>
        <w:t xml:space="preserve"> FC, Lee CH. </w:t>
      </w:r>
      <w:r w:rsidR="009F6FAD" w:rsidRPr="00EF271B">
        <w:rPr>
          <w:rFonts w:ascii="Book Antiqua" w:eastAsia="Book Antiqua" w:hAnsi="Book Antiqua" w:cs="Book Antiqua"/>
          <w:color w:val="000000"/>
        </w:rPr>
        <w:t>Pathological humerus fracture due to anti-interferon-gamma autoantibodies: A case report</w:t>
      </w:r>
      <w:r w:rsidRPr="00EF271B">
        <w:rPr>
          <w:rFonts w:ascii="Book Antiqua" w:eastAsia="Book Antiqua" w:hAnsi="Book Antiqua" w:cs="Book Antiqua"/>
          <w:color w:val="000000"/>
        </w:rPr>
        <w:t xml:space="preserve">. </w:t>
      </w:r>
      <w:r w:rsidRPr="00EF271B">
        <w:rPr>
          <w:rFonts w:ascii="Book Antiqua" w:eastAsia="Book Antiqua" w:hAnsi="Book Antiqua" w:cs="Book Antiqua"/>
          <w:i/>
          <w:iCs/>
          <w:color w:val="000000"/>
        </w:rPr>
        <w:t xml:space="preserve">World J </w:t>
      </w:r>
      <w:proofErr w:type="spellStart"/>
      <w:r w:rsidRPr="00EF271B">
        <w:rPr>
          <w:rFonts w:ascii="Book Antiqua" w:eastAsia="Book Antiqua" w:hAnsi="Book Antiqua" w:cs="Book Antiqua"/>
          <w:i/>
          <w:iCs/>
          <w:color w:val="000000"/>
        </w:rPr>
        <w:t>Orthop</w:t>
      </w:r>
      <w:proofErr w:type="spellEnd"/>
      <w:r w:rsidRPr="00EF271B">
        <w:rPr>
          <w:rFonts w:ascii="Book Antiqua" w:eastAsia="Book Antiqua" w:hAnsi="Book Antiqua" w:cs="Book Antiqua"/>
          <w:color w:val="000000"/>
        </w:rPr>
        <w:t xml:space="preserve"> 2021; In press</w:t>
      </w:r>
    </w:p>
    <w:p w14:paraId="20A48813" w14:textId="77777777" w:rsidR="00A77B3E" w:rsidRPr="00EF271B" w:rsidRDefault="00A77B3E" w:rsidP="00EF271B">
      <w:pPr>
        <w:adjustRightInd w:val="0"/>
        <w:snapToGrid w:val="0"/>
        <w:spacing w:line="360" w:lineRule="auto"/>
        <w:jc w:val="both"/>
        <w:rPr>
          <w:rFonts w:ascii="Book Antiqua" w:hAnsi="Book Antiqua"/>
        </w:rPr>
      </w:pPr>
    </w:p>
    <w:p w14:paraId="63050AEE" w14:textId="12B4A988"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lastRenderedPageBreak/>
        <w:t xml:space="preserve">Core Tip: </w:t>
      </w:r>
      <w:r w:rsidRPr="00EF271B">
        <w:rPr>
          <w:rFonts w:ascii="Book Antiqua" w:eastAsia="Book Antiqua" w:hAnsi="Book Antiqua" w:cs="Book Antiqua"/>
          <w:color w:val="000000"/>
        </w:rPr>
        <w:t xml:space="preserve">Identifying </w:t>
      </w:r>
      <w:r w:rsidR="009F6FAD" w:rsidRPr="00EF271B">
        <w:rPr>
          <w:rFonts w:ascii="Book Antiqua" w:eastAsia="Book Antiqua" w:hAnsi="Book Antiqua" w:cs="Book Antiqua"/>
          <w:color w:val="000000"/>
        </w:rPr>
        <w:t>neutralizing anti-interferon-gamma autoantibody</w:t>
      </w:r>
      <w:r w:rsidRPr="00EF271B">
        <w:rPr>
          <w:rFonts w:ascii="Book Antiqua" w:eastAsia="Book Antiqua" w:hAnsi="Book Antiqua" w:cs="Book Antiqua"/>
          <w:color w:val="000000"/>
        </w:rPr>
        <w:t xml:space="preserve">-related </w:t>
      </w:r>
      <w:r w:rsidR="009F6FAD" w:rsidRPr="00EF271B">
        <w:rPr>
          <w:rFonts w:ascii="Book Antiqua" w:eastAsia="Book Antiqua" w:hAnsi="Book Antiqua" w:cs="Book Antiqua"/>
          <w:color w:val="000000"/>
        </w:rPr>
        <w:t>non</w:t>
      </w:r>
      <w:r w:rsidR="008806BB">
        <w:rPr>
          <w:rFonts w:ascii="Book Antiqua" w:eastAsia="Book Antiqua" w:hAnsi="Book Antiqua" w:cs="Book Antiqua"/>
          <w:color w:val="000000"/>
        </w:rPr>
        <w:t>-</w:t>
      </w:r>
      <w:r w:rsidR="009F6FAD" w:rsidRPr="00EF271B">
        <w:rPr>
          <w:rFonts w:ascii="Book Antiqua" w:eastAsia="Book Antiqua" w:hAnsi="Book Antiqua" w:cs="Book Antiqua"/>
          <w:color w:val="000000"/>
        </w:rPr>
        <w:t xml:space="preserve">tuberculosis </w:t>
      </w:r>
      <w:r w:rsidR="009F6FAD" w:rsidRPr="00EF271B">
        <w:rPr>
          <w:rFonts w:ascii="Book Antiqua" w:eastAsia="Book Antiqua" w:hAnsi="Book Antiqua" w:cs="Book Antiqua"/>
          <w:i/>
          <w:color w:val="000000"/>
        </w:rPr>
        <w:t>Mycobacterium</w:t>
      </w:r>
      <w:r w:rsidR="009F6FAD" w:rsidRPr="00EF271B">
        <w:rPr>
          <w:rFonts w:ascii="Book Antiqua" w:eastAsia="Book Antiqua" w:hAnsi="Book Antiqua" w:cs="Book Antiqua"/>
          <w:color w:val="000000"/>
        </w:rPr>
        <w:t xml:space="preserve"> </w:t>
      </w:r>
      <w:r w:rsidRPr="00EF271B">
        <w:rPr>
          <w:rFonts w:ascii="Book Antiqua" w:eastAsia="Book Antiqua" w:hAnsi="Book Antiqua" w:cs="Book Antiqua"/>
          <w:color w:val="000000"/>
        </w:rPr>
        <w:t>bone infections requires careful history taking and physical examinations. While a biopsy of the bone lesion is the gold standard for diagnosis, it is advisable to check co-existing lymphadenopathy, dermatoses, and lung and blood-stream infections, as they provide easily accessible specimens for culturing and cytopathology. Serum tests of immune profiles are also important for atypical or opportunistic infections. These pre-operative evaluations may guide the choice of surgical modality, medical treatment that accompanies surgery, and decide the prognosis of healing.</w:t>
      </w:r>
    </w:p>
    <w:p w14:paraId="1F4D8B20" w14:textId="44C59448" w:rsidR="00A77B3E" w:rsidRPr="00EF271B" w:rsidRDefault="009F6FAD" w:rsidP="00EF271B">
      <w:pPr>
        <w:adjustRightInd w:val="0"/>
        <w:snapToGrid w:val="0"/>
        <w:spacing w:line="360" w:lineRule="auto"/>
        <w:jc w:val="both"/>
        <w:rPr>
          <w:rFonts w:ascii="Book Antiqua" w:hAnsi="Book Antiqua"/>
        </w:rPr>
      </w:pPr>
      <w:r w:rsidRPr="00EF271B">
        <w:rPr>
          <w:rFonts w:ascii="Book Antiqua" w:hAnsi="Book Antiqua"/>
        </w:rPr>
        <w:br w:type="page"/>
      </w:r>
      <w:r w:rsidR="00107085" w:rsidRPr="00EF271B">
        <w:rPr>
          <w:rFonts w:ascii="Book Antiqua" w:eastAsia="Book Antiqua" w:hAnsi="Book Antiqua" w:cs="Book Antiqua"/>
          <w:b/>
          <w:caps/>
          <w:color w:val="000000"/>
          <w:u w:val="single"/>
        </w:rPr>
        <w:lastRenderedPageBreak/>
        <w:t>INTRODUCTION</w:t>
      </w:r>
    </w:p>
    <w:p w14:paraId="7CDF1686" w14:textId="37D87DC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 xml:space="preserve">Pathological fractures can be secondary to conditions ranging from metabolic diseases to tumors, infections, or neuromuscular pathologies. Unfortunately, those due to infections can be mistaken for malignant </w:t>
      </w:r>
      <w:proofErr w:type="gramStart"/>
      <w:r w:rsidRPr="00EF271B">
        <w:rPr>
          <w:rFonts w:ascii="Book Antiqua" w:eastAsia="Book Antiqua" w:hAnsi="Book Antiqua" w:cs="Book Antiqua"/>
          <w:color w:val="000000"/>
        </w:rPr>
        <w:t>tumors</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w:t>
      </w:r>
      <w:r w:rsidRPr="00EF271B">
        <w:rPr>
          <w:rFonts w:ascii="Book Antiqua" w:eastAsia="Book Antiqua" w:hAnsi="Book Antiqua" w:cs="Book Antiqua"/>
          <w:color w:val="000000"/>
        </w:rPr>
        <w:t xml:space="preserve">. Distinguishing between hematogenous osteomyelitis and bone tumors is difficult when there are no obvious clinical clues, and radiographic changes in osteomyelitis are often mistaken for </w:t>
      </w:r>
      <w:proofErr w:type="gramStart"/>
      <w:r w:rsidRPr="00EF271B">
        <w:rPr>
          <w:rFonts w:ascii="Book Antiqua" w:eastAsia="Book Antiqua" w:hAnsi="Book Antiqua" w:cs="Book Antiqua"/>
          <w:color w:val="000000"/>
        </w:rPr>
        <w:t>tumors</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2]</w:t>
      </w:r>
      <w:r w:rsidRPr="00EF271B">
        <w:rPr>
          <w:rFonts w:ascii="Book Antiqua" w:eastAsia="Book Antiqua" w:hAnsi="Book Antiqua" w:cs="Book Antiqua"/>
          <w:color w:val="000000"/>
        </w:rPr>
        <w:t>. Herein, we present a diabetic female diagnosed with a humerus fracture after a traumatic injury. The purpose of this case report is to remind orthopedic surgeons not to overlook the possible diagnosis of a pathological fracture secondary to non</w:t>
      </w:r>
      <w:r w:rsidR="008806BB">
        <w:rPr>
          <w:rFonts w:ascii="Book Antiqua" w:eastAsia="Book Antiqua" w:hAnsi="Book Antiqua" w:cs="Book Antiqua"/>
          <w:color w:val="000000"/>
        </w:rPr>
        <w:t>-</w:t>
      </w:r>
      <w:r w:rsidRPr="00EF271B">
        <w:rPr>
          <w:rFonts w:ascii="Book Antiqua" w:eastAsia="Book Antiqua" w:hAnsi="Book Antiqua" w:cs="Book Antiqua"/>
          <w:color w:val="000000"/>
        </w:rPr>
        <w:t xml:space="preserve">tuberculosis </w:t>
      </w:r>
      <w:r w:rsidRPr="00EF271B">
        <w:rPr>
          <w:rFonts w:ascii="Book Antiqua" w:eastAsia="Book Antiqua" w:hAnsi="Book Antiqua" w:cs="Book Antiqua"/>
          <w:i/>
          <w:iCs/>
          <w:color w:val="000000"/>
        </w:rPr>
        <w:t>Mycobacterium</w:t>
      </w:r>
      <w:r w:rsidRPr="00EF271B">
        <w:rPr>
          <w:rFonts w:ascii="Book Antiqua" w:eastAsia="Book Antiqua" w:hAnsi="Book Antiqua" w:cs="Book Antiqua"/>
          <w:color w:val="000000"/>
        </w:rPr>
        <w:t xml:space="preserve"> (NTM) bone infections due to anti-interferon-gamma autoantibody (AIGA)-induced adult-onset immunodeficiency, a disease with increasing incidence in Southeast Asia in the recent decade, that can present as a traumatic fracture.</w:t>
      </w:r>
    </w:p>
    <w:p w14:paraId="157012F6" w14:textId="76B807BB" w:rsidR="00A77B3E" w:rsidRPr="00EF271B" w:rsidRDefault="00107085" w:rsidP="00EF271B">
      <w:pPr>
        <w:adjustRightInd w:val="0"/>
        <w:snapToGrid w:val="0"/>
        <w:spacing w:line="360" w:lineRule="auto"/>
        <w:ind w:firstLine="480"/>
        <w:jc w:val="both"/>
        <w:rPr>
          <w:rFonts w:ascii="Book Antiqua" w:hAnsi="Book Antiqua"/>
        </w:rPr>
      </w:pPr>
      <w:r w:rsidRPr="00EF271B">
        <w:rPr>
          <w:rFonts w:ascii="Book Antiqua" w:eastAsia="Book Antiqua" w:hAnsi="Book Antiqua" w:cs="Book Antiqua"/>
          <w:color w:val="000000"/>
        </w:rPr>
        <w:t>In this case, the AIGA presence itself was proposed to</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have occurred due to genetic susceptibility of</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human</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leukocyte</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antigen</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(HLA) genes</w:t>
      </w:r>
      <w:r w:rsidRPr="00EF271B">
        <w:rPr>
          <w:rFonts w:ascii="Book Antiqua" w:eastAsia="Book Antiqua" w:hAnsi="Book Antiqua" w:cs="Book Antiqua"/>
          <w:color w:val="000000"/>
          <w:vertAlign w:val="superscript"/>
        </w:rPr>
        <w:t>[3]</w:t>
      </w:r>
      <w:r w:rsidRPr="00EF271B">
        <w:rPr>
          <w:rFonts w:ascii="Book Antiqua" w:eastAsia="Book Antiqua" w:hAnsi="Book Antiqua" w:cs="Book Antiqua"/>
          <w:color w:val="000000"/>
        </w:rPr>
        <w:t xml:space="preserve"> and through molecular mimicry, such as an epitope of interferon-gamma that mimics </w:t>
      </w:r>
      <w:r w:rsidRPr="00EF271B">
        <w:rPr>
          <w:rFonts w:ascii="Book Antiqua" w:eastAsia="Book Antiqua" w:hAnsi="Book Antiqua" w:cs="Book Antiqua"/>
          <w:i/>
          <w:iCs/>
          <w:color w:val="000000"/>
        </w:rPr>
        <w:t>Aspergillus</w:t>
      </w:r>
      <w:r w:rsidRPr="00EF271B">
        <w:rPr>
          <w:rFonts w:ascii="Book Antiqua" w:eastAsia="Book Antiqua" w:hAnsi="Book Antiqua" w:cs="Book Antiqua"/>
          <w:color w:val="000000"/>
        </w:rPr>
        <w:t xml:space="preserve"> antigen (Noc-2 protein)</w:t>
      </w:r>
      <w:r w:rsidRPr="00EF271B">
        <w:rPr>
          <w:rFonts w:ascii="Book Antiqua" w:eastAsia="Book Antiqua" w:hAnsi="Book Antiqua" w:cs="Book Antiqua"/>
          <w:color w:val="000000"/>
          <w:vertAlign w:val="superscript"/>
        </w:rPr>
        <w:t>[4]</w:t>
      </w:r>
      <w:r w:rsidRPr="00EF271B">
        <w:rPr>
          <w:rFonts w:ascii="Book Antiqua" w:eastAsia="Book Antiqua" w:hAnsi="Book Antiqua" w:cs="Book Antiqua"/>
          <w:color w:val="000000"/>
        </w:rPr>
        <w:t>, a known</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 xml:space="preserve">cause of this type of autoimmunity. The accumulation of environmental </w:t>
      </w:r>
      <w:r w:rsidRPr="00EF271B">
        <w:rPr>
          <w:rFonts w:ascii="Book Antiqua" w:eastAsia="Book Antiqua" w:hAnsi="Book Antiqua" w:cs="Book Antiqua"/>
          <w:i/>
          <w:iCs/>
          <w:color w:val="000000"/>
        </w:rPr>
        <w:t>Aspergillus</w:t>
      </w:r>
      <w:r w:rsidRPr="00EF271B">
        <w:rPr>
          <w:rFonts w:ascii="Book Antiqua" w:eastAsia="Book Antiqua" w:hAnsi="Book Antiqua" w:cs="Book Antiqua"/>
          <w:color w:val="000000"/>
        </w:rPr>
        <w:t xml:space="preserve"> antigen exposure might</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gradually trigger an immune response,</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producing auto-antibody</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against human interferon-gamma</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and thereby resulting in opportunistic infections. Among these infections,</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NTM has</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prompted greater concern due</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to its being an important component of</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opportunistic infections. In this case report, we aimed to elucidate the</w:t>
      </w:r>
      <w:r w:rsidR="009F6FAD" w:rsidRPr="00EF271B">
        <w:rPr>
          <w:rFonts w:ascii="Book Antiqua" w:eastAsia="宋体" w:hAnsi="Book Antiqua" w:cs="Book Antiqua"/>
          <w:color w:val="000000"/>
          <w:lang w:eastAsia="zh-CN"/>
        </w:rPr>
        <w:t xml:space="preserve"> </w:t>
      </w:r>
      <w:r w:rsidRPr="00EF271B">
        <w:rPr>
          <w:rFonts w:ascii="Book Antiqua" w:eastAsia="Book Antiqua" w:hAnsi="Book Antiqua" w:cs="Book Antiqua"/>
          <w:color w:val="000000"/>
        </w:rPr>
        <w:t>NTM bone infection due to AIGA-induced adult-onset immunodeficiency that</w:t>
      </w:r>
      <w:r w:rsidR="009F6FAD" w:rsidRPr="00EF271B">
        <w:rPr>
          <w:rFonts w:ascii="Book Antiqua" w:eastAsia="宋体" w:hAnsi="Book Antiqua" w:cs="Book Antiqua"/>
          <w:color w:val="000000"/>
          <w:lang w:eastAsia="zh-CN"/>
        </w:rPr>
        <w:t xml:space="preserve"> c</w:t>
      </w:r>
      <w:r w:rsidRPr="00EF271B">
        <w:rPr>
          <w:rFonts w:ascii="Book Antiqua" w:eastAsia="Book Antiqua" w:hAnsi="Book Antiqua" w:cs="Book Antiqua"/>
          <w:color w:val="000000"/>
        </w:rPr>
        <w:t>aused pathologic fracture which was overlooked as traumatic fracture.</w:t>
      </w:r>
    </w:p>
    <w:p w14:paraId="079419A6" w14:textId="77777777" w:rsidR="00A77B3E" w:rsidRPr="00EF271B" w:rsidRDefault="00A77B3E" w:rsidP="00EF271B">
      <w:pPr>
        <w:adjustRightInd w:val="0"/>
        <w:snapToGrid w:val="0"/>
        <w:spacing w:line="360" w:lineRule="auto"/>
        <w:ind w:firstLine="480"/>
        <w:jc w:val="both"/>
        <w:rPr>
          <w:rFonts w:ascii="Book Antiqua" w:hAnsi="Book Antiqua"/>
        </w:rPr>
      </w:pPr>
    </w:p>
    <w:p w14:paraId="57A8A435"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aps/>
          <w:color w:val="000000"/>
          <w:u w:val="single"/>
        </w:rPr>
        <w:t>CASE PRESENTATION</w:t>
      </w:r>
    </w:p>
    <w:p w14:paraId="7BB07A37"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Chief complaints</w:t>
      </w:r>
    </w:p>
    <w:p w14:paraId="3C4D7E93"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A 69-year-old diabetic female presented with right upper arm pain with deformity.</w:t>
      </w:r>
    </w:p>
    <w:p w14:paraId="03FDAB24" w14:textId="77777777" w:rsidR="00A77B3E" w:rsidRPr="00EF271B" w:rsidRDefault="00A77B3E" w:rsidP="00EF271B">
      <w:pPr>
        <w:adjustRightInd w:val="0"/>
        <w:snapToGrid w:val="0"/>
        <w:spacing w:line="360" w:lineRule="auto"/>
        <w:jc w:val="both"/>
        <w:rPr>
          <w:rFonts w:ascii="Book Antiqua" w:hAnsi="Book Antiqua"/>
        </w:rPr>
      </w:pPr>
    </w:p>
    <w:p w14:paraId="359B4079"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History of present illness</w:t>
      </w:r>
    </w:p>
    <w:p w14:paraId="200524DF"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lastRenderedPageBreak/>
        <w:t>The patient fell from her bed during the night and fractured her right humerus (Figure 1). She was then admitted for surgical fixation (Figure 2).</w:t>
      </w:r>
    </w:p>
    <w:p w14:paraId="00643A5C" w14:textId="77777777" w:rsidR="00A77B3E" w:rsidRPr="00EF271B" w:rsidRDefault="00A77B3E" w:rsidP="00EF271B">
      <w:pPr>
        <w:adjustRightInd w:val="0"/>
        <w:snapToGrid w:val="0"/>
        <w:spacing w:line="360" w:lineRule="auto"/>
        <w:jc w:val="both"/>
        <w:rPr>
          <w:rFonts w:ascii="Book Antiqua" w:hAnsi="Book Antiqua"/>
        </w:rPr>
      </w:pPr>
    </w:p>
    <w:p w14:paraId="201F8981"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History of past illness</w:t>
      </w:r>
    </w:p>
    <w:p w14:paraId="74EAE889"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The patient had diabetes mellitus type 2 with a hemoglobin A1c level of 5.8, under treatment with glipizide 1# twice daily.</w:t>
      </w:r>
    </w:p>
    <w:p w14:paraId="72E7D3B7" w14:textId="77777777" w:rsidR="00A77B3E" w:rsidRPr="00EF271B" w:rsidRDefault="00A77B3E" w:rsidP="00EF271B">
      <w:pPr>
        <w:adjustRightInd w:val="0"/>
        <w:snapToGrid w:val="0"/>
        <w:spacing w:line="360" w:lineRule="auto"/>
        <w:jc w:val="both"/>
        <w:rPr>
          <w:rFonts w:ascii="Book Antiqua" w:hAnsi="Book Antiqua"/>
        </w:rPr>
      </w:pPr>
    </w:p>
    <w:p w14:paraId="42B20EBD"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Personal and family history</w:t>
      </w:r>
    </w:p>
    <w:p w14:paraId="43EC3ADB"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The patient had no hereditary malignancies or bone diseases and denied smoking cigarettes or drinking alcohol.</w:t>
      </w:r>
    </w:p>
    <w:p w14:paraId="589AC75D" w14:textId="77777777" w:rsidR="00A77B3E" w:rsidRPr="00EF271B" w:rsidRDefault="00A77B3E" w:rsidP="00EF271B">
      <w:pPr>
        <w:adjustRightInd w:val="0"/>
        <w:snapToGrid w:val="0"/>
        <w:spacing w:line="360" w:lineRule="auto"/>
        <w:jc w:val="both"/>
        <w:rPr>
          <w:rFonts w:ascii="Book Antiqua" w:hAnsi="Book Antiqua"/>
        </w:rPr>
      </w:pPr>
    </w:p>
    <w:p w14:paraId="44DF1287"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Physical examination</w:t>
      </w:r>
    </w:p>
    <w:p w14:paraId="3CD6936B"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A painful right elbow deformity, tenderness, and limited range of motion were noted. After the fracture fixation surgery, the patient’s family found a non-healing wound with abscess formation that had developed on her chest wall near the sternum. Bilateral axillary lymphadenopathy was also noted.</w:t>
      </w:r>
    </w:p>
    <w:p w14:paraId="0EE24990" w14:textId="77777777" w:rsidR="00A77B3E" w:rsidRPr="00EF271B" w:rsidRDefault="00A77B3E" w:rsidP="00EF271B">
      <w:pPr>
        <w:adjustRightInd w:val="0"/>
        <w:snapToGrid w:val="0"/>
        <w:spacing w:line="360" w:lineRule="auto"/>
        <w:jc w:val="both"/>
        <w:rPr>
          <w:rFonts w:ascii="Book Antiqua" w:hAnsi="Book Antiqua"/>
        </w:rPr>
      </w:pPr>
    </w:p>
    <w:p w14:paraId="1A2CDD0D"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Laboratory examinations</w:t>
      </w:r>
    </w:p>
    <w:p w14:paraId="4628F6FE" w14:textId="4178F803"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 xml:space="preserve">Unlike an acute traumatic fracture, necrotic bone tissues were noted and sequestrated intraoperatively (Figure 3). The specimen consisted of more than 10 tissue fragments, measuring up to 1.9 cm </w:t>
      </w:r>
      <w:r w:rsidR="009F6FAD" w:rsidRPr="00EF271B">
        <w:rPr>
          <w:rFonts w:ascii="Book Antiqua" w:eastAsia="宋体" w:hAnsi="Book Antiqua" w:cs="Book Antiqua"/>
          <w:color w:val="000000"/>
          <w:lang w:eastAsia="zh-CN"/>
        </w:rPr>
        <w:t>×</w:t>
      </w:r>
      <w:r w:rsidRPr="00EF271B">
        <w:rPr>
          <w:rFonts w:ascii="Book Antiqua" w:eastAsia="Book Antiqua" w:hAnsi="Book Antiqua" w:cs="Book Antiqua"/>
          <w:color w:val="000000"/>
        </w:rPr>
        <w:t xml:space="preserve"> 1.2 cm </w:t>
      </w:r>
      <w:r w:rsidR="009F6FAD" w:rsidRPr="00EF271B">
        <w:rPr>
          <w:rFonts w:ascii="Book Antiqua" w:eastAsia="宋体" w:hAnsi="Book Antiqua" w:cs="Book Antiqua"/>
          <w:color w:val="000000"/>
          <w:lang w:eastAsia="zh-CN"/>
        </w:rPr>
        <w:t>×</w:t>
      </w:r>
      <w:r w:rsidRPr="00EF271B">
        <w:rPr>
          <w:rFonts w:ascii="Book Antiqua" w:eastAsia="Book Antiqua" w:hAnsi="Book Antiqua" w:cs="Book Antiqua"/>
          <w:color w:val="000000"/>
        </w:rPr>
        <w:t xml:space="preserve"> 0.5 cm. Representative sections were taken, showing bone and </w:t>
      </w:r>
      <w:proofErr w:type="spellStart"/>
      <w:r w:rsidRPr="00EF271B">
        <w:rPr>
          <w:rFonts w:ascii="Book Antiqua" w:eastAsia="Book Antiqua" w:hAnsi="Book Antiqua" w:cs="Book Antiqua"/>
          <w:color w:val="000000"/>
        </w:rPr>
        <w:t>fibrosynovial</w:t>
      </w:r>
      <w:proofErr w:type="spellEnd"/>
      <w:r w:rsidRPr="00EF271B">
        <w:rPr>
          <w:rFonts w:ascii="Book Antiqua" w:eastAsia="Book Antiqua" w:hAnsi="Book Antiqua" w:cs="Book Antiqua"/>
          <w:color w:val="000000"/>
        </w:rPr>
        <w:t xml:space="preserve"> tissue with necrosis, granulation tissue proliferation, and marked acute and chronic inflammatory cell infiltration. A malignancy-related pathological fracture was suspected. Sternum abscess excision and pathology revealed skin tissue with subcutaneous necrosis, fat necrosis, and dense acute and chronic inflammatory cell infiltration, without malignancy.</w:t>
      </w:r>
      <w:r w:rsidRPr="00EF271B">
        <w:rPr>
          <w:rFonts w:ascii="Book Antiqua" w:eastAsia="Book Antiqua" w:hAnsi="Book Antiqua" w:cs="Book Antiqua"/>
          <w:i/>
          <w:iCs/>
          <w:color w:val="000000"/>
        </w:rPr>
        <w:t xml:space="preserve"> Mycobacterium </w:t>
      </w:r>
      <w:proofErr w:type="spellStart"/>
      <w:r w:rsidRPr="00EF271B">
        <w:rPr>
          <w:rFonts w:ascii="Book Antiqua" w:eastAsia="Book Antiqua" w:hAnsi="Book Antiqua" w:cs="Book Antiqua"/>
          <w:i/>
          <w:iCs/>
          <w:color w:val="000000"/>
        </w:rPr>
        <w:t>intracellulare</w:t>
      </w:r>
      <w:proofErr w:type="spellEnd"/>
      <w:r w:rsidRPr="00EF271B">
        <w:rPr>
          <w:rFonts w:ascii="Book Antiqua" w:eastAsia="Book Antiqua" w:hAnsi="Book Antiqua" w:cs="Book Antiqua"/>
          <w:color w:val="000000"/>
        </w:rPr>
        <w:t xml:space="preserve"> was cultured </w:t>
      </w:r>
      <w:r w:rsidRPr="00EF271B">
        <w:rPr>
          <w:rFonts w:ascii="Book Antiqua" w:eastAsia="Book Antiqua" w:hAnsi="Book Antiqua" w:cs="Book Antiqua"/>
          <w:i/>
          <w:iCs/>
          <w:color w:val="000000"/>
        </w:rPr>
        <w:t>via</w:t>
      </w:r>
      <w:r w:rsidRPr="00EF271B">
        <w:rPr>
          <w:rFonts w:ascii="Book Antiqua" w:eastAsia="Book Antiqua" w:hAnsi="Book Antiqua" w:cs="Book Antiqua"/>
          <w:color w:val="000000"/>
        </w:rPr>
        <w:t xml:space="preserve"> pus drainage. A lymph node excision biopsy was also performed, and the pathology revealed necrotizing granulation without malignancy. An immunosuppression status was suspected due to opportunistic infections. The patient had a normal lymphocyte </w:t>
      </w:r>
      <w:r w:rsidRPr="00EF271B">
        <w:rPr>
          <w:rFonts w:ascii="Book Antiqua" w:eastAsia="Book Antiqua" w:hAnsi="Book Antiqua" w:cs="Book Antiqua"/>
          <w:color w:val="000000"/>
        </w:rPr>
        <w:lastRenderedPageBreak/>
        <w:t>subpopulation and tested negative for human immunodeficiency virus (HIV). Neutralizing (n)AIGAs were then considered. Serologically, high titers of AIGAs (1:10</w:t>
      </w:r>
      <w:r w:rsidRPr="00EF271B">
        <w:rPr>
          <w:rFonts w:ascii="Book Antiqua" w:eastAsia="Book Antiqua" w:hAnsi="Book Antiqua" w:cs="Book Antiqua"/>
          <w:color w:val="000000"/>
          <w:vertAlign w:val="superscript"/>
        </w:rPr>
        <w:t>6</w:t>
      </w:r>
      <w:r w:rsidRPr="00EF271B">
        <w:rPr>
          <w:rFonts w:ascii="Book Antiqua" w:eastAsia="Book Antiqua" w:hAnsi="Book Antiqua" w:cs="Book Antiqua"/>
          <w:color w:val="000000"/>
        </w:rPr>
        <w:t>) were observed.</w:t>
      </w:r>
    </w:p>
    <w:p w14:paraId="2C983BC0" w14:textId="77777777" w:rsidR="00A77B3E" w:rsidRPr="00EF271B" w:rsidRDefault="00A77B3E" w:rsidP="00EF271B">
      <w:pPr>
        <w:adjustRightInd w:val="0"/>
        <w:snapToGrid w:val="0"/>
        <w:spacing w:line="360" w:lineRule="auto"/>
        <w:jc w:val="both"/>
        <w:rPr>
          <w:rFonts w:ascii="Book Antiqua" w:hAnsi="Book Antiqua"/>
        </w:rPr>
      </w:pPr>
    </w:p>
    <w:p w14:paraId="6739078B"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i/>
          <w:color w:val="000000"/>
        </w:rPr>
        <w:t>Imaging examinations</w:t>
      </w:r>
    </w:p>
    <w:p w14:paraId="11E354B0"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Plain X-ray revealed a displaced supracondylar humerus fracture of the right elbow (Figure 1). A bone scan revealed increased uptake over the skull, spine, bilateral pelvis, femur, tibia, tarsal bones, scapulae, clavicles, humeri, right forearm, sternum, and rib cage, indicating probable multiple metastases (Figure 4).</w:t>
      </w:r>
    </w:p>
    <w:p w14:paraId="59349AB5" w14:textId="77777777" w:rsidR="00A77B3E" w:rsidRPr="00EF271B" w:rsidRDefault="00A77B3E" w:rsidP="00EF271B">
      <w:pPr>
        <w:adjustRightInd w:val="0"/>
        <w:snapToGrid w:val="0"/>
        <w:spacing w:line="360" w:lineRule="auto"/>
        <w:jc w:val="both"/>
        <w:rPr>
          <w:rFonts w:ascii="Book Antiqua" w:hAnsi="Book Antiqua"/>
        </w:rPr>
      </w:pPr>
    </w:p>
    <w:p w14:paraId="5220097D"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aps/>
          <w:color w:val="000000"/>
          <w:u w:val="single"/>
        </w:rPr>
        <w:t>FINAL DIAGNOSIS</w:t>
      </w:r>
    </w:p>
    <w:p w14:paraId="7FFAC997" w14:textId="28798376"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Disseminated (d)NTM infection with lymphadenopathy and multiple bone lesions causing a right humerus pathological fracture and sternum abscess formation.</w:t>
      </w:r>
      <w:r w:rsidR="009F6FAD" w:rsidRPr="00EF271B">
        <w:rPr>
          <w:rFonts w:ascii="Book Antiqua" w:eastAsia="宋体" w:hAnsi="Book Antiqua"/>
          <w:lang w:eastAsia="zh-CN"/>
        </w:rPr>
        <w:t xml:space="preserve">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-induced adult-onset immunodeficiency.</w:t>
      </w:r>
    </w:p>
    <w:p w14:paraId="53149679" w14:textId="77777777" w:rsidR="00A77B3E" w:rsidRPr="00EF271B" w:rsidRDefault="00A77B3E" w:rsidP="00EF271B">
      <w:pPr>
        <w:adjustRightInd w:val="0"/>
        <w:snapToGrid w:val="0"/>
        <w:spacing w:line="360" w:lineRule="auto"/>
        <w:ind w:hanging="269"/>
        <w:jc w:val="both"/>
        <w:rPr>
          <w:rFonts w:ascii="Book Antiqua" w:hAnsi="Book Antiqua"/>
        </w:rPr>
      </w:pPr>
    </w:p>
    <w:p w14:paraId="57DD7A18"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aps/>
          <w:color w:val="000000"/>
          <w:u w:val="single"/>
        </w:rPr>
        <w:t>TREATMENT</w:t>
      </w:r>
    </w:p>
    <w:p w14:paraId="66A1D843"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 xml:space="preserve">The patient was treated with open reduction and internal fixation with cancellous screws and Kirschner wires (Figure 2) for the fracture. She was administered cortisone (4 mg) 1# orally twice daily for the autoantibodies, and rifampicin, ethambutol, and clarithromycin for the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infection.</w:t>
      </w:r>
    </w:p>
    <w:p w14:paraId="69F2719B" w14:textId="77777777" w:rsidR="00A77B3E" w:rsidRPr="00EF271B" w:rsidRDefault="00A77B3E" w:rsidP="00EF271B">
      <w:pPr>
        <w:adjustRightInd w:val="0"/>
        <w:snapToGrid w:val="0"/>
        <w:spacing w:line="360" w:lineRule="auto"/>
        <w:jc w:val="both"/>
        <w:rPr>
          <w:rFonts w:ascii="Book Antiqua" w:hAnsi="Book Antiqua"/>
        </w:rPr>
      </w:pPr>
    </w:p>
    <w:p w14:paraId="14FD3D66"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aps/>
          <w:color w:val="000000"/>
          <w:u w:val="single"/>
        </w:rPr>
        <w:t>OUTCOME AND FOLLOW-UP</w:t>
      </w:r>
    </w:p>
    <w:p w14:paraId="52292FB8"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After a 1-mo treatment course, a physical examination showed that the humerus fracture had healed, and the sternum infection had also gradually healed along with the other infected bones. The patient will continue to receive regular treatment during future outpatient visits.</w:t>
      </w:r>
    </w:p>
    <w:p w14:paraId="1118927E" w14:textId="77777777" w:rsidR="00A77B3E" w:rsidRPr="00EF271B" w:rsidRDefault="00A77B3E" w:rsidP="00EF271B">
      <w:pPr>
        <w:adjustRightInd w:val="0"/>
        <w:snapToGrid w:val="0"/>
        <w:spacing w:line="360" w:lineRule="auto"/>
        <w:jc w:val="both"/>
        <w:rPr>
          <w:rFonts w:ascii="Book Antiqua" w:hAnsi="Book Antiqua"/>
        </w:rPr>
      </w:pPr>
    </w:p>
    <w:p w14:paraId="76B8ADC8"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aps/>
          <w:color w:val="000000"/>
          <w:u w:val="single"/>
        </w:rPr>
        <w:t>DISCUSSION</w:t>
      </w:r>
    </w:p>
    <w:p w14:paraId="25EFD2D6"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lastRenderedPageBreak/>
        <w:t xml:space="preserve">Etiologies of pathological fractures include bone infection, malignancy, endocrinopathy, </w:t>
      </w:r>
      <w:proofErr w:type="spellStart"/>
      <w:r w:rsidRPr="00EF271B">
        <w:rPr>
          <w:rFonts w:ascii="Book Antiqua" w:eastAsia="Book Antiqua" w:hAnsi="Book Antiqua" w:cs="Book Antiqua"/>
          <w:color w:val="000000"/>
        </w:rPr>
        <w:t>osteomalacia</w:t>
      </w:r>
      <w:proofErr w:type="spellEnd"/>
      <w:r w:rsidRPr="00EF271B">
        <w:rPr>
          <w:rFonts w:ascii="Book Antiqua" w:eastAsia="Book Antiqua" w:hAnsi="Book Antiqua" w:cs="Book Antiqua"/>
          <w:color w:val="000000"/>
        </w:rPr>
        <w:t xml:space="preserve">, drug-related, rheumatological diseases, and inflammatory bowel </w:t>
      </w:r>
      <w:proofErr w:type="gramStart"/>
      <w:r w:rsidRPr="00EF271B">
        <w:rPr>
          <w:rFonts w:ascii="Book Antiqua" w:eastAsia="Book Antiqua" w:hAnsi="Book Antiqua" w:cs="Book Antiqua"/>
          <w:color w:val="000000"/>
        </w:rPr>
        <w:t>disease</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5]</w:t>
      </w:r>
      <w:r w:rsidRPr="00EF271B">
        <w:rPr>
          <w:rFonts w:ascii="Book Antiqua" w:eastAsia="Book Antiqua" w:hAnsi="Book Antiqua" w:cs="Book Antiqua"/>
          <w:color w:val="000000"/>
        </w:rPr>
        <w:t xml:space="preserve">. While the underlying mechanism of a pathological fracture is important, as a general rule a pathological fracture is caused by minor trauma that typically would not cause the type of fracture observed. In bone infection-induced pathological fractures, the infection must be treated first, and the fractures can only heal once a favorable metabolic environment has been </w:t>
      </w:r>
      <w:proofErr w:type="gramStart"/>
      <w:r w:rsidRPr="00EF271B">
        <w:rPr>
          <w:rFonts w:ascii="Book Antiqua" w:eastAsia="Book Antiqua" w:hAnsi="Book Antiqua" w:cs="Book Antiqua"/>
          <w:color w:val="000000"/>
        </w:rPr>
        <w:t>restored</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w:t>
      </w:r>
      <w:r w:rsidRPr="00EF271B">
        <w:rPr>
          <w:rFonts w:ascii="Book Antiqua" w:eastAsia="Book Antiqua" w:hAnsi="Book Antiqua" w:cs="Book Antiqua"/>
          <w:color w:val="000000"/>
        </w:rPr>
        <w:t>.</w:t>
      </w:r>
    </w:p>
    <w:p w14:paraId="7C7814E9" w14:textId="77777777" w:rsidR="00A77B3E" w:rsidRPr="00EF271B" w:rsidRDefault="00107085" w:rsidP="00EF271B">
      <w:pPr>
        <w:adjustRightInd w:val="0"/>
        <w:snapToGrid w:val="0"/>
        <w:spacing w:line="360" w:lineRule="auto"/>
        <w:ind w:firstLine="450"/>
        <w:jc w:val="both"/>
        <w:rPr>
          <w:rFonts w:ascii="Book Antiqua" w:hAnsi="Book Antiqua"/>
        </w:rPr>
      </w:pPr>
      <w:r w:rsidRPr="00EF271B">
        <w:rPr>
          <w:rFonts w:ascii="Book Antiqua" w:eastAsia="Book Antiqua" w:hAnsi="Book Antiqua" w:cs="Book Antiqua"/>
          <w:color w:val="000000"/>
        </w:rPr>
        <w:t xml:space="preserve">Various pathogens can cause bone infections, among which NTM is a rare but noteworthy cause, as is the present case. The incidence of NTM infection has increased in recent years, likely due to advances in diagnostic technology. In addition, the rate of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infection in HIV carriers has fallen from 16% in 1996 to less than 1% today due to the introduction of effective anti-viral therapy for HIV and macrolide </w:t>
      </w:r>
      <w:proofErr w:type="gramStart"/>
      <w:r w:rsidRPr="00EF271B">
        <w:rPr>
          <w:rFonts w:ascii="Book Antiqua" w:eastAsia="Book Antiqua" w:hAnsi="Book Antiqua" w:cs="Book Antiqua"/>
          <w:color w:val="000000"/>
        </w:rPr>
        <w:t>prophylaxis</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6]</w:t>
      </w:r>
      <w:r w:rsidRPr="00EF271B">
        <w:rPr>
          <w:rFonts w:ascii="Book Antiqua" w:eastAsia="Book Antiqua" w:hAnsi="Book Antiqua" w:cs="Book Antiqua"/>
          <w:color w:val="000000"/>
        </w:rPr>
        <w:t xml:space="preserve">. The cause of other non-HIV-related immunocompromising conditions in patients with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infection is thus of concern, most notably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-induced adult-onset immunodeficiency. </w:t>
      </w:r>
      <w:proofErr w:type="spellStart"/>
      <w:r w:rsidRPr="00EF271B">
        <w:rPr>
          <w:rFonts w:ascii="Book Antiqua" w:eastAsia="Book Antiqua" w:hAnsi="Book Antiqua" w:cs="Book Antiqua"/>
          <w:color w:val="000000"/>
        </w:rPr>
        <w:t>nAIGAs</w:t>
      </w:r>
      <w:proofErr w:type="spellEnd"/>
      <w:r w:rsidRPr="00EF271B">
        <w:rPr>
          <w:rFonts w:ascii="Book Antiqua" w:eastAsia="Book Antiqua" w:hAnsi="Book Antiqua" w:cs="Book Antiqua"/>
          <w:color w:val="000000"/>
        </w:rPr>
        <w:t xml:space="preserve"> are detected in 88% of Asian adults with multiple opportunistic infections without HIV </w:t>
      </w:r>
      <w:proofErr w:type="gramStart"/>
      <w:r w:rsidRPr="00EF271B">
        <w:rPr>
          <w:rFonts w:ascii="Book Antiqua" w:eastAsia="Book Antiqua" w:hAnsi="Book Antiqua" w:cs="Book Antiqua"/>
          <w:color w:val="000000"/>
        </w:rPr>
        <w:t>infection</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7]</w:t>
      </w:r>
      <w:r w:rsidRPr="00EF271B">
        <w:rPr>
          <w:rFonts w:ascii="Book Antiqua" w:eastAsia="Book Antiqua" w:hAnsi="Book Antiqua" w:cs="Book Antiqua"/>
          <w:color w:val="000000"/>
        </w:rPr>
        <w:t xml:space="preserve">.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-induced adult-onset immunodeficiency is an autoimmune disease associated with HLA-DQB1/DRB1 and depleted interferon-gamma/interleukin 12-mediated cellular immunity, with increased susceptibility to opportunistic NTM infections frequently involving the lungs, lymphadenopathy, cutaneous, and the musculoskeletal system, as in our case.</w:t>
      </w:r>
    </w:p>
    <w:p w14:paraId="25C71F30" w14:textId="2264CA2D" w:rsidR="00A77B3E" w:rsidRPr="00EF271B" w:rsidRDefault="00107085" w:rsidP="00EF271B">
      <w:pPr>
        <w:adjustRightInd w:val="0"/>
        <w:snapToGrid w:val="0"/>
        <w:spacing w:line="360" w:lineRule="auto"/>
        <w:ind w:firstLine="480"/>
        <w:jc w:val="both"/>
        <w:rPr>
          <w:rFonts w:ascii="Book Antiqua" w:eastAsia="宋体" w:hAnsi="Book Antiqua"/>
          <w:lang w:eastAsia="zh-CN"/>
        </w:rPr>
      </w:pPr>
      <w:r w:rsidRPr="00EF271B">
        <w:rPr>
          <w:rFonts w:ascii="Book Antiqua" w:eastAsia="Book Antiqua" w:hAnsi="Book Antiqua" w:cs="Book Antiqua"/>
          <w:color w:val="000000"/>
        </w:rPr>
        <w:t xml:space="preserve">However, an acute and accurate diagnosis of musculoskeletal NTM infection is often difficult because of the indolent clinical course and difficulty in isolating </w:t>
      </w:r>
      <w:proofErr w:type="gramStart"/>
      <w:r w:rsidRPr="00EF271B">
        <w:rPr>
          <w:rFonts w:ascii="Book Antiqua" w:eastAsia="Book Antiqua" w:hAnsi="Book Antiqua" w:cs="Book Antiqua"/>
          <w:color w:val="000000"/>
        </w:rPr>
        <w:t>pathogens</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8]</w:t>
      </w:r>
      <w:r w:rsidRPr="00EF271B">
        <w:rPr>
          <w:rFonts w:ascii="Book Antiqua" w:eastAsia="Book Antiqua" w:hAnsi="Book Antiqua" w:cs="Book Antiqua"/>
          <w:color w:val="000000"/>
        </w:rPr>
        <w:t xml:space="preserve">. A recent prospective case-control study in </w:t>
      </w:r>
      <w:proofErr w:type="gramStart"/>
      <w:r w:rsidRPr="00EF271B">
        <w:rPr>
          <w:rFonts w:ascii="Book Antiqua" w:eastAsia="Book Antiqua" w:hAnsi="Book Antiqua" w:cs="Book Antiqua"/>
          <w:color w:val="000000"/>
        </w:rPr>
        <w:t>Taiwan</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9]</w:t>
      </w:r>
      <w:r w:rsidRPr="00EF271B">
        <w:rPr>
          <w:rFonts w:ascii="Book Antiqua" w:eastAsia="Book Antiqua" w:hAnsi="Book Antiqua" w:cs="Book Antiqua"/>
          <w:color w:val="000000"/>
        </w:rPr>
        <w:t xml:space="preserve"> reported an average 1.6 year delay in the diagnosis of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-related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due to protean manifestations mimicking other systemic illnesses, including mycobacterial tuberculosis, malignancy, and connective tissue diseases. Multivariate analysis revealed that slow-growing NTM species (</w:t>
      </w:r>
      <w:r w:rsidRPr="00EF271B">
        <w:rPr>
          <w:rFonts w:ascii="Book Antiqua" w:eastAsia="Book Antiqua" w:hAnsi="Book Antiqua" w:cs="Book Antiqua"/>
          <w:i/>
          <w:iCs/>
          <w:color w:val="000000"/>
        </w:rPr>
        <w:t>i.e.</w:t>
      </w:r>
      <w:r w:rsidR="009F6FAD" w:rsidRPr="00EF271B">
        <w:rPr>
          <w:rFonts w:ascii="Book Antiqua" w:eastAsia="宋体" w:hAnsi="Book Antiqua" w:cs="Book Antiqua"/>
          <w:i/>
          <w:iCs/>
          <w:color w:val="000000"/>
          <w:lang w:eastAsia="zh-CN"/>
        </w:rPr>
        <w:t>,</w:t>
      </w:r>
      <w:r w:rsidRPr="00EF271B">
        <w:rPr>
          <w:rFonts w:ascii="Book Antiqua" w:eastAsia="Book Antiqua" w:hAnsi="Book Antiqua" w:cs="Book Antiqua"/>
          <w:color w:val="000000"/>
        </w:rPr>
        <w:t xml:space="preserve"> </w:t>
      </w:r>
      <w:r w:rsidRPr="00EF271B">
        <w:rPr>
          <w:rFonts w:ascii="Book Antiqua" w:eastAsia="Book Antiqua" w:hAnsi="Book Antiqua" w:cs="Book Antiqua"/>
          <w:i/>
          <w:iCs/>
          <w:color w:val="000000"/>
        </w:rPr>
        <w:t>Mycobacterium</w:t>
      </w:r>
      <w:r w:rsidRPr="00EF271B">
        <w:rPr>
          <w:rFonts w:ascii="Book Antiqua" w:eastAsia="Book Antiqua" w:hAnsi="Book Antiqua" w:cs="Book Antiqua"/>
          <w:color w:val="000000"/>
        </w:rPr>
        <w:t xml:space="preserve"> </w:t>
      </w:r>
      <w:proofErr w:type="spellStart"/>
      <w:r w:rsidRPr="00EF271B">
        <w:rPr>
          <w:rFonts w:ascii="Book Antiqua" w:eastAsia="Book Antiqua" w:hAnsi="Book Antiqua" w:cs="Book Antiqua"/>
          <w:i/>
          <w:iCs/>
          <w:color w:val="000000"/>
        </w:rPr>
        <w:t>intracellulare</w:t>
      </w:r>
      <w:proofErr w:type="spellEnd"/>
      <w:r w:rsidRPr="00EF271B">
        <w:rPr>
          <w:rFonts w:ascii="Book Antiqua" w:eastAsia="Book Antiqua" w:hAnsi="Book Antiqua" w:cs="Book Antiqua"/>
          <w:color w:val="000000"/>
        </w:rPr>
        <w:t xml:space="preserve">) in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cases were associated with multiple bone involvement. These findings are comparable with our case. Osteomyelitis and bone marrow infections have also been associated with bone manifestations of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in </w:t>
      </w:r>
      <w:proofErr w:type="spellStart"/>
      <w:r w:rsidRPr="00EF271B">
        <w:rPr>
          <w:rFonts w:ascii="Book Antiqua" w:eastAsia="Book Antiqua" w:hAnsi="Book Antiqua" w:cs="Book Antiqua"/>
          <w:color w:val="000000"/>
        </w:rPr>
        <w:lastRenderedPageBreak/>
        <w:t>nAIGA</w:t>
      </w:r>
      <w:proofErr w:type="spellEnd"/>
      <w:r w:rsidRPr="00EF271B">
        <w:rPr>
          <w:rFonts w:ascii="Book Antiqua" w:eastAsia="Book Antiqua" w:hAnsi="Book Antiqua" w:cs="Book Antiqua"/>
          <w:color w:val="000000"/>
        </w:rPr>
        <w:t xml:space="preserve"> patients in previous studies. In contrast, a pathological fracture was the initial presentation in our case. It is important to note that NTM osteomyelitis often arises from previous trauma or surgical sites among patients with weak immunity and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infection, and osteomyelitis is also considered to be a presentation of immune reconstruction inflammatory </w:t>
      </w:r>
      <w:proofErr w:type="gramStart"/>
      <w:r w:rsidRPr="00EF271B">
        <w:rPr>
          <w:rFonts w:ascii="Book Antiqua" w:eastAsia="Book Antiqua" w:hAnsi="Book Antiqua" w:cs="Book Antiqua"/>
          <w:color w:val="000000"/>
        </w:rPr>
        <w:t>syndrome</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8]</w:t>
      </w:r>
      <w:r w:rsidRPr="00EF271B">
        <w:rPr>
          <w:rFonts w:ascii="Book Antiqua" w:eastAsia="Book Antiqua" w:hAnsi="Book Antiqua" w:cs="Book Antiqua"/>
          <w:color w:val="000000"/>
        </w:rPr>
        <w:t>.</w:t>
      </w:r>
    </w:p>
    <w:p w14:paraId="630447AE" w14:textId="77777777" w:rsidR="00A77B3E" w:rsidRPr="00EF271B" w:rsidRDefault="00107085" w:rsidP="00EF271B">
      <w:pPr>
        <w:adjustRightInd w:val="0"/>
        <w:snapToGrid w:val="0"/>
        <w:spacing w:line="360" w:lineRule="auto"/>
        <w:ind w:firstLine="480"/>
        <w:jc w:val="both"/>
        <w:rPr>
          <w:rFonts w:ascii="Book Antiqua" w:hAnsi="Book Antiqua"/>
        </w:rPr>
      </w:pPr>
      <w:r w:rsidRPr="00EF271B">
        <w:rPr>
          <w:rFonts w:ascii="Book Antiqua" w:eastAsia="Book Antiqua" w:hAnsi="Book Antiqua" w:cs="Book Antiqua"/>
          <w:color w:val="000000"/>
        </w:rPr>
        <w:t xml:space="preserve">Our case also impressed as a traumatic fracture initially according to the patient’s injury history but was later found to have an NTM bone infection-related pathological fracture mimicking metastatic malignancy. Interestingly, in addition to granulomatous disease-induced bone loss,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can also induce an increase in osteoclast formation and bone resorption </w:t>
      </w:r>
      <w:r w:rsidRPr="00EF271B">
        <w:rPr>
          <w:rFonts w:ascii="Book Antiqua" w:eastAsia="Book Antiqua" w:hAnsi="Book Antiqua" w:cs="Book Antiqua"/>
          <w:i/>
          <w:iCs/>
          <w:color w:val="000000"/>
        </w:rPr>
        <w:t>via</w:t>
      </w:r>
      <w:r w:rsidRPr="00EF271B">
        <w:rPr>
          <w:rFonts w:ascii="Book Antiqua" w:eastAsia="Book Antiqua" w:hAnsi="Book Antiqua" w:cs="Book Antiqua"/>
          <w:color w:val="000000"/>
        </w:rPr>
        <w:t xml:space="preserve"> RANKL-induced activation of the NF-kB pathway, thereby worsening NTM infection-induced bone </w:t>
      </w:r>
      <w:proofErr w:type="gramStart"/>
      <w:r w:rsidRPr="00EF271B">
        <w:rPr>
          <w:rFonts w:ascii="Book Antiqua" w:eastAsia="Book Antiqua" w:hAnsi="Book Antiqua" w:cs="Book Antiqua"/>
          <w:color w:val="000000"/>
        </w:rPr>
        <w:t>erosion</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10]</w:t>
      </w:r>
      <w:r w:rsidRPr="00EF271B">
        <w:rPr>
          <w:rFonts w:ascii="Book Antiqua" w:eastAsia="Book Antiqua" w:hAnsi="Book Antiqua" w:cs="Book Antiqua"/>
          <w:color w:val="000000"/>
        </w:rPr>
        <w:t xml:space="preserve">. We therefore suggest that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should be considered an independent risk factor for pathological fractures.</w:t>
      </w:r>
    </w:p>
    <w:p w14:paraId="363ED6D9" w14:textId="77777777" w:rsidR="00A77B3E" w:rsidRPr="00EF271B" w:rsidRDefault="00107085" w:rsidP="00EF271B">
      <w:pPr>
        <w:adjustRightInd w:val="0"/>
        <w:snapToGrid w:val="0"/>
        <w:spacing w:line="360" w:lineRule="auto"/>
        <w:ind w:firstLine="480"/>
        <w:jc w:val="both"/>
        <w:rPr>
          <w:rFonts w:ascii="Book Antiqua" w:hAnsi="Book Antiqua"/>
        </w:rPr>
      </w:pPr>
      <w:r w:rsidRPr="00EF271B">
        <w:rPr>
          <w:rFonts w:ascii="Book Antiqua" w:eastAsia="Book Antiqua" w:hAnsi="Book Antiqua" w:cs="Book Antiqua"/>
          <w:color w:val="000000"/>
        </w:rPr>
        <w:t xml:space="preserve">As relatively few reports on NTM-related pathological fractures are available, our case provides valuable insight into the comparison with malignancy-related pathological fractures. Risk factors associated with the prognosis of malignancy-related pathological fractures include primary cancer type, spinal involvement, Eastern Cooperative Oncology Group status, and whether the patient received chemotherapy/radiotherapy. The median survival is 4.1 mo. Surgical treatment for pathological fractures includes intramedullary nails, plate fixation, and arthroplasty. </w:t>
      </w:r>
    </w:p>
    <w:p w14:paraId="23C5073E" w14:textId="77777777" w:rsidR="00A77B3E" w:rsidRPr="00EF271B" w:rsidRDefault="00107085" w:rsidP="00EF271B">
      <w:pPr>
        <w:adjustRightInd w:val="0"/>
        <w:snapToGrid w:val="0"/>
        <w:spacing w:line="360" w:lineRule="auto"/>
        <w:ind w:firstLine="480"/>
        <w:jc w:val="both"/>
        <w:rPr>
          <w:rFonts w:ascii="Book Antiqua" w:hAnsi="Book Antiqua"/>
        </w:rPr>
      </w:pPr>
      <w:r w:rsidRPr="00EF271B">
        <w:rPr>
          <w:rFonts w:ascii="Book Antiqua" w:eastAsia="Book Antiqua" w:hAnsi="Book Antiqua" w:cs="Book Antiqua"/>
          <w:color w:val="000000"/>
        </w:rPr>
        <w:t xml:space="preserve">A retrospective cohort </w:t>
      </w:r>
      <w:proofErr w:type="gramStart"/>
      <w:r w:rsidRPr="00EF271B">
        <w:rPr>
          <w:rFonts w:ascii="Book Antiqua" w:eastAsia="Book Antiqua" w:hAnsi="Book Antiqua" w:cs="Book Antiqua"/>
          <w:color w:val="000000"/>
        </w:rPr>
        <w:t>study</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11]</w:t>
      </w:r>
      <w:r w:rsidRPr="00EF271B">
        <w:rPr>
          <w:rFonts w:ascii="Book Antiqua" w:eastAsia="Book Antiqua" w:hAnsi="Book Antiqua" w:cs="Book Antiqua"/>
          <w:color w:val="000000"/>
        </w:rPr>
        <w:t xml:space="preserve"> found that fracture site, method of fixation, and use of cement augmentation did not have a statistically significant impact on survival post-fracture. Another case-control </w:t>
      </w:r>
      <w:proofErr w:type="gramStart"/>
      <w:r w:rsidRPr="00EF271B">
        <w:rPr>
          <w:rFonts w:ascii="Book Antiqua" w:eastAsia="Book Antiqua" w:hAnsi="Book Antiqua" w:cs="Book Antiqua"/>
          <w:color w:val="000000"/>
        </w:rPr>
        <w:t>study</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12]</w:t>
      </w:r>
      <w:r w:rsidRPr="00EF271B">
        <w:rPr>
          <w:rFonts w:ascii="Book Antiqua" w:eastAsia="Book Antiqua" w:hAnsi="Book Antiqua" w:cs="Book Antiqua"/>
          <w:color w:val="000000"/>
        </w:rPr>
        <w:t xml:space="preserve"> found that cement fixation, in addition to open reduction and internal fixation, could result in immediate stabilization and thus better pain control without impairing the range of motion. In our case, the orthopedic doctor discussed the risks and benefits of different treatment methods with the patient. She chose to receive open reduction and internal fixation and subsequently underwent cancellous screw with Kirschner wire fixation for the humerus fracture. However, if we had noticed her sternum abscess lesion prior to surgery, we may have chosen a more intense fixation method under the suspicion/evidence of a pathological fracture. A more </w:t>
      </w:r>
      <w:r w:rsidRPr="00EF271B">
        <w:rPr>
          <w:rFonts w:ascii="Book Antiqua" w:eastAsia="Book Antiqua" w:hAnsi="Book Antiqua" w:cs="Book Antiqua"/>
          <w:color w:val="000000"/>
        </w:rPr>
        <w:lastRenderedPageBreak/>
        <w:t>complete physical examination with preoperative planning may be helpful in such cases. In addition, further studies are warranted to investigate the preferred method of surgery, prognostic factors, and median survival of bone infection (such as NTM)-related fractures.</w:t>
      </w:r>
    </w:p>
    <w:p w14:paraId="58B3A924" w14:textId="77777777" w:rsidR="00A77B3E" w:rsidRPr="00EF271B" w:rsidRDefault="00A77B3E" w:rsidP="00EF271B">
      <w:pPr>
        <w:adjustRightInd w:val="0"/>
        <w:snapToGrid w:val="0"/>
        <w:spacing w:line="360" w:lineRule="auto"/>
        <w:ind w:firstLine="480"/>
        <w:jc w:val="both"/>
        <w:rPr>
          <w:rFonts w:ascii="Book Antiqua" w:hAnsi="Book Antiqua"/>
        </w:rPr>
      </w:pPr>
    </w:p>
    <w:p w14:paraId="7F6CBF30"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aps/>
          <w:color w:val="000000"/>
          <w:u w:val="single"/>
        </w:rPr>
        <w:t>CONCLUSION</w:t>
      </w:r>
    </w:p>
    <w:p w14:paraId="09EF90F9"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 xml:space="preserve">As T lymphocyte dysfunction predisposes patients to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infection, we advise screening for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in HIV-negative Asian patients with NTM bone infection-related pathological fractures, especially when combined with other unexplained opportunistic infection history such as zoster, salmonellosis, histoplasmosis, and </w:t>
      </w:r>
      <w:proofErr w:type="gramStart"/>
      <w:r w:rsidRPr="00EF271B">
        <w:rPr>
          <w:rFonts w:ascii="Book Antiqua" w:eastAsia="Book Antiqua" w:hAnsi="Book Antiqua" w:cs="Book Antiqua"/>
          <w:color w:val="000000"/>
        </w:rPr>
        <w:t>aspergillosis</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7]</w:t>
      </w:r>
      <w:r w:rsidRPr="00EF271B">
        <w:rPr>
          <w:rFonts w:ascii="Book Antiqua" w:eastAsia="Book Antiqua" w:hAnsi="Book Antiqua" w:cs="Book Antiqua"/>
          <w:color w:val="000000"/>
        </w:rPr>
        <w:t xml:space="preserve">. The histopathologic features of NTM bone infection show a spectrum of inflammatory changes, including granulomatous lesions with or without </w:t>
      </w:r>
      <w:proofErr w:type="gramStart"/>
      <w:r w:rsidRPr="00EF271B">
        <w:rPr>
          <w:rFonts w:ascii="Book Antiqua" w:eastAsia="Book Antiqua" w:hAnsi="Book Antiqua" w:cs="Book Antiqua"/>
          <w:color w:val="000000"/>
        </w:rPr>
        <w:t>caseation</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13]</w:t>
      </w:r>
      <w:r w:rsidRPr="00EF271B">
        <w:rPr>
          <w:rFonts w:ascii="Book Antiqua" w:eastAsia="Book Antiqua" w:hAnsi="Book Antiqua" w:cs="Book Antiqua"/>
          <w:color w:val="000000"/>
        </w:rPr>
        <w:t xml:space="preserve">. With regards to treatment, it is necessary to differentiate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-related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 xml:space="preserve"> bone disease from Pott’s disease, monoclonal gammopathies, and other malignancies sharing similar features. Efficacy and drug resistance should be carefully evaluated for long-term anti-NTM treatment, and it is important that this is accompanied by surgical debridement and fracture </w:t>
      </w:r>
      <w:proofErr w:type="gramStart"/>
      <w:r w:rsidRPr="00EF271B">
        <w:rPr>
          <w:rFonts w:ascii="Book Antiqua" w:eastAsia="Book Antiqua" w:hAnsi="Book Antiqua" w:cs="Book Antiqua"/>
          <w:color w:val="000000"/>
        </w:rPr>
        <w:t>treatment</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8]</w:t>
      </w:r>
      <w:r w:rsidRPr="00EF271B">
        <w:rPr>
          <w:rFonts w:ascii="Book Antiqua" w:eastAsia="Book Antiqua" w:hAnsi="Book Antiqua" w:cs="Book Antiqua"/>
          <w:color w:val="000000"/>
        </w:rPr>
        <w:t xml:space="preserve">. </w:t>
      </w:r>
    </w:p>
    <w:p w14:paraId="46994FBD" w14:textId="77777777" w:rsidR="00A77B3E" w:rsidRPr="00EF271B" w:rsidRDefault="00107085" w:rsidP="00EF271B">
      <w:pPr>
        <w:adjustRightInd w:val="0"/>
        <w:snapToGrid w:val="0"/>
        <w:spacing w:line="360" w:lineRule="auto"/>
        <w:ind w:firstLine="450"/>
        <w:jc w:val="both"/>
        <w:rPr>
          <w:rFonts w:ascii="Book Antiqua" w:hAnsi="Book Antiqua"/>
        </w:rPr>
      </w:pPr>
      <w:r w:rsidRPr="00EF271B">
        <w:rPr>
          <w:rFonts w:ascii="Book Antiqua" w:eastAsia="Book Antiqua" w:hAnsi="Book Antiqua" w:cs="Book Antiqua"/>
          <w:color w:val="000000"/>
        </w:rPr>
        <w:t xml:space="preserve">The immunosuppressants used for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include corticosteroids and cyclophosphamide, while rituximab has also been reported to be </w:t>
      </w:r>
      <w:proofErr w:type="gramStart"/>
      <w:r w:rsidRPr="00EF271B">
        <w:rPr>
          <w:rFonts w:ascii="Book Antiqua" w:eastAsia="Book Antiqua" w:hAnsi="Book Antiqua" w:cs="Book Antiqua"/>
          <w:color w:val="000000"/>
        </w:rPr>
        <w:t>effective</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7,14]</w:t>
      </w:r>
      <w:r w:rsidRPr="00EF271B">
        <w:rPr>
          <w:rFonts w:ascii="Book Antiqua" w:eastAsia="Book Antiqua" w:hAnsi="Book Antiqua" w:cs="Book Antiqua"/>
          <w:color w:val="000000"/>
        </w:rPr>
        <w:t xml:space="preserve">.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titers have been reported to decrease over time even without immunosuppressive treatment. However, rates of chronic opportunistic infections and death remain </w:t>
      </w:r>
      <w:proofErr w:type="gramStart"/>
      <w:r w:rsidRPr="00EF271B">
        <w:rPr>
          <w:rFonts w:ascii="Book Antiqua" w:eastAsia="Book Antiqua" w:hAnsi="Book Antiqua" w:cs="Book Antiqua"/>
          <w:color w:val="000000"/>
        </w:rPr>
        <w:t>high</w:t>
      </w:r>
      <w:r w:rsidRPr="00EF271B">
        <w:rPr>
          <w:rFonts w:ascii="Book Antiqua" w:eastAsia="Book Antiqua" w:hAnsi="Book Antiqua" w:cs="Book Antiqua"/>
          <w:color w:val="000000"/>
          <w:vertAlign w:val="superscript"/>
        </w:rPr>
        <w:t>[</w:t>
      </w:r>
      <w:proofErr w:type="gramEnd"/>
      <w:r w:rsidRPr="00EF271B">
        <w:rPr>
          <w:rFonts w:ascii="Book Antiqua" w:eastAsia="Book Antiqua" w:hAnsi="Book Antiqua" w:cs="Book Antiqua"/>
          <w:color w:val="000000"/>
          <w:vertAlign w:val="superscript"/>
        </w:rPr>
        <w:t>10]</w:t>
      </w:r>
      <w:r w:rsidRPr="00EF271B">
        <w:rPr>
          <w:rFonts w:ascii="Book Antiqua" w:eastAsia="Book Antiqua" w:hAnsi="Book Antiqua" w:cs="Book Antiqua"/>
          <w:color w:val="000000"/>
        </w:rPr>
        <w:t xml:space="preserve">. Screening for </w:t>
      </w:r>
      <w:proofErr w:type="spellStart"/>
      <w:r w:rsidRPr="00EF271B">
        <w:rPr>
          <w:rFonts w:ascii="Book Antiqua" w:eastAsia="Book Antiqua" w:hAnsi="Book Antiqua" w:cs="Book Antiqua"/>
          <w:color w:val="000000"/>
        </w:rPr>
        <w:t>nAIGA</w:t>
      </w:r>
      <w:proofErr w:type="spellEnd"/>
      <w:r w:rsidRPr="00EF271B">
        <w:rPr>
          <w:rFonts w:ascii="Book Antiqua" w:eastAsia="Book Antiqua" w:hAnsi="Book Antiqua" w:cs="Book Antiqua"/>
          <w:color w:val="000000"/>
        </w:rPr>
        <w:t xml:space="preserve"> in </w:t>
      </w:r>
      <w:proofErr w:type="spellStart"/>
      <w:r w:rsidRPr="00EF271B">
        <w:rPr>
          <w:rFonts w:ascii="Book Antiqua" w:eastAsia="Book Antiqua" w:hAnsi="Book Antiqua" w:cs="Book Antiqua"/>
          <w:color w:val="000000"/>
        </w:rPr>
        <w:t>dNTM</w:t>
      </w:r>
      <w:proofErr w:type="spellEnd"/>
      <w:r w:rsidRPr="00EF271B">
        <w:rPr>
          <w:rFonts w:ascii="Book Antiqua" w:eastAsia="Book Antiqua" w:hAnsi="Book Antiqua" w:cs="Book Antiqua"/>
          <w:color w:val="000000"/>
        </w:rPr>
        <w:t>-related pathological fractures is recommended to allow for appropriate treatment, thereby decreasing morbidity. A careful preoperative survey is important in potential pathological fracture cases.</w:t>
      </w:r>
    </w:p>
    <w:p w14:paraId="0294D0BE" w14:textId="77777777" w:rsidR="00A77B3E" w:rsidRPr="00EF271B" w:rsidRDefault="00A77B3E" w:rsidP="00EF271B">
      <w:pPr>
        <w:adjustRightInd w:val="0"/>
        <w:snapToGrid w:val="0"/>
        <w:spacing w:line="360" w:lineRule="auto"/>
        <w:ind w:firstLine="450"/>
        <w:jc w:val="both"/>
        <w:rPr>
          <w:rFonts w:ascii="Book Antiqua" w:hAnsi="Book Antiqua"/>
        </w:rPr>
      </w:pPr>
    </w:p>
    <w:p w14:paraId="2218BCA7"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REFERENCES</w:t>
      </w:r>
    </w:p>
    <w:p w14:paraId="0E467BC7"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1 </w:t>
      </w:r>
      <w:proofErr w:type="spellStart"/>
      <w:r w:rsidRPr="00EF271B">
        <w:rPr>
          <w:rFonts w:ascii="Book Antiqua" w:hAnsi="Book Antiqua"/>
          <w:b/>
          <w:bCs/>
        </w:rPr>
        <w:t>Canavese</w:t>
      </w:r>
      <w:proofErr w:type="spellEnd"/>
      <w:r w:rsidRPr="00EF271B">
        <w:rPr>
          <w:rFonts w:ascii="Book Antiqua" w:hAnsi="Book Antiqua"/>
          <w:b/>
          <w:bCs/>
        </w:rPr>
        <w:t xml:space="preserve"> F</w:t>
      </w:r>
      <w:r w:rsidRPr="00EF271B">
        <w:rPr>
          <w:rFonts w:ascii="Book Antiqua" w:hAnsi="Book Antiqua"/>
        </w:rPr>
        <w:t xml:space="preserve">, Samba A, </w:t>
      </w:r>
      <w:proofErr w:type="spellStart"/>
      <w:r w:rsidRPr="00EF271B">
        <w:rPr>
          <w:rFonts w:ascii="Book Antiqua" w:hAnsi="Book Antiqua"/>
        </w:rPr>
        <w:t>Rousset</w:t>
      </w:r>
      <w:proofErr w:type="spellEnd"/>
      <w:r w:rsidRPr="00EF271B">
        <w:rPr>
          <w:rFonts w:ascii="Book Antiqua" w:hAnsi="Book Antiqua"/>
        </w:rPr>
        <w:t xml:space="preserve"> M. Pathological fractures in children: Diagnosis and treatment options. </w:t>
      </w:r>
      <w:proofErr w:type="spellStart"/>
      <w:r w:rsidRPr="00EF271B">
        <w:rPr>
          <w:rFonts w:ascii="Book Antiqua" w:hAnsi="Book Antiqua"/>
          <w:i/>
          <w:iCs/>
        </w:rPr>
        <w:t>Orthop</w:t>
      </w:r>
      <w:proofErr w:type="spellEnd"/>
      <w:r w:rsidRPr="00EF271B">
        <w:rPr>
          <w:rFonts w:ascii="Book Antiqua" w:hAnsi="Book Antiqua"/>
          <w:i/>
          <w:iCs/>
        </w:rPr>
        <w:t xml:space="preserve"> </w:t>
      </w:r>
      <w:proofErr w:type="spellStart"/>
      <w:r w:rsidRPr="00EF271B">
        <w:rPr>
          <w:rFonts w:ascii="Book Antiqua" w:hAnsi="Book Antiqua"/>
          <w:i/>
          <w:iCs/>
        </w:rPr>
        <w:t>Traumatol</w:t>
      </w:r>
      <w:proofErr w:type="spellEnd"/>
      <w:r w:rsidRPr="00EF271B">
        <w:rPr>
          <w:rFonts w:ascii="Book Antiqua" w:hAnsi="Book Antiqua"/>
          <w:i/>
          <w:iCs/>
        </w:rPr>
        <w:t xml:space="preserve"> Surg Res</w:t>
      </w:r>
      <w:r w:rsidRPr="00EF271B">
        <w:rPr>
          <w:rFonts w:ascii="Book Antiqua" w:hAnsi="Book Antiqua"/>
        </w:rPr>
        <w:t xml:space="preserve"> 2016; </w:t>
      </w:r>
      <w:r w:rsidRPr="00EF271B">
        <w:rPr>
          <w:rFonts w:ascii="Book Antiqua" w:hAnsi="Book Antiqua"/>
          <w:b/>
          <w:bCs/>
        </w:rPr>
        <w:t>102</w:t>
      </w:r>
      <w:r w:rsidRPr="00EF271B">
        <w:rPr>
          <w:rFonts w:ascii="Book Antiqua" w:hAnsi="Book Antiqua"/>
        </w:rPr>
        <w:t>: S149-S159 [PMID: 26774903 DOI: 10.1016/j.otsr.2015.05.010]</w:t>
      </w:r>
    </w:p>
    <w:p w14:paraId="41074A33"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lastRenderedPageBreak/>
        <w:t xml:space="preserve">2 </w:t>
      </w:r>
      <w:proofErr w:type="spellStart"/>
      <w:r w:rsidRPr="00EF271B">
        <w:rPr>
          <w:rFonts w:ascii="Book Antiqua" w:hAnsi="Book Antiqua"/>
          <w:b/>
          <w:bCs/>
        </w:rPr>
        <w:t>Shimose</w:t>
      </w:r>
      <w:proofErr w:type="spellEnd"/>
      <w:r w:rsidRPr="00EF271B">
        <w:rPr>
          <w:rFonts w:ascii="Book Antiqua" w:hAnsi="Book Antiqua"/>
          <w:b/>
          <w:bCs/>
        </w:rPr>
        <w:t xml:space="preserve"> S</w:t>
      </w:r>
      <w:r w:rsidRPr="00EF271B">
        <w:rPr>
          <w:rFonts w:ascii="Book Antiqua" w:hAnsi="Book Antiqua"/>
        </w:rPr>
        <w:t xml:space="preserve">, Sugita T, Kubo T, Matsuo T, </w:t>
      </w:r>
      <w:proofErr w:type="spellStart"/>
      <w:r w:rsidRPr="00EF271B">
        <w:rPr>
          <w:rFonts w:ascii="Book Antiqua" w:hAnsi="Book Antiqua"/>
        </w:rPr>
        <w:t>Nobuto</w:t>
      </w:r>
      <w:proofErr w:type="spellEnd"/>
      <w:r w:rsidRPr="00EF271B">
        <w:rPr>
          <w:rFonts w:ascii="Book Antiqua" w:hAnsi="Book Antiqua"/>
        </w:rPr>
        <w:t xml:space="preserve"> H, Ochi M. Differential diagnosis between osteomyelitis and bone tumors. </w:t>
      </w:r>
      <w:r w:rsidRPr="00EF271B">
        <w:rPr>
          <w:rFonts w:ascii="Book Antiqua" w:hAnsi="Book Antiqua"/>
          <w:i/>
          <w:iCs/>
        </w:rPr>
        <w:t xml:space="preserve">Acta </w:t>
      </w:r>
      <w:proofErr w:type="spellStart"/>
      <w:r w:rsidRPr="00EF271B">
        <w:rPr>
          <w:rFonts w:ascii="Book Antiqua" w:hAnsi="Book Antiqua"/>
          <w:i/>
          <w:iCs/>
        </w:rPr>
        <w:t>Radiol</w:t>
      </w:r>
      <w:proofErr w:type="spellEnd"/>
      <w:r w:rsidRPr="00EF271B">
        <w:rPr>
          <w:rFonts w:ascii="Book Antiqua" w:hAnsi="Book Antiqua"/>
        </w:rPr>
        <w:t xml:space="preserve"> 2008; </w:t>
      </w:r>
      <w:r w:rsidRPr="00EF271B">
        <w:rPr>
          <w:rFonts w:ascii="Book Antiqua" w:hAnsi="Book Antiqua"/>
          <w:b/>
          <w:bCs/>
        </w:rPr>
        <w:t>49</w:t>
      </w:r>
      <w:r w:rsidRPr="00EF271B">
        <w:rPr>
          <w:rFonts w:ascii="Book Antiqua" w:hAnsi="Book Antiqua"/>
        </w:rPr>
        <w:t>: 928-933 [PMID: 18615335 DOI: 10.1080/02841850802241809]</w:t>
      </w:r>
    </w:p>
    <w:p w14:paraId="4FB65640"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3 </w:t>
      </w:r>
      <w:r w:rsidRPr="00EF271B">
        <w:rPr>
          <w:rFonts w:ascii="Book Antiqua" w:hAnsi="Book Antiqua"/>
          <w:b/>
          <w:bCs/>
        </w:rPr>
        <w:t>Ku CL</w:t>
      </w:r>
      <w:r w:rsidRPr="00EF271B">
        <w:rPr>
          <w:rFonts w:ascii="Book Antiqua" w:hAnsi="Book Antiqua"/>
        </w:rPr>
        <w:t xml:space="preserve">, Lin CH, Chang SW, Chu CC, Chan JF, Kong XF, Lee CH, Rosen EA, Ding JY, Lee WI, Bustamante J, Witte T, Shih HP, </w:t>
      </w:r>
      <w:proofErr w:type="spellStart"/>
      <w:r w:rsidRPr="00EF271B">
        <w:rPr>
          <w:rFonts w:ascii="Book Antiqua" w:hAnsi="Book Antiqua"/>
        </w:rPr>
        <w:t>Kuo</w:t>
      </w:r>
      <w:proofErr w:type="spellEnd"/>
      <w:r w:rsidRPr="00EF271B">
        <w:rPr>
          <w:rFonts w:ascii="Book Antiqua" w:hAnsi="Book Antiqua"/>
        </w:rPr>
        <w:t xml:space="preserve"> CY, </w:t>
      </w:r>
      <w:proofErr w:type="spellStart"/>
      <w:r w:rsidRPr="00EF271B">
        <w:rPr>
          <w:rFonts w:ascii="Book Antiqua" w:hAnsi="Book Antiqua"/>
        </w:rPr>
        <w:t>Chetchotisakd</w:t>
      </w:r>
      <w:proofErr w:type="spellEnd"/>
      <w:r w:rsidRPr="00EF271B">
        <w:rPr>
          <w:rFonts w:ascii="Book Antiqua" w:hAnsi="Book Antiqua"/>
        </w:rPr>
        <w:t xml:space="preserve"> P, </w:t>
      </w:r>
      <w:proofErr w:type="spellStart"/>
      <w:r w:rsidRPr="00EF271B">
        <w:rPr>
          <w:rFonts w:ascii="Book Antiqua" w:hAnsi="Book Antiqua"/>
        </w:rPr>
        <w:t>Kiertiburanakul</w:t>
      </w:r>
      <w:proofErr w:type="spellEnd"/>
      <w:r w:rsidRPr="00EF271B">
        <w:rPr>
          <w:rFonts w:ascii="Book Antiqua" w:hAnsi="Book Antiqua"/>
        </w:rPr>
        <w:t xml:space="preserve"> S, </w:t>
      </w:r>
      <w:proofErr w:type="spellStart"/>
      <w:r w:rsidRPr="00EF271B">
        <w:rPr>
          <w:rFonts w:ascii="Book Antiqua" w:hAnsi="Book Antiqua"/>
        </w:rPr>
        <w:t>Suputtamongkol</w:t>
      </w:r>
      <w:proofErr w:type="spellEnd"/>
      <w:r w:rsidRPr="00EF271B">
        <w:rPr>
          <w:rFonts w:ascii="Book Antiqua" w:hAnsi="Book Antiqua"/>
        </w:rPr>
        <w:t xml:space="preserve"> Y, Yuen KY, Casanova JL, Holland SM, </w:t>
      </w:r>
      <w:proofErr w:type="spellStart"/>
      <w:r w:rsidRPr="00EF271B">
        <w:rPr>
          <w:rFonts w:ascii="Book Antiqua" w:hAnsi="Book Antiqua"/>
        </w:rPr>
        <w:t>Doffinger</w:t>
      </w:r>
      <w:proofErr w:type="spellEnd"/>
      <w:r w:rsidRPr="00EF271B">
        <w:rPr>
          <w:rFonts w:ascii="Book Antiqua" w:hAnsi="Book Antiqua"/>
        </w:rPr>
        <w:t xml:space="preserve"> R, Browne SK, Chi CY. Anti-IFN-γ autoantibodies are strongly associated with HLA-DR*15:02/16:02 and HLA-DQ*05:01/05:02 across Southeast Asia. </w:t>
      </w:r>
      <w:r w:rsidRPr="00EF271B">
        <w:rPr>
          <w:rFonts w:ascii="Book Antiqua" w:hAnsi="Book Antiqua"/>
          <w:i/>
          <w:iCs/>
        </w:rPr>
        <w:t>J Allergy Clin Immunol</w:t>
      </w:r>
      <w:r w:rsidRPr="00EF271B">
        <w:rPr>
          <w:rFonts w:ascii="Book Antiqua" w:hAnsi="Book Antiqua"/>
        </w:rPr>
        <w:t xml:space="preserve"> 2016; </w:t>
      </w:r>
      <w:r w:rsidRPr="00EF271B">
        <w:rPr>
          <w:rFonts w:ascii="Book Antiqua" w:hAnsi="Book Antiqua"/>
          <w:b/>
          <w:bCs/>
        </w:rPr>
        <w:t>137</w:t>
      </w:r>
      <w:r w:rsidRPr="00EF271B">
        <w:rPr>
          <w:rFonts w:ascii="Book Antiqua" w:hAnsi="Book Antiqua"/>
        </w:rPr>
        <w:t>: 945-8.e8 [PMID: 26522403 DOI: 10.1016/j.jaci.2015.09.018]</w:t>
      </w:r>
    </w:p>
    <w:p w14:paraId="2117B948"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4 </w:t>
      </w:r>
      <w:r w:rsidRPr="00EF271B">
        <w:rPr>
          <w:rFonts w:ascii="Book Antiqua" w:hAnsi="Book Antiqua"/>
          <w:b/>
          <w:bCs/>
        </w:rPr>
        <w:t>Lin CH</w:t>
      </w:r>
      <w:r w:rsidRPr="00EF271B">
        <w:rPr>
          <w:rFonts w:ascii="Book Antiqua" w:hAnsi="Book Antiqua"/>
        </w:rPr>
        <w:t xml:space="preserve">, Chi CY, Shih HP, Ding JY, Lo CC, Wang SY, </w:t>
      </w:r>
      <w:proofErr w:type="spellStart"/>
      <w:r w:rsidRPr="00EF271B">
        <w:rPr>
          <w:rFonts w:ascii="Book Antiqua" w:hAnsi="Book Antiqua"/>
        </w:rPr>
        <w:t>Kuo</w:t>
      </w:r>
      <w:proofErr w:type="spellEnd"/>
      <w:r w:rsidRPr="00EF271B">
        <w:rPr>
          <w:rFonts w:ascii="Book Antiqua" w:hAnsi="Book Antiqua"/>
        </w:rPr>
        <w:t xml:space="preserve"> CY, Yeh CF, Tu KH, Liu SH, Chen HK, Ho CH, Ho MW, Lee CH, Lai HC, Ku CL. Identification of a major epitope by anti-interferon-γ autoantibodies in patients with mycobacterial disease. </w:t>
      </w:r>
      <w:r w:rsidRPr="00EF271B">
        <w:rPr>
          <w:rFonts w:ascii="Book Antiqua" w:hAnsi="Book Antiqua"/>
          <w:i/>
          <w:iCs/>
        </w:rPr>
        <w:t>Nat Med</w:t>
      </w:r>
      <w:r w:rsidRPr="00EF271B">
        <w:rPr>
          <w:rFonts w:ascii="Book Antiqua" w:hAnsi="Book Antiqua"/>
        </w:rPr>
        <w:t xml:space="preserve"> 2016; </w:t>
      </w:r>
      <w:r w:rsidRPr="00EF271B">
        <w:rPr>
          <w:rFonts w:ascii="Book Antiqua" w:hAnsi="Book Antiqua"/>
          <w:b/>
          <w:bCs/>
        </w:rPr>
        <w:t>22</w:t>
      </w:r>
      <w:r w:rsidRPr="00EF271B">
        <w:rPr>
          <w:rFonts w:ascii="Book Antiqua" w:hAnsi="Book Antiqua"/>
        </w:rPr>
        <w:t>: 994-1001 [PMID: 27525523 DOI: 10.1038/nm.4158]</w:t>
      </w:r>
    </w:p>
    <w:p w14:paraId="262BC571"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5 </w:t>
      </w:r>
      <w:r w:rsidRPr="00EF271B">
        <w:rPr>
          <w:rFonts w:ascii="Book Antiqua" w:hAnsi="Book Antiqua"/>
          <w:b/>
          <w:bCs/>
        </w:rPr>
        <w:t>Mukhopadhyay S,</w:t>
      </w:r>
      <w:r w:rsidRPr="00EF271B">
        <w:rPr>
          <w:rFonts w:ascii="Book Antiqua" w:hAnsi="Book Antiqua"/>
        </w:rPr>
        <w:t xml:space="preserve"> Mukhopadhyay J, Sengupta S, Ghosh B. Approach to pathological fracture physician’s perspective. </w:t>
      </w:r>
      <w:r w:rsidRPr="00EF271B">
        <w:rPr>
          <w:rFonts w:ascii="Book Antiqua" w:hAnsi="Book Antiqua"/>
          <w:i/>
        </w:rPr>
        <w:t>Austin Intern Med</w:t>
      </w:r>
      <w:r w:rsidRPr="00EF271B">
        <w:rPr>
          <w:rFonts w:ascii="Book Antiqua" w:hAnsi="Book Antiqua"/>
        </w:rPr>
        <w:t xml:space="preserve"> 2016; </w:t>
      </w:r>
      <w:r w:rsidRPr="00EF271B">
        <w:rPr>
          <w:rFonts w:ascii="Book Antiqua" w:hAnsi="Book Antiqua"/>
          <w:b/>
        </w:rPr>
        <w:t>1</w:t>
      </w:r>
      <w:r w:rsidRPr="00EF271B">
        <w:rPr>
          <w:rFonts w:ascii="Book Antiqua" w:hAnsi="Book Antiqua"/>
        </w:rPr>
        <w:t>: 1014</w:t>
      </w:r>
    </w:p>
    <w:p w14:paraId="7842420F"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6 </w:t>
      </w:r>
      <w:proofErr w:type="spellStart"/>
      <w:r w:rsidRPr="00EF271B">
        <w:rPr>
          <w:rFonts w:ascii="Book Antiqua" w:hAnsi="Book Antiqua"/>
          <w:b/>
          <w:bCs/>
        </w:rPr>
        <w:t>Kadzielski</w:t>
      </w:r>
      <w:proofErr w:type="spellEnd"/>
      <w:r w:rsidRPr="00EF271B">
        <w:rPr>
          <w:rFonts w:ascii="Book Antiqua" w:hAnsi="Book Antiqua"/>
          <w:b/>
          <w:bCs/>
        </w:rPr>
        <w:t xml:space="preserve"> J,</w:t>
      </w:r>
      <w:r w:rsidRPr="00EF271B">
        <w:rPr>
          <w:rFonts w:ascii="Book Antiqua" w:hAnsi="Book Antiqua"/>
        </w:rPr>
        <w:t xml:space="preserve"> Smith M, Baran J, Gandhi R, </w:t>
      </w:r>
      <w:proofErr w:type="spellStart"/>
      <w:r w:rsidRPr="00EF271B">
        <w:rPr>
          <w:rFonts w:ascii="Book Antiqua" w:hAnsi="Book Antiqua"/>
        </w:rPr>
        <w:t>Raskin</w:t>
      </w:r>
      <w:proofErr w:type="spellEnd"/>
      <w:r w:rsidRPr="00EF271B">
        <w:rPr>
          <w:rFonts w:ascii="Book Antiqua" w:hAnsi="Book Antiqua"/>
        </w:rPr>
        <w:t xml:space="preserve"> K. Nontuberculous mycobacterial osteomyelitis: a case report of Mycobacterium avium </w:t>
      </w:r>
      <w:proofErr w:type="spellStart"/>
      <w:r w:rsidRPr="00EF271B">
        <w:rPr>
          <w:rFonts w:ascii="Book Antiqua" w:hAnsi="Book Antiqua"/>
        </w:rPr>
        <w:t>intracellulare</w:t>
      </w:r>
      <w:proofErr w:type="spellEnd"/>
      <w:r w:rsidRPr="00EF271B">
        <w:rPr>
          <w:rFonts w:ascii="Book Antiqua" w:hAnsi="Book Antiqua"/>
        </w:rPr>
        <w:t xml:space="preserve"> complex tibial osteomyelitis in the setting of HIV/AIDS. </w:t>
      </w:r>
      <w:proofErr w:type="spellStart"/>
      <w:r w:rsidRPr="00EF271B">
        <w:rPr>
          <w:rFonts w:ascii="Book Antiqua" w:hAnsi="Book Antiqua"/>
          <w:i/>
        </w:rPr>
        <w:t>Orthop</w:t>
      </w:r>
      <w:proofErr w:type="spellEnd"/>
      <w:r w:rsidRPr="00EF271B">
        <w:rPr>
          <w:rFonts w:ascii="Book Antiqua" w:hAnsi="Book Antiqua"/>
          <w:i/>
        </w:rPr>
        <w:t xml:space="preserve"> J Harvard Med</w:t>
      </w:r>
      <w:r w:rsidRPr="00EF271B">
        <w:rPr>
          <w:rFonts w:ascii="Book Antiqua" w:hAnsi="Book Antiqua"/>
        </w:rPr>
        <w:t xml:space="preserve"> 2009; </w:t>
      </w:r>
      <w:r w:rsidRPr="00EF271B">
        <w:rPr>
          <w:rFonts w:ascii="Book Antiqua" w:hAnsi="Book Antiqua"/>
          <w:b/>
        </w:rPr>
        <w:t>11</w:t>
      </w:r>
      <w:r w:rsidRPr="00EF271B">
        <w:rPr>
          <w:rFonts w:ascii="Book Antiqua" w:hAnsi="Book Antiqua"/>
        </w:rPr>
        <w:t>: 108–111</w:t>
      </w:r>
    </w:p>
    <w:p w14:paraId="20ED3AA1"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7 </w:t>
      </w:r>
      <w:r w:rsidRPr="00EF271B">
        <w:rPr>
          <w:rFonts w:ascii="Book Antiqua" w:hAnsi="Book Antiqua"/>
          <w:b/>
          <w:bCs/>
        </w:rPr>
        <w:t>Li WS</w:t>
      </w:r>
      <w:r w:rsidRPr="00EF271B">
        <w:rPr>
          <w:rFonts w:ascii="Book Antiqua" w:hAnsi="Book Antiqua"/>
        </w:rPr>
        <w:t xml:space="preserve">, Huang WC, Ku CL, Lee CH. Osteolytic lesions resulting from opportunistic infections. </w:t>
      </w:r>
      <w:r w:rsidRPr="00EF271B">
        <w:rPr>
          <w:rFonts w:ascii="Book Antiqua" w:hAnsi="Book Antiqua"/>
          <w:i/>
          <w:iCs/>
        </w:rPr>
        <w:t>Kaohsiung J Med Sci</w:t>
      </w:r>
      <w:r w:rsidRPr="00EF271B">
        <w:rPr>
          <w:rFonts w:ascii="Book Antiqua" w:hAnsi="Book Antiqua"/>
        </w:rPr>
        <w:t xml:space="preserve"> 2017; </w:t>
      </w:r>
      <w:r w:rsidRPr="00EF271B">
        <w:rPr>
          <w:rFonts w:ascii="Book Antiqua" w:hAnsi="Book Antiqua"/>
          <w:b/>
          <w:bCs/>
        </w:rPr>
        <w:t>33</w:t>
      </w:r>
      <w:r w:rsidRPr="00EF271B">
        <w:rPr>
          <w:rFonts w:ascii="Book Antiqua" w:hAnsi="Book Antiqua"/>
        </w:rPr>
        <w:t>: 365-366 [PMID: 28738978 DOI: 10.1016/j.kjms.2017.03.005]</w:t>
      </w:r>
    </w:p>
    <w:p w14:paraId="47EEEBA9"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8 </w:t>
      </w:r>
      <w:r w:rsidRPr="00EF271B">
        <w:rPr>
          <w:rFonts w:ascii="Book Antiqua" w:hAnsi="Book Antiqua"/>
          <w:b/>
          <w:bCs/>
        </w:rPr>
        <w:t>Park JW</w:t>
      </w:r>
      <w:r w:rsidRPr="00EF271B">
        <w:rPr>
          <w:rFonts w:ascii="Book Antiqua" w:hAnsi="Book Antiqua"/>
        </w:rPr>
        <w:t xml:space="preserve">, Kim YS, Yoon JO, Kim JS, Chang JS, Kim JM, Chun JM, Jeon IH. Non-tuberculous mycobacterial infection of the musculoskeletal system: pattern of infection and efficacy of combined surgical/antimicrobial treatment. </w:t>
      </w:r>
      <w:r w:rsidRPr="00EF271B">
        <w:rPr>
          <w:rFonts w:ascii="Book Antiqua" w:hAnsi="Book Antiqua"/>
          <w:i/>
          <w:iCs/>
        </w:rPr>
        <w:t>Bone Joint J</w:t>
      </w:r>
      <w:r w:rsidRPr="00EF271B">
        <w:rPr>
          <w:rFonts w:ascii="Book Antiqua" w:hAnsi="Book Antiqua"/>
        </w:rPr>
        <w:t xml:space="preserve"> 2014; </w:t>
      </w:r>
      <w:r w:rsidRPr="00EF271B">
        <w:rPr>
          <w:rFonts w:ascii="Book Antiqua" w:hAnsi="Book Antiqua"/>
          <w:b/>
          <w:bCs/>
        </w:rPr>
        <w:t>96-B</w:t>
      </w:r>
      <w:r w:rsidRPr="00EF271B">
        <w:rPr>
          <w:rFonts w:ascii="Book Antiqua" w:hAnsi="Book Antiqua"/>
        </w:rPr>
        <w:t>: 1561-1565 [PMID: 25371475 DOI: 10.1302/0301-620X.96B11.33427]</w:t>
      </w:r>
    </w:p>
    <w:p w14:paraId="33D37C93"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9 </w:t>
      </w:r>
      <w:r w:rsidRPr="00EF271B">
        <w:rPr>
          <w:rFonts w:ascii="Book Antiqua" w:hAnsi="Book Antiqua"/>
          <w:b/>
          <w:bCs/>
        </w:rPr>
        <w:t>Wu UI</w:t>
      </w:r>
      <w:r w:rsidRPr="00EF271B">
        <w:rPr>
          <w:rFonts w:ascii="Book Antiqua" w:hAnsi="Book Antiqua"/>
        </w:rPr>
        <w:t xml:space="preserve">, Wang JT, Sheng WH, Sun HY, Cheng A, Hsu LY, Chang SC, Chen YC. Incorrect diagnoses in patients with neutralizing anti-interferon-gamma-autoantibodies. </w:t>
      </w:r>
      <w:r w:rsidRPr="00EF271B">
        <w:rPr>
          <w:rFonts w:ascii="Book Antiqua" w:hAnsi="Book Antiqua"/>
          <w:i/>
          <w:iCs/>
        </w:rPr>
        <w:t>Clin Microbiol Infect</w:t>
      </w:r>
      <w:r w:rsidRPr="00EF271B">
        <w:rPr>
          <w:rFonts w:ascii="Book Antiqua" w:hAnsi="Book Antiqua"/>
        </w:rPr>
        <w:t xml:space="preserve"> 2020; </w:t>
      </w:r>
      <w:r w:rsidRPr="00EF271B">
        <w:rPr>
          <w:rFonts w:ascii="Book Antiqua" w:hAnsi="Book Antiqua"/>
          <w:b/>
          <w:bCs/>
        </w:rPr>
        <w:t>26</w:t>
      </w:r>
      <w:r w:rsidRPr="00EF271B">
        <w:rPr>
          <w:rFonts w:ascii="Book Antiqua" w:hAnsi="Book Antiqua"/>
        </w:rPr>
        <w:t>: 1684.e1-1684.e6 [PMID: 32120037 DOI: 10.1016/j.cmi.2020.02.030]</w:t>
      </w:r>
    </w:p>
    <w:p w14:paraId="535EE67F"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lastRenderedPageBreak/>
        <w:t xml:space="preserve">10 </w:t>
      </w:r>
      <w:r w:rsidRPr="00EF271B">
        <w:rPr>
          <w:rFonts w:ascii="Book Antiqua" w:hAnsi="Book Antiqua"/>
          <w:b/>
          <w:bCs/>
        </w:rPr>
        <w:t>Deng J</w:t>
      </w:r>
      <w:r w:rsidRPr="00EF271B">
        <w:rPr>
          <w:rFonts w:ascii="Book Antiqua" w:hAnsi="Book Antiqua"/>
        </w:rPr>
        <w:t xml:space="preserve">, Sun D, Luo F, Zhang Q, Chen F, Xu J, Zhang Z. Anti-IFN-γ Antibody Promotes </w:t>
      </w:r>
      <w:proofErr w:type="spellStart"/>
      <w:r w:rsidRPr="00EF271B">
        <w:rPr>
          <w:rFonts w:ascii="Book Antiqua" w:hAnsi="Book Antiqua"/>
        </w:rPr>
        <w:t>Osteoclastogenesis</w:t>
      </w:r>
      <w:proofErr w:type="spellEnd"/>
      <w:r w:rsidRPr="00EF271B">
        <w:rPr>
          <w:rFonts w:ascii="Book Antiqua" w:hAnsi="Book Antiqua"/>
        </w:rPr>
        <w:t xml:space="preserve"> in Human Bone Marrow Monocyte-Derived Macrophages Co-Cultured with Tuberculosis-Activated Th1 Cells. </w:t>
      </w:r>
      <w:r w:rsidRPr="00EF271B">
        <w:rPr>
          <w:rFonts w:ascii="Book Antiqua" w:hAnsi="Book Antiqua"/>
          <w:i/>
          <w:iCs/>
        </w:rPr>
        <w:t xml:space="preserve">Cell </w:t>
      </w:r>
      <w:proofErr w:type="spellStart"/>
      <w:r w:rsidRPr="00EF271B">
        <w:rPr>
          <w:rFonts w:ascii="Book Antiqua" w:hAnsi="Book Antiqua"/>
          <w:i/>
          <w:iCs/>
        </w:rPr>
        <w:t>Physiol</w:t>
      </w:r>
      <w:proofErr w:type="spellEnd"/>
      <w:r w:rsidRPr="00EF271B">
        <w:rPr>
          <w:rFonts w:ascii="Book Antiqua" w:hAnsi="Book Antiqua"/>
          <w:i/>
          <w:iCs/>
        </w:rPr>
        <w:t xml:space="preserve"> </w:t>
      </w:r>
      <w:proofErr w:type="spellStart"/>
      <w:r w:rsidRPr="00EF271B">
        <w:rPr>
          <w:rFonts w:ascii="Book Antiqua" w:hAnsi="Book Antiqua"/>
          <w:i/>
          <w:iCs/>
        </w:rPr>
        <w:t>Biochem</w:t>
      </w:r>
      <w:proofErr w:type="spellEnd"/>
      <w:r w:rsidRPr="00EF271B">
        <w:rPr>
          <w:rFonts w:ascii="Book Antiqua" w:hAnsi="Book Antiqua"/>
        </w:rPr>
        <w:t xml:space="preserve"> 2018; </w:t>
      </w:r>
      <w:r w:rsidRPr="00EF271B">
        <w:rPr>
          <w:rFonts w:ascii="Book Antiqua" w:hAnsi="Book Antiqua"/>
          <w:b/>
          <w:bCs/>
        </w:rPr>
        <w:t>49</w:t>
      </w:r>
      <w:r w:rsidRPr="00EF271B">
        <w:rPr>
          <w:rFonts w:ascii="Book Antiqua" w:hAnsi="Book Antiqua"/>
        </w:rPr>
        <w:t>: 1512-1522 [PMID: 30205409 DOI: 10.1159/000493455]</w:t>
      </w:r>
    </w:p>
    <w:p w14:paraId="7ABD80D5"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11 </w:t>
      </w:r>
      <w:r w:rsidRPr="00EF271B">
        <w:rPr>
          <w:rFonts w:ascii="Book Antiqua" w:hAnsi="Book Antiqua"/>
          <w:b/>
          <w:bCs/>
        </w:rPr>
        <w:t>Salim X</w:t>
      </w:r>
      <w:r w:rsidRPr="00EF271B">
        <w:rPr>
          <w:rFonts w:ascii="Book Antiqua" w:hAnsi="Book Antiqua"/>
        </w:rPr>
        <w:t xml:space="preserve">, D'Alessandro P, Little J, </w:t>
      </w:r>
      <w:proofErr w:type="spellStart"/>
      <w:r w:rsidRPr="00EF271B">
        <w:rPr>
          <w:rFonts w:ascii="Book Antiqua" w:hAnsi="Book Antiqua"/>
        </w:rPr>
        <w:t>Mudhar</w:t>
      </w:r>
      <w:proofErr w:type="spellEnd"/>
      <w:r w:rsidRPr="00EF271B">
        <w:rPr>
          <w:rFonts w:ascii="Book Antiqua" w:hAnsi="Book Antiqua"/>
        </w:rPr>
        <w:t xml:space="preserve"> K, Murray K, Carey Smith R, Yates P. A novel scoring system to guide prognosis in patients with pathological fractures. </w:t>
      </w:r>
      <w:r w:rsidRPr="00EF271B">
        <w:rPr>
          <w:rFonts w:ascii="Book Antiqua" w:hAnsi="Book Antiqua"/>
          <w:i/>
          <w:iCs/>
        </w:rPr>
        <w:t xml:space="preserve">J </w:t>
      </w:r>
      <w:proofErr w:type="spellStart"/>
      <w:r w:rsidRPr="00EF271B">
        <w:rPr>
          <w:rFonts w:ascii="Book Antiqua" w:hAnsi="Book Antiqua"/>
          <w:i/>
          <w:iCs/>
        </w:rPr>
        <w:t>Orthop</w:t>
      </w:r>
      <w:proofErr w:type="spellEnd"/>
      <w:r w:rsidRPr="00EF271B">
        <w:rPr>
          <w:rFonts w:ascii="Book Antiqua" w:hAnsi="Book Antiqua"/>
          <w:i/>
          <w:iCs/>
        </w:rPr>
        <w:t xml:space="preserve"> Surg Res</w:t>
      </w:r>
      <w:r w:rsidRPr="00EF271B">
        <w:rPr>
          <w:rFonts w:ascii="Book Antiqua" w:hAnsi="Book Antiqua"/>
        </w:rPr>
        <w:t xml:space="preserve"> 2018; </w:t>
      </w:r>
      <w:r w:rsidRPr="00EF271B">
        <w:rPr>
          <w:rFonts w:ascii="Book Antiqua" w:hAnsi="Book Antiqua"/>
          <w:b/>
          <w:bCs/>
        </w:rPr>
        <w:t>13</w:t>
      </w:r>
      <w:r w:rsidRPr="00EF271B">
        <w:rPr>
          <w:rFonts w:ascii="Book Antiqua" w:hAnsi="Book Antiqua"/>
        </w:rPr>
        <w:t>: 228 [PMID: 30189869 DOI: 10.1186/s13018-018-0931-x]</w:t>
      </w:r>
    </w:p>
    <w:p w14:paraId="53045E65"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12 </w:t>
      </w:r>
      <w:proofErr w:type="spellStart"/>
      <w:r w:rsidRPr="00EF271B">
        <w:rPr>
          <w:rFonts w:ascii="Book Antiqua" w:hAnsi="Book Antiqua"/>
          <w:b/>
          <w:bCs/>
        </w:rPr>
        <w:t>Laitinen</w:t>
      </w:r>
      <w:proofErr w:type="spellEnd"/>
      <w:r w:rsidRPr="00EF271B">
        <w:rPr>
          <w:rFonts w:ascii="Book Antiqua" w:hAnsi="Book Antiqua"/>
          <w:b/>
          <w:bCs/>
        </w:rPr>
        <w:t xml:space="preserve"> M</w:t>
      </w:r>
      <w:r w:rsidRPr="00EF271B">
        <w:rPr>
          <w:rFonts w:ascii="Book Antiqua" w:hAnsi="Book Antiqua"/>
        </w:rPr>
        <w:t xml:space="preserve">, Nieminen J, </w:t>
      </w:r>
      <w:proofErr w:type="spellStart"/>
      <w:r w:rsidRPr="00EF271B">
        <w:rPr>
          <w:rFonts w:ascii="Book Antiqua" w:hAnsi="Book Antiqua"/>
        </w:rPr>
        <w:t>Pakarinen</w:t>
      </w:r>
      <w:proofErr w:type="spellEnd"/>
      <w:r w:rsidRPr="00EF271B">
        <w:rPr>
          <w:rFonts w:ascii="Book Antiqua" w:hAnsi="Book Antiqua"/>
        </w:rPr>
        <w:t xml:space="preserve"> TK. Treatment of pathological humerus shaft fractures with intramedullary nails with or without cement fixation. </w:t>
      </w:r>
      <w:r w:rsidRPr="00EF271B">
        <w:rPr>
          <w:rFonts w:ascii="Book Antiqua" w:hAnsi="Book Antiqua"/>
          <w:i/>
          <w:iCs/>
        </w:rPr>
        <w:t xml:space="preserve">Arch </w:t>
      </w:r>
      <w:proofErr w:type="spellStart"/>
      <w:r w:rsidRPr="00EF271B">
        <w:rPr>
          <w:rFonts w:ascii="Book Antiqua" w:hAnsi="Book Antiqua"/>
          <w:i/>
          <w:iCs/>
        </w:rPr>
        <w:t>Orthop</w:t>
      </w:r>
      <w:proofErr w:type="spellEnd"/>
      <w:r w:rsidRPr="00EF271B">
        <w:rPr>
          <w:rFonts w:ascii="Book Antiqua" w:hAnsi="Book Antiqua"/>
          <w:i/>
          <w:iCs/>
        </w:rPr>
        <w:t xml:space="preserve"> Trauma Surg</w:t>
      </w:r>
      <w:r w:rsidRPr="00EF271B">
        <w:rPr>
          <w:rFonts w:ascii="Book Antiqua" w:hAnsi="Book Antiqua"/>
        </w:rPr>
        <w:t xml:space="preserve"> 2011; </w:t>
      </w:r>
      <w:r w:rsidRPr="00EF271B">
        <w:rPr>
          <w:rFonts w:ascii="Book Antiqua" w:hAnsi="Book Antiqua"/>
          <w:b/>
          <w:bCs/>
        </w:rPr>
        <w:t>131</w:t>
      </w:r>
      <w:r w:rsidRPr="00EF271B">
        <w:rPr>
          <w:rFonts w:ascii="Book Antiqua" w:hAnsi="Book Antiqua"/>
        </w:rPr>
        <w:t>: 503-508 [PMID: 20740287 DOI: 10.1007/s00402-010-1172-6]</w:t>
      </w:r>
    </w:p>
    <w:p w14:paraId="69A61BA3" w14:textId="77777777" w:rsidR="00740502" w:rsidRPr="00EF271B" w:rsidRDefault="00740502" w:rsidP="00EF271B">
      <w:pPr>
        <w:adjustRightInd w:val="0"/>
        <w:snapToGrid w:val="0"/>
        <w:spacing w:line="360" w:lineRule="auto"/>
        <w:jc w:val="both"/>
        <w:rPr>
          <w:rFonts w:ascii="Book Antiqua" w:hAnsi="Book Antiqua"/>
        </w:rPr>
      </w:pPr>
      <w:r w:rsidRPr="00EF271B">
        <w:rPr>
          <w:rFonts w:ascii="Book Antiqua" w:hAnsi="Book Antiqua"/>
        </w:rPr>
        <w:t xml:space="preserve">13 </w:t>
      </w:r>
      <w:proofErr w:type="spellStart"/>
      <w:r w:rsidRPr="00EF271B">
        <w:rPr>
          <w:rFonts w:ascii="Book Antiqua" w:hAnsi="Book Antiqua"/>
          <w:b/>
          <w:bCs/>
        </w:rPr>
        <w:t>Marchevsky</w:t>
      </w:r>
      <w:proofErr w:type="spellEnd"/>
      <w:r w:rsidRPr="00EF271B">
        <w:rPr>
          <w:rFonts w:ascii="Book Antiqua" w:hAnsi="Book Antiqua"/>
          <w:b/>
          <w:bCs/>
        </w:rPr>
        <w:t xml:space="preserve"> AM</w:t>
      </w:r>
      <w:r w:rsidRPr="00EF271B">
        <w:rPr>
          <w:rFonts w:ascii="Book Antiqua" w:hAnsi="Book Antiqua"/>
        </w:rPr>
        <w:t xml:space="preserve">, </w:t>
      </w:r>
      <w:proofErr w:type="spellStart"/>
      <w:r w:rsidRPr="00EF271B">
        <w:rPr>
          <w:rFonts w:ascii="Book Antiqua" w:hAnsi="Book Antiqua"/>
        </w:rPr>
        <w:t>Damsker</w:t>
      </w:r>
      <w:proofErr w:type="spellEnd"/>
      <w:r w:rsidRPr="00EF271B">
        <w:rPr>
          <w:rFonts w:ascii="Book Antiqua" w:hAnsi="Book Antiqua"/>
        </w:rPr>
        <w:t xml:space="preserve"> B, Green S, Tepper S. The clinicopathological spectrum of non-tuberculous mycobacterial osteoarticular infections. </w:t>
      </w:r>
      <w:r w:rsidRPr="00EF271B">
        <w:rPr>
          <w:rFonts w:ascii="Book Antiqua" w:hAnsi="Book Antiqua"/>
          <w:i/>
          <w:iCs/>
        </w:rPr>
        <w:t>J Bone Joint Surg Am</w:t>
      </w:r>
      <w:r w:rsidRPr="00EF271B">
        <w:rPr>
          <w:rFonts w:ascii="Book Antiqua" w:hAnsi="Book Antiqua"/>
        </w:rPr>
        <w:t xml:space="preserve"> 1985; </w:t>
      </w:r>
      <w:r w:rsidRPr="00EF271B">
        <w:rPr>
          <w:rFonts w:ascii="Book Antiqua" w:hAnsi="Book Antiqua"/>
          <w:b/>
          <w:bCs/>
        </w:rPr>
        <w:t>67</w:t>
      </w:r>
      <w:r w:rsidRPr="00EF271B">
        <w:rPr>
          <w:rFonts w:ascii="Book Antiqua" w:hAnsi="Book Antiqua"/>
        </w:rPr>
        <w:t>: 925-929 [PMID: 4019542]</w:t>
      </w:r>
    </w:p>
    <w:p w14:paraId="0FA1D93D" w14:textId="3AEE03B7" w:rsidR="00A77B3E" w:rsidRPr="00EF271B" w:rsidRDefault="00740502" w:rsidP="00EF271B">
      <w:pPr>
        <w:adjustRightInd w:val="0"/>
        <w:snapToGrid w:val="0"/>
        <w:spacing w:line="360" w:lineRule="auto"/>
        <w:jc w:val="both"/>
        <w:rPr>
          <w:rFonts w:ascii="Book Antiqua" w:eastAsia="宋体" w:hAnsi="Book Antiqua"/>
          <w:lang w:eastAsia="zh-CN"/>
        </w:rPr>
      </w:pPr>
      <w:r w:rsidRPr="00EF271B">
        <w:rPr>
          <w:rFonts w:ascii="Book Antiqua" w:hAnsi="Book Antiqua"/>
        </w:rPr>
        <w:t xml:space="preserve">14 </w:t>
      </w:r>
      <w:r w:rsidRPr="00EF271B">
        <w:rPr>
          <w:rFonts w:ascii="Book Antiqua" w:hAnsi="Book Antiqua"/>
          <w:b/>
          <w:bCs/>
        </w:rPr>
        <w:t>Browne SK</w:t>
      </w:r>
      <w:r w:rsidRPr="00EF271B">
        <w:rPr>
          <w:rFonts w:ascii="Book Antiqua" w:hAnsi="Book Antiqua"/>
        </w:rPr>
        <w:t xml:space="preserve">, Zaman R, Sampaio EP, </w:t>
      </w:r>
      <w:proofErr w:type="spellStart"/>
      <w:r w:rsidRPr="00EF271B">
        <w:rPr>
          <w:rFonts w:ascii="Book Antiqua" w:hAnsi="Book Antiqua"/>
        </w:rPr>
        <w:t>Jutivorakool</w:t>
      </w:r>
      <w:proofErr w:type="spellEnd"/>
      <w:r w:rsidRPr="00EF271B">
        <w:rPr>
          <w:rFonts w:ascii="Book Antiqua" w:hAnsi="Book Antiqua"/>
        </w:rPr>
        <w:t xml:space="preserve"> K, Rosen LB, Ding L, Pancholi MJ, Yang LM, </w:t>
      </w:r>
      <w:proofErr w:type="spellStart"/>
      <w:r w:rsidRPr="00EF271B">
        <w:rPr>
          <w:rFonts w:ascii="Book Antiqua" w:hAnsi="Book Antiqua"/>
        </w:rPr>
        <w:t>Priel</w:t>
      </w:r>
      <w:proofErr w:type="spellEnd"/>
      <w:r w:rsidRPr="00EF271B">
        <w:rPr>
          <w:rFonts w:ascii="Book Antiqua" w:hAnsi="Book Antiqua"/>
        </w:rPr>
        <w:t xml:space="preserve"> DL, </w:t>
      </w:r>
      <w:proofErr w:type="spellStart"/>
      <w:r w:rsidRPr="00EF271B">
        <w:rPr>
          <w:rFonts w:ascii="Book Antiqua" w:hAnsi="Book Antiqua"/>
        </w:rPr>
        <w:t>Uzel</w:t>
      </w:r>
      <w:proofErr w:type="spellEnd"/>
      <w:r w:rsidRPr="00EF271B">
        <w:rPr>
          <w:rFonts w:ascii="Book Antiqua" w:hAnsi="Book Antiqua"/>
        </w:rPr>
        <w:t xml:space="preserve"> G, Freeman AF, Hayes CE, Baxter R, Cohen SH, Holland SM. Anti-CD20 (rituximab) therapy for anti-IFN-γ autoantibody-associated nontuberculous mycobacterial infection. </w:t>
      </w:r>
      <w:r w:rsidRPr="00EF271B">
        <w:rPr>
          <w:rFonts w:ascii="Book Antiqua" w:hAnsi="Book Antiqua"/>
          <w:i/>
          <w:iCs/>
        </w:rPr>
        <w:t>Blood</w:t>
      </w:r>
      <w:r w:rsidRPr="00EF271B">
        <w:rPr>
          <w:rFonts w:ascii="Book Antiqua" w:hAnsi="Book Antiqua"/>
        </w:rPr>
        <w:t xml:space="preserve"> 2012; </w:t>
      </w:r>
      <w:r w:rsidRPr="00EF271B">
        <w:rPr>
          <w:rFonts w:ascii="Book Antiqua" w:hAnsi="Book Antiqua"/>
          <w:b/>
          <w:bCs/>
        </w:rPr>
        <w:t>119</w:t>
      </w:r>
      <w:r w:rsidRPr="00EF271B">
        <w:rPr>
          <w:rFonts w:ascii="Book Antiqua" w:hAnsi="Book Antiqua"/>
        </w:rPr>
        <w:t>: 3933-3939 [PMID: 22403254 DOI: 10.1182/blood-2011-12-395707]</w:t>
      </w:r>
    </w:p>
    <w:p w14:paraId="0980D58C" w14:textId="77777777" w:rsidR="00740502" w:rsidRPr="00EF271B" w:rsidRDefault="00740502" w:rsidP="00EF271B">
      <w:pPr>
        <w:adjustRightInd w:val="0"/>
        <w:snapToGrid w:val="0"/>
        <w:spacing w:line="360" w:lineRule="auto"/>
        <w:jc w:val="both"/>
        <w:rPr>
          <w:rFonts w:ascii="Book Antiqua" w:eastAsia="宋体" w:hAnsi="Book Antiqua" w:cs="Book Antiqua"/>
          <w:color w:val="000000"/>
          <w:lang w:eastAsia="zh-CN"/>
        </w:rPr>
      </w:pPr>
    </w:p>
    <w:p w14:paraId="758F1C88" w14:textId="77777777" w:rsidR="00740502" w:rsidRPr="00EF271B" w:rsidRDefault="00740502" w:rsidP="00EF271B">
      <w:pPr>
        <w:adjustRightInd w:val="0"/>
        <w:snapToGrid w:val="0"/>
        <w:spacing w:line="360" w:lineRule="auto"/>
        <w:jc w:val="both"/>
        <w:rPr>
          <w:rFonts w:ascii="Book Antiqua" w:eastAsia="宋体" w:hAnsi="Book Antiqua"/>
          <w:lang w:eastAsia="zh-CN"/>
        </w:rPr>
        <w:sectPr w:rsidR="00740502" w:rsidRPr="00EF271B">
          <w:pgSz w:w="12240" w:h="15840"/>
          <w:pgMar w:top="1440" w:right="1440" w:bottom="1440" w:left="1440" w:header="720" w:footer="720" w:gutter="0"/>
          <w:cols w:space="720"/>
          <w:docGrid w:linePitch="360"/>
        </w:sectPr>
      </w:pPr>
    </w:p>
    <w:p w14:paraId="4F17A67E"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lastRenderedPageBreak/>
        <w:t>Footnotes</w:t>
      </w:r>
    </w:p>
    <w:p w14:paraId="595B057D"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Informed consent statement: </w:t>
      </w:r>
      <w:r w:rsidRPr="00EF271B">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EE84D3" w14:textId="77777777" w:rsidR="00A77B3E" w:rsidRPr="00EF271B" w:rsidRDefault="00A77B3E" w:rsidP="00EF271B">
      <w:pPr>
        <w:adjustRightInd w:val="0"/>
        <w:snapToGrid w:val="0"/>
        <w:spacing w:line="360" w:lineRule="auto"/>
        <w:jc w:val="both"/>
        <w:rPr>
          <w:rFonts w:ascii="Book Antiqua" w:hAnsi="Book Antiqua"/>
        </w:rPr>
      </w:pPr>
    </w:p>
    <w:p w14:paraId="406A4228" w14:textId="1169FD52"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Conflict-of-interest statement: </w:t>
      </w:r>
      <w:bookmarkStart w:id="19" w:name="OLE_LINK521"/>
      <w:bookmarkStart w:id="20" w:name="OLE_LINK522"/>
      <w:r w:rsidR="00F0165F" w:rsidRPr="00EF271B">
        <w:rPr>
          <w:rFonts w:ascii="Book Antiqua" w:eastAsia="宋体" w:hAnsi="Book Antiqua" w:cs="Book Antiqua"/>
          <w:color w:val="000000"/>
          <w:shd w:val="clear" w:color="auto" w:fill="FFFFFF"/>
          <w:lang w:eastAsia="zh-CN"/>
        </w:rPr>
        <w:t>The authors</w:t>
      </w:r>
      <w:r w:rsidRPr="00EF271B">
        <w:rPr>
          <w:rFonts w:ascii="Book Antiqua" w:eastAsia="Book Antiqua" w:hAnsi="Book Antiqua" w:cs="Book Antiqua"/>
          <w:color w:val="000000"/>
          <w:shd w:val="clear" w:color="auto" w:fill="FFFFFF"/>
        </w:rPr>
        <w:t xml:space="preserve"> declared no conflict of interest in our case report.</w:t>
      </w:r>
    </w:p>
    <w:bookmarkEnd w:id="19"/>
    <w:bookmarkEnd w:id="20"/>
    <w:p w14:paraId="4778D884" w14:textId="77777777" w:rsidR="00A77B3E" w:rsidRPr="00EF271B" w:rsidRDefault="00A77B3E" w:rsidP="00EF271B">
      <w:pPr>
        <w:adjustRightInd w:val="0"/>
        <w:snapToGrid w:val="0"/>
        <w:spacing w:line="360" w:lineRule="auto"/>
        <w:jc w:val="both"/>
        <w:rPr>
          <w:rFonts w:ascii="Book Antiqua" w:hAnsi="Book Antiqua"/>
        </w:rPr>
      </w:pPr>
    </w:p>
    <w:p w14:paraId="4970C77F" w14:textId="30BC0477" w:rsidR="00A77B3E" w:rsidRPr="00EF271B" w:rsidRDefault="00107085" w:rsidP="00EF271B">
      <w:pPr>
        <w:adjustRightInd w:val="0"/>
        <w:snapToGrid w:val="0"/>
        <w:spacing w:line="360" w:lineRule="auto"/>
        <w:jc w:val="both"/>
        <w:rPr>
          <w:rFonts w:ascii="Book Antiqua" w:eastAsia="宋体" w:hAnsi="Book Antiqua" w:cs="Book Antiqua"/>
          <w:color w:val="000000"/>
          <w:lang w:eastAsia="zh-CN"/>
        </w:rPr>
      </w:pPr>
      <w:r w:rsidRPr="00EF271B">
        <w:rPr>
          <w:rFonts w:ascii="Book Antiqua" w:eastAsia="Book Antiqua" w:hAnsi="Book Antiqua" w:cs="Book Antiqua"/>
          <w:b/>
          <w:bCs/>
          <w:color w:val="000000"/>
        </w:rPr>
        <w:t xml:space="preserve">CARE Checklist (2016) statement: </w:t>
      </w:r>
      <w:r w:rsidR="00F0165F" w:rsidRPr="00EF271B">
        <w:rPr>
          <w:rFonts w:ascii="Book Antiqua" w:eastAsia="Book Antiqua" w:hAnsi="Book Antiqua" w:cs="Book Antiqua"/>
          <w:color w:val="000000"/>
        </w:rPr>
        <w:t>The authors have read the</w:t>
      </w:r>
      <w:r w:rsidR="00F0165F" w:rsidRPr="00EF271B">
        <w:rPr>
          <w:rFonts w:ascii="Book Antiqua" w:hAnsi="Book Antiqua"/>
        </w:rPr>
        <w:t xml:space="preserve"> </w:t>
      </w:r>
      <w:r w:rsidR="00F0165F" w:rsidRPr="00EF271B">
        <w:rPr>
          <w:rFonts w:ascii="Book Antiqua" w:eastAsia="Book Antiqua" w:hAnsi="Book Antiqua" w:cs="Book Antiqua"/>
          <w:color w:val="000000"/>
        </w:rPr>
        <w:t>CARE Checklist (2016) Statement, and the manuscript was prepared and revised according to the CARE Checklist (2016) Statement.</w:t>
      </w:r>
    </w:p>
    <w:p w14:paraId="07390642" w14:textId="77777777" w:rsidR="00F0165F" w:rsidRPr="00EF271B" w:rsidRDefault="00F0165F" w:rsidP="00EF271B">
      <w:pPr>
        <w:adjustRightInd w:val="0"/>
        <w:snapToGrid w:val="0"/>
        <w:spacing w:line="360" w:lineRule="auto"/>
        <w:jc w:val="both"/>
        <w:rPr>
          <w:rFonts w:ascii="Book Antiqua" w:eastAsia="宋体" w:hAnsi="Book Antiqua"/>
          <w:lang w:eastAsia="zh-CN"/>
        </w:rPr>
      </w:pPr>
    </w:p>
    <w:p w14:paraId="06A24017"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 xml:space="preserve">Open-Access: </w:t>
      </w:r>
      <w:r w:rsidRPr="00EF27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271B">
        <w:rPr>
          <w:rFonts w:ascii="Book Antiqua" w:eastAsia="Book Antiqua" w:hAnsi="Book Antiqua" w:cs="Book Antiqua"/>
          <w:color w:val="000000"/>
        </w:rPr>
        <w:t>NonCommercial</w:t>
      </w:r>
      <w:proofErr w:type="spellEnd"/>
      <w:r w:rsidRPr="00EF27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815A85" w14:textId="77777777" w:rsidR="00A77B3E" w:rsidRPr="00EF271B" w:rsidRDefault="00A77B3E" w:rsidP="00EF271B">
      <w:pPr>
        <w:adjustRightInd w:val="0"/>
        <w:snapToGrid w:val="0"/>
        <w:spacing w:line="360" w:lineRule="auto"/>
        <w:jc w:val="both"/>
        <w:rPr>
          <w:rFonts w:ascii="Book Antiqua" w:hAnsi="Book Antiqua"/>
        </w:rPr>
      </w:pPr>
    </w:p>
    <w:p w14:paraId="127A6195" w14:textId="2C0DD1C8"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Manuscript source: </w:t>
      </w:r>
      <w:r w:rsidRPr="00EF271B">
        <w:rPr>
          <w:rFonts w:ascii="Book Antiqua" w:eastAsia="Book Antiqua" w:hAnsi="Book Antiqua" w:cs="Book Antiqua"/>
          <w:color w:val="000000"/>
        </w:rPr>
        <w:t xml:space="preserve">Unsolicited </w:t>
      </w:r>
      <w:r w:rsidR="00740502" w:rsidRPr="00EF271B">
        <w:rPr>
          <w:rFonts w:ascii="Book Antiqua" w:eastAsia="Book Antiqua" w:hAnsi="Book Antiqua" w:cs="Book Antiqua"/>
          <w:color w:val="000000"/>
        </w:rPr>
        <w:t>ma</w:t>
      </w:r>
      <w:r w:rsidRPr="00EF271B">
        <w:rPr>
          <w:rFonts w:ascii="Book Antiqua" w:eastAsia="Book Antiqua" w:hAnsi="Book Antiqua" w:cs="Book Antiqua"/>
          <w:color w:val="000000"/>
        </w:rPr>
        <w:t>nuscript</w:t>
      </w:r>
    </w:p>
    <w:p w14:paraId="65CE5224" w14:textId="77777777" w:rsidR="00A77B3E" w:rsidRPr="00EF271B" w:rsidRDefault="00A77B3E" w:rsidP="00EF271B">
      <w:pPr>
        <w:adjustRightInd w:val="0"/>
        <w:snapToGrid w:val="0"/>
        <w:spacing w:line="360" w:lineRule="auto"/>
        <w:jc w:val="both"/>
        <w:rPr>
          <w:rFonts w:ascii="Book Antiqua" w:hAnsi="Book Antiqua"/>
        </w:rPr>
      </w:pPr>
    </w:p>
    <w:p w14:paraId="37321BF3"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Peer-review started: </w:t>
      </w:r>
      <w:r w:rsidRPr="00EF271B">
        <w:rPr>
          <w:rFonts w:ascii="Book Antiqua" w:eastAsia="Book Antiqua" w:hAnsi="Book Antiqua" w:cs="Book Antiqua"/>
          <w:color w:val="000000"/>
        </w:rPr>
        <w:t>June 8, 2021</w:t>
      </w:r>
    </w:p>
    <w:p w14:paraId="18671032"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First decision: </w:t>
      </w:r>
      <w:r w:rsidRPr="00EF271B">
        <w:rPr>
          <w:rFonts w:ascii="Book Antiqua" w:eastAsia="Book Antiqua" w:hAnsi="Book Antiqua" w:cs="Book Antiqua"/>
          <w:color w:val="000000"/>
        </w:rPr>
        <w:t>July 28, 2021</w:t>
      </w:r>
    </w:p>
    <w:p w14:paraId="44E51C9D"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Article in press: </w:t>
      </w:r>
    </w:p>
    <w:p w14:paraId="248793B2" w14:textId="77777777" w:rsidR="00A77B3E" w:rsidRPr="00EF271B" w:rsidRDefault="00A77B3E" w:rsidP="00EF271B">
      <w:pPr>
        <w:adjustRightInd w:val="0"/>
        <w:snapToGrid w:val="0"/>
        <w:spacing w:line="360" w:lineRule="auto"/>
        <w:jc w:val="both"/>
        <w:rPr>
          <w:rFonts w:ascii="Book Antiqua" w:hAnsi="Book Antiqua"/>
        </w:rPr>
      </w:pPr>
    </w:p>
    <w:p w14:paraId="0039D348"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Specialty type: </w:t>
      </w:r>
      <w:r w:rsidRPr="00EF271B">
        <w:rPr>
          <w:rFonts w:ascii="Book Antiqua" w:eastAsia="Book Antiqua" w:hAnsi="Book Antiqua" w:cs="Book Antiqua"/>
          <w:color w:val="000000"/>
        </w:rPr>
        <w:t>Orthopedics</w:t>
      </w:r>
    </w:p>
    <w:p w14:paraId="456B2CCD"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 xml:space="preserve">Country/Territory of origin: </w:t>
      </w:r>
      <w:r w:rsidRPr="00EF271B">
        <w:rPr>
          <w:rFonts w:ascii="Book Antiqua" w:eastAsia="Book Antiqua" w:hAnsi="Book Antiqua" w:cs="Book Antiqua"/>
          <w:color w:val="000000"/>
        </w:rPr>
        <w:t>Taiwan</w:t>
      </w:r>
    </w:p>
    <w:p w14:paraId="3BA27E6E"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color w:val="000000"/>
        </w:rPr>
        <w:t>Peer-review report’s scientific quality classification</w:t>
      </w:r>
    </w:p>
    <w:p w14:paraId="63D90E89"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Grade A (Excellent): 0</w:t>
      </w:r>
    </w:p>
    <w:p w14:paraId="190F900A"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Grade B (Very good): 0</w:t>
      </w:r>
    </w:p>
    <w:p w14:paraId="05158330"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lastRenderedPageBreak/>
        <w:t>Grade C (Good): C, C</w:t>
      </w:r>
    </w:p>
    <w:p w14:paraId="25567AB7"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Grade D (Fair): D</w:t>
      </w:r>
    </w:p>
    <w:p w14:paraId="01AE93C1"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color w:val="000000"/>
        </w:rPr>
        <w:t>Grade E (Poor): 0</w:t>
      </w:r>
    </w:p>
    <w:p w14:paraId="2166FB5A" w14:textId="77777777" w:rsidR="00A77B3E" w:rsidRPr="00EF271B" w:rsidRDefault="00A77B3E" w:rsidP="00EF271B">
      <w:pPr>
        <w:adjustRightInd w:val="0"/>
        <w:snapToGrid w:val="0"/>
        <w:spacing w:line="360" w:lineRule="auto"/>
        <w:jc w:val="both"/>
        <w:rPr>
          <w:rFonts w:ascii="Book Antiqua" w:hAnsi="Book Antiqua"/>
        </w:rPr>
      </w:pPr>
    </w:p>
    <w:p w14:paraId="06C573EF" w14:textId="065B4539" w:rsidR="00A77B3E" w:rsidRPr="00EF271B" w:rsidRDefault="00107085" w:rsidP="00EF271B">
      <w:pPr>
        <w:adjustRightInd w:val="0"/>
        <w:snapToGrid w:val="0"/>
        <w:spacing w:line="360" w:lineRule="auto"/>
        <w:jc w:val="both"/>
        <w:rPr>
          <w:rFonts w:ascii="Book Antiqua" w:hAnsi="Book Antiqua"/>
        </w:rPr>
        <w:sectPr w:rsidR="00A77B3E" w:rsidRPr="00EF271B">
          <w:pgSz w:w="12240" w:h="15840"/>
          <w:pgMar w:top="1440" w:right="1440" w:bottom="1440" w:left="1440" w:header="720" w:footer="720" w:gutter="0"/>
          <w:cols w:space="720"/>
          <w:docGrid w:linePitch="360"/>
        </w:sectPr>
      </w:pPr>
      <w:r w:rsidRPr="00EF271B">
        <w:rPr>
          <w:rFonts w:ascii="Book Antiqua" w:eastAsia="Book Antiqua" w:hAnsi="Book Antiqua" w:cs="Book Antiqua"/>
          <w:b/>
          <w:color w:val="000000"/>
        </w:rPr>
        <w:t xml:space="preserve">P-Reviewer: </w:t>
      </w:r>
      <w:proofErr w:type="spellStart"/>
      <w:r w:rsidRPr="00EF271B">
        <w:rPr>
          <w:rFonts w:ascii="Book Antiqua" w:eastAsia="Book Antiqua" w:hAnsi="Book Antiqua" w:cs="Book Antiqua"/>
          <w:color w:val="000000"/>
        </w:rPr>
        <w:t>Akbulut</w:t>
      </w:r>
      <w:proofErr w:type="spellEnd"/>
      <w:r w:rsidRPr="00EF271B">
        <w:rPr>
          <w:rFonts w:ascii="Book Antiqua" w:eastAsia="Book Antiqua" w:hAnsi="Book Antiqua" w:cs="Book Antiqua"/>
          <w:color w:val="000000"/>
        </w:rPr>
        <w:t xml:space="preserve"> S, Feng J, Wang XJ</w:t>
      </w:r>
      <w:r w:rsidRPr="00EF271B">
        <w:rPr>
          <w:rFonts w:ascii="Book Antiqua" w:eastAsia="Book Antiqua" w:hAnsi="Book Antiqua" w:cs="Book Antiqua"/>
          <w:b/>
          <w:color w:val="000000"/>
        </w:rPr>
        <w:t xml:space="preserve"> S-Editor: </w:t>
      </w:r>
      <w:r w:rsidR="00F0165F" w:rsidRPr="00EF271B">
        <w:rPr>
          <w:rFonts w:ascii="Book Antiqua" w:eastAsia="宋体" w:hAnsi="Book Antiqua" w:cs="Book Antiqua"/>
          <w:color w:val="000000"/>
          <w:lang w:eastAsia="zh-CN"/>
        </w:rPr>
        <w:t>Ma YJ</w:t>
      </w:r>
      <w:r w:rsidRPr="00EF271B">
        <w:rPr>
          <w:rFonts w:ascii="Book Antiqua" w:eastAsia="Book Antiqua" w:hAnsi="Book Antiqua" w:cs="Book Antiqua"/>
          <w:b/>
          <w:color w:val="000000"/>
        </w:rPr>
        <w:t xml:space="preserve"> L-Editor:  P-Editor: </w:t>
      </w:r>
    </w:p>
    <w:p w14:paraId="5FFD3FD6" w14:textId="77777777" w:rsidR="00A77B3E" w:rsidRPr="00EF271B" w:rsidRDefault="00107085" w:rsidP="00EF271B">
      <w:pPr>
        <w:adjustRightInd w:val="0"/>
        <w:snapToGrid w:val="0"/>
        <w:spacing w:line="360" w:lineRule="auto"/>
        <w:jc w:val="both"/>
        <w:rPr>
          <w:rFonts w:ascii="Book Antiqua" w:eastAsia="宋体" w:hAnsi="Book Antiqua" w:cs="Book Antiqua"/>
          <w:b/>
          <w:color w:val="000000"/>
          <w:lang w:eastAsia="zh-CN"/>
        </w:rPr>
      </w:pPr>
      <w:r w:rsidRPr="00EF271B">
        <w:rPr>
          <w:rFonts w:ascii="Book Antiqua" w:eastAsia="Book Antiqua" w:hAnsi="Book Antiqua" w:cs="Book Antiqua"/>
          <w:b/>
          <w:color w:val="000000"/>
        </w:rPr>
        <w:lastRenderedPageBreak/>
        <w:t>Figure Legends</w:t>
      </w:r>
    </w:p>
    <w:p w14:paraId="767B5938" w14:textId="0ED28854" w:rsidR="00F0165F" w:rsidRPr="00EF271B" w:rsidRDefault="00F0165F" w:rsidP="00EF271B">
      <w:pPr>
        <w:adjustRightInd w:val="0"/>
        <w:snapToGrid w:val="0"/>
        <w:spacing w:line="360" w:lineRule="auto"/>
        <w:jc w:val="both"/>
        <w:rPr>
          <w:rFonts w:ascii="Book Antiqua" w:eastAsia="宋体" w:hAnsi="Book Antiqua"/>
          <w:lang w:eastAsia="zh-CN"/>
        </w:rPr>
      </w:pPr>
      <w:r w:rsidRPr="00EF271B">
        <w:rPr>
          <w:rFonts w:ascii="Book Antiqua" w:eastAsia="宋体" w:hAnsi="Book Antiqua"/>
          <w:noProof/>
          <w:lang w:eastAsia="zh-CN"/>
        </w:rPr>
        <w:drawing>
          <wp:inline distT="0" distB="0" distL="0" distR="0" wp14:anchorId="3DC4C4E0" wp14:editId="40C18E5B">
            <wp:extent cx="5486400" cy="5369560"/>
            <wp:effectExtent l="0" t="0" r="0" b="2540"/>
            <wp:docPr id="1026" name="圖片版面配置區 7">
              <a:extLst xmlns:a="http://schemas.openxmlformats.org/drawingml/2006/main">
                <a:ext uri="{FF2B5EF4-FFF2-40B4-BE49-F238E27FC236}">
                  <a16:creationId xmlns:a16="http://schemas.microsoft.com/office/drawing/2014/main" id="{D4E3CA2D-B799-4355-90FC-AB4AD6B997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圖片版面配置區 7">
                      <a:extLst>
                        <a:ext uri="{FF2B5EF4-FFF2-40B4-BE49-F238E27FC236}">
                          <a16:creationId xmlns:a16="http://schemas.microsoft.com/office/drawing/2014/main" id="{D4E3CA2D-B799-4355-90FC-AB4AD6B99787}"/>
                        </a:ext>
                      </a:extLst>
                    </pic:cNvPr>
                    <pic:cNvPicPr>
                      <a:picLocks noGrp="1" noChangeAspect="1" noChangeArrowheads="1"/>
                    </pic:cNvPicPr>
                  </pic:nvPicPr>
                  <pic:blipFill>
                    <a:blip r:embed="rId7">
                      <a:extLst>
                        <a:ext uri="{28A0092B-C50C-407E-A947-70E740481C1C}">
                          <a14:useLocalDpi xmlns:a14="http://schemas.microsoft.com/office/drawing/2010/main" val="0"/>
                        </a:ext>
                      </a:extLst>
                    </a:blip>
                    <a:srcRect t="10901" b="10901"/>
                    <a:stretch>
                      <a:fillRect/>
                    </a:stretch>
                  </pic:blipFill>
                  <pic:spPr bwMode="auto">
                    <a:xfrm>
                      <a:off x="0" y="0"/>
                      <a:ext cx="5486400" cy="5369560"/>
                    </a:xfrm>
                    <a:prstGeom prst="rect">
                      <a:avLst/>
                    </a:prstGeom>
                    <a:noFill/>
                    <a:ln>
                      <a:noFill/>
                    </a:ln>
                  </pic:spPr>
                </pic:pic>
              </a:graphicData>
            </a:graphic>
          </wp:inline>
        </w:drawing>
      </w:r>
    </w:p>
    <w:p w14:paraId="1186CE6F" w14:textId="77777777" w:rsidR="00A77B3E" w:rsidRPr="00EF271B" w:rsidRDefault="00107085" w:rsidP="00EF271B">
      <w:pPr>
        <w:adjustRightInd w:val="0"/>
        <w:snapToGrid w:val="0"/>
        <w:spacing w:line="360" w:lineRule="auto"/>
        <w:jc w:val="both"/>
        <w:rPr>
          <w:rFonts w:ascii="Book Antiqua" w:hAnsi="Book Antiqua"/>
        </w:rPr>
      </w:pPr>
      <w:r w:rsidRPr="00EF271B">
        <w:rPr>
          <w:rFonts w:ascii="Book Antiqua" w:eastAsia="Book Antiqua" w:hAnsi="Book Antiqua" w:cs="Book Antiqua"/>
          <w:b/>
          <w:bCs/>
          <w:color w:val="000000"/>
        </w:rPr>
        <w:t>Figure 1 Displaced supracondylar humerus fracture of the right elbow on plain X-ray.</w:t>
      </w:r>
    </w:p>
    <w:p w14:paraId="3C792194" w14:textId="66A36944" w:rsidR="00F0165F" w:rsidRPr="00EF271B" w:rsidRDefault="00F0165F" w:rsidP="00EF271B">
      <w:pPr>
        <w:adjustRightInd w:val="0"/>
        <w:snapToGrid w:val="0"/>
        <w:spacing w:line="360" w:lineRule="auto"/>
        <w:jc w:val="both"/>
        <w:rPr>
          <w:rFonts w:ascii="Book Antiqua" w:eastAsia="宋体" w:hAnsi="Book Antiqua" w:cs="Book Antiqua"/>
          <w:b/>
          <w:bCs/>
          <w:color w:val="000000"/>
          <w:lang w:eastAsia="zh-CN"/>
        </w:rPr>
      </w:pPr>
      <w:r w:rsidRPr="00EF271B">
        <w:rPr>
          <w:rFonts w:ascii="Book Antiqua" w:eastAsia="宋体" w:hAnsi="Book Antiqua" w:cs="Book Antiqua"/>
          <w:b/>
          <w:bCs/>
          <w:color w:val="000000"/>
          <w:lang w:eastAsia="zh-CN"/>
        </w:rPr>
        <w:br w:type="page"/>
      </w:r>
      <w:r w:rsidRPr="00EF271B">
        <w:rPr>
          <w:rFonts w:ascii="Book Antiqua" w:eastAsia="宋体" w:hAnsi="Book Antiqua" w:cs="Book Antiqua"/>
          <w:b/>
          <w:bCs/>
          <w:noProof/>
          <w:color w:val="000000"/>
          <w:lang w:eastAsia="zh-CN"/>
        </w:rPr>
        <w:lastRenderedPageBreak/>
        <w:drawing>
          <wp:inline distT="0" distB="0" distL="0" distR="0" wp14:anchorId="260A42E0" wp14:editId="72B457CD">
            <wp:extent cx="5486400" cy="5706110"/>
            <wp:effectExtent l="0" t="0" r="0" b="0"/>
            <wp:docPr id="2050" name="圖片 6" descr="一張含有 文字, 個人, 套裝, 頭罩 的圖片&#10;&#10;自動產生的描述">
              <a:extLst xmlns:a="http://schemas.openxmlformats.org/drawingml/2006/main">
                <a:ext uri="{FF2B5EF4-FFF2-40B4-BE49-F238E27FC236}">
                  <a16:creationId xmlns:a16="http://schemas.microsoft.com/office/drawing/2014/main" id="{FCC6F85F-2387-4F6C-97C4-E8C3D1CF4E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圖片 6" descr="一張含有 文字, 個人, 套裝, 頭罩 的圖片&#10;&#10;自動產生的描述">
                      <a:extLst>
                        <a:ext uri="{FF2B5EF4-FFF2-40B4-BE49-F238E27FC236}">
                          <a16:creationId xmlns:a16="http://schemas.microsoft.com/office/drawing/2014/main" id="{FCC6F85F-2387-4F6C-97C4-E8C3D1CF4E4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b="-2477"/>
                    <a:stretch>
                      <a:fillRect/>
                    </a:stretch>
                  </pic:blipFill>
                  <pic:spPr bwMode="auto">
                    <a:xfrm>
                      <a:off x="0" y="0"/>
                      <a:ext cx="5486400" cy="5706110"/>
                    </a:xfrm>
                    <a:prstGeom prst="rect">
                      <a:avLst/>
                    </a:prstGeom>
                    <a:noFill/>
                    <a:ln>
                      <a:noFill/>
                    </a:ln>
                  </pic:spPr>
                </pic:pic>
              </a:graphicData>
            </a:graphic>
          </wp:inline>
        </w:drawing>
      </w:r>
    </w:p>
    <w:p w14:paraId="7BAA3C0E" w14:textId="77777777" w:rsidR="00A77B3E" w:rsidRPr="00EF271B" w:rsidRDefault="00107085" w:rsidP="00EF271B">
      <w:pPr>
        <w:adjustRightInd w:val="0"/>
        <w:snapToGrid w:val="0"/>
        <w:spacing w:line="360" w:lineRule="auto"/>
        <w:jc w:val="both"/>
        <w:rPr>
          <w:rFonts w:ascii="Book Antiqua" w:eastAsia="宋体" w:hAnsi="Book Antiqua" w:cs="Book Antiqua"/>
          <w:b/>
          <w:bCs/>
          <w:color w:val="000000"/>
          <w:lang w:eastAsia="zh-CN"/>
        </w:rPr>
      </w:pPr>
      <w:r w:rsidRPr="00EF271B">
        <w:rPr>
          <w:rFonts w:ascii="Book Antiqua" w:eastAsia="Book Antiqua" w:hAnsi="Book Antiqua" w:cs="Book Antiqua"/>
          <w:b/>
          <w:bCs/>
          <w:color w:val="000000"/>
        </w:rPr>
        <w:t>Figure 2 Displaced supracondylar humerus fracture status post-open reduction and internal fixation with screws and Kirschner wires.</w:t>
      </w:r>
    </w:p>
    <w:p w14:paraId="2EDF94E0" w14:textId="0D7CC373" w:rsidR="00F0165F" w:rsidRPr="00EF271B" w:rsidRDefault="00F0165F" w:rsidP="00EF271B">
      <w:pPr>
        <w:adjustRightInd w:val="0"/>
        <w:snapToGrid w:val="0"/>
        <w:spacing w:line="360" w:lineRule="auto"/>
        <w:jc w:val="both"/>
        <w:rPr>
          <w:rFonts w:ascii="Book Antiqua" w:eastAsia="宋体" w:hAnsi="Book Antiqua"/>
          <w:lang w:eastAsia="zh-CN"/>
        </w:rPr>
      </w:pPr>
      <w:r w:rsidRPr="00EF271B">
        <w:rPr>
          <w:rFonts w:ascii="Book Antiqua" w:eastAsia="宋体" w:hAnsi="Book Antiqua" w:cs="Book Antiqua"/>
          <w:b/>
          <w:bCs/>
          <w:color w:val="000000"/>
          <w:lang w:eastAsia="zh-CN"/>
        </w:rPr>
        <w:br w:type="page"/>
      </w:r>
      <w:r w:rsidRPr="00EF271B">
        <w:rPr>
          <w:rFonts w:ascii="Book Antiqua" w:eastAsia="宋体" w:hAnsi="Book Antiqua" w:cs="Book Antiqua"/>
          <w:b/>
          <w:bCs/>
          <w:noProof/>
          <w:color w:val="000000"/>
          <w:lang w:eastAsia="zh-CN"/>
        </w:rPr>
        <w:lastRenderedPageBreak/>
        <w:drawing>
          <wp:inline distT="0" distB="0" distL="0" distR="0" wp14:anchorId="0662D924" wp14:editId="1930DCB3">
            <wp:extent cx="5486400" cy="4271010"/>
            <wp:effectExtent l="0" t="0" r="0" b="0"/>
            <wp:docPr id="3074" name="圖片 4" descr="一張含有 綠色 的圖片&#10;&#10;自動產生的描述">
              <a:extLst xmlns:a="http://schemas.openxmlformats.org/drawingml/2006/main">
                <a:ext uri="{FF2B5EF4-FFF2-40B4-BE49-F238E27FC236}">
                  <a16:creationId xmlns:a16="http://schemas.microsoft.com/office/drawing/2014/main" id="{DA089D67-534E-45E3-856E-EA7473FDF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圖片 4" descr="一張含有 綠色 的圖片&#10;&#10;自動產生的描述">
                      <a:extLst>
                        <a:ext uri="{FF2B5EF4-FFF2-40B4-BE49-F238E27FC236}">
                          <a16:creationId xmlns:a16="http://schemas.microsoft.com/office/drawing/2014/main" id="{DA089D67-534E-45E3-856E-EA7473FDF6A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l="20709" t="20590" r="21996" b="20123"/>
                    <a:stretch>
                      <a:fillRect/>
                    </a:stretch>
                  </pic:blipFill>
                  <pic:spPr bwMode="auto">
                    <a:xfrm>
                      <a:off x="0" y="0"/>
                      <a:ext cx="5486400" cy="4271010"/>
                    </a:xfrm>
                    <a:prstGeom prst="rect">
                      <a:avLst/>
                    </a:prstGeom>
                    <a:noFill/>
                    <a:ln>
                      <a:noFill/>
                    </a:ln>
                  </pic:spPr>
                </pic:pic>
              </a:graphicData>
            </a:graphic>
          </wp:inline>
        </w:drawing>
      </w:r>
    </w:p>
    <w:p w14:paraId="4CCEED15" w14:textId="77777777" w:rsidR="00A77B3E" w:rsidRPr="00EF271B" w:rsidRDefault="00107085" w:rsidP="00EF271B">
      <w:pPr>
        <w:adjustRightInd w:val="0"/>
        <w:snapToGrid w:val="0"/>
        <w:spacing w:line="360" w:lineRule="auto"/>
        <w:jc w:val="both"/>
        <w:rPr>
          <w:rFonts w:ascii="Book Antiqua" w:eastAsia="宋体" w:hAnsi="Book Antiqua" w:cs="Book Antiqua"/>
          <w:b/>
          <w:bCs/>
          <w:color w:val="000000"/>
          <w:lang w:eastAsia="zh-CN"/>
        </w:rPr>
      </w:pPr>
      <w:r w:rsidRPr="00EF271B">
        <w:rPr>
          <w:rFonts w:ascii="Book Antiqua" w:eastAsia="Book Antiqua" w:hAnsi="Book Antiqua" w:cs="Book Antiqua"/>
          <w:b/>
          <w:bCs/>
          <w:color w:val="000000"/>
        </w:rPr>
        <w:t>Figure 3 Intraoperative finding of unusual necrotic bone tissues, status post-sequestrectomy.</w:t>
      </w:r>
    </w:p>
    <w:p w14:paraId="0431D3D1" w14:textId="1E58A290" w:rsidR="00F0165F" w:rsidRPr="00EF271B" w:rsidRDefault="00F0165F" w:rsidP="00EF271B">
      <w:pPr>
        <w:adjustRightInd w:val="0"/>
        <w:snapToGrid w:val="0"/>
        <w:spacing w:line="360" w:lineRule="auto"/>
        <w:jc w:val="both"/>
        <w:rPr>
          <w:rFonts w:ascii="Book Antiqua" w:eastAsia="宋体" w:hAnsi="Book Antiqua"/>
          <w:lang w:eastAsia="zh-CN"/>
        </w:rPr>
      </w:pPr>
      <w:r w:rsidRPr="00EF271B">
        <w:rPr>
          <w:rFonts w:ascii="Book Antiqua" w:eastAsia="宋体" w:hAnsi="Book Antiqua" w:cs="Book Antiqua"/>
          <w:b/>
          <w:bCs/>
          <w:color w:val="000000"/>
          <w:lang w:eastAsia="zh-CN"/>
        </w:rPr>
        <w:br w:type="page"/>
      </w:r>
      <w:r w:rsidRPr="00EF271B">
        <w:rPr>
          <w:rFonts w:ascii="Book Antiqua" w:eastAsia="宋体" w:hAnsi="Book Antiqua" w:cs="Book Antiqua"/>
          <w:b/>
          <w:bCs/>
          <w:noProof/>
          <w:color w:val="000000"/>
          <w:lang w:eastAsia="zh-CN"/>
        </w:rPr>
        <w:lastRenderedPageBreak/>
        <w:drawing>
          <wp:inline distT="0" distB="0" distL="0" distR="0" wp14:anchorId="49612037" wp14:editId="2E1DB6C6">
            <wp:extent cx="5486400" cy="4168775"/>
            <wp:effectExtent l="0" t="0" r="0" b="3175"/>
            <wp:docPr id="4098" name="內容版面配置區 6" descr="一張含有 文字, 團體, 差異, 衣物 的圖片&#10;&#10;自動產生的描述">
              <a:extLst xmlns:a="http://schemas.openxmlformats.org/drawingml/2006/main">
                <a:ext uri="{FF2B5EF4-FFF2-40B4-BE49-F238E27FC236}">
                  <a16:creationId xmlns:a16="http://schemas.microsoft.com/office/drawing/2014/main" id="{C8F4D9CD-9B5C-468F-8595-D6369B19D9D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內容版面配置區 6" descr="一張含有 文字, 團體, 差異, 衣物 的圖片&#10;&#10;自動產生的描述">
                      <a:extLst>
                        <a:ext uri="{FF2B5EF4-FFF2-40B4-BE49-F238E27FC236}">
                          <a16:creationId xmlns:a16="http://schemas.microsoft.com/office/drawing/2014/main" id="{C8F4D9CD-9B5C-468F-8595-D6369B19D9D9}"/>
                        </a:ext>
                      </a:extLst>
                    </pic:cNvP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68775"/>
                    </a:xfrm>
                    <a:prstGeom prst="rect">
                      <a:avLst/>
                    </a:prstGeom>
                    <a:noFill/>
                    <a:ln>
                      <a:noFill/>
                    </a:ln>
                  </pic:spPr>
                </pic:pic>
              </a:graphicData>
            </a:graphic>
          </wp:inline>
        </w:drawing>
      </w:r>
    </w:p>
    <w:p w14:paraId="7F8503C3" w14:textId="77777777" w:rsidR="00F0165F" w:rsidRPr="00EF271B" w:rsidRDefault="00107085" w:rsidP="00EF271B">
      <w:pPr>
        <w:adjustRightInd w:val="0"/>
        <w:snapToGrid w:val="0"/>
        <w:spacing w:line="360" w:lineRule="auto"/>
        <w:jc w:val="both"/>
        <w:rPr>
          <w:rFonts w:ascii="Book Antiqua" w:eastAsia="宋体" w:hAnsi="Book Antiqua" w:cs="Book Antiqua"/>
          <w:b/>
          <w:bCs/>
          <w:color w:val="000000"/>
          <w:lang w:eastAsia="zh-CN"/>
        </w:rPr>
      </w:pPr>
      <w:r w:rsidRPr="00EF271B">
        <w:rPr>
          <w:rFonts w:ascii="Book Antiqua" w:eastAsia="Book Antiqua" w:hAnsi="Book Antiqua" w:cs="Book Antiqua"/>
          <w:b/>
          <w:bCs/>
          <w:color w:val="000000"/>
        </w:rPr>
        <w:t>Figure 4 Bone scan revealed multiple uptake.</w:t>
      </w:r>
    </w:p>
    <w:p w14:paraId="6F0C1997" w14:textId="4FBD8DEE" w:rsidR="00F0165F" w:rsidRPr="00EF271B" w:rsidRDefault="00F0165F" w:rsidP="00EF271B">
      <w:pPr>
        <w:adjustRightInd w:val="0"/>
        <w:snapToGrid w:val="0"/>
        <w:spacing w:line="360" w:lineRule="auto"/>
        <w:jc w:val="both"/>
        <w:rPr>
          <w:rFonts w:ascii="Book Antiqua" w:eastAsia="宋体" w:hAnsi="Book Antiqua" w:cs="Book Antiqua"/>
          <w:b/>
          <w:bCs/>
          <w:color w:val="000000"/>
          <w:lang w:eastAsia="zh-CN"/>
        </w:rPr>
      </w:pPr>
    </w:p>
    <w:sectPr w:rsidR="00F0165F" w:rsidRPr="00EF2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AB9B" w14:textId="77777777" w:rsidR="00B91A65" w:rsidRDefault="00B91A65" w:rsidP="00D04ED0">
      <w:r>
        <w:separator/>
      </w:r>
    </w:p>
  </w:endnote>
  <w:endnote w:type="continuationSeparator" w:id="0">
    <w:p w14:paraId="78C03E34" w14:textId="77777777" w:rsidR="00B91A65" w:rsidRDefault="00B91A65" w:rsidP="00D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87720"/>
      <w:docPartObj>
        <w:docPartGallery w:val="Page Numbers (Bottom of Page)"/>
        <w:docPartUnique/>
      </w:docPartObj>
    </w:sdtPr>
    <w:sdtEndPr/>
    <w:sdtContent>
      <w:sdt>
        <w:sdtPr>
          <w:id w:val="98381352"/>
          <w:docPartObj>
            <w:docPartGallery w:val="Page Numbers (Top of Page)"/>
            <w:docPartUnique/>
          </w:docPartObj>
        </w:sdtPr>
        <w:sdtEndPr/>
        <w:sdtContent>
          <w:p w14:paraId="1E44800B" w14:textId="679A1FB4" w:rsidR="00F0165F" w:rsidRDefault="00F0165F" w:rsidP="00F0165F">
            <w:pPr>
              <w:pStyle w:val="a5"/>
              <w:jc w:val="right"/>
            </w:pPr>
            <w:r w:rsidRPr="00F0165F">
              <w:rPr>
                <w:rFonts w:ascii="Book Antiqua" w:hAnsi="Book Antiqua"/>
                <w:sz w:val="24"/>
                <w:szCs w:val="24"/>
                <w:lang w:val="zh-CN" w:eastAsia="zh-CN"/>
              </w:rPr>
              <w:t xml:space="preserve"> </w:t>
            </w:r>
            <w:r w:rsidRPr="00F0165F">
              <w:rPr>
                <w:rFonts w:ascii="Book Antiqua" w:hAnsi="Book Antiqua"/>
                <w:b/>
                <w:bCs/>
                <w:sz w:val="24"/>
                <w:szCs w:val="24"/>
              </w:rPr>
              <w:fldChar w:fldCharType="begin"/>
            </w:r>
            <w:r w:rsidRPr="00F0165F">
              <w:rPr>
                <w:rFonts w:ascii="Book Antiqua" w:hAnsi="Book Antiqua"/>
                <w:b/>
                <w:bCs/>
                <w:sz w:val="24"/>
                <w:szCs w:val="24"/>
              </w:rPr>
              <w:instrText>PAGE</w:instrText>
            </w:r>
            <w:r w:rsidRPr="00F0165F">
              <w:rPr>
                <w:rFonts w:ascii="Book Antiqua" w:hAnsi="Book Antiqua"/>
                <w:b/>
                <w:bCs/>
                <w:sz w:val="24"/>
                <w:szCs w:val="24"/>
              </w:rPr>
              <w:fldChar w:fldCharType="separate"/>
            </w:r>
            <w:r w:rsidR="00684489">
              <w:rPr>
                <w:rFonts w:ascii="Book Antiqua" w:hAnsi="Book Antiqua"/>
                <w:b/>
                <w:bCs/>
                <w:noProof/>
                <w:sz w:val="24"/>
                <w:szCs w:val="24"/>
              </w:rPr>
              <w:t>18</w:t>
            </w:r>
            <w:r w:rsidRPr="00F0165F">
              <w:rPr>
                <w:rFonts w:ascii="Book Antiqua" w:hAnsi="Book Antiqua"/>
                <w:b/>
                <w:bCs/>
                <w:sz w:val="24"/>
                <w:szCs w:val="24"/>
              </w:rPr>
              <w:fldChar w:fldCharType="end"/>
            </w:r>
            <w:r w:rsidRPr="00F0165F">
              <w:rPr>
                <w:rFonts w:ascii="Book Antiqua" w:hAnsi="Book Antiqua"/>
                <w:sz w:val="24"/>
                <w:szCs w:val="24"/>
                <w:lang w:val="zh-CN" w:eastAsia="zh-CN"/>
              </w:rPr>
              <w:t xml:space="preserve"> / </w:t>
            </w:r>
            <w:r w:rsidRPr="00F0165F">
              <w:rPr>
                <w:rFonts w:ascii="Book Antiqua" w:hAnsi="Book Antiqua"/>
                <w:b/>
                <w:bCs/>
                <w:sz w:val="24"/>
                <w:szCs w:val="24"/>
              </w:rPr>
              <w:fldChar w:fldCharType="begin"/>
            </w:r>
            <w:r w:rsidRPr="00F0165F">
              <w:rPr>
                <w:rFonts w:ascii="Book Antiqua" w:hAnsi="Book Antiqua"/>
                <w:b/>
                <w:bCs/>
                <w:sz w:val="24"/>
                <w:szCs w:val="24"/>
              </w:rPr>
              <w:instrText>NUMPAGES</w:instrText>
            </w:r>
            <w:r w:rsidRPr="00F0165F">
              <w:rPr>
                <w:rFonts w:ascii="Book Antiqua" w:hAnsi="Book Antiqua"/>
                <w:b/>
                <w:bCs/>
                <w:sz w:val="24"/>
                <w:szCs w:val="24"/>
              </w:rPr>
              <w:fldChar w:fldCharType="separate"/>
            </w:r>
            <w:r w:rsidR="00684489">
              <w:rPr>
                <w:rFonts w:ascii="Book Antiqua" w:hAnsi="Book Antiqua"/>
                <w:b/>
                <w:bCs/>
                <w:noProof/>
                <w:sz w:val="24"/>
                <w:szCs w:val="24"/>
              </w:rPr>
              <w:t>18</w:t>
            </w:r>
            <w:r w:rsidRPr="00F0165F">
              <w:rPr>
                <w:rFonts w:ascii="Book Antiqua" w:hAnsi="Book Antiqua"/>
                <w:b/>
                <w:bCs/>
                <w:sz w:val="24"/>
                <w:szCs w:val="24"/>
              </w:rPr>
              <w:fldChar w:fldCharType="end"/>
            </w:r>
          </w:p>
        </w:sdtContent>
      </w:sdt>
    </w:sdtContent>
  </w:sdt>
  <w:p w14:paraId="6A0F02BC" w14:textId="77777777" w:rsidR="00D04ED0" w:rsidRDefault="00D0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2D92" w14:textId="77777777" w:rsidR="00B91A65" w:rsidRDefault="00B91A65" w:rsidP="00D04ED0">
      <w:r>
        <w:separator/>
      </w:r>
    </w:p>
  </w:footnote>
  <w:footnote w:type="continuationSeparator" w:id="0">
    <w:p w14:paraId="49026D4E" w14:textId="77777777" w:rsidR="00B91A65" w:rsidRDefault="00B91A65" w:rsidP="00D0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7085"/>
    <w:rsid w:val="00123F24"/>
    <w:rsid w:val="003E6693"/>
    <w:rsid w:val="00554CB1"/>
    <w:rsid w:val="00625434"/>
    <w:rsid w:val="00684489"/>
    <w:rsid w:val="00740502"/>
    <w:rsid w:val="00860866"/>
    <w:rsid w:val="008806BB"/>
    <w:rsid w:val="009F6FAD"/>
    <w:rsid w:val="00A76D9E"/>
    <w:rsid w:val="00A77B3E"/>
    <w:rsid w:val="00AE1DE5"/>
    <w:rsid w:val="00B91A65"/>
    <w:rsid w:val="00CA2A55"/>
    <w:rsid w:val="00D04ED0"/>
    <w:rsid w:val="00DB7AD0"/>
    <w:rsid w:val="00EF271B"/>
    <w:rsid w:val="00F01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E8506"/>
  <w15:docId w15:val="{9B610A0F-BFB4-4FD3-84DB-5DF3FDB5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4ED0"/>
    <w:pPr>
      <w:tabs>
        <w:tab w:val="center" w:pos="4153"/>
        <w:tab w:val="right" w:pos="8306"/>
      </w:tabs>
      <w:snapToGrid w:val="0"/>
    </w:pPr>
    <w:rPr>
      <w:sz w:val="20"/>
      <w:szCs w:val="20"/>
    </w:rPr>
  </w:style>
  <w:style w:type="character" w:customStyle="1" w:styleId="a4">
    <w:name w:val="页眉 字符"/>
    <w:basedOn w:val="a0"/>
    <w:link w:val="a3"/>
    <w:rsid w:val="00D04ED0"/>
  </w:style>
  <w:style w:type="paragraph" w:styleId="a5">
    <w:name w:val="footer"/>
    <w:basedOn w:val="a"/>
    <w:link w:val="a6"/>
    <w:uiPriority w:val="99"/>
    <w:unhideWhenUsed/>
    <w:rsid w:val="00D04ED0"/>
    <w:pPr>
      <w:tabs>
        <w:tab w:val="center" w:pos="4153"/>
        <w:tab w:val="right" w:pos="8306"/>
      </w:tabs>
      <w:snapToGrid w:val="0"/>
    </w:pPr>
    <w:rPr>
      <w:sz w:val="20"/>
      <w:szCs w:val="20"/>
    </w:rPr>
  </w:style>
  <w:style w:type="character" w:customStyle="1" w:styleId="a6">
    <w:name w:val="页脚 字符"/>
    <w:basedOn w:val="a0"/>
    <w:link w:val="a5"/>
    <w:uiPriority w:val="99"/>
    <w:rsid w:val="00D04ED0"/>
  </w:style>
  <w:style w:type="paragraph" w:styleId="a7">
    <w:name w:val="Balloon Text"/>
    <w:basedOn w:val="a"/>
    <w:link w:val="a8"/>
    <w:rsid w:val="00F0165F"/>
    <w:rPr>
      <w:sz w:val="18"/>
      <w:szCs w:val="18"/>
    </w:rPr>
  </w:style>
  <w:style w:type="character" w:customStyle="1" w:styleId="a8">
    <w:name w:val="批注框文本 字符"/>
    <w:basedOn w:val="a0"/>
    <w:link w:val="a7"/>
    <w:rsid w:val="00F016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2021-09-15T16:23:00Z</dcterms:created>
  <dcterms:modified xsi:type="dcterms:W3CDTF">2021-09-15T16:23:00Z</dcterms:modified>
</cp:coreProperties>
</file>