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BF1D" w14:textId="6D29121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FF47E38" w14:textId="7500111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68468</w:t>
      </w:r>
    </w:p>
    <w:p w14:paraId="419B1D82" w14:textId="3502FB6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</w:t>
      </w:r>
    </w:p>
    <w:p w14:paraId="76C7E50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AA57D1" w14:textId="7E8850A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report</w:t>
      </w:r>
    </w:p>
    <w:p w14:paraId="3AF7ED21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0DCBC" w14:textId="4DAE8658" w:rsidR="00A77B3E" w:rsidRPr="00AF1EA1" w:rsidRDefault="00454BB0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syndrome</w:t>
      </w:r>
    </w:p>
    <w:p w14:paraId="3D30F8A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C00F23" w14:textId="6A3430C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Wei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Qing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454BB0" w:rsidRPr="00AF1EA1">
        <w:rPr>
          <w:rFonts w:ascii="Book Antiqua" w:eastAsia="Book Antiqua" w:hAnsi="Book Antiqua" w:cs="Book Antiqua"/>
          <w:color w:val="000000" w:themeColor="text1"/>
        </w:rPr>
        <w:t>Jie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Ye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-Sheng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</w:p>
    <w:p w14:paraId="55117DD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158FED" w14:textId="273649F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Nong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Qing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Lv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Ye</w:t>
      </w:r>
      <w:r w:rsidR="00454BB0" w:rsidRPr="00AF1EA1">
        <w:rPr>
          <w:rFonts w:ascii="Book Antiqua" w:eastAsia="Book Antiqua" w:hAnsi="Book Antiqua" w:cs="Book Antiqua"/>
          <w:b/>
          <w:bCs/>
          <w:color w:val="000000" w:themeColor="text1"/>
        </w:rPr>
        <w:t>-Sheng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EICU,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People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’</w:t>
      </w:r>
      <w:r w:rsidRPr="00AF1EA1">
        <w:rPr>
          <w:rFonts w:ascii="Book Antiqua" w:eastAsia="Book Antiqua" w:hAnsi="Book Antiqua" w:cs="Book Antiqua"/>
          <w:color w:val="000000" w:themeColor="text1"/>
        </w:rPr>
        <w:t>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537100,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Zhuang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Autonomous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4BB0" w:rsidRPr="00AF1EA1">
        <w:rPr>
          <w:rFonts w:ascii="Book Antiqua" w:eastAsia="Book Antiqua" w:hAnsi="Book Antiqua" w:cs="Book Antiqua"/>
          <w:color w:val="000000" w:themeColor="text1"/>
        </w:rPr>
        <w:t>Region,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</w:t>
      </w:r>
    </w:p>
    <w:p w14:paraId="253F4360" w14:textId="01630A9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7089045" w14:textId="27BF963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QJ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designed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experiment;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drafted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manuscript;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QJ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data;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analyzed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interpreted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data;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17651" w:rsidRPr="00AF1EA1">
        <w:rPr>
          <w:rFonts w:ascii="Book Antiqua" w:eastAsia="Book Antiqua" w:hAnsi="Book Antiqua" w:cs="Book Antiqua"/>
          <w:color w:val="000000" w:themeColor="text1"/>
        </w:rPr>
        <w:t>WX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drafted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6E936B1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809B97" w14:textId="6EBF215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480CFC" w:rsidRPr="00AF1EA1">
        <w:rPr>
          <w:rFonts w:ascii="Book Antiqua" w:eastAsia="Book Antiqua" w:hAnsi="Book Antiqua" w:cs="Book Antiqua"/>
          <w:b/>
          <w:bCs/>
          <w:color w:val="000000" w:themeColor="text1"/>
        </w:rPr>
        <w:t>-Xin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Nong</w:t>
      </w:r>
      <w:proofErr w:type="spellEnd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EICU,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People's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Zhongshan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Road,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Guigang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537100,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Guangxi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Zhuang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Autonomous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Region,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nong38489621@163.com</w:t>
      </w:r>
    </w:p>
    <w:p w14:paraId="68DDACEB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3FB500" w14:textId="618481D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760F7D9D" w14:textId="76C4007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August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5,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4B52EE37" w14:textId="5A33C9A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E131A9">
        <w:rPr>
          <w:rFonts w:ascii="Book Antiqua" w:eastAsia="宋体" w:hAnsi="Book Antiqua" w:hint="eastAsia"/>
          <w:color w:val="000000" w:themeColor="text1"/>
        </w:rPr>
        <w:t>Au</w:t>
      </w:r>
      <w:r w:rsidR="00E131A9">
        <w:rPr>
          <w:rFonts w:ascii="Book Antiqua" w:eastAsia="宋体" w:hAnsi="Book Antiqua"/>
          <w:color w:val="000000" w:themeColor="text1"/>
        </w:rPr>
        <w:t>gust</w:t>
      </w:r>
      <w:r w:rsidR="00E131A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E131A9">
        <w:rPr>
          <w:rFonts w:ascii="Book Antiqua" w:eastAsia="宋体" w:hAnsi="Book Antiqua"/>
          <w:color w:val="000000" w:themeColor="text1"/>
        </w:rPr>
        <w:t>18</w:t>
      </w:r>
      <w:r w:rsidR="00E131A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7898953" w14:textId="5F841360" w:rsidR="00A77B3E" w:rsidRPr="008E26F3" w:rsidRDefault="00D638A3" w:rsidP="00AF1EA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57973" w:rsidRPr="00B444E0">
        <w:rPr>
          <w:rFonts w:ascii="Book Antiqua" w:eastAsia="宋体" w:hAnsi="Book Antiqua"/>
          <w:color w:val="000000" w:themeColor="text1"/>
        </w:rPr>
        <w:t>November 26</w:t>
      </w:r>
      <w:r w:rsidR="00A57973" w:rsidRPr="00F06907">
        <w:rPr>
          <w:rFonts w:ascii="Book Antiqua" w:eastAsia="宋体" w:hAnsi="Book Antiqua"/>
          <w:color w:val="000000" w:themeColor="text1"/>
        </w:rPr>
        <w:t>, 2021</w:t>
      </w:r>
    </w:p>
    <w:p w14:paraId="02660AB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F1EA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61F52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8DC448A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253E3202" w14:textId="7B69E64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characterized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hypoalbuminemia,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hypovolemic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concentration,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serosal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life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5E11425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2A74EB" w14:textId="7EA1C30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SUMMARY</w:t>
      </w:r>
    </w:p>
    <w:p w14:paraId="74548FE7" w14:textId="204C0C6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58-year-old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female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admitted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accidental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phencyclidine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hydrochloride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pralidoxime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iodide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detoxification,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mechanical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replacement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environment,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hemoperfusion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excretion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also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transfusion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(VV-ECMO)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given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amount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ascites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became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apparent.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indwelling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stabilized.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F41"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later.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unconsciousness,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gastroscopic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evaluation,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erosions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entire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stomach.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family’s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stopped,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discharged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day.</w:t>
      </w:r>
    </w:p>
    <w:p w14:paraId="6B2193F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365F19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AEAF900" w14:textId="23764B6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ECMO,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crucial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5F7AAD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F20B34" w14:textId="5C17E0D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Extracorporeal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oxidation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2EEC" w:rsidRPr="00AF1EA1">
        <w:rPr>
          <w:rFonts w:ascii="Book Antiqua" w:eastAsia="Book Antiqua" w:hAnsi="Book Antiqua" w:cs="Book Antiqua"/>
          <w:color w:val="000000" w:themeColor="text1"/>
        </w:rPr>
        <w:t>report</w:t>
      </w:r>
    </w:p>
    <w:p w14:paraId="2FCEAB16" w14:textId="77777777" w:rsidR="006710D7" w:rsidRDefault="006710D7" w:rsidP="006710D7">
      <w:pPr>
        <w:spacing w:line="360" w:lineRule="auto"/>
        <w:jc w:val="both"/>
        <w:rPr>
          <w:lang w:eastAsia="zh-CN"/>
        </w:rPr>
      </w:pPr>
    </w:p>
    <w:p w14:paraId="26862A02" w14:textId="77777777" w:rsidR="006710D7" w:rsidRPr="00026CB8" w:rsidRDefault="006710D7" w:rsidP="006710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0A480E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037792" w14:textId="468997AC" w:rsidR="009A31A0" w:rsidRDefault="00917AD7" w:rsidP="004C5C61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917AD7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Citation: </w:t>
      </w:r>
      <w:proofErr w:type="spellStart"/>
      <w:r w:rsidR="00D638A3" w:rsidRPr="00AF1EA1">
        <w:rPr>
          <w:rFonts w:ascii="Book Antiqua" w:eastAsia="Book Antiqua" w:hAnsi="Book Antiqua" w:cs="Book Antiqua"/>
          <w:color w:val="000000" w:themeColor="text1"/>
        </w:rPr>
        <w:t>Nong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W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X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638A3" w:rsidRPr="00AF1EA1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Q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J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Lu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Y</w:t>
      </w:r>
      <w:r w:rsidR="006B14C3" w:rsidRPr="00AF1EA1">
        <w:rPr>
          <w:rFonts w:ascii="Book Antiqua" w:eastAsia="Book Antiqua" w:hAnsi="Book Antiqua" w:cs="Book Antiqua"/>
          <w:color w:val="000000" w:themeColor="text1"/>
        </w:rPr>
        <w:t>S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638A3"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="00D638A3"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D638A3"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D638A3"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_Hlk56867303"/>
      <w:r w:rsidR="004C5C61" w:rsidRPr="00D2753A">
        <w:rPr>
          <w:rFonts w:ascii="Book Antiqua" w:eastAsia="Book Antiqua" w:hAnsi="Book Antiqua" w:cs="Book Antiqua"/>
          <w:lang w:val="pt-BR"/>
        </w:rPr>
        <w:t>2021; 9(</w:t>
      </w:r>
      <w:r w:rsidR="004C5C61">
        <w:rPr>
          <w:rFonts w:ascii="Book Antiqua" w:eastAsia="Book Antiqua" w:hAnsi="Book Antiqua" w:cs="Book Antiqua"/>
          <w:lang w:val="pt-BR"/>
        </w:rPr>
        <w:t>33</w:t>
      </w:r>
      <w:r w:rsidR="004C5C61" w:rsidRPr="00D2753A">
        <w:rPr>
          <w:rFonts w:ascii="Book Antiqua" w:eastAsia="Book Antiqua" w:hAnsi="Book Antiqua" w:cs="Book Antiqua"/>
          <w:lang w:val="pt-BR"/>
        </w:rPr>
        <w:t xml:space="preserve">): </w:t>
      </w:r>
      <w:r w:rsidR="000C628F" w:rsidRPr="000C628F">
        <w:rPr>
          <w:rFonts w:ascii="Book Antiqua" w:eastAsia="Book Antiqua" w:hAnsi="Book Antiqua" w:cs="Book Antiqua"/>
          <w:lang w:val="pt-BR"/>
        </w:rPr>
        <w:t>10273-10278</w:t>
      </w:r>
      <w:r w:rsidR="004C5C61" w:rsidRPr="00D2753A">
        <w:rPr>
          <w:rFonts w:ascii="Book Antiqua" w:eastAsia="Book Antiqua" w:hAnsi="Book Antiqua" w:cs="Book Antiqua"/>
          <w:lang w:val="pt-BR"/>
        </w:rPr>
        <w:t xml:space="preserve"> </w:t>
      </w:r>
    </w:p>
    <w:p w14:paraId="59B2FF9A" w14:textId="77777777" w:rsidR="009A31A0" w:rsidRDefault="004C5C61" w:rsidP="004C5C61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917AD7">
        <w:rPr>
          <w:rFonts w:ascii="Book Antiqua" w:eastAsia="Book Antiqua" w:hAnsi="Book Antiqua" w:cs="Book Antiqua"/>
          <w:b/>
          <w:lang w:val="pt-BR"/>
        </w:rPr>
        <w:t xml:space="preserve">URL: </w:t>
      </w:r>
      <w:r w:rsidRPr="00B90A6E">
        <w:rPr>
          <w:rFonts w:ascii="Book Antiqua" w:eastAsia="Book Antiqua" w:hAnsi="Book Antiqua" w:cs="Book Antiqua"/>
          <w:lang w:val="pt-BR"/>
        </w:rPr>
        <w:t>https://www.wjgnet.com/2307-8960/full/v9/i3</w:t>
      </w:r>
      <w:r>
        <w:rPr>
          <w:rFonts w:ascii="Book Antiqua" w:eastAsia="Book Antiqua" w:hAnsi="Book Antiqua" w:cs="Book Antiqua"/>
          <w:lang w:val="pt-BR"/>
        </w:rPr>
        <w:t>3</w:t>
      </w:r>
      <w:r w:rsidRPr="00B90A6E">
        <w:rPr>
          <w:rFonts w:ascii="Book Antiqua" w:eastAsia="Book Antiqua" w:hAnsi="Book Antiqua" w:cs="Book Antiqua"/>
          <w:lang w:val="pt-BR"/>
        </w:rPr>
        <w:t>/</w:t>
      </w:r>
      <w:r w:rsidR="000C628F" w:rsidRPr="000C628F">
        <w:rPr>
          <w:rFonts w:ascii="Book Antiqua" w:eastAsia="Book Antiqua" w:hAnsi="Book Antiqua" w:cs="Book Antiqua"/>
          <w:lang w:val="pt-BR"/>
        </w:rPr>
        <w:t>10273</w:t>
      </w:r>
      <w:r w:rsidRPr="00B90A6E">
        <w:rPr>
          <w:rFonts w:ascii="Book Antiqua" w:eastAsia="Book Antiqua" w:hAnsi="Book Antiqua" w:cs="Book Antiqua"/>
          <w:lang w:val="pt-BR"/>
        </w:rPr>
        <w:t>.htm</w:t>
      </w:r>
      <w:r>
        <w:rPr>
          <w:rFonts w:ascii="Book Antiqua" w:eastAsia="Book Antiqua" w:hAnsi="Book Antiqua" w:cs="Book Antiqua"/>
          <w:lang w:val="pt-BR"/>
        </w:rPr>
        <w:t xml:space="preserve">  </w:t>
      </w:r>
    </w:p>
    <w:p w14:paraId="33E6E4F4" w14:textId="4304A158" w:rsidR="004C5C61" w:rsidRPr="00D2753A" w:rsidRDefault="004C5C61" w:rsidP="004C5C61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917AD7">
        <w:rPr>
          <w:rFonts w:ascii="Book Antiqua" w:eastAsia="Book Antiqua" w:hAnsi="Book Antiqua" w:cs="Book Antiqua"/>
          <w:b/>
          <w:lang w:val="pt-BR"/>
        </w:rPr>
        <w:t>DOI:</w:t>
      </w:r>
      <w:r w:rsidRPr="00D2753A">
        <w:rPr>
          <w:rFonts w:ascii="Book Antiqua" w:eastAsia="Book Antiqua" w:hAnsi="Book Antiqua" w:cs="Book Antiqua"/>
          <w:lang w:val="pt-BR"/>
        </w:rPr>
        <w:t xml:space="preserve"> https://dx.doi.org/10.12998/wjcc.v9.i</w:t>
      </w:r>
      <w:r>
        <w:rPr>
          <w:rFonts w:ascii="Book Antiqua" w:eastAsia="Book Antiqua" w:hAnsi="Book Antiqua" w:cs="Book Antiqua"/>
          <w:lang w:val="pt-BR"/>
        </w:rPr>
        <w:t>33</w:t>
      </w:r>
      <w:r w:rsidRPr="00D2753A">
        <w:rPr>
          <w:rFonts w:ascii="Book Antiqua" w:eastAsia="Book Antiqua" w:hAnsi="Book Antiqua" w:cs="Book Antiqua"/>
          <w:lang w:val="pt-BR"/>
        </w:rPr>
        <w:t>.</w:t>
      </w:r>
      <w:r w:rsidR="000C628F" w:rsidRPr="000C628F">
        <w:rPr>
          <w:rFonts w:ascii="Book Antiqua" w:eastAsia="Book Antiqua" w:hAnsi="Book Antiqua" w:cs="Book Antiqua"/>
          <w:lang w:val="pt-BR"/>
        </w:rPr>
        <w:t>10273</w:t>
      </w:r>
    </w:p>
    <w:bookmarkEnd w:id="3"/>
    <w:p w14:paraId="6598D28A" w14:textId="3BEA3CE8" w:rsidR="00A77B3E" w:rsidRPr="004C5C6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32D1E36E" w14:textId="3FCEAE1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by </w:t>
      </w:r>
      <w:proofErr w:type="spellStart"/>
      <w:r w:rsidR="007C224E"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="007C224E"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>
        <w:rPr>
          <w:rFonts w:ascii="Book Antiqua" w:eastAsia="Book Antiqua" w:hAnsi="Book Antiqua" w:cs="Book Antiqua"/>
          <w:color w:val="000000" w:themeColor="text1"/>
        </w:rPr>
        <w:t>i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s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which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224E"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improv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ing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6E8B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B61E97" w:rsidRPr="00AF1EA1">
        <w:rPr>
          <w:rFonts w:ascii="Book Antiqua" w:eastAsia="Book Antiqua" w:hAnsi="Book Antiqua" w:cs="Book Antiqua"/>
          <w:color w:val="000000" w:themeColor="text1"/>
        </w:rPr>
        <w:t>ensur</w:t>
      </w:r>
      <w:r w:rsidR="00B61E97">
        <w:rPr>
          <w:rFonts w:ascii="Book Antiqua" w:eastAsia="Book Antiqua" w:hAnsi="Book Antiqua" w:cs="Book Antiqua"/>
          <w:color w:val="000000" w:themeColor="text1"/>
        </w:rPr>
        <w:t xml:space="preserve">ing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</w:p>
    <w:p w14:paraId="390ED0FF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749EE8" w14:textId="2B49CFD0" w:rsidR="00A77B3E" w:rsidRPr="00AF1EA1" w:rsidRDefault="007C224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D638A3"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CAF2AFD" w14:textId="5E7CC7B2" w:rsidR="00AF4703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group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hypoproteinemia,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hypovolemic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concentration,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serosal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1-4]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251FEEF6" w14:textId="0E472A84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likely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alveoli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exchange,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aggravates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Subsequently,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mortality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easily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recognition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(including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control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enhancing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prevention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deterioration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crucial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illnesses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herein </w:t>
      </w:r>
      <w:r w:rsidRPr="00AF1EA1">
        <w:rPr>
          <w:rFonts w:ascii="Book Antiqua" w:eastAsia="Book Antiqua" w:hAnsi="Book Antiqua" w:cs="Book Antiqua"/>
          <w:color w:val="000000" w:themeColor="text1"/>
        </w:rPr>
        <w:t>present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veno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-venous-extracorporeal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(VV-ECMO)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AF1EA1">
        <w:rPr>
          <w:rFonts w:ascii="Book Antiqua" w:eastAsia="Book Antiqua" w:hAnsi="Book Antiqua" w:cs="Book Antiqua"/>
          <w:color w:val="000000" w:themeColor="text1"/>
        </w:rPr>
        <w:t>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department.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1F19B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2ABD8D" w14:textId="62B4786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73B6A0E9" w14:textId="567B449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404810EB" w14:textId="326C2A6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58-year-old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female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admitted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accidental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BDCE08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5C766" w14:textId="6344586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080F5A44" w14:textId="3809279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unconscious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h.</w:t>
      </w:r>
    </w:p>
    <w:p w14:paraId="50069DBF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DE8753" w14:textId="1557867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BFA33F2" w14:textId="03DD9F2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prolonged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history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schizophrenia.</w:t>
      </w:r>
    </w:p>
    <w:p w14:paraId="48A7BEFA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566498" w14:textId="2839F4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Personal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1B5E0B04" w14:textId="24F92B8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endotracheal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intubation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lavage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at 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center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referred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electronic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intensive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hospital.</w:t>
      </w:r>
    </w:p>
    <w:p w14:paraId="01D94C3C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4E3A9F" w14:textId="7D3AB31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3C2B884E" w14:textId="5B531DF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Physical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examination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revealed the following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T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emperature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°C;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150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beats/min;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rate,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beats/min;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75/50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shallow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coma;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bilateral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pupil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diameter,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light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reflection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disappear</w:t>
      </w:r>
      <w:r w:rsidR="006D6A3E">
        <w:rPr>
          <w:rFonts w:ascii="Book Antiqua" w:eastAsia="Book Antiqua" w:hAnsi="Book Antiqua" w:cs="Book Antiqua"/>
          <w:color w:val="000000" w:themeColor="text1"/>
        </w:rPr>
        <w:t>ance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wet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 xml:space="preserve">cold </w:t>
      </w:r>
      <w:r w:rsidRPr="00AF1EA1">
        <w:rPr>
          <w:rFonts w:ascii="Book Antiqua" w:eastAsia="Book Antiqua" w:hAnsi="Book Antiqua" w:cs="Book Antiqua"/>
          <w:color w:val="000000" w:themeColor="text1"/>
        </w:rPr>
        <w:t>skin;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moist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lungs;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soft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abdomen;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disappearance of </w:t>
      </w:r>
      <w:r w:rsidRPr="00AF1EA1">
        <w:rPr>
          <w:rFonts w:ascii="Book Antiqua" w:eastAsia="Book Antiqua" w:hAnsi="Book Antiqua" w:cs="Book Antiqua"/>
          <w:color w:val="000000" w:themeColor="text1"/>
        </w:rPr>
        <w:t>intestinal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sounds.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Chronic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Health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Evaluation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score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points,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Sequential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Assessment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score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points.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18FF0D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FD87C3" w14:textId="3D169F4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E131A9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034E2F5E" w14:textId="046724A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Arterial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analysis</w:t>
      </w:r>
      <w:r w:rsidR="006D6A3E" w:rsidRP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revealed the following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7.28;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carbon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dioxide,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(PaO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(PaO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/FiO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6.7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/L;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HCO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18.2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mmol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/L;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cholinesterase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(urgent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check),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U/L.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information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ingested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obtained.</w:t>
      </w:r>
    </w:p>
    <w:p w14:paraId="40D0DF56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14B8D1" w14:textId="1F16875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3E02E3D9" w14:textId="199AEBA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included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organophosphorus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acute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failure,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aspiration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pneumonia,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schizophrenia.</w:t>
      </w:r>
    </w:p>
    <w:p w14:paraId="0FEBBEF9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0A0057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1F52C62D" w14:textId="725A1955" w:rsidR="001D72F6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phencyclidine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hydrochloride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pralidoxime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iodide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detoxify,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replacement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environment,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hemoperfusion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excretion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transfusion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stabilized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hypertensive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drugs.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Subsequently,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combined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cardiac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output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(PICCO)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monitoring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carried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hemodynamics.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Cardiopulmonary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following: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6A3E">
        <w:rPr>
          <w:rFonts w:ascii="Book Antiqua" w:eastAsia="Book Antiqua" w:hAnsi="Book Antiqua" w:cs="Book Antiqua"/>
          <w:color w:val="000000" w:themeColor="text1"/>
        </w:rPr>
        <w:t>E</w:t>
      </w:r>
      <w:r w:rsidR="006D6A3E" w:rsidRPr="00AF1EA1">
        <w:rPr>
          <w:rFonts w:ascii="Book Antiqua" w:eastAsia="Book Antiqua" w:hAnsi="Book Antiqua" w:cs="Book Antiqua"/>
          <w:color w:val="000000" w:themeColor="text1"/>
        </w:rPr>
        <w:t>jection</w:t>
      </w:r>
      <w:r w:rsidR="006D6A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fraction,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45%;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lungs;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525AD" w:rsidRPr="00C525AD">
        <w:rPr>
          <w:rFonts w:ascii="Book Antiqua" w:eastAsia="Book Antiqua" w:hAnsi="Book Antiqua" w:cs="Book Antiqua"/>
          <w:color w:val="000000" w:themeColor="text1"/>
        </w:rPr>
        <w:t>cardiac 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2.9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L/min/m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525AD" w:rsidRPr="00C525AD">
        <w:rPr>
          <w:rFonts w:ascii="Book Antiqua" w:eastAsia="Book Antiqua" w:hAnsi="Book Antiqua" w:cs="Book Antiqua"/>
          <w:color w:val="000000" w:themeColor="text1"/>
        </w:rPr>
        <w:t>gl</w:t>
      </w:r>
      <w:r w:rsidR="00C525AD">
        <w:rPr>
          <w:rFonts w:ascii="Book Antiqua" w:eastAsia="Book Antiqua" w:hAnsi="Book Antiqua" w:cs="Book Antiqua"/>
          <w:color w:val="000000" w:themeColor="text1"/>
        </w:rPr>
        <w:t>obal end-diastolic volume 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439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resistance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1458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dyn.s.cm-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AF1EA1">
        <w:rPr>
          <w:rFonts w:ascii="Book Antiqua" w:eastAsia="Book Antiqua" w:hAnsi="Book Antiqua" w:cs="Book Antiqua"/>
          <w:color w:val="000000" w:themeColor="text1"/>
        </w:rPr>
        <w:t>.m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extravascular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lung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water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EVLWI</w:t>
      </w:r>
      <w:r w:rsidR="00AF5699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mL/kg;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(</w:t>
      </w:r>
      <w:r w:rsidRPr="00AF1EA1">
        <w:rPr>
          <w:rFonts w:ascii="Book Antiqua" w:eastAsia="Book Antiqua" w:hAnsi="Book Antiqua" w:cs="Book Antiqua"/>
          <w:color w:val="000000" w:themeColor="text1"/>
        </w:rPr>
        <w:t>PVPI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)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4.3;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central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venous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5E8C"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findings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suggested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capacity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reactivity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expansion.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Moreover,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intravascular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rapidly,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findings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deteriorated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EVLWI,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mL/kg;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PVPI,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8.7;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pesticide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poisoning.</w:t>
      </w:r>
    </w:p>
    <w:p w14:paraId="2A27DA86" w14:textId="19FFF269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Considering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expansion.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patient's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worsen,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difficulties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end-expiratory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50EC"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O;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PPLAT,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</w:t>
      </w:r>
      <w:r w:rsidRPr="00AF1EA1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AF1EA1">
        <w:rPr>
          <w:rFonts w:ascii="Book Antiqua" w:eastAsia="Book Antiqua" w:hAnsi="Book Antiqua" w:cs="Book Antiqua"/>
          <w:color w:val="000000" w:themeColor="text1"/>
        </w:rPr>
        <w:t>O;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PICCO,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EVLWI,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index,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54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received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hour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admission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members.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patient’s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low-flow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alarm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appeared.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bedside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ultrasonography,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amount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ascites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performed,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hydroperitoneal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significantly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high.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indwelling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continuous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level.</w:t>
      </w:r>
    </w:p>
    <w:p w14:paraId="55F70B50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79E497" w14:textId="491C8E3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E131A9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3C43373E" w14:textId="1CB701B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above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545275">
        <w:rPr>
          <w:rFonts w:ascii="Book Antiqua" w:eastAsia="Book Antiqua" w:hAnsi="Book Antiqua" w:cs="Book Antiqua"/>
          <w:color w:val="000000" w:themeColor="text1"/>
        </w:rPr>
        <w:t>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gradually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cholinesterase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level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4917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U/L,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taken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machine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successfully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support,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index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mmHg.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became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lucid,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muscle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strength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jejunal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endoscopic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visualization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enteral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nutrition,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stomach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found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eroded;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mucosa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gastric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bulb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descending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covered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coke,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bleeding,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functional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(Figure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prognosis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poor,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family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learned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condition,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consented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discharged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day.</w:t>
      </w:r>
    </w:p>
    <w:p w14:paraId="79AB1CD0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7D5452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939AB76" w14:textId="52A49C7C" w:rsidR="004C184D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condition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associated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interstitial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[2,8,9]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characterized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rapidly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hypotension,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hypoproteinemia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observed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variety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diseases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common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pathogenesis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elucidated.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scholars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believe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includes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influence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mediators.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semi-permeability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barrier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composed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basement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physiological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conditions,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electrolytes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allowed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through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substance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exchange.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Meanwhile,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passage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toxins,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metabolites,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restricted.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body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stimulated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variety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stressors,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become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necrosis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gaps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semi-permeability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barrier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seriously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damaged.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reduces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filtration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macromolecular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substances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stimulation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pathogenic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factors,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monocytes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macrophages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various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proinflammatory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cytokines.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granulocytes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AF1EA1">
        <w:rPr>
          <w:rFonts w:ascii="Book Antiqua" w:eastAsia="Book Antiqua" w:hAnsi="Book Antiqua" w:cs="Book Antiqua"/>
          <w:color w:val="000000" w:themeColor="text1"/>
        </w:rPr>
        <w:t>accelerates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metabolism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arachidonic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radicals,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thrombotin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A2,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prostaglandins,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mediators,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forming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"inflammatory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cascade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effect"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AF1EA1">
        <w:rPr>
          <w:rFonts w:ascii="Book Antiqua" w:eastAsia="Book Antiqua" w:hAnsi="Book Antiqua" w:cs="Book Antiqua"/>
          <w:color w:val="000000" w:themeColor="text1"/>
        </w:rPr>
        <w:t>causing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disorders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number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inflammatory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mediators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directly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injury,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apoptosis,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deformation,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connection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separation,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even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fracture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AF1EA1">
        <w:rPr>
          <w:rFonts w:ascii="Book Antiqua" w:eastAsia="Book Antiqua" w:hAnsi="Book Antiqua" w:cs="Book Antiqua"/>
          <w:color w:val="000000" w:themeColor="text1"/>
        </w:rPr>
        <w:t>resulting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destruction.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cadherin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deposition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microvascular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fibers,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ultimately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addition,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paracrine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histamine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bradykinin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damaged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further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promote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14A202AB" w14:textId="3EACD60C" w:rsidR="00A77B3E" w:rsidRPr="00AF1EA1" w:rsidRDefault="00D638A3" w:rsidP="00AF1EA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Currently,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studies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However,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measures,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time-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consuming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vessels,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drops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progressively.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prevent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shock.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Whether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controversial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high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permeability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low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molecular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weight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phase,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exudated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leading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infusion.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crystal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liquid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should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limited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ensuring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avoid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inter-tissue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Thus,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albumin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infusion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inevitably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aggravated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large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amount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capillaries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interstitium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lung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pulmonary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compliance,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airway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resistance,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decreased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function.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Severe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hypoxemia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occurred,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despite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ventilator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support</w:t>
      </w:r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VV-ECMO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also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presented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abdominal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space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therefore,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relieved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compression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symptoms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edema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minimally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invasive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drainage,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puncture,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maintain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obtain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process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observed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intake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output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volume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shown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1.</w:t>
      </w:r>
    </w:p>
    <w:p w14:paraId="264D12FE" w14:textId="77777777" w:rsidR="00A77B3E" w:rsidRPr="00AF1EA1" w:rsidRDefault="00A77B3E" w:rsidP="00AF1EA1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75DE6EF0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7152F721" w14:textId="4BF35D3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summary,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complex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etiology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quick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onset.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Specific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methods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lacking,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easily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organ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dysfunction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proofErr w:type="gramEnd"/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regard,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early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identification,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primary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resuscitation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management,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increasing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colloidal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osmotic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pressure,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improving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circulation,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ensuring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tissue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supply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key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elements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diseases</w:t>
      </w:r>
      <w:r w:rsidR="0054527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ECMO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plays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important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positive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CLS.</w:t>
      </w:r>
    </w:p>
    <w:p w14:paraId="16DF9644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946A20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AB802AD" w14:textId="258AB23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OLE_LINK5"/>
      <w:r w:rsidRPr="00AF1EA1">
        <w:rPr>
          <w:rFonts w:ascii="Book Antiqua" w:eastAsia="Book Antiqua" w:hAnsi="Book Antiqua" w:cs="Book Antiqua"/>
          <w:color w:val="000000" w:themeColor="text1"/>
        </w:rPr>
        <w:t>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Suzuki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Ichibayashi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Yamamoto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Serizawa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Nakamichi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Watanabe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Honda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Plasma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filtration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dialysis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occurring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surgery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colon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cancer-related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perforating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peritonitis.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1490-1493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33768874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10.1002/ccr3.3811]</w:t>
      </w:r>
    </w:p>
    <w:p w14:paraId="104B7168" w14:textId="76439DF5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Massafra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Passalacqua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Lupo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Altavilla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Santarpia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induced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neoadjuvant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cisplatin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gemcitabine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bladder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101461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33101987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10.1016/j.eucr.2020.101461]</w:t>
      </w:r>
    </w:p>
    <w:p w14:paraId="394A4BFE" w14:textId="113F810B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Kasugai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Tajima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Jingushi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Uenishi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Hirakawa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Multiple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limb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compartment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manifestation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metformin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dipeptidyl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peptidase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IV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inhibitor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overdose: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e21202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32702885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10.1097/MD.0000000000021202]</w:t>
      </w:r>
    </w:p>
    <w:p w14:paraId="7252255D" w14:textId="38299C0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Khan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HR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Khan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Srikanth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recurrent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pericardial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pleural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effusions.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1-5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32352064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ehjcr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/ytaa013]</w:t>
      </w:r>
    </w:p>
    <w:p w14:paraId="547055AC" w14:textId="1A90715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Kwon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Song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HG,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Zang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DY.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Two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were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treated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pentastarch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Korean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Intern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130-132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17616032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10.3904/kjim.2007.22.2.130]</w:t>
      </w:r>
    </w:p>
    <w:p w14:paraId="74938F1B" w14:textId="738CF319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YT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Yao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Zhong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XD,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Unexpected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vincristine-induced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Wilm's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tumor: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single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institution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experience.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Hematol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90-96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31868068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10.1080/08880018.2019.1685031]</w:t>
      </w:r>
    </w:p>
    <w:p w14:paraId="5BE60707" w14:textId="4562458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Jeong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GH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Kim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JW,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Kronbichler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Eisenhut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Vliet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Abdel-Rahman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Stubbs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Solmi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Veronese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Dragioti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Koyanagi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Radua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Shin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JI.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Incidence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Adverse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Effect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Drugs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Cancer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Patients: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Systematic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Review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Meta-Analysis.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30691103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10.3390/jcm8020143]</w:t>
      </w:r>
    </w:p>
    <w:p w14:paraId="22A87A13" w14:textId="21AA38C6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Pérez-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Moyano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Rodríguez-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Bolaños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Ortega-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Gálvez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Borrego-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García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Benavente-Fernández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forgotten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differential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diagnosis.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Emergencias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32395941]</w:t>
      </w:r>
    </w:p>
    <w:p w14:paraId="345FFF46" w14:textId="54B18DC2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Morin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Simon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Chadelaud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Delarbre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Druelle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Blatteau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decompression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sickness: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report].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Interne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38-42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30342791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10.1016/j.revmed.2018.07.013]</w:t>
      </w:r>
    </w:p>
    <w:p w14:paraId="61D0E822" w14:textId="1BF19BF8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Vedala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Desikan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McClain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3rd,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Jacob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Desikan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From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Rituximab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Lymphoma.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Investig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High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Impact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2324709620942372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32666835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10.1177/2324709620942372]</w:t>
      </w:r>
    </w:p>
    <w:p w14:paraId="26665A09" w14:textId="65F056A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11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Ramaniuk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Martin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Simpson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Harden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Ataya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Coronavirus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2019.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Chest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e267-e268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32622823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10.1016/j.chest.2020.06.049]</w:t>
      </w:r>
    </w:p>
    <w:p w14:paraId="3F98E482" w14:textId="478204D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Zhang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Liu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aseptic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meningitis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patient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Kawasaki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e10716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29879013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10.1097/MD.0000000000010716]</w:t>
      </w:r>
    </w:p>
    <w:p w14:paraId="678335E0" w14:textId="2A003C3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Kendre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PP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MP,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Varghese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Menon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Joseph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Daboia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russelii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bite-a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complication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associated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poor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outcome.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Soc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Trop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Hyg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88-93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29584906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trstmh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/try026]</w:t>
      </w:r>
    </w:p>
    <w:p w14:paraId="2FB6CCBC" w14:textId="7E876C4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14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Oberholzer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Oberholzer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Moldawer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Cytokine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signaling--regulation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response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normal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ill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states.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N3-12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10807312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10.1097/00003246-200004001-00002]</w:t>
      </w:r>
    </w:p>
    <w:p w14:paraId="12D91387" w14:textId="31C30BF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Xie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Ghosh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Patel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Iwaki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Gaskins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Nelson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Jones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Greipp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Parikh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Druey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Vascular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endothelial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hyperpermeability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induces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clinical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symptoms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Clarkson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disease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syndrome).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Blood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2012;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4321-4332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22411873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10.1182/blood-2011-08-375816]</w:t>
      </w:r>
    </w:p>
    <w:p w14:paraId="2CCEE39B" w14:textId="10F24460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16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Lenz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Franklin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Cheadle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WG.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inflammation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after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trauma.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Injury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2007;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1336-1345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18048040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10.1016/j.injury.2007.10.003]</w:t>
      </w:r>
    </w:p>
    <w:p w14:paraId="17FE88AE" w14:textId="76373BB3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17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Darvishi</w:t>
      </w:r>
      <w:proofErr w:type="spellEnd"/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Farahmand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Jalili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Majidzadeh</w:t>
      </w:r>
      <w:proofErr w:type="spellEnd"/>
      <w:r w:rsidRPr="00AF1EA1">
        <w:rPr>
          <w:rFonts w:ascii="Book Antiqua" w:eastAsia="Book Antiqua" w:hAnsi="Book Antiqua" w:cs="Book Antiqua"/>
          <w:color w:val="000000" w:themeColor="text1"/>
        </w:rPr>
        <w:t>-A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K.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Probable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Mechanisms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Involved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Immunotoxin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Mediated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(CLS)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Recently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Developed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Countering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Strategies.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335-342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30289072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10.2174/1566524018666181004120112]</w:t>
      </w:r>
    </w:p>
    <w:p w14:paraId="1ACE26BF" w14:textId="31695C2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18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Watanabe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Murakami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Misago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Yoshikawa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Tamai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Nakao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Ueoka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Shinomura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Kajiwara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Sjögren's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concurrent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protein-losing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gastroenteropathy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secondary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systemic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2018;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1829-1833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30214773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10.1002/ccr3.1675]</w:t>
      </w:r>
    </w:p>
    <w:p w14:paraId="71B13551" w14:textId="5E38954A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19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Marx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AF1EA1">
        <w:rPr>
          <w:rFonts w:ascii="Book Antiqua" w:eastAsia="Book Antiqua" w:hAnsi="Book Antiqua" w:cs="Book Antiqua"/>
          <w:color w:val="000000" w:themeColor="text1"/>
        </w:rPr>
        <w:t>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Fluid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therapy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sepsis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leakage.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Anaesthesiol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2003;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429-442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12803259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10.1017/s0265021503000681]</w:t>
      </w:r>
    </w:p>
    <w:p w14:paraId="36574CA7" w14:textId="5A6A8B9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20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Ortega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AF1EA1">
        <w:rPr>
          <w:rFonts w:ascii="Book Antiqua" w:eastAsia="Book Antiqua" w:hAnsi="Book Antiqua" w:cs="Book Antiqua"/>
          <w:color w:val="000000" w:themeColor="text1"/>
        </w:rPr>
        <w:t>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Carboni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Bisso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Fernandez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Ceballos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Montserrat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Rivera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Tisminetzky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Dianti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Román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Villarroel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Stefano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Heras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Extracorporeal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Membrane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Oxygenation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idiopathic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capillary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leak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syndrome: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case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report].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Fac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Cien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Univ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Nac</w:t>
      </w:r>
      <w:proofErr w:type="spellEnd"/>
      <w:r w:rsidR="00E131A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i/>
          <w:iCs/>
          <w:color w:val="000000" w:themeColor="text1"/>
        </w:rPr>
        <w:t>Cordoba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2020;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77</w:t>
      </w:r>
      <w:r w:rsidRPr="00AF1EA1">
        <w:rPr>
          <w:rFonts w:ascii="Book Antiqua" w:eastAsia="Book Antiqua" w:hAnsi="Book Antiqua" w:cs="Book Antiqua"/>
          <w:color w:val="000000" w:themeColor="text1"/>
        </w:rPr>
        <w:t>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208-210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[PMID: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32991115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DOI: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10.31053/1853.0605.v77.n3.26960]</w:t>
      </w:r>
    </w:p>
    <w:bookmarkEnd w:id="4"/>
    <w:p w14:paraId="4E246F9E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F1E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AEF24" w14:textId="7777777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81523BF" w14:textId="5716095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>Informed written consent was obtained from the patient</w:t>
      </w:r>
      <w:r w:rsidR="00EB6238">
        <w:rPr>
          <w:rFonts w:ascii="Book Antiqua" w:eastAsia="Book Antiqua" w:hAnsi="Book Antiqua" w:cs="Book Antiqua"/>
          <w:bCs/>
          <w:color w:val="000000" w:themeColor="text1"/>
        </w:rPr>
        <w:t>’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 xml:space="preserve">s </w:t>
      </w:r>
      <w:r w:rsidR="00EB6238">
        <w:rPr>
          <w:rFonts w:ascii="Book Antiqua" w:eastAsia="Book Antiqua" w:hAnsi="Book Antiqua" w:cs="Book Antiqua"/>
          <w:bCs/>
          <w:color w:val="000000" w:themeColor="text1"/>
        </w:rPr>
        <w:t xml:space="preserve">family </w:t>
      </w:r>
      <w:r w:rsidR="00EB6238" w:rsidRPr="003A6E8B">
        <w:rPr>
          <w:rFonts w:ascii="Book Antiqua" w:eastAsia="Book Antiqua" w:hAnsi="Book Antiqua" w:cs="Book Antiqua"/>
          <w:bCs/>
          <w:color w:val="000000" w:themeColor="text1"/>
        </w:rPr>
        <w:t>for the publication of this report and any accompanying images</w:t>
      </w:r>
      <w:r w:rsidRPr="00EB6238">
        <w:rPr>
          <w:rFonts w:ascii="Book Antiqua" w:eastAsia="Book Antiqua" w:hAnsi="Book Antiqua" w:cs="Book Antiqua"/>
          <w:color w:val="000000" w:themeColor="text1"/>
        </w:rPr>
        <w:t>.</w:t>
      </w:r>
    </w:p>
    <w:p w14:paraId="5E095743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658F5D" w14:textId="4E47263D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31A0D" w:rsidRPr="00AF1EA1">
        <w:rPr>
          <w:rFonts w:ascii="Book Antiqua" w:eastAsia="Book Antiqua" w:hAnsi="Book Antiqua" w:cs="Book Antiqua"/>
          <w:color w:val="000000" w:themeColor="text1"/>
        </w:rPr>
        <w:t>No</w:t>
      </w:r>
      <w:r w:rsidR="00545275">
        <w:rPr>
          <w:rFonts w:ascii="Book Antiqua" w:eastAsia="Book Antiqua" w:hAnsi="Book Antiqua" w:cs="Book Antiqua"/>
          <w:color w:val="000000" w:themeColor="text1"/>
        </w:rPr>
        <w:t>ne</w:t>
      </w:r>
      <w:r w:rsidR="00531A0D" w:rsidRPr="00AF1EA1">
        <w:rPr>
          <w:rFonts w:ascii="Book Antiqua" w:eastAsia="Book Antiqua" w:hAnsi="Book Antiqua" w:cs="Book Antiqua"/>
          <w:color w:val="000000" w:themeColor="text1"/>
        </w:rPr>
        <w:t>.</w:t>
      </w:r>
    </w:p>
    <w:p w14:paraId="7E39BD72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64AF35" w14:textId="77777777" w:rsidR="00E131A9" w:rsidRDefault="00D638A3" w:rsidP="00E131A9">
      <w:pPr>
        <w:spacing w:line="360" w:lineRule="auto"/>
        <w:jc w:val="both"/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131A9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29D2535F" w14:textId="38A24EA9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D53CD5" w14:textId="43EBF71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131A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open-access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that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was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selected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in-house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editor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fully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peer-reviewed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external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reviewers.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distributed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accordance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with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Creative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Commons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Attribution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F1EA1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(CC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BY-NC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4.0)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license,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which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permits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others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to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distribute,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remix,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adapt,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build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upon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license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their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derivative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on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different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terms,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provided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original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work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properly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cited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and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the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use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is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non-commercial.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See: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38B5847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D8CF0" w14:textId="0C864BD7" w:rsidR="00A77B3E" w:rsidRDefault="00D77313" w:rsidP="00AF1EA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Unsolicited article; Externally peer reviewed</w:t>
      </w:r>
      <w:r w:rsidR="003E28A1">
        <w:rPr>
          <w:rFonts w:ascii="Book Antiqua" w:hAnsi="Book Antiqua" w:cs="Book Antiqua" w:hint="eastAsia"/>
          <w:bCs/>
          <w:color w:val="000000"/>
          <w:lang w:eastAsia="zh-CN"/>
        </w:rPr>
        <w:t>.</w:t>
      </w:r>
      <w:bookmarkStart w:id="5" w:name="_GoBack"/>
      <w:bookmarkEnd w:id="5"/>
    </w:p>
    <w:p w14:paraId="587D2B69" w14:textId="77777777" w:rsidR="00D77313" w:rsidRPr="00AF1EA1" w:rsidRDefault="00D7731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F4B797" w14:textId="448CD1F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023404FC" w14:textId="54C6FDB4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July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26,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2021</w:t>
      </w:r>
    </w:p>
    <w:p w14:paraId="3425C295" w14:textId="77777777" w:rsidR="00D24E6D" w:rsidRPr="00AF1EA1" w:rsidRDefault="00D638A3" w:rsidP="00D24E6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24E6D">
        <w:rPr>
          <w:rFonts w:ascii="Book Antiqua" w:eastAsia="宋体" w:hAnsi="Book Antiqua" w:hint="eastAsia"/>
          <w:color w:val="000000" w:themeColor="text1"/>
        </w:rPr>
        <w:t>Au</w:t>
      </w:r>
      <w:r w:rsidR="00D24E6D">
        <w:rPr>
          <w:rFonts w:ascii="Book Antiqua" w:eastAsia="宋体" w:hAnsi="Book Antiqua"/>
          <w:color w:val="000000" w:themeColor="text1"/>
        </w:rPr>
        <w:t>gust</w:t>
      </w:r>
      <w:r w:rsidR="00D24E6D" w:rsidRPr="00F06907">
        <w:rPr>
          <w:rFonts w:ascii="Book Antiqua" w:eastAsia="宋体" w:hAnsi="Book Antiqua"/>
          <w:color w:val="000000" w:themeColor="text1"/>
        </w:rPr>
        <w:t xml:space="preserve"> </w:t>
      </w:r>
      <w:r w:rsidR="00D24E6D">
        <w:rPr>
          <w:rFonts w:ascii="Book Antiqua" w:eastAsia="宋体" w:hAnsi="Book Antiqua"/>
          <w:color w:val="000000" w:themeColor="text1"/>
        </w:rPr>
        <w:t>18</w:t>
      </w:r>
      <w:r w:rsidR="00D24E6D" w:rsidRPr="00F06907">
        <w:rPr>
          <w:rFonts w:ascii="Book Antiqua" w:eastAsia="宋体" w:hAnsi="Book Antiqua"/>
          <w:color w:val="000000" w:themeColor="text1"/>
        </w:rPr>
        <w:t>, 2021</w:t>
      </w:r>
    </w:p>
    <w:p w14:paraId="16F22134" w14:textId="27A68D5F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F08255" w14:textId="2E5F7B5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Critical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31A9" w:rsidRPr="00AF1EA1">
        <w:rPr>
          <w:rFonts w:ascii="Book Antiqua" w:eastAsia="Book Antiqua" w:hAnsi="Book Antiqua" w:cs="Book Antiqua"/>
          <w:color w:val="000000" w:themeColor="text1"/>
        </w:rPr>
        <w:t>care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31A9" w:rsidRPr="00AF1EA1">
        <w:rPr>
          <w:rFonts w:ascii="Book Antiqua" w:eastAsia="Book Antiqua" w:hAnsi="Book Antiqua" w:cs="Book Antiqua"/>
          <w:color w:val="000000" w:themeColor="text1"/>
        </w:rPr>
        <w:t>medicine</w:t>
      </w:r>
    </w:p>
    <w:p w14:paraId="62C4EACB" w14:textId="7EBD66CF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China</w:t>
      </w:r>
    </w:p>
    <w:p w14:paraId="37704783" w14:textId="0986D4C7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974374B" w14:textId="3ED8BC5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F1EA1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(Excellent):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2A7A15C2" w14:textId="3920BD21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B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(Very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good):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28A18154" w14:textId="5782AABC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(Good):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</w:t>
      </w:r>
    </w:p>
    <w:p w14:paraId="56EB42CA" w14:textId="3C59175E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D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(Fair):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1A6E1FF8" w14:textId="48331398" w:rsidR="00A77B3E" w:rsidRPr="00AF1EA1" w:rsidRDefault="00D638A3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1EA1">
        <w:rPr>
          <w:rFonts w:ascii="Book Antiqua" w:eastAsia="Book Antiqua" w:hAnsi="Book Antiqua" w:cs="Book Antiqua"/>
          <w:color w:val="000000" w:themeColor="text1"/>
        </w:rPr>
        <w:t>Grade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E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(Poor):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0</w:t>
      </w:r>
    </w:p>
    <w:p w14:paraId="0DCD25BE" w14:textId="77777777" w:rsidR="00A77B3E" w:rsidRPr="00AF1EA1" w:rsidRDefault="00A77B3E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2DA9CA" w14:textId="03C877D1" w:rsidR="00A77B3E" w:rsidRPr="004816CC" w:rsidRDefault="00D638A3" w:rsidP="004816CC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F1EA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Choi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color w:val="000000" w:themeColor="text1"/>
        </w:rPr>
        <w:t>SQ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C184D" w:rsidRPr="00AF1EA1">
        <w:rPr>
          <w:rFonts w:ascii="Book Antiqua" w:eastAsia="Book Antiqua" w:hAnsi="Book Antiqua" w:cs="Book Antiqua"/>
          <w:color w:val="000000" w:themeColor="text1"/>
        </w:rPr>
        <w:t>Wang</w:t>
      </w:r>
      <w:r w:rsidR="00E131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184D" w:rsidRPr="00AF1EA1">
        <w:rPr>
          <w:rFonts w:ascii="Book Antiqua" w:eastAsia="Book Antiqua" w:hAnsi="Book Antiqua" w:cs="Book Antiqua"/>
          <w:color w:val="000000" w:themeColor="text1"/>
        </w:rPr>
        <w:t>JL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5275" w:rsidRPr="003A6E8B">
        <w:rPr>
          <w:rFonts w:ascii="Book Antiqua" w:eastAsia="Book Antiqua" w:hAnsi="Book Antiqua" w:cs="Book Antiqua"/>
          <w:color w:val="000000" w:themeColor="text1"/>
        </w:rPr>
        <w:t>Wang TQ</w:t>
      </w:r>
      <w:r w:rsidR="0054527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AF1EA1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131A9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816CC">
        <w:rPr>
          <w:rFonts w:ascii="Book Antiqua" w:eastAsia="Book Antiqua" w:hAnsi="Book Antiqua" w:cs="Book Antiqua"/>
          <w:bCs/>
          <w:color w:val="000000"/>
        </w:rPr>
        <w:t>Wang LYT</w:t>
      </w:r>
    </w:p>
    <w:p w14:paraId="177EF1FC" w14:textId="7C161D32" w:rsidR="00776BDE" w:rsidRPr="00AF1EA1" w:rsidRDefault="00776BDE" w:rsidP="00AF1EA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76B0065" w14:textId="13AA288B" w:rsidR="00776BDE" w:rsidRPr="00AF1EA1" w:rsidRDefault="00776BDE" w:rsidP="00AF1EA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AF1EA1">
        <w:rPr>
          <w:rFonts w:ascii="Book Antiqua" w:hAnsi="Book Antiqua" w:cs="Book Antiqua"/>
          <w:b/>
          <w:color w:val="000000" w:themeColor="text1"/>
          <w:lang w:eastAsia="zh-CN"/>
        </w:rPr>
        <w:t>Figure</w:t>
      </w:r>
      <w:r w:rsidR="00E131A9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AF1EA1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2DA7078F" w14:textId="77777777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AF1EA1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0" distR="0" wp14:anchorId="6F081A96" wp14:editId="24F0DE03">
            <wp:extent cx="2537460" cy="2179320"/>
            <wp:effectExtent l="19050" t="0" r="0" b="0"/>
            <wp:docPr id="5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p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EA1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0" distR="0" wp14:anchorId="4781D3C2" wp14:editId="5AA59BEE">
            <wp:extent cx="2537460" cy="2186940"/>
            <wp:effectExtent l="19050" t="0" r="0" b="0"/>
            <wp:docPr id="6" name="图片 2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9D688" w14:textId="0EE21412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微软雅黑"/>
          <w:b/>
          <w:bCs/>
          <w:color w:val="000000" w:themeColor="text1"/>
        </w:rPr>
      </w:pP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Figure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1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Gastroscopy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showing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the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gastric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bulb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and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descending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mucosa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="00384FD2" w:rsidRPr="00AF1EA1">
        <w:rPr>
          <w:rFonts w:ascii="Book Antiqua" w:eastAsia="微软雅黑" w:hAnsi="Book Antiqua" w:cs="微软雅黑"/>
          <w:b/>
          <w:bCs/>
          <w:color w:val="000000" w:themeColor="text1"/>
        </w:rPr>
        <w:t>cover</w:t>
      </w:r>
      <w:r w:rsidR="00384FD2">
        <w:rPr>
          <w:rFonts w:ascii="Book Antiqua" w:eastAsia="微软雅黑" w:hAnsi="Book Antiqua" w:cs="微软雅黑"/>
          <w:b/>
          <w:bCs/>
          <w:color w:val="000000" w:themeColor="text1"/>
        </w:rPr>
        <w:t xml:space="preserve">ed by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large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area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of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eschar,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with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minimal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bleeding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and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small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amount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of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normal</w:t>
      </w:r>
      <w:r w:rsidR="00E131A9">
        <w:rPr>
          <w:rFonts w:ascii="Book Antiqua" w:eastAsia="微软雅黑" w:hAnsi="Book Antiqua" w:cs="微软雅黑"/>
          <w:b/>
          <w:bCs/>
          <w:color w:val="000000" w:themeColor="text1"/>
        </w:rPr>
        <w:t xml:space="preserve"> </w:t>
      </w:r>
      <w:r w:rsidRPr="00AF1EA1">
        <w:rPr>
          <w:rFonts w:ascii="Book Antiqua" w:eastAsia="微软雅黑" w:hAnsi="Book Antiqua" w:cs="微软雅黑"/>
          <w:b/>
          <w:bCs/>
          <w:color w:val="000000" w:themeColor="text1"/>
        </w:rPr>
        <w:t>tissue.</w:t>
      </w:r>
    </w:p>
    <w:p w14:paraId="1937592E" w14:textId="012B3CA7" w:rsidR="00AF1EA1" w:rsidRPr="00AF1EA1" w:rsidRDefault="00AF1EA1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 w:rsidRPr="00AF1EA1">
        <w:rPr>
          <w:rFonts w:ascii="Book Antiqua" w:eastAsia="宋体" w:hAnsi="Book Antiqua"/>
          <w:b/>
          <w:bCs/>
        </w:rPr>
        <w:lastRenderedPageBreak/>
        <w:t>Table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1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Intake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and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output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volume</w:t>
      </w:r>
      <w:r w:rsidR="00E131A9">
        <w:rPr>
          <w:rFonts w:ascii="Book Antiqua" w:eastAsia="宋体" w:hAnsi="Book Antiqua"/>
          <w:b/>
          <w:bCs/>
        </w:rPr>
        <w:t xml:space="preserve"> </w:t>
      </w:r>
      <w:r w:rsidRPr="00AF1EA1">
        <w:rPr>
          <w:rFonts w:ascii="Book Antiqua" w:eastAsia="宋体" w:hAnsi="Book Antiqua"/>
          <w:b/>
          <w:bCs/>
        </w:rPr>
        <w:t>statistics</w:t>
      </w:r>
    </w:p>
    <w:tbl>
      <w:tblPr>
        <w:tblW w:w="5166" w:type="pct"/>
        <w:jc w:val="center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257"/>
        <w:gridCol w:w="857"/>
        <w:gridCol w:w="1030"/>
        <w:gridCol w:w="857"/>
        <w:gridCol w:w="857"/>
        <w:gridCol w:w="977"/>
        <w:gridCol w:w="1431"/>
        <w:gridCol w:w="817"/>
        <w:gridCol w:w="711"/>
        <w:gridCol w:w="857"/>
      </w:tblGrid>
      <w:tr w:rsidR="00EB46EE" w:rsidRPr="002C5DC2" w14:paraId="7708C931" w14:textId="77777777" w:rsidTr="00241161">
        <w:trPr>
          <w:trHeight w:val="261"/>
          <w:jc w:val="center"/>
        </w:trPr>
        <w:tc>
          <w:tcPr>
            <w:tcW w:w="2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B64ECA9" w14:textId="16695538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Time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9D7FD03" w14:textId="1B1AAC77" w:rsidR="00EB46EE" w:rsidRPr="00241161" w:rsidRDefault="00E131A9" w:rsidP="005A467F">
            <w:pPr>
              <w:jc w:val="center"/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        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Intake</w:t>
            </w:r>
          </w:p>
        </w:tc>
        <w:tc>
          <w:tcPr>
            <w:tcW w:w="247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F00BFD" w14:textId="572D35FE" w:rsidR="00EB46EE" w:rsidRPr="00241161" w:rsidRDefault="00E131A9" w:rsidP="005A467F">
            <w:pPr>
              <w:jc w:val="center"/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                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Output</w:t>
            </w:r>
          </w:p>
        </w:tc>
      </w:tr>
      <w:tr w:rsidR="00EB46EE" w:rsidRPr="002C5DC2" w14:paraId="1FD4F0F1" w14:textId="77777777" w:rsidTr="00241161">
        <w:trPr>
          <w:trHeight w:val="275"/>
          <w:jc w:val="center"/>
        </w:trPr>
        <w:tc>
          <w:tcPr>
            <w:tcW w:w="26" w:type="pct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71B464D" w14:textId="4534D201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</w:p>
        </w:tc>
        <w:tc>
          <w:tcPr>
            <w:tcW w:w="648" w:type="pct"/>
            <w:tcBorders>
              <w:top w:val="single" w:sz="4" w:space="0" w:color="000000"/>
              <w:bottom w:val="single" w:sz="4" w:space="0" w:color="000000"/>
            </w:tcBorders>
          </w:tcPr>
          <w:p w14:paraId="5C64C838" w14:textId="204DB4C8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Crystalloid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2161FACA" w14:textId="4FD6940B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Colloid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531" w:type="pct"/>
            <w:tcBorders>
              <w:top w:val="single" w:sz="4" w:space="0" w:color="000000"/>
              <w:bottom w:val="single" w:sz="4" w:space="0" w:color="000000"/>
            </w:tcBorders>
          </w:tcPr>
          <w:p w14:paraId="46DEE72E" w14:textId="2D2F8376" w:rsidR="00EB46EE" w:rsidRPr="00241161" w:rsidRDefault="00E131A9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241161" w:rsidRPr="00241161">
              <w:rPr>
                <w:rFonts w:ascii="Book Antiqua" w:eastAsia="宋体" w:hAnsi="Book Antiqua" w:cs="Calibri"/>
                <w:b/>
                <w:color w:val="000000"/>
              </w:rPr>
              <w:t>Albumin</w:t>
            </w:r>
            <w:r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(g)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7057BAB5" w14:textId="456B2679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Total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70A29A47" w14:textId="7FA28956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Urine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000000"/>
            </w:tcBorders>
          </w:tcPr>
          <w:p w14:paraId="52D751BB" w14:textId="38ED4A43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Stomach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tube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738" w:type="pct"/>
            <w:tcBorders>
              <w:top w:val="single" w:sz="4" w:space="0" w:color="000000"/>
              <w:bottom w:val="single" w:sz="4" w:space="0" w:color="000000"/>
            </w:tcBorders>
          </w:tcPr>
          <w:p w14:paraId="29676713" w14:textId="6F6FECEA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Hydrothorax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21" w:type="pct"/>
            <w:tcBorders>
              <w:top w:val="single" w:sz="4" w:space="0" w:color="000000"/>
              <w:bottom w:val="single" w:sz="4" w:space="0" w:color="000000"/>
            </w:tcBorders>
          </w:tcPr>
          <w:p w14:paraId="7EEA0C34" w14:textId="52A0741E" w:rsidR="00EB46EE" w:rsidRPr="00241161" w:rsidRDefault="00241161" w:rsidP="00241161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Ascites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366" w:type="pct"/>
            <w:tcBorders>
              <w:top w:val="single" w:sz="4" w:space="0" w:color="000000"/>
              <w:bottom w:val="single" w:sz="4" w:space="0" w:color="000000"/>
            </w:tcBorders>
          </w:tcPr>
          <w:p w14:paraId="73E331F4" w14:textId="67C2F232" w:rsidR="00EB46EE" w:rsidRPr="00241161" w:rsidRDefault="00EB46EE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CRRT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="00241161"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</w:tcBorders>
          </w:tcPr>
          <w:p w14:paraId="6E0062A3" w14:textId="13567175" w:rsidR="00EB46EE" w:rsidRPr="00241161" w:rsidRDefault="00241161" w:rsidP="005A467F">
            <w:pPr>
              <w:rPr>
                <w:rFonts w:ascii="Book Antiqua" w:eastAsia="宋体" w:hAnsi="Book Antiqua" w:cs="Calibri"/>
                <w:b/>
                <w:color w:val="000000"/>
              </w:rPr>
            </w:pP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Total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volume</w:t>
            </w:r>
            <w:r w:rsidR="00E131A9">
              <w:rPr>
                <w:rFonts w:ascii="Book Antiqua" w:eastAsia="宋体" w:hAnsi="Book Antiqua" w:cs="Calibri"/>
                <w:b/>
                <w:color w:val="000000"/>
              </w:rPr>
              <w:t xml:space="preserve"> 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(m</w:t>
            </w:r>
            <w:r w:rsidRPr="00241161">
              <w:rPr>
                <w:rFonts w:ascii="Book Antiqua" w:eastAsia="宋体" w:hAnsi="Book Antiqua" w:cs="Calibri"/>
                <w:b/>
                <w:color w:val="000000"/>
              </w:rPr>
              <w:t>L</w:t>
            </w:r>
            <w:r w:rsidR="00EB46EE" w:rsidRPr="00241161">
              <w:rPr>
                <w:rFonts w:ascii="Book Antiqua" w:eastAsia="宋体" w:hAnsi="Book Antiqua" w:cs="Calibri"/>
                <w:b/>
                <w:color w:val="000000"/>
              </w:rPr>
              <w:t>)</w:t>
            </w:r>
          </w:p>
        </w:tc>
      </w:tr>
      <w:tr w:rsidR="00EB46EE" w:rsidRPr="002C5DC2" w14:paraId="6DB59150" w14:textId="77777777" w:rsidTr="00241161">
        <w:trPr>
          <w:trHeight w:val="261"/>
          <w:jc w:val="center"/>
        </w:trPr>
        <w:tc>
          <w:tcPr>
            <w:tcW w:w="26" w:type="pct"/>
            <w:tcBorders>
              <w:top w:val="single" w:sz="4" w:space="0" w:color="000000"/>
            </w:tcBorders>
          </w:tcPr>
          <w:p w14:paraId="472C0C6A" w14:textId="44F8CBCA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1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st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  <w:tcBorders>
              <w:top w:val="single" w:sz="4" w:space="0" w:color="000000"/>
            </w:tcBorders>
          </w:tcPr>
          <w:p w14:paraId="7FE5278E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8330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152B65C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6400</w:t>
            </w:r>
          </w:p>
        </w:tc>
        <w:tc>
          <w:tcPr>
            <w:tcW w:w="531" w:type="pct"/>
            <w:tcBorders>
              <w:top w:val="single" w:sz="4" w:space="0" w:color="000000"/>
            </w:tcBorders>
          </w:tcPr>
          <w:p w14:paraId="3CEB57A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2B8DB65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15480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769A3027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4470</w:t>
            </w:r>
          </w:p>
        </w:tc>
        <w:tc>
          <w:tcPr>
            <w:tcW w:w="504" w:type="pct"/>
            <w:tcBorders>
              <w:top w:val="single" w:sz="4" w:space="0" w:color="000000"/>
            </w:tcBorders>
          </w:tcPr>
          <w:p w14:paraId="7F4CEFC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1100</w:t>
            </w:r>
          </w:p>
        </w:tc>
        <w:tc>
          <w:tcPr>
            <w:tcW w:w="738" w:type="pct"/>
            <w:tcBorders>
              <w:top w:val="single" w:sz="4" w:space="0" w:color="000000"/>
            </w:tcBorders>
          </w:tcPr>
          <w:p w14:paraId="4598C5BF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</w:tcBorders>
          </w:tcPr>
          <w:p w14:paraId="10E6F972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</w:tcBorders>
          </w:tcPr>
          <w:p w14:paraId="07FC41B7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single" w:sz="4" w:space="0" w:color="000000"/>
            </w:tcBorders>
          </w:tcPr>
          <w:p w14:paraId="7371BEE7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5570</w:t>
            </w:r>
          </w:p>
        </w:tc>
      </w:tr>
      <w:tr w:rsidR="00EB46EE" w:rsidRPr="002C5DC2" w14:paraId="18353A54" w14:textId="77777777" w:rsidTr="00241161">
        <w:trPr>
          <w:trHeight w:val="261"/>
          <w:jc w:val="center"/>
        </w:trPr>
        <w:tc>
          <w:tcPr>
            <w:tcW w:w="26" w:type="pct"/>
          </w:tcPr>
          <w:p w14:paraId="69948B64" w14:textId="2BD1F3E5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2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nd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02B479B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4840</w:t>
            </w:r>
          </w:p>
        </w:tc>
        <w:tc>
          <w:tcPr>
            <w:tcW w:w="442" w:type="pct"/>
          </w:tcPr>
          <w:p w14:paraId="60AEE52E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4500</w:t>
            </w:r>
          </w:p>
        </w:tc>
        <w:tc>
          <w:tcPr>
            <w:tcW w:w="531" w:type="pct"/>
          </w:tcPr>
          <w:p w14:paraId="309B054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270</w:t>
            </w:r>
          </w:p>
        </w:tc>
        <w:tc>
          <w:tcPr>
            <w:tcW w:w="442" w:type="pct"/>
          </w:tcPr>
          <w:p w14:paraId="4626776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10690</w:t>
            </w:r>
          </w:p>
        </w:tc>
        <w:tc>
          <w:tcPr>
            <w:tcW w:w="442" w:type="pct"/>
          </w:tcPr>
          <w:p w14:paraId="4CBF282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4110</w:t>
            </w:r>
          </w:p>
        </w:tc>
        <w:tc>
          <w:tcPr>
            <w:tcW w:w="504" w:type="pct"/>
          </w:tcPr>
          <w:p w14:paraId="0C0BC313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950</w:t>
            </w:r>
          </w:p>
        </w:tc>
        <w:tc>
          <w:tcPr>
            <w:tcW w:w="738" w:type="pct"/>
          </w:tcPr>
          <w:p w14:paraId="3A4757B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421" w:type="pct"/>
          </w:tcPr>
          <w:p w14:paraId="5DFBE61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3650</w:t>
            </w:r>
          </w:p>
        </w:tc>
        <w:tc>
          <w:tcPr>
            <w:tcW w:w="366" w:type="pct"/>
          </w:tcPr>
          <w:p w14:paraId="23B6AA1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1500</w:t>
            </w:r>
          </w:p>
        </w:tc>
        <w:tc>
          <w:tcPr>
            <w:tcW w:w="442" w:type="pct"/>
          </w:tcPr>
          <w:p w14:paraId="31A814D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10910</w:t>
            </w:r>
          </w:p>
        </w:tc>
      </w:tr>
      <w:tr w:rsidR="00EB46EE" w:rsidRPr="002C5DC2" w14:paraId="078FD789" w14:textId="77777777" w:rsidTr="00241161">
        <w:trPr>
          <w:trHeight w:val="261"/>
          <w:jc w:val="center"/>
        </w:trPr>
        <w:tc>
          <w:tcPr>
            <w:tcW w:w="26" w:type="pct"/>
          </w:tcPr>
          <w:p w14:paraId="4D0B6C66" w14:textId="3092316D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3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rd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4A4A749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3736</w:t>
            </w:r>
          </w:p>
        </w:tc>
        <w:tc>
          <w:tcPr>
            <w:tcW w:w="442" w:type="pct"/>
          </w:tcPr>
          <w:p w14:paraId="2568E3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2100</w:t>
            </w:r>
          </w:p>
        </w:tc>
        <w:tc>
          <w:tcPr>
            <w:tcW w:w="531" w:type="pct"/>
          </w:tcPr>
          <w:p w14:paraId="43E713F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210</w:t>
            </w:r>
          </w:p>
        </w:tc>
        <w:tc>
          <w:tcPr>
            <w:tcW w:w="442" w:type="pct"/>
          </w:tcPr>
          <w:p w14:paraId="12F5D8E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6886</w:t>
            </w:r>
          </w:p>
        </w:tc>
        <w:tc>
          <w:tcPr>
            <w:tcW w:w="442" w:type="pct"/>
          </w:tcPr>
          <w:p w14:paraId="7C8DE3A9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4970</w:t>
            </w:r>
          </w:p>
        </w:tc>
        <w:tc>
          <w:tcPr>
            <w:tcW w:w="504" w:type="pct"/>
          </w:tcPr>
          <w:p w14:paraId="10AB096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1740</w:t>
            </w:r>
          </w:p>
        </w:tc>
        <w:tc>
          <w:tcPr>
            <w:tcW w:w="738" w:type="pct"/>
          </w:tcPr>
          <w:p w14:paraId="0C9484E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470</w:t>
            </w:r>
          </w:p>
        </w:tc>
        <w:tc>
          <w:tcPr>
            <w:tcW w:w="421" w:type="pct"/>
          </w:tcPr>
          <w:p w14:paraId="38BAFBD1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1810</w:t>
            </w:r>
          </w:p>
        </w:tc>
        <w:tc>
          <w:tcPr>
            <w:tcW w:w="366" w:type="pct"/>
          </w:tcPr>
          <w:p w14:paraId="785B44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660</w:t>
            </w:r>
          </w:p>
        </w:tc>
        <w:tc>
          <w:tcPr>
            <w:tcW w:w="442" w:type="pct"/>
          </w:tcPr>
          <w:p w14:paraId="605A698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9650</w:t>
            </w:r>
          </w:p>
        </w:tc>
      </w:tr>
      <w:tr w:rsidR="00EB46EE" w:rsidRPr="002C5DC2" w14:paraId="626219E7" w14:textId="77777777" w:rsidTr="00241161">
        <w:trPr>
          <w:trHeight w:val="261"/>
          <w:jc w:val="center"/>
        </w:trPr>
        <w:tc>
          <w:tcPr>
            <w:tcW w:w="26" w:type="pct"/>
          </w:tcPr>
          <w:p w14:paraId="344C54AC" w14:textId="65ECD14B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4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6F592346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2740</w:t>
            </w:r>
          </w:p>
        </w:tc>
        <w:tc>
          <w:tcPr>
            <w:tcW w:w="442" w:type="pct"/>
          </w:tcPr>
          <w:p w14:paraId="49AB17A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1550</w:t>
            </w:r>
          </w:p>
        </w:tc>
        <w:tc>
          <w:tcPr>
            <w:tcW w:w="531" w:type="pct"/>
          </w:tcPr>
          <w:p w14:paraId="43B68E93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40</w:t>
            </w:r>
          </w:p>
        </w:tc>
        <w:tc>
          <w:tcPr>
            <w:tcW w:w="442" w:type="pct"/>
          </w:tcPr>
          <w:p w14:paraId="4D88666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4490</w:t>
            </w:r>
          </w:p>
        </w:tc>
        <w:tc>
          <w:tcPr>
            <w:tcW w:w="442" w:type="pct"/>
          </w:tcPr>
          <w:p w14:paraId="04CC944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2180</w:t>
            </w:r>
          </w:p>
        </w:tc>
        <w:tc>
          <w:tcPr>
            <w:tcW w:w="504" w:type="pct"/>
          </w:tcPr>
          <w:p w14:paraId="4107823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738" w:type="pct"/>
          </w:tcPr>
          <w:p w14:paraId="581A504A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350</w:t>
            </w:r>
          </w:p>
        </w:tc>
        <w:tc>
          <w:tcPr>
            <w:tcW w:w="421" w:type="pct"/>
          </w:tcPr>
          <w:p w14:paraId="0487137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950</w:t>
            </w:r>
          </w:p>
        </w:tc>
        <w:tc>
          <w:tcPr>
            <w:tcW w:w="366" w:type="pct"/>
          </w:tcPr>
          <w:p w14:paraId="4D022A8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460</w:t>
            </w:r>
          </w:p>
        </w:tc>
        <w:tc>
          <w:tcPr>
            <w:tcW w:w="442" w:type="pct"/>
          </w:tcPr>
          <w:p w14:paraId="67271BC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4290</w:t>
            </w:r>
          </w:p>
        </w:tc>
      </w:tr>
      <w:tr w:rsidR="00EB46EE" w:rsidRPr="002C5DC2" w14:paraId="70D262E9" w14:textId="77777777" w:rsidTr="00241161">
        <w:trPr>
          <w:trHeight w:val="261"/>
          <w:jc w:val="center"/>
        </w:trPr>
        <w:tc>
          <w:tcPr>
            <w:tcW w:w="26" w:type="pct"/>
          </w:tcPr>
          <w:p w14:paraId="6888A6FB" w14:textId="563D6636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5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5D7AD2E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3015</w:t>
            </w:r>
          </w:p>
        </w:tc>
        <w:tc>
          <w:tcPr>
            <w:tcW w:w="442" w:type="pct"/>
          </w:tcPr>
          <w:p w14:paraId="4BF910E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1100</w:t>
            </w:r>
          </w:p>
        </w:tc>
        <w:tc>
          <w:tcPr>
            <w:tcW w:w="531" w:type="pct"/>
          </w:tcPr>
          <w:p w14:paraId="2D0B325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110</w:t>
            </w:r>
          </w:p>
        </w:tc>
        <w:tc>
          <w:tcPr>
            <w:tcW w:w="442" w:type="pct"/>
          </w:tcPr>
          <w:p w14:paraId="2197BA3B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4665</w:t>
            </w:r>
          </w:p>
        </w:tc>
        <w:tc>
          <w:tcPr>
            <w:tcW w:w="442" w:type="pct"/>
          </w:tcPr>
          <w:p w14:paraId="54D035D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2720</w:t>
            </w:r>
          </w:p>
        </w:tc>
        <w:tc>
          <w:tcPr>
            <w:tcW w:w="504" w:type="pct"/>
          </w:tcPr>
          <w:p w14:paraId="23020268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700</w:t>
            </w:r>
          </w:p>
        </w:tc>
        <w:tc>
          <w:tcPr>
            <w:tcW w:w="738" w:type="pct"/>
          </w:tcPr>
          <w:p w14:paraId="1F2327A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220</w:t>
            </w:r>
          </w:p>
        </w:tc>
        <w:tc>
          <w:tcPr>
            <w:tcW w:w="421" w:type="pct"/>
          </w:tcPr>
          <w:p w14:paraId="22B5CDCC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790</w:t>
            </w:r>
          </w:p>
        </w:tc>
        <w:tc>
          <w:tcPr>
            <w:tcW w:w="366" w:type="pct"/>
          </w:tcPr>
          <w:p w14:paraId="33A4DC8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890</w:t>
            </w:r>
          </w:p>
        </w:tc>
        <w:tc>
          <w:tcPr>
            <w:tcW w:w="442" w:type="pct"/>
          </w:tcPr>
          <w:p w14:paraId="56AE1E6F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5320</w:t>
            </w:r>
          </w:p>
        </w:tc>
      </w:tr>
      <w:tr w:rsidR="00EB46EE" w:rsidRPr="002C5DC2" w14:paraId="6BB0ED69" w14:textId="77777777" w:rsidTr="00241161">
        <w:trPr>
          <w:trHeight w:val="261"/>
          <w:jc w:val="center"/>
        </w:trPr>
        <w:tc>
          <w:tcPr>
            <w:tcW w:w="26" w:type="pct"/>
          </w:tcPr>
          <w:p w14:paraId="522975A3" w14:textId="3167C429" w:rsidR="00EB46EE" w:rsidRPr="002C5DC2" w:rsidRDefault="00EB46EE" w:rsidP="005A467F">
            <w:pPr>
              <w:rPr>
                <w:rFonts w:ascii="Book Antiqua" w:eastAsia="宋体" w:hAnsi="Book Antiqua" w:cs="宋体"/>
                <w:bCs/>
                <w:color w:val="000000"/>
              </w:rPr>
            </w:pP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6</w:t>
            </w:r>
            <w:r w:rsidRPr="002C5DC2">
              <w:rPr>
                <w:rFonts w:ascii="Book Antiqua" w:eastAsia="宋体" w:hAnsi="Book Antiqua" w:cs="宋体"/>
                <w:bCs/>
                <w:color w:val="000000"/>
                <w:vertAlign w:val="superscript"/>
              </w:rPr>
              <w:t>th</w:t>
            </w:r>
            <w:r w:rsidR="00E131A9">
              <w:rPr>
                <w:rFonts w:ascii="Book Antiqua" w:eastAsia="宋体" w:hAnsi="Book Antiqua" w:cs="宋体"/>
                <w:bCs/>
                <w:color w:val="000000"/>
              </w:rPr>
              <w:t xml:space="preserve"> </w:t>
            </w:r>
            <w:r w:rsidRPr="002C5DC2">
              <w:rPr>
                <w:rFonts w:ascii="Book Antiqua" w:eastAsia="宋体" w:hAnsi="Book Antiqua" w:cs="宋体"/>
                <w:bCs/>
                <w:color w:val="000000"/>
              </w:rPr>
              <w:t>day</w:t>
            </w:r>
          </w:p>
        </w:tc>
        <w:tc>
          <w:tcPr>
            <w:tcW w:w="648" w:type="pct"/>
          </w:tcPr>
          <w:p w14:paraId="1B92C4C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2590</w:t>
            </w:r>
          </w:p>
        </w:tc>
        <w:tc>
          <w:tcPr>
            <w:tcW w:w="442" w:type="pct"/>
          </w:tcPr>
          <w:p w14:paraId="6893187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531" w:type="pct"/>
          </w:tcPr>
          <w:p w14:paraId="6E1DC2AD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20</w:t>
            </w:r>
          </w:p>
        </w:tc>
        <w:tc>
          <w:tcPr>
            <w:tcW w:w="442" w:type="pct"/>
          </w:tcPr>
          <w:p w14:paraId="06C24AF5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2690</w:t>
            </w:r>
          </w:p>
        </w:tc>
        <w:tc>
          <w:tcPr>
            <w:tcW w:w="442" w:type="pct"/>
          </w:tcPr>
          <w:p w14:paraId="66C23FE4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4700</w:t>
            </w:r>
          </w:p>
        </w:tc>
        <w:tc>
          <w:tcPr>
            <w:tcW w:w="504" w:type="pct"/>
          </w:tcPr>
          <w:p w14:paraId="0F68EAD2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200</w:t>
            </w:r>
          </w:p>
        </w:tc>
        <w:tc>
          <w:tcPr>
            <w:tcW w:w="738" w:type="pct"/>
          </w:tcPr>
          <w:p w14:paraId="47052FF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60</w:t>
            </w:r>
          </w:p>
        </w:tc>
        <w:tc>
          <w:tcPr>
            <w:tcW w:w="421" w:type="pct"/>
          </w:tcPr>
          <w:p w14:paraId="2D0CE62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350</w:t>
            </w:r>
          </w:p>
        </w:tc>
        <w:tc>
          <w:tcPr>
            <w:tcW w:w="366" w:type="pct"/>
          </w:tcPr>
          <w:p w14:paraId="62E52E98" w14:textId="77777777" w:rsidR="00EB46EE" w:rsidRPr="002C5DC2" w:rsidRDefault="00EB46EE" w:rsidP="005A467F">
            <w:pPr>
              <w:ind w:firstLineChars="100" w:firstLine="240"/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0</w:t>
            </w:r>
          </w:p>
        </w:tc>
        <w:tc>
          <w:tcPr>
            <w:tcW w:w="442" w:type="pct"/>
          </w:tcPr>
          <w:p w14:paraId="0D395650" w14:textId="77777777" w:rsidR="00EB46EE" w:rsidRPr="002C5DC2" w:rsidRDefault="00EB46EE" w:rsidP="005A467F">
            <w:pPr>
              <w:jc w:val="center"/>
              <w:rPr>
                <w:rFonts w:ascii="Book Antiqua" w:eastAsia="宋体" w:hAnsi="Book Antiqua" w:cs="Calibri"/>
                <w:color w:val="000000"/>
              </w:rPr>
            </w:pPr>
            <w:r w:rsidRPr="002C5DC2">
              <w:rPr>
                <w:rFonts w:ascii="Book Antiqua" w:eastAsia="宋体" w:hAnsi="Book Antiqua" w:cs="Calibri"/>
                <w:color w:val="000000"/>
              </w:rPr>
              <w:t>5310</w:t>
            </w:r>
          </w:p>
        </w:tc>
      </w:tr>
    </w:tbl>
    <w:p w14:paraId="7D90D7BE" w14:textId="12ECECF3" w:rsidR="00AF1EA1" w:rsidRPr="002C5DC2" w:rsidRDefault="001C1E3B" w:rsidP="00AF1EA1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C</w:t>
      </w:r>
      <w:r>
        <w:rPr>
          <w:rFonts w:ascii="Book Antiqua" w:eastAsia="宋体" w:hAnsi="Book Antiqua"/>
          <w:lang w:eastAsia="zh-CN"/>
        </w:rPr>
        <w:t>RRT: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Continuous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renal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replacement</w:t>
      </w:r>
      <w:r w:rsidR="00E131A9">
        <w:rPr>
          <w:rFonts w:ascii="Book Antiqua" w:eastAsia="宋体" w:hAnsi="Book Antiqua"/>
          <w:lang w:eastAsia="zh-CN"/>
        </w:rPr>
        <w:t xml:space="preserve"> </w:t>
      </w:r>
      <w:r w:rsidRPr="001C1E3B">
        <w:rPr>
          <w:rFonts w:ascii="Book Antiqua" w:eastAsia="宋体" w:hAnsi="Book Antiqua"/>
          <w:lang w:eastAsia="zh-CN"/>
        </w:rPr>
        <w:t>therapy</w:t>
      </w:r>
      <w:r>
        <w:rPr>
          <w:rFonts w:ascii="Book Antiqua" w:eastAsia="宋体" w:hAnsi="Book Antiqua"/>
          <w:lang w:eastAsia="zh-CN"/>
        </w:rPr>
        <w:t>.</w:t>
      </w:r>
    </w:p>
    <w:p w14:paraId="6D1C85AD" w14:textId="026B8E02" w:rsidR="00422740" w:rsidRDefault="00422740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58B344A6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  <w:bookmarkStart w:id="6" w:name="OLE_LINK1"/>
      <w:bookmarkStart w:id="7" w:name="OLE_LINK2"/>
    </w:p>
    <w:p w14:paraId="705D7602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4C852589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2AFDC785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4DC0F7B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94ADD8A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4D7DFF" wp14:editId="33E7773B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DAA2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45CD8172" w14:textId="77777777" w:rsidR="00422740" w:rsidRPr="00763D22" w:rsidRDefault="00422740" w:rsidP="0042274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7EBD158" w14:textId="77777777" w:rsidR="00422740" w:rsidRPr="00763D22" w:rsidRDefault="00422740" w:rsidP="0042274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CB227E" w14:textId="77777777" w:rsidR="00422740" w:rsidRPr="00763D22" w:rsidRDefault="00422740" w:rsidP="0042274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7F7097A" w14:textId="77777777" w:rsidR="00422740" w:rsidRPr="00763D22" w:rsidRDefault="00422740" w:rsidP="0042274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B334EA9" w14:textId="77777777" w:rsidR="00422740" w:rsidRPr="00763D22" w:rsidRDefault="00422740" w:rsidP="0042274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A5D6BDB" w14:textId="77777777" w:rsidR="00422740" w:rsidRPr="00763D22" w:rsidRDefault="00422740" w:rsidP="00422740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CFF8ED2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1316D519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DF9EC82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27F31B8F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1D5D2DF" wp14:editId="130796F2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F8D1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067A48CA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1C471F36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F852C70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306AC03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1201DB84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6C4F040F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2E5B9AA0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0B47CA9D" w14:textId="77777777" w:rsidR="00422740" w:rsidRDefault="00422740" w:rsidP="00422740">
      <w:pPr>
        <w:jc w:val="center"/>
        <w:rPr>
          <w:rFonts w:ascii="Book Antiqua" w:hAnsi="Book Antiqua"/>
          <w:lang w:eastAsia="zh-CN"/>
        </w:rPr>
      </w:pPr>
    </w:p>
    <w:p w14:paraId="5C349E62" w14:textId="77777777" w:rsidR="00422740" w:rsidRPr="00763D22" w:rsidRDefault="00422740" w:rsidP="00422740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9ACFC07" w14:textId="77777777" w:rsidR="00422740" w:rsidRPr="00763D22" w:rsidRDefault="00422740" w:rsidP="00422740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  <w:bookmarkEnd w:id="7"/>
    </w:p>
    <w:p w14:paraId="73339F7E" w14:textId="77777777" w:rsidR="00AF1EA1" w:rsidRPr="00422740" w:rsidRDefault="00AF1EA1" w:rsidP="00AF1EA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AF1EA1" w:rsidRPr="0042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16A4" w14:textId="77777777" w:rsidR="00FF1DED" w:rsidRDefault="00FF1DED" w:rsidP="00CD0F41">
      <w:r>
        <w:separator/>
      </w:r>
    </w:p>
  </w:endnote>
  <w:endnote w:type="continuationSeparator" w:id="0">
    <w:p w14:paraId="35632456" w14:textId="77777777" w:rsidR="00FF1DED" w:rsidRDefault="00FF1DED" w:rsidP="00CD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03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FCA60" w14:textId="4C0562F9" w:rsidR="00CD0F41" w:rsidRDefault="00CD0F4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8A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8A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10EFB2" w14:textId="77777777" w:rsidR="00CD0F41" w:rsidRDefault="00CD0F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48F9" w14:textId="77777777" w:rsidR="00FF1DED" w:rsidRDefault="00FF1DED" w:rsidP="00CD0F41">
      <w:r>
        <w:separator/>
      </w:r>
    </w:p>
  </w:footnote>
  <w:footnote w:type="continuationSeparator" w:id="0">
    <w:p w14:paraId="4C9313F9" w14:textId="77777777" w:rsidR="00FF1DED" w:rsidRDefault="00FF1DED" w:rsidP="00CD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50EC"/>
    <w:rsid w:val="000C628F"/>
    <w:rsid w:val="00117651"/>
    <w:rsid w:val="001C1E3B"/>
    <w:rsid w:val="001D72F6"/>
    <w:rsid w:val="00241161"/>
    <w:rsid w:val="0024334E"/>
    <w:rsid w:val="002774E5"/>
    <w:rsid w:val="00384FD2"/>
    <w:rsid w:val="003A6E8B"/>
    <w:rsid w:val="003B39E3"/>
    <w:rsid w:val="003E28A1"/>
    <w:rsid w:val="00422740"/>
    <w:rsid w:val="00454BB0"/>
    <w:rsid w:val="00480CFC"/>
    <w:rsid w:val="004816CC"/>
    <w:rsid w:val="004C184D"/>
    <w:rsid w:val="004C5C61"/>
    <w:rsid w:val="00531A0D"/>
    <w:rsid w:val="00545275"/>
    <w:rsid w:val="005C5C32"/>
    <w:rsid w:val="006332E7"/>
    <w:rsid w:val="006710D7"/>
    <w:rsid w:val="006B14C3"/>
    <w:rsid w:val="006C0A3D"/>
    <w:rsid w:val="006D6A3E"/>
    <w:rsid w:val="00776BDE"/>
    <w:rsid w:val="007C224E"/>
    <w:rsid w:val="00866C1C"/>
    <w:rsid w:val="008E26F3"/>
    <w:rsid w:val="00917AD7"/>
    <w:rsid w:val="009307A6"/>
    <w:rsid w:val="0098148D"/>
    <w:rsid w:val="009A31A0"/>
    <w:rsid w:val="00A57973"/>
    <w:rsid w:val="00A63BA7"/>
    <w:rsid w:val="00A77B3E"/>
    <w:rsid w:val="00AF1EA1"/>
    <w:rsid w:val="00AF4703"/>
    <w:rsid w:val="00AF5699"/>
    <w:rsid w:val="00B61E97"/>
    <w:rsid w:val="00C525AD"/>
    <w:rsid w:val="00C7452A"/>
    <w:rsid w:val="00CA2A55"/>
    <w:rsid w:val="00CD0F41"/>
    <w:rsid w:val="00D24E6D"/>
    <w:rsid w:val="00D638A3"/>
    <w:rsid w:val="00D77313"/>
    <w:rsid w:val="00E131A9"/>
    <w:rsid w:val="00E87ADB"/>
    <w:rsid w:val="00EA3FD9"/>
    <w:rsid w:val="00EB46EE"/>
    <w:rsid w:val="00EB6238"/>
    <w:rsid w:val="00EE5E8C"/>
    <w:rsid w:val="00F22EEC"/>
    <w:rsid w:val="00F5630D"/>
    <w:rsid w:val="00F66FD6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8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41"/>
    <w:rPr>
      <w:sz w:val="18"/>
      <w:szCs w:val="18"/>
    </w:rPr>
  </w:style>
  <w:style w:type="character" w:styleId="a5">
    <w:name w:val="annotation reference"/>
    <w:basedOn w:val="a0"/>
    <w:semiHidden/>
    <w:unhideWhenUsed/>
    <w:rsid w:val="002774E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774E5"/>
  </w:style>
  <w:style w:type="character" w:customStyle="1" w:styleId="Char1">
    <w:name w:val="批注文字 Char"/>
    <w:basedOn w:val="a0"/>
    <w:link w:val="a6"/>
    <w:semiHidden/>
    <w:rsid w:val="002774E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2774E5"/>
    <w:rPr>
      <w:b/>
      <w:bCs/>
    </w:rPr>
  </w:style>
  <w:style w:type="character" w:customStyle="1" w:styleId="Char2">
    <w:name w:val="批注主题 Char"/>
    <w:basedOn w:val="Char1"/>
    <w:link w:val="a7"/>
    <w:semiHidden/>
    <w:rsid w:val="002774E5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A3FD9"/>
    <w:rPr>
      <w:sz w:val="18"/>
      <w:szCs w:val="18"/>
    </w:rPr>
  </w:style>
  <w:style w:type="character" w:customStyle="1" w:styleId="Char3">
    <w:name w:val="批注框文本 Char"/>
    <w:basedOn w:val="a0"/>
    <w:link w:val="a8"/>
    <w:rsid w:val="00EA3FD9"/>
    <w:rPr>
      <w:sz w:val="18"/>
      <w:szCs w:val="18"/>
    </w:rPr>
  </w:style>
  <w:style w:type="paragraph" w:styleId="a9">
    <w:name w:val="Revision"/>
    <w:hidden/>
    <w:uiPriority w:val="99"/>
    <w:semiHidden/>
    <w:rsid w:val="005C5C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41"/>
    <w:rPr>
      <w:sz w:val="18"/>
      <w:szCs w:val="18"/>
    </w:rPr>
  </w:style>
  <w:style w:type="character" w:styleId="a5">
    <w:name w:val="annotation reference"/>
    <w:basedOn w:val="a0"/>
    <w:semiHidden/>
    <w:unhideWhenUsed/>
    <w:rsid w:val="002774E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774E5"/>
  </w:style>
  <w:style w:type="character" w:customStyle="1" w:styleId="Char1">
    <w:name w:val="批注文字 Char"/>
    <w:basedOn w:val="a0"/>
    <w:link w:val="a6"/>
    <w:semiHidden/>
    <w:rsid w:val="002774E5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2774E5"/>
    <w:rPr>
      <w:b/>
      <w:bCs/>
    </w:rPr>
  </w:style>
  <w:style w:type="character" w:customStyle="1" w:styleId="Char2">
    <w:name w:val="批注主题 Char"/>
    <w:basedOn w:val="Char1"/>
    <w:link w:val="a7"/>
    <w:semiHidden/>
    <w:rsid w:val="002774E5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A3FD9"/>
    <w:rPr>
      <w:sz w:val="18"/>
      <w:szCs w:val="18"/>
    </w:rPr>
  </w:style>
  <w:style w:type="character" w:customStyle="1" w:styleId="Char3">
    <w:name w:val="批注框文本 Char"/>
    <w:basedOn w:val="a0"/>
    <w:link w:val="a8"/>
    <w:rsid w:val="00EA3FD9"/>
    <w:rPr>
      <w:sz w:val="18"/>
      <w:szCs w:val="18"/>
    </w:rPr>
  </w:style>
  <w:style w:type="paragraph" w:styleId="a9">
    <w:name w:val="Revision"/>
    <w:hidden/>
    <w:uiPriority w:val="99"/>
    <w:semiHidden/>
    <w:rsid w:val="005C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liujihong2008@qq.con</cp:lastModifiedBy>
  <cp:revision>17</cp:revision>
  <dcterms:created xsi:type="dcterms:W3CDTF">2021-09-02T07:43:00Z</dcterms:created>
  <dcterms:modified xsi:type="dcterms:W3CDTF">2021-11-22T09:36:00Z</dcterms:modified>
</cp:coreProperties>
</file>