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163095"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53529C18"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68522</w:t>
      </w:r>
    </w:p>
    <w:p w14:paraId="233B2800"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2F7A5554" w14:textId="77777777" w:rsidR="00C34BE9" w:rsidRDefault="00C34BE9">
      <w:pPr>
        <w:adjustRightInd w:val="0"/>
        <w:snapToGrid w:val="0"/>
        <w:spacing w:line="360" w:lineRule="auto"/>
        <w:jc w:val="both"/>
        <w:rPr>
          <w:rFonts w:ascii="Book Antiqua" w:hAnsi="Book Antiqua"/>
          <w:color w:val="000000"/>
        </w:rPr>
      </w:pPr>
    </w:p>
    <w:p w14:paraId="03283C61"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Diagnosis and treatment of acute graft-versus-host disease after liver transplantation: Report of six cases</w:t>
      </w:r>
    </w:p>
    <w:p w14:paraId="39A105F1" w14:textId="77777777" w:rsidR="00C34BE9" w:rsidRDefault="00C34BE9">
      <w:pPr>
        <w:adjustRightInd w:val="0"/>
        <w:snapToGrid w:val="0"/>
        <w:spacing w:line="360" w:lineRule="auto"/>
        <w:jc w:val="both"/>
        <w:rPr>
          <w:rFonts w:ascii="Book Antiqua" w:hAnsi="Book Antiqua"/>
          <w:color w:val="000000"/>
        </w:rPr>
      </w:pPr>
    </w:p>
    <w:p w14:paraId="716DCAF0"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T</w:t>
      </w:r>
      <w:r>
        <w:rPr>
          <w:rFonts w:ascii="Book Antiqua" w:hAnsi="Book Antiqua" w:cs="Book Antiqua"/>
          <w:color w:val="000000"/>
          <w:lang w:eastAsia="zh-CN"/>
        </w:rPr>
        <w:t>ian</w:t>
      </w:r>
      <w:r>
        <w:rPr>
          <w:rFonts w:ascii="Book Antiqua" w:eastAsia="Book Antiqua" w:hAnsi="Book Antiqua" w:cs="Book Antiqua"/>
          <w:color w:val="000000"/>
        </w:rPr>
        <w:t xml:space="preserve"> M </w:t>
      </w:r>
      <w:r>
        <w:rPr>
          <w:rFonts w:ascii="Book Antiqua" w:eastAsia="Book Antiqua" w:hAnsi="Book Antiqua" w:cs="Book Antiqua"/>
          <w:i/>
          <w:iCs/>
          <w:color w:val="000000"/>
        </w:rPr>
        <w:t>et al</w:t>
      </w:r>
      <w:r>
        <w:rPr>
          <w:rFonts w:ascii="Book Antiqua" w:eastAsia="Book Antiqua" w:hAnsi="Book Antiqua" w:cs="Book Antiqua"/>
          <w:color w:val="000000"/>
        </w:rPr>
        <w:t>. Six aGVHD cases after LT</w:t>
      </w:r>
    </w:p>
    <w:p w14:paraId="1C0F489C" w14:textId="77777777" w:rsidR="00C34BE9" w:rsidRDefault="00C34BE9">
      <w:pPr>
        <w:adjustRightInd w:val="0"/>
        <w:snapToGrid w:val="0"/>
        <w:spacing w:line="360" w:lineRule="auto"/>
        <w:jc w:val="both"/>
        <w:rPr>
          <w:rFonts w:ascii="Book Antiqua" w:hAnsi="Book Antiqua"/>
          <w:color w:val="000000"/>
        </w:rPr>
      </w:pPr>
    </w:p>
    <w:p w14:paraId="1161400C"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Min Tian, Yi Lyu, Bo Wang, Chang Liu, Liang Yu, Jian-Hua Shi, Xue-Min Liu, Xiao-Gang Zhang, Kun Guo, Yu Li, Liang-Shuo Hu</w:t>
      </w:r>
    </w:p>
    <w:p w14:paraId="5AE2C8C0" w14:textId="77777777" w:rsidR="00C34BE9" w:rsidRDefault="00C34BE9">
      <w:pPr>
        <w:adjustRightInd w:val="0"/>
        <w:snapToGrid w:val="0"/>
        <w:spacing w:line="360" w:lineRule="auto"/>
        <w:jc w:val="both"/>
        <w:rPr>
          <w:rFonts w:ascii="Book Antiqua" w:hAnsi="Book Antiqua"/>
          <w:color w:val="000000"/>
        </w:rPr>
      </w:pPr>
    </w:p>
    <w:p w14:paraId="493C5706"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Min Tian, Yi Lyu, Bo Wang, Chang Liu, Liang Yu, Jian-Hua Shi, Xue-Min Liu, Xiao-Gang Zhang, Kun Guo, Yu Li, Liang-Shuo Hu, </w:t>
      </w:r>
      <w:r>
        <w:rPr>
          <w:rFonts w:ascii="Book Antiqua" w:eastAsia="Book Antiqua" w:hAnsi="Book Antiqua" w:cs="Book Antiqua"/>
          <w:color w:val="000000"/>
        </w:rPr>
        <w:t>Department of Hepatobiliary Surgery, The First Affiliated Hospital of Xi’an Jiaotong University, Xi’an 710061, Shaanxi Province, China</w:t>
      </w:r>
    </w:p>
    <w:p w14:paraId="2AE362E3" w14:textId="77777777" w:rsidR="00C34BE9" w:rsidRDefault="00C34BE9">
      <w:pPr>
        <w:adjustRightInd w:val="0"/>
        <w:snapToGrid w:val="0"/>
        <w:spacing w:line="360" w:lineRule="auto"/>
        <w:jc w:val="both"/>
        <w:rPr>
          <w:rFonts w:ascii="Book Antiqua" w:hAnsi="Book Antiqua"/>
          <w:color w:val="000000"/>
        </w:rPr>
      </w:pPr>
    </w:p>
    <w:p w14:paraId="705572E8"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Tian M, Shi JH, Guo K, Li Y and Hu LS prepared and collected the case data; Lyu Y, Wang B, Liu C, Liu XM, Yu L and Zhang XG analyzed the diagnosis and treatment of the case, and summarized the experience of diagnosis and treatment; Tian M reviewed the literature and was responsible for drafting the manuscript; and all authors gave final approval for the version to be submitted. </w:t>
      </w:r>
    </w:p>
    <w:p w14:paraId="19262352" w14:textId="77777777" w:rsidR="00C34BE9" w:rsidRDefault="00C34BE9">
      <w:pPr>
        <w:adjustRightInd w:val="0"/>
        <w:snapToGrid w:val="0"/>
        <w:spacing w:line="360" w:lineRule="auto"/>
        <w:jc w:val="both"/>
        <w:rPr>
          <w:rFonts w:ascii="Book Antiqua" w:hAnsi="Book Antiqua"/>
          <w:color w:val="000000"/>
        </w:rPr>
      </w:pPr>
    </w:p>
    <w:p w14:paraId="6725D023"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The</w:t>
      </w:r>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National Natural Science Foundation of China, No. 81870445; Scientific Research Project of Military Healthcare, No. BZZ19J004. </w:t>
      </w:r>
    </w:p>
    <w:p w14:paraId="30AEB644" w14:textId="77777777" w:rsidR="00C34BE9" w:rsidRDefault="00C34BE9">
      <w:pPr>
        <w:adjustRightInd w:val="0"/>
        <w:snapToGrid w:val="0"/>
        <w:spacing w:line="360" w:lineRule="auto"/>
        <w:jc w:val="both"/>
        <w:rPr>
          <w:rFonts w:ascii="Book Antiqua" w:hAnsi="Book Antiqua"/>
          <w:color w:val="000000"/>
        </w:rPr>
      </w:pPr>
    </w:p>
    <w:p w14:paraId="39932998"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Corresponding author: Bo Wang, MD, PhD, Chief Doctor, </w:t>
      </w:r>
      <w:r>
        <w:rPr>
          <w:rFonts w:ascii="Book Antiqua" w:eastAsia="Book Antiqua" w:hAnsi="Book Antiqua" w:cs="Book Antiqua"/>
          <w:color w:val="000000"/>
        </w:rPr>
        <w:t>Department of Hepatobiliary Surgery, The First Affiliated Hospital of Xi’an Jiaotong University, No. 277 West Yanta Road, Xi’an 710061, Shaanxi Province, China. bobwang75@sina.com</w:t>
      </w:r>
    </w:p>
    <w:p w14:paraId="5DAF6C5B" w14:textId="77777777" w:rsidR="00C34BE9" w:rsidRDefault="00C34BE9">
      <w:pPr>
        <w:adjustRightInd w:val="0"/>
        <w:snapToGrid w:val="0"/>
        <w:spacing w:line="360" w:lineRule="auto"/>
        <w:jc w:val="both"/>
        <w:rPr>
          <w:rFonts w:ascii="Book Antiqua" w:hAnsi="Book Antiqua"/>
          <w:color w:val="000000"/>
        </w:rPr>
      </w:pPr>
    </w:p>
    <w:p w14:paraId="2DDCCB7B"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May 27, 2021</w:t>
      </w:r>
    </w:p>
    <w:p w14:paraId="0A770128"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Revised: </w:t>
      </w:r>
      <w:r>
        <w:rPr>
          <w:rFonts w:ascii="Book Antiqua" w:eastAsia="Book Antiqua" w:hAnsi="Book Antiqua" w:cs="Book Antiqua"/>
          <w:color w:val="000000"/>
        </w:rPr>
        <w:t>July 6, 2021</w:t>
      </w:r>
    </w:p>
    <w:p w14:paraId="12741C59"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Accepted:</w:t>
      </w:r>
      <w:r w:rsidRPr="002112BD">
        <w:rPr>
          <w:rFonts w:ascii="Book Antiqua" w:eastAsia="Book Antiqua" w:hAnsi="Book Antiqua" w:cs="Book Antiqua"/>
          <w:color w:val="000000"/>
        </w:rPr>
        <w:t xml:space="preserve"> </w:t>
      </w:r>
      <w:r w:rsidR="002112BD" w:rsidRPr="002112BD">
        <w:rPr>
          <w:rFonts w:ascii="Book Antiqua" w:eastAsia="Book Antiqua" w:hAnsi="Book Antiqua" w:cs="Book Antiqua"/>
          <w:color w:val="000000"/>
        </w:rPr>
        <w:t>September 16, 2021</w:t>
      </w:r>
    </w:p>
    <w:p w14:paraId="6B7C6FFB" w14:textId="36129D67" w:rsidR="00C34BE9" w:rsidRPr="00562D0E" w:rsidRDefault="00C34BE9" w:rsidP="00562D0E">
      <w:pPr>
        <w:spacing w:line="360" w:lineRule="auto"/>
        <w:jc w:val="both"/>
        <w:rPr>
          <w:rFonts w:ascii="Book Antiqua" w:hAnsi="Book Antiqua"/>
          <w:color w:val="000000"/>
        </w:rPr>
      </w:pPr>
      <w:r>
        <w:rPr>
          <w:rFonts w:ascii="Book Antiqua" w:eastAsia="Book Antiqua" w:hAnsi="Book Antiqua" w:cs="Book Antiqua"/>
          <w:b/>
          <w:bCs/>
          <w:color w:val="000000"/>
        </w:rPr>
        <w:t xml:space="preserve">Published online: </w:t>
      </w:r>
      <w:r w:rsidR="00E55A24" w:rsidRPr="00E55A24">
        <w:rPr>
          <w:rFonts w:ascii="Book Antiqua" w:hAnsi="Book Antiqua"/>
          <w:color w:val="000000"/>
        </w:rPr>
        <w:t>October 26, 2021</w:t>
      </w:r>
    </w:p>
    <w:p w14:paraId="1FE0DABC" w14:textId="77777777" w:rsidR="00C34BE9" w:rsidRDefault="00C34BE9">
      <w:pPr>
        <w:adjustRightInd w:val="0"/>
        <w:snapToGrid w:val="0"/>
        <w:spacing w:line="360" w:lineRule="auto"/>
        <w:jc w:val="both"/>
        <w:rPr>
          <w:rFonts w:ascii="Book Antiqua" w:eastAsia="Book Antiqua" w:hAnsi="Book Antiqua" w:cs="Book Antiqua"/>
          <w:b/>
          <w:color w:val="000000"/>
        </w:rPr>
      </w:pPr>
    </w:p>
    <w:p w14:paraId="10341D2A"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Abstract</w:t>
      </w:r>
    </w:p>
    <w:p w14:paraId="3A4F96F2"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BACKGROUND</w:t>
      </w:r>
    </w:p>
    <w:p w14:paraId="1A5E8EB8"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Graft-versus-host disease (GVHD) following liver transplantation (LT) is an unpredictable complication with poor outcome. However, consensus regarding the diagnosis and therapeutic regimen for the disease is yet lacking. The present study summarized the clinical experience on the diagnosis and treatment of acute GVHD (aGVHD) following LT and reviewed the pertinent literature.</w:t>
      </w:r>
    </w:p>
    <w:p w14:paraId="3895E34A" w14:textId="77777777" w:rsidR="00C34BE9" w:rsidRDefault="00C34BE9">
      <w:pPr>
        <w:adjustRightInd w:val="0"/>
        <w:snapToGrid w:val="0"/>
        <w:spacing w:line="360" w:lineRule="auto"/>
        <w:jc w:val="both"/>
        <w:rPr>
          <w:rFonts w:ascii="Book Antiqua" w:hAnsi="Book Antiqua"/>
          <w:color w:val="000000"/>
        </w:rPr>
      </w:pPr>
    </w:p>
    <w:p w14:paraId="693D5B6E"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CASE SUMMARY</w:t>
      </w:r>
    </w:p>
    <w:p w14:paraId="71E98B16"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Between January 1</w:t>
      </w:r>
      <w:r>
        <w:rPr>
          <w:rFonts w:ascii="Book Antiqua" w:eastAsia="Book Antiqua" w:hAnsi="Book Antiqua" w:cs="Book Antiqua"/>
          <w:color w:val="000000"/>
          <w:vertAlign w:val="superscript"/>
        </w:rPr>
        <w:t>st</w:t>
      </w:r>
      <w:r>
        <w:rPr>
          <w:rFonts w:ascii="Book Antiqua" w:eastAsia="Book Antiqua" w:hAnsi="Book Antiqua" w:cs="Book Antiqua"/>
          <w:color w:val="000000"/>
        </w:rPr>
        <w:t>, 2000 and December 31</w:t>
      </w:r>
      <w:r>
        <w:rPr>
          <w:rFonts w:ascii="Book Antiqua" w:eastAsia="Book Antiqua" w:hAnsi="Book Antiqua" w:cs="Book Antiqua"/>
          <w:color w:val="000000"/>
          <w:vertAlign w:val="superscript"/>
        </w:rPr>
        <w:t>st</w:t>
      </w:r>
      <w:r>
        <w:rPr>
          <w:rFonts w:ascii="Book Antiqua" w:eastAsia="Book Antiqua" w:hAnsi="Book Antiqua" w:cs="Book Antiqua"/>
          <w:color w:val="000000"/>
        </w:rPr>
        <w:t>, 2020, a total of 1053 LT were performed in the First Affiliated Hospital of Xi’an Jiaotong University. Six recipients developed aGVHD with clinical symptoms of fever, rash, diarrhea, and pancytopenia. The incidence of aGVHD was 0.57%. The median time from LT to the clinical presentation of aGVHD was 22.17 d. The median time from the beginning of the clinical symptom to histopathological diagnosis was 7.5 d. All six cases underwent treatment of immunosuppressant adjustment, corticosteroids, human normal immunoglobulin, and antithymocyte globulin/IL-2 antagonists. Despite intensive treatment strategies, 4 patients were deceased due to sepsis, multiple organ failure, and cerebral hemorrhage. The remaining two cases were discharged as treatment successfully. However, one died because of tuberculosis infection on the 6th month of follow-up, the other one was alive healthy during 30 mo of follow-up.</w:t>
      </w:r>
    </w:p>
    <w:p w14:paraId="2789BC10" w14:textId="77777777" w:rsidR="00C34BE9" w:rsidRDefault="00C34BE9">
      <w:pPr>
        <w:adjustRightInd w:val="0"/>
        <w:snapToGrid w:val="0"/>
        <w:spacing w:line="360" w:lineRule="auto"/>
        <w:jc w:val="both"/>
        <w:rPr>
          <w:rFonts w:ascii="Book Antiqua" w:hAnsi="Book Antiqua"/>
          <w:color w:val="000000"/>
        </w:rPr>
      </w:pPr>
    </w:p>
    <w:p w14:paraId="6A006908"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CONCLUSION</w:t>
      </w:r>
    </w:p>
    <w:p w14:paraId="2CCA5317"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The rapid diagnosis of aGVHD is mainly based on the time from the first symptom, histopathological features, and the donor T-lymphocyte chimerism. Our cases report highlights massive corticosteroid therapy and age difference between donors and recipients could accelerate to aGVHD. Moreover, gut microbial interventions and donor-targeted serotherapy may provide novel therapeutics. </w:t>
      </w:r>
    </w:p>
    <w:p w14:paraId="68E26482" w14:textId="77777777" w:rsidR="00C34BE9" w:rsidRDefault="00C34BE9">
      <w:pPr>
        <w:adjustRightInd w:val="0"/>
        <w:snapToGrid w:val="0"/>
        <w:spacing w:line="360" w:lineRule="auto"/>
        <w:jc w:val="both"/>
        <w:rPr>
          <w:rFonts w:ascii="Book Antiqua" w:hAnsi="Book Antiqua"/>
          <w:color w:val="000000"/>
        </w:rPr>
      </w:pPr>
    </w:p>
    <w:p w14:paraId="5036B02F"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Graft-versus-host disease; Liver transplantation; Donor T-lymphocytes chimerism; Gut microbiota; Donor-targeted serotherapy; Case report</w:t>
      </w:r>
    </w:p>
    <w:p w14:paraId="70A1BB9D" w14:textId="77777777" w:rsidR="00194195" w:rsidRDefault="00194195" w:rsidP="00194195">
      <w:pPr>
        <w:spacing w:line="360" w:lineRule="auto"/>
        <w:jc w:val="both"/>
        <w:rPr>
          <w:lang w:eastAsia="zh-CN"/>
        </w:rPr>
      </w:pPr>
    </w:p>
    <w:p w14:paraId="07A761A3" w14:textId="77777777" w:rsidR="00194195" w:rsidRPr="00026CB8" w:rsidRDefault="00194195" w:rsidP="00194195">
      <w:pPr>
        <w:spacing w:line="360" w:lineRule="auto"/>
        <w:jc w:val="both"/>
        <w:rPr>
          <w:rFonts w:ascii="Book Antiqua" w:eastAsia="Book Antiqua" w:hAnsi="Book Antiqua" w:cs="Book Antiqua"/>
          <w:color w:val="000000"/>
        </w:rPr>
      </w:pPr>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 xml:space="preserve">Author(s) 2021. </w:t>
      </w:r>
      <w:r w:rsidRPr="00026CB8">
        <w:rPr>
          <w:rFonts w:ascii="Book Antiqua" w:eastAsia="Book Antiqua" w:hAnsi="Book Antiqua" w:cs="Book Antiqua"/>
          <w:color w:val="000000"/>
        </w:rPr>
        <w:t xml:space="preserve">Published by Baishideng Publishing Group Inc. All rights reserved. </w:t>
      </w:r>
    </w:p>
    <w:p w14:paraId="5D11D68F" w14:textId="77777777" w:rsidR="00C34BE9" w:rsidRDefault="00C34BE9">
      <w:pPr>
        <w:adjustRightInd w:val="0"/>
        <w:snapToGrid w:val="0"/>
        <w:spacing w:line="360" w:lineRule="auto"/>
        <w:jc w:val="both"/>
        <w:rPr>
          <w:rFonts w:ascii="Book Antiqua" w:hAnsi="Book Antiqua"/>
          <w:color w:val="000000"/>
        </w:rPr>
      </w:pPr>
    </w:p>
    <w:p w14:paraId="3853C9D7" w14:textId="59273E4F" w:rsidR="009C4451" w:rsidRPr="00765D2E" w:rsidRDefault="009C4451" w:rsidP="008E4078">
      <w:pPr>
        <w:adjustRightInd w:val="0"/>
        <w:snapToGrid w:val="0"/>
        <w:spacing w:line="360" w:lineRule="auto"/>
        <w:rPr>
          <w:rFonts w:ascii="Book Antiqua" w:eastAsia="等线" w:hAnsi="Book Antiqua" w:cs="Book Antiqua" w:hint="eastAsia"/>
          <w:lang w:val="pt-BR" w:eastAsia="zh-CN"/>
        </w:rPr>
      </w:pPr>
      <w:r w:rsidRPr="00765D2E">
        <w:rPr>
          <w:rFonts w:ascii="Book Antiqua" w:eastAsia="等线" w:hAnsi="Book Antiqua" w:cs="Book Antiqua" w:hint="eastAsia"/>
          <w:b/>
          <w:color w:val="000000"/>
          <w:lang w:eastAsia="zh-CN"/>
        </w:rPr>
        <w:t xml:space="preserve">Citation: </w:t>
      </w:r>
      <w:r w:rsidR="00C34BE9">
        <w:rPr>
          <w:rFonts w:ascii="Book Antiqua" w:eastAsia="Book Antiqua" w:hAnsi="Book Antiqua" w:cs="Book Antiqua"/>
          <w:color w:val="000000"/>
        </w:rPr>
        <w:t xml:space="preserve">Tian M, Lyu Y, Wang B, Liu C, Yu L, Shi JH, Liu XM, Zhang XG, Guo K, Li Y, Hu LS. Diagnosis and treatment of acute graft-versus-host disease after liver transplantation: Report of six cases. </w:t>
      </w:r>
      <w:r w:rsidR="00C34BE9">
        <w:rPr>
          <w:rFonts w:ascii="Book Antiqua" w:eastAsia="Book Antiqua" w:hAnsi="Book Antiqua" w:cs="Book Antiqua"/>
          <w:i/>
          <w:iCs/>
          <w:color w:val="000000"/>
        </w:rPr>
        <w:t>World J Clin Cases</w:t>
      </w:r>
      <w:r w:rsidR="00C34BE9">
        <w:rPr>
          <w:rFonts w:ascii="Book Antiqua" w:eastAsia="Book Antiqua" w:hAnsi="Book Antiqua" w:cs="Book Antiqua"/>
          <w:color w:val="000000"/>
        </w:rPr>
        <w:t xml:space="preserve"> </w:t>
      </w:r>
      <w:bookmarkStart w:id="0" w:name="_Hlk56867303"/>
      <w:r w:rsidR="00177E4B" w:rsidRPr="00D2753A">
        <w:rPr>
          <w:rFonts w:ascii="Book Antiqua" w:eastAsia="Book Antiqua" w:hAnsi="Book Antiqua" w:cs="Book Antiqua"/>
          <w:lang w:val="pt-BR"/>
        </w:rPr>
        <w:t>2021; 9(</w:t>
      </w:r>
      <w:r w:rsidR="00177E4B">
        <w:rPr>
          <w:rFonts w:ascii="Book Antiqua" w:eastAsia="Book Antiqua" w:hAnsi="Book Antiqua" w:cs="Book Antiqua"/>
          <w:lang w:val="pt-BR"/>
        </w:rPr>
        <w:t>30</w:t>
      </w:r>
      <w:r w:rsidR="00177E4B" w:rsidRPr="00D2753A">
        <w:rPr>
          <w:rFonts w:ascii="Book Antiqua" w:eastAsia="Book Antiqua" w:hAnsi="Book Antiqua" w:cs="Book Antiqua"/>
          <w:lang w:val="pt-BR"/>
        </w:rPr>
        <w:t xml:space="preserve">): </w:t>
      </w:r>
      <w:r w:rsidRPr="009C4451">
        <w:rPr>
          <w:rFonts w:ascii="Book Antiqua" w:eastAsia="Book Antiqua" w:hAnsi="Book Antiqua" w:cs="Book Antiqua"/>
          <w:lang w:val="pt-BR"/>
        </w:rPr>
        <w:t>9255-9268</w:t>
      </w:r>
      <w:r w:rsidR="00177E4B" w:rsidRPr="00D2753A">
        <w:rPr>
          <w:rFonts w:ascii="Book Antiqua" w:eastAsia="Book Antiqua" w:hAnsi="Book Antiqua" w:cs="Book Antiqua"/>
          <w:lang w:val="pt-BR"/>
        </w:rPr>
        <w:t xml:space="preserve"> </w:t>
      </w:r>
    </w:p>
    <w:p w14:paraId="38102A68" w14:textId="77777777" w:rsidR="009C4451" w:rsidRPr="00765D2E" w:rsidRDefault="00177E4B" w:rsidP="008E4078">
      <w:pPr>
        <w:adjustRightInd w:val="0"/>
        <w:snapToGrid w:val="0"/>
        <w:spacing w:line="360" w:lineRule="auto"/>
        <w:rPr>
          <w:rFonts w:ascii="Book Antiqua" w:eastAsia="等线" w:hAnsi="Book Antiqua" w:cs="Book Antiqua" w:hint="eastAsia"/>
          <w:lang w:val="pt-BR" w:eastAsia="zh-CN"/>
        </w:rPr>
      </w:pPr>
      <w:r w:rsidRPr="009C4451">
        <w:rPr>
          <w:rFonts w:ascii="Book Antiqua" w:eastAsia="Book Antiqua" w:hAnsi="Book Antiqua" w:cs="Book Antiqua"/>
          <w:b/>
          <w:lang w:val="pt-BR"/>
        </w:rPr>
        <w:t xml:space="preserve">URL: </w:t>
      </w:r>
      <w:r w:rsidRPr="00D2753A">
        <w:rPr>
          <w:rFonts w:ascii="Book Antiqua" w:eastAsia="Book Antiqua" w:hAnsi="Book Antiqua" w:cs="Book Antiqua"/>
          <w:lang w:val="pt-BR"/>
        </w:rPr>
        <w:t>https://www.wjgnet.com/2307-8960/full/v9/i</w:t>
      </w:r>
      <w:r>
        <w:rPr>
          <w:rFonts w:ascii="Book Antiqua" w:eastAsia="Book Antiqua" w:hAnsi="Book Antiqua" w:cs="Book Antiqua"/>
          <w:lang w:val="pt-BR"/>
        </w:rPr>
        <w:t>30</w:t>
      </w:r>
      <w:r w:rsidRPr="00D2753A">
        <w:rPr>
          <w:rFonts w:ascii="Book Antiqua" w:eastAsia="Book Antiqua" w:hAnsi="Book Antiqua" w:cs="Book Antiqua"/>
          <w:lang w:val="pt-BR"/>
        </w:rPr>
        <w:t>/</w:t>
      </w:r>
      <w:r w:rsidR="009C4451" w:rsidRPr="009C4451">
        <w:rPr>
          <w:rFonts w:ascii="Book Antiqua" w:eastAsia="Book Antiqua" w:hAnsi="Book Antiqua" w:cs="Book Antiqua"/>
          <w:lang w:val="pt-BR"/>
        </w:rPr>
        <w:t>9255</w:t>
      </w:r>
      <w:r w:rsidRPr="00D2753A">
        <w:rPr>
          <w:rFonts w:ascii="Book Antiqua" w:eastAsia="Book Antiqua" w:hAnsi="Book Antiqua" w:cs="Book Antiqua"/>
          <w:lang w:val="pt-BR"/>
        </w:rPr>
        <w:t>.htm</w:t>
      </w:r>
      <w:r>
        <w:rPr>
          <w:rFonts w:ascii="Book Antiqua" w:eastAsia="Book Antiqua" w:hAnsi="Book Antiqua" w:cs="Book Antiqua"/>
          <w:lang w:val="pt-BR"/>
        </w:rPr>
        <w:t xml:space="preserve"> </w:t>
      </w:r>
    </w:p>
    <w:p w14:paraId="106123D6" w14:textId="5F37991E" w:rsidR="00C34BE9" w:rsidRPr="008E4078" w:rsidRDefault="00177E4B" w:rsidP="008E4078">
      <w:pPr>
        <w:adjustRightInd w:val="0"/>
        <w:snapToGrid w:val="0"/>
        <w:spacing w:line="360" w:lineRule="auto"/>
        <w:rPr>
          <w:rFonts w:ascii="Book Antiqua" w:hAnsi="Book Antiqua" w:cs="Book Antiqua"/>
          <w:lang w:val="pt-BR"/>
        </w:rPr>
      </w:pPr>
      <w:r w:rsidRPr="009C4451">
        <w:rPr>
          <w:rFonts w:ascii="Book Antiqua" w:eastAsia="Book Antiqua" w:hAnsi="Book Antiqua" w:cs="Book Antiqua"/>
          <w:b/>
          <w:lang w:val="pt-BR"/>
        </w:rPr>
        <w:t xml:space="preserve">DOI: </w:t>
      </w:r>
      <w:r w:rsidRPr="00D2753A">
        <w:rPr>
          <w:rFonts w:ascii="Book Antiqua" w:eastAsia="Book Antiqua" w:hAnsi="Book Antiqua" w:cs="Book Antiqua"/>
          <w:lang w:val="pt-BR"/>
        </w:rPr>
        <w:t>https://dx.doi.org/10.12998/wjcc.v9.i</w:t>
      </w:r>
      <w:r>
        <w:rPr>
          <w:rFonts w:ascii="Book Antiqua" w:eastAsia="Book Antiqua" w:hAnsi="Book Antiqua" w:cs="Book Antiqua"/>
          <w:lang w:val="pt-BR"/>
        </w:rPr>
        <w:t>30</w:t>
      </w:r>
      <w:r w:rsidRPr="00D2753A">
        <w:rPr>
          <w:rFonts w:ascii="Book Antiqua" w:eastAsia="Book Antiqua" w:hAnsi="Book Antiqua" w:cs="Book Antiqua"/>
          <w:lang w:val="pt-BR"/>
        </w:rPr>
        <w:t>.</w:t>
      </w:r>
      <w:bookmarkEnd w:id="0"/>
      <w:r w:rsidR="009C4451" w:rsidRPr="009C4451">
        <w:rPr>
          <w:rFonts w:ascii="Book Antiqua" w:eastAsia="Book Antiqua" w:hAnsi="Book Antiqua" w:cs="Book Antiqua"/>
          <w:lang w:val="pt-BR"/>
        </w:rPr>
        <w:t>9255</w:t>
      </w:r>
    </w:p>
    <w:p w14:paraId="79A89431" w14:textId="77777777" w:rsidR="00C34BE9" w:rsidRDefault="00C34BE9">
      <w:pPr>
        <w:adjustRightInd w:val="0"/>
        <w:snapToGrid w:val="0"/>
        <w:spacing w:line="360" w:lineRule="auto"/>
        <w:jc w:val="both"/>
        <w:rPr>
          <w:rFonts w:ascii="Book Antiqua" w:hAnsi="Book Antiqua"/>
          <w:color w:val="000000"/>
        </w:rPr>
      </w:pPr>
    </w:p>
    <w:p w14:paraId="534A18A1"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Acute graft-versus-host disease (aGVHD) is rare after liver transplantation (LT) with an incidence rate of 0.57% and the high mortality (up to 83.33%), which poses a critical challenge to our hospital. The diagnosis of aGVHD mainly depends on clinical symptoms, laboratory examinations especially donor T-lymphocytes chimerism analysis and histopathological. The larger the age distribution and the earlier the first symptoms, it is herald that the more rapid the progression in post-LT aGVHD. The most appear steroid-resistant in post-LT aGVHD. Thus, lower the dose of the corticosteroids, improved antibiotic stewardship, Particularly, gut microbial interventions and donor-targeted serotherapy may provide novel therapeutics.</w:t>
      </w:r>
    </w:p>
    <w:p w14:paraId="5C9FCA01" w14:textId="77777777" w:rsidR="00C34BE9" w:rsidRDefault="00C34BE9">
      <w:pPr>
        <w:adjustRightInd w:val="0"/>
        <w:snapToGrid w:val="0"/>
        <w:spacing w:line="360" w:lineRule="auto"/>
        <w:jc w:val="both"/>
        <w:rPr>
          <w:rFonts w:ascii="Book Antiqua" w:hAnsi="Book Antiqua"/>
          <w:color w:val="000000"/>
        </w:rPr>
      </w:pPr>
    </w:p>
    <w:p w14:paraId="79156951"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aps/>
          <w:color w:val="000000"/>
          <w:u w:val="single"/>
        </w:rPr>
        <w:br w:type="page"/>
        <w:t>INTRODUCTION</w:t>
      </w:r>
    </w:p>
    <w:p w14:paraId="45764A47"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Graft-versus-host disease (GVHD) is defined as the recognition of the recipient tissue antigens as foreign and antagonistic reactions by donor lymphocytes. GVHD is a rare but frequently lethal complication after solid organ transplantation (SOT). Acute GVHD (aGVHD) is rare after liver transplantation (LT) than hematopoietic stem cell transplantation (HSCT) with an estimated incidence rate of 0.5%–2%; the high mortality associated with this complication (up to 85%) poses a critical challenge</w:t>
      </w:r>
      <w:r>
        <w:rPr>
          <w:rFonts w:ascii="Book Antiqua" w:eastAsia="Book Antiqua" w:hAnsi="Book Antiqua" w:cs="Book Antiqua"/>
          <w:color w:val="000000"/>
          <w:vertAlign w:val="superscript"/>
        </w:rPr>
        <w:t>[1-3]</w:t>
      </w:r>
      <w:r>
        <w:rPr>
          <w:rFonts w:ascii="Book Antiqua" w:eastAsia="Book Antiqua" w:hAnsi="Book Antiqua" w:cs="Book Antiqua"/>
          <w:color w:val="000000"/>
        </w:rPr>
        <w:t>. aGVHD after LT could present between 1 and 8 weeks post-transplantation. Chronic GVHD (cGVHD) which is rare poorly understood presents a delayed onset (typically &gt; 100 d after LT)</w:t>
      </w:r>
      <w:r>
        <w:rPr>
          <w:rFonts w:ascii="Book Antiqua" w:eastAsia="Book Antiqua" w:hAnsi="Book Antiqua" w:cs="Book Antiqua"/>
          <w:color w:val="000000"/>
          <w:vertAlign w:val="superscript"/>
        </w:rPr>
        <w:t>[4]</w:t>
      </w:r>
      <w:r>
        <w:rPr>
          <w:rFonts w:ascii="Book Antiqua" w:eastAsia="Book Antiqua" w:hAnsi="Book Antiqua" w:cs="Book Antiqua"/>
          <w:color w:val="000000"/>
        </w:rPr>
        <w:t>. The variable incidence when comparing single-center data could be attributed to the differences in diagnostic criteria, the disease, and early symptoms, which are often non-specific. Thus, consensus regarding GVHD diagnosis and therapeutic regimen is lacking.</w:t>
      </w:r>
    </w:p>
    <w:p w14:paraId="660C5763"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Organs which are commonly affected by GVHD after LT are skin, gastrointestinal (GI) tract, and bone marrow. Hence, the frequently encountered clinical signs and symptoms including fever, rash, and diarrhea. On the other hand, pancytopenia is observed in advanced stages of the disease</w:t>
      </w:r>
      <w:r>
        <w:rPr>
          <w:rFonts w:ascii="Book Antiqua" w:eastAsia="Book Antiqua" w:hAnsi="Book Antiqua" w:cs="Book Antiqua"/>
          <w:color w:val="000000"/>
          <w:vertAlign w:val="superscript"/>
        </w:rPr>
        <w:t>[1]</w:t>
      </w:r>
      <w:r>
        <w:rPr>
          <w:rFonts w:ascii="Book Antiqua" w:eastAsia="Book Antiqua" w:hAnsi="Book Antiqua" w:cs="Book Antiqua"/>
          <w:color w:val="000000"/>
        </w:rPr>
        <w:t>. Pancytopenia, diarrhea, the age difference between donor and recipient, and time from the occurrence of the first symptom to diagnosis and treatment are known as the risk factors that affecting GVHD-related mortality</w:t>
      </w:r>
      <w:r>
        <w:rPr>
          <w:rFonts w:ascii="Book Antiqua" w:eastAsia="Book Antiqua" w:hAnsi="Book Antiqua" w:cs="Book Antiqua"/>
          <w:color w:val="000000"/>
          <w:vertAlign w:val="superscript"/>
        </w:rPr>
        <w:t>[5]</w:t>
      </w:r>
      <w:r>
        <w:rPr>
          <w:rFonts w:ascii="Book Antiqua" w:eastAsia="Book Antiqua" w:hAnsi="Book Antiqua" w:cs="Book Antiqua"/>
          <w:color w:val="000000"/>
        </w:rPr>
        <w:t>. The most common causes of death in patients with GVHD include sepsis, multiorgan failure, and GI bleeding</w:t>
      </w:r>
      <w:r>
        <w:rPr>
          <w:rFonts w:ascii="Book Antiqua" w:eastAsia="Book Antiqua" w:hAnsi="Book Antiqua" w:cs="Book Antiqua"/>
          <w:color w:val="000000"/>
          <w:vertAlign w:val="superscript"/>
        </w:rPr>
        <w:t>[3]</w:t>
      </w:r>
      <w:r>
        <w:rPr>
          <w:rFonts w:ascii="Book Antiqua" w:eastAsia="Book Antiqua" w:hAnsi="Book Antiqua" w:cs="Book Antiqua"/>
          <w:color w:val="000000"/>
        </w:rPr>
        <w:t>. The diagnosis of GVHD is challenging, owing to the overlap in the clinical presentation of drug reactions and viral infection. Therefore, early diagnosis is difficult and requires a high index of clinical suspicion. In this study, we aimed to share our experience of six patients who developed aGVHD after LT, in order to emphasize the importance of early diagnosis and treatment of the disease.</w:t>
      </w:r>
    </w:p>
    <w:p w14:paraId="028169C1" w14:textId="77777777" w:rsidR="00C34BE9" w:rsidRDefault="00C34BE9">
      <w:pPr>
        <w:adjustRightInd w:val="0"/>
        <w:snapToGrid w:val="0"/>
        <w:spacing w:line="360" w:lineRule="auto"/>
        <w:jc w:val="both"/>
        <w:rPr>
          <w:rFonts w:ascii="Book Antiqua" w:hAnsi="Book Antiqua"/>
          <w:color w:val="000000"/>
        </w:rPr>
      </w:pPr>
    </w:p>
    <w:p w14:paraId="39C2BD19"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aps/>
          <w:color w:val="000000"/>
          <w:u w:val="single"/>
        </w:rPr>
        <w:t>CASE PRESENTATION</w:t>
      </w:r>
    </w:p>
    <w:p w14:paraId="7EDD3375"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i/>
          <w:color w:val="000000"/>
        </w:rPr>
        <w:t>Chief complaints</w:t>
      </w:r>
    </w:p>
    <w:p w14:paraId="070C1C5F"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Between January 1</w:t>
      </w:r>
      <w:r>
        <w:rPr>
          <w:rFonts w:ascii="Book Antiqua" w:eastAsia="Book Antiqua" w:hAnsi="Book Antiqua" w:cs="Book Antiqua"/>
          <w:color w:val="000000"/>
          <w:vertAlign w:val="superscript"/>
        </w:rPr>
        <w:t>st</w:t>
      </w:r>
      <w:r>
        <w:rPr>
          <w:rFonts w:ascii="Book Antiqua" w:eastAsia="Book Antiqua" w:hAnsi="Book Antiqua" w:cs="Book Antiqua"/>
          <w:color w:val="000000"/>
        </w:rPr>
        <w:t>, 2000 and December 31</w:t>
      </w:r>
      <w:r>
        <w:rPr>
          <w:rFonts w:ascii="Book Antiqua" w:eastAsia="Book Antiqua" w:hAnsi="Book Antiqua" w:cs="Book Antiqua"/>
          <w:color w:val="000000"/>
          <w:vertAlign w:val="superscript"/>
        </w:rPr>
        <w:t>st</w:t>
      </w:r>
      <w:r>
        <w:rPr>
          <w:rFonts w:ascii="Book Antiqua" w:eastAsia="Book Antiqua" w:hAnsi="Book Antiqua" w:cs="Book Antiqua"/>
          <w:color w:val="000000"/>
        </w:rPr>
        <w:t>, 2020, a total of 1053 orthotopic LT (OLT) procedures were performed in the Liver Transplantation Institute in the First Affiliated Hospital of Xi’an Jiao Tong University, Shaanxi, China. Six patients presented (all males) signs and symptoms compatible with aGVHD were enrolled. Demographic and some characteristics of six LT patients with aGVHD are shown in Table 1. The chief complaints of the patients are shown in Table 2. Five of the six patients (case 1, 3, 4, 5, 6) had the initial symptom of fever, the highest temperature was 38.5-40</w:t>
      </w:r>
      <w:r>
        <w:rPr>
          <w:rFonts w:ascii="宋体" w:hAnsi="宋体" w:cs="宋体" w:hint="eastAsia"/>
          <w:color w:val="000000"/>
        </w:rPr>
        <w:t>℃</w:t>
      </w:r>
      <w:r>
        <w:rPr>
          <w:rFonts w:ascii="Book Antiqua" w:eastAsia="Book Antiqua" w:hAnsi="Book Antiqua" w:cs="Book Antiqua"/>
          <w:color w:val="000000"/>
        </w:rPr>
        <w:t>, the other one (case 2) had initial symptom of pancytopenia. Two patients (case 5, 6) were discharged from hospital because of condition improved on 13 d and 17 d post-LT, whereas readmission to the hospital because of severe fever and rash. Four patients (case 1, 2, 3, 4) developed aGVHD shortly post-LT.</w:t>
      </w:r>
    </w:p>
    <w:p w14:paraId="76A92E91" w14:textId="77777777" w:rsidR="00C34BE9" w:rsidRDefault="00C34BE9">
      <w:pPr>
        <w:adjustRightInd w:val="0"/>
        <w:snapToGrid w:val="0"/>
        <w:spacing w:line="360" w:lineRule="auto"/>
        <w:jc w:val="both"/>
        <w:rPr>
          <w:rFonts w:ascii="Book Antiqua" w:hAnsi="Book Antiqua"/>
          <w:color w:val="000000"/>
        </w:rPr>
      </w:pPr>
    </w:p>
    <w:p w14:paraId="536C6A82"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i/>
          <w:color w:val="000000"/>
        </w:rPr>
        <w:t>History of present illness</w:t>
      </w:r>
    </w:p>
    <w:p w14:paraId="013EE48F"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The etiology for OLT of six patients were as follows: hepatitis B virus (HBV) + hepatocellular carcinoma (HCC) (case 3), HCC + liver cirrhosis (case 1), OLT+HBV+HCC (case 4), and HBV + liver cirrhosis (case 2, 5, 6). The common symptoms of aGVHD post-LT including fever, skin rash, diarrhea, and pancytopenia. Fever and skin rash were common initial symptoms in aGVHD patients (Table 2). The skin rash in GVHD is non-specific</w:t>
      </w:r>
      <w:r>
        <w:rPr>
          <w:rFonts w:ascii="Book Antiqua" w:eastAsia="Book Antiqua" w:hAnsi="Book Antiqua" w:cs="Book Antiqua"/>
          <w:color w:val="000000"/>
          <w:vertAlign w:val="superscript"/>
        </w:rPr>
        <w:t>[6]</w:t>
      </w:r>
      <w:r>
        <w:rPr>
          <w:rFonts w:ascii="Book Antiqua" w:eastAsia="Book Antiqua" w:hAnsi="Book Antiqua" w:cs="Book Antiqua"/>
          <w:color w:val="000000"/>
        </w:rPr>
        <w:t>. It is erythematous, maculopapular, and can involve any part of the body, including palms, soles, face, neck, limbs, and the volar surfaces of extremities and trunk. Finally, necrosis and denudation of the epidermis are observed. Oral mucosal ulcerations formed at the same time in all patients. Herein, four patients (case 1, 3, 5, 6) showed involvement of skin, GI tract, and bone marrow (Table 2). The other two patients (case 2, 4) showed skin and bone marrow involvement, and one of them (case 4) also showed an involvement of the central nervous system (CNS). Case 4 initially presented fever (38.5</w:t>
      </w:r>
      <w:r>
        <w:rPr>
          <w:rFonts w:ascii="宋体" w:hAnsi="宋体" w:cs="宋体" w:hint="eastAsia"/>
          <w:color w:val="000000"/>
        </w:rPr>
        <w:t>℃</w:t>
      </w:r>
      <w:r>
        <w:rPr>
          <w:rFonts w:ascii="Book Antiqua" w:eastAsia="Book Antiqua" w:hAnsi="Book Antiqua" w:cs="Book Antiqua"/>
          <w:color w:val="000000"/>
        </w:rPr>
        <w:t xml:space="preserve">) and skin rash on day 17 post-LT, but then progressed rapidly to loss of consciousness and pancytopenia that might be related to this disease. Before readmission to our department, one patient (cases 6) was misdiagnosed with drug reactions and viral infection. </w:t>
      </w:r>
    </w:p>
    <w:p w14:paraId="64D2E191" w14:textId="77777777" w:rsidR="00C34BE9" w:rsidRDefault="00C34BE9">
      <w:pPr>
        <w:adjustRightInd w:val="0"/>
        <w:snapToGrid w:val="0"/>
        <w:spacing w:line="360" w:lineRule="auto"/>
        <w:jc w:val="both"/>
        <w:rPr>
          <w:rFonts w:ascii="Book Antiqua" w:hAnsi="Book Antiqua"/>
          <w:color w:val="000000"/>
        </w:rPr>
      </w:pPr>
    </w:p>
    <w:p w14:paraId="09246A8C"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i/>
          <w:color w:val="000000"/>
        </w:rPr>
        <w:t>History of past illness</w:t>
      </w:r>
    </w:p>
    <w:p w14:paraId="551826E5"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 xml:space="preserve">There was no history of essential hypertension, diabetes mellitus, or relevant cerebrovascular disease in the 6 patients. One patient (case 1) suffered from HCC combined with liver cirrhosis, and he received transcatheter arterial chemoembolization before OLT. One patient (case 4) underwent OLT due to HBV combined with HCC 13 years before, and a retransplantation was performed due to HCC recurrence. One patient (case 3) suffered from hepatocellular cancer with HBV before OLT. Three cases (case 2, 5, 6) suffered from hepatitis B cirrhosis before OLT. </w:t>
      </w:r>
    </w:p>
    <w:p w14:paraId="1A98F536" w14:textId="77777777" w:rsidR="00C34BE9" w:rsidRDefault="00C34BE9">
      <w:pPr>
        <w:adjustRightInd w:val="0"/>
        <w:snapToGrid w:val="0"/>
        <w:spacing w:line="360" w:lineRule="auto"/>
        <w:jc w:val="both"/>
        <w:rPr>
          <w:rFonts w:ascii="Book Antiqua" w:hAnsi="Book Antiqua"/>
          <w:color w:val="000000"/>
        </w:rPr>
      </w:pPr>
    </w:p>
    <w:p w14:paraId="7903E02C"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i/>
          <w:color w:val="000000"/>
        </w:rPr>
        <w:t>Personal and family history</w:t>
      </w:r>
    </w:p>
    <w:p w14:paraId="24BBE3BC"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Four patients had smoking history. Family members of the patients had no history of confirmed malignant tumours and viral hepatitis.</w:t>
      </w:r>
    </w:p>
    <w:p w14:paraId="571C5E90" w14:textId="77777777" w:rsidR="00C34BE9" w:rsidRDefault="00C34BE9">
      <w:pPr>
        <w:adjustRightInd w:val="0"/>
        <w:snapToGrid w:val="0"/>
        <w:spacing w:line="360" w:lineRule="auto"/>
        <w:jc w:val="both"/>
        <w:rPr>
          <w:rFonts w:ascii="Book Antiqua" w:hAnsi="Book Antiqua"/>
          <w:color w:val="000000"/>
        </w:rPr>
      </w:pPr>
    </w:p>
    <w:p w14:paraId="7664AE26"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i/>
          <w:color w:val="000000"/>
        </w:rPr>
        <w:t>Physical examination</w:t>
      </w:r>
    </w:p>
    <w:p w14:paraId="0F79E0F8"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Blood pressure, respiratory rate, and heart rate were all in the normal range on began to come on except the body temperature was 38.5-40</w:t>
      </w:r>
      <w:r>
        <w:rPr>
          <w:rFonts w:ascii="宋体" w:hAnsi="宋体" w:cs="宋体" w:hint="eastAsia"/>
          <w:color w:val="000000"/>
        </w:rPr>
        <w:t>℃</w:t>
      </w:r>
      <w:r>
        <w:rPr>
          <w:rFonts w:ascii="Book Antiqua" w:eastAsia="Book Antiqua" w:hAnsi="Book Antiqua" w:cs="Book Antiqua"/>
          <w:color w:val="000000"/>
        </w:rPr>
        <w:t>. Oral mucosal ulcerations were found in all patients. There was no other obvious physical sign except skin rash in all patients, such as the skin rash in case 5 (Figure 1), and case 6 (Figure 2). It is erythematous, maculopapular, and can involve palms, soles, face, neck, limbs, and the volar surfaces of extremities and trunk.</w:t>
      </w:r>
    </w:p>
    <w:p w14:paraId="51B832A1" w14:textId="77777777" w:rsidR="00C34BE9" w:rsidRDefault="00C34BE9">
      <w:pPr>
        <w:adjustRightInd w:val="0"/>
        <w:snapToGrid w:val="0"/>
        <w:spacing w:line="360" w:lineRule="auto"/>
        <w:jc w:val="both"/>
        <w:rPr>
          <w:rFonts w:ascii="Book Antiqua" w:hAnsi="Book Antiqua"/>
          <w:color w:val="000000"/>
        </w:rPr>
      </w:pPr>
    </w:p>
    <w:p w14:paraId="227B2E98"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i/>
          <w:color w:val="000000"/>
        </w:rPr>
        <w:t>Laboratory examinations</w:t>
      </w:r>
    </w:p>
    <w:p w14:paraId="6AB74A78"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 xml:space="preserve">Laboratory examinations revealed progressive pancytopenia with a significant decrease of white blood cell (WBC), hemoglobin and platelets (PLT), especially the WBC decreased most significantly, the lowest down to 0.05 </w:t>
      </w:r>
      <w:r>
        <w:rPr>
          <w:rFonts w:ascii="Book Antiqua" w:hAnsi="Book Antiqua" w:cs="Book Antiqua"/>
          <w:color w:val="000000"/>
          <w:lang w:eastAsia="zh-CN"/>
        </w:rPr>
        <w:t>×</w:t>
      </w:r>
      <w:r>
        <w:rPr>
          <w:rFonts w:ascii="Book Antiqua" w:eastAsia="Book Antiqua" w:hAnsi="Book Antiqua" w:cs="Book Antiqua"/>
          <w:color w:val="000000"/>
        </w:rPr>
        <w:t xml:space="preserve"> 10</w:t>
      </w:r>
      <w:r>
        <w:rPr>
          <w:rFonts w:ascii="Book Antiqua" w:eastAsia="Book Antiqua" w:hAnsi="Book Antiqua" w:cs="Book Antiqua"/>
          <w:color w:val="000000"/>
          <w:vertAlign w:val="superscript"/>
        </w:rPr>
        <w:t>9</w:t>
      </w:r>
      <w:r>
        <w:rPr>
          <w:rFonts w:ascii="Book Antiqua" w:eastAsia="Book Antiqua" w:hAnsi="Book Antiqua" w:cs="Book Antiqua"/>
          <w:color w:val="000000"/>
        </w:rPr>
        <w:t>/</w:t>
      </w:r>
      <w:r>
        <w:rPr>
          <w:rFonts w:ascii="Book Antiqua" w:hAnsi="Book Antiqua" w:cs="Book Antiqua" w:hint="eastAsia"/>
          <w:color w:val="000000"/>
          <w:lang w:eastAsia="zh-CN"/>
        </w:rPr>
        <w:t>L</w:t>
      </w:r>
      <w:r>
        <w:rPr>
          <w:rFonts w:ascii="Book Antiqua" w:eastAsia="Book Antiqua" w:hAnsi="Book Antiqua" w:cs="Book Antiqua"/>
          <w:color w:val="000000"/>
        </w:rPr>
        <w:t> (normal range, 3.5</w:t>
      </w:r>
      <w:r>
        <w:rPr>
          <w:rFonts w:ascii="Book Antiqua" w:hAnsi="Book Antiqua" w:cs="Book Antiqua"/>
          <w:color w:val="000000"/>
          <w:lang w:eastAsia="zh-CN"/>
        </w:rPr>
        <w:t>-</w:t>
      </w:r>
      <w:r>
        <w:rPr>
          <w:rFonts w:ascii="Book Antiqua" w:eastAsia="Book Antiqua" w:hAnsi="Book Antiqua" w:cs="Book Antiqua"/>
          <w:color w:val="000000"/>
        </w:rPr>
        <w:t xml:space="preserve">9.5 </w:t>
      </w:r>
      <w:r>
        <w:rPr>
          <w:rFonts w:ascii="Book Antiqua" w:hAnsi="Book Antiqua" w:cs="Book Antiqu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vertAlign w:val="superscript"/>
        </w:rPr>
        <w:t>9</w:t>
      </w:r>
      <w:r>
        <w:rPr>
          <w:rFonts w:ascii="Book Antiqua" w:eastAsia="Book Antiqua" w:hAnsi="Book Antiqua" w:cs="Book Antiqua"/>
          <w:color w:val="000000"/>
        </w:rPr>
        <w:t xml:space="preserve">/L), PLT decreased to 12 </w:t>
      </w:r>
      <w:r>
        <w:rPr>
          <w:rFonts w:ascii="Book Antiqua" w:hAnsi="Book Antiqua" w:cs="Book Antiqu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vertAlign w:val="superscript"/>
        </w:rPr>
        <w:t>9</w:t>
      </w:r>
      <w:r>
        <w:rPr>
          <w:rFonts w:ascii="Book Antiqua" w:eastAsia="Book Antiqua" w:hAnsi="Book Antiqua" w:cs="Book Antiqua"/>
          <w:color w:val="000000"/>
        </w:rPr>
        <w:t>/</w:t>
      </w:r>
      <w:r>
        <w:rPr>
          <w:rFonts w:ascii="Book Antiqua" w:hAnsi="Book Antiqua" w:cs="Book Antiqua" w:hint="eastAsia"/>
          <w:color w:val="000000"/>
          <w:lang w:eastAsia="zh-CN"/>
        </w:rPr>
        <w:t>L</w:t>
      </w:r>
      <w:r>
        <w:rPr>
          <w:rFonts w:ascii="Book Antiqua" w:eastAsia="Book Antiqua" w:hAnsi="Book Antiqua" w:cs="Book Antiqua"/>
          <w:color w:val="000000"/>
        </w:rPr>
        <w:t> (normal range, 125</w:t>
      </w:r>
      <w:r>
        <w:rPr>
          <w:rFonts w:ascii="Book Antiqua" w:hAnsi="Book Antiqua" w:cs="Book Antiqua"/>
          <w:color w:val="000000"/>
          <w:lang w:eastAsia="zh-CN"/>
        </w:rPr>
        <w:t>-</w:t>
      </w:r>
      <w:r>
        <w:rPr>
          <w:rFonts w:ascii="Book Antiqua" w:eastAsia="Book Antiqua" w:hAnsi="Book Antiqua" w:cs="Book Antiqua"/>
          <w:color w:val="000000"/>
        </w:rPr>
        <w:t xml:space="preserve">350 </w:t>
      </w:r>
      <w:r>
        <w:rPr>
          <w:rFonts w:ascii="Book Antiqua" w:hAnsi="Book Antiqua" w:cs="Book Antiqu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vertAlign w:val="superscript"/>
        </w:rPr>
        <w:t>9</w:t>
      </w:r>
      <w:r>
        <w:rPr>
          <w:rFonts w:ascii="Book Antiqua" w:eastAsia="Book Antiqua" w:hAnsi="Book Antiqua" w:cs="Book Antiqua"/>
          <w:color w:val="000000"/>
        </w:rPr>
        <w:t>/L). While liver function was in the normal range in all patients. The serum cytomegalovirus (CMV) or Epstein-Barr virus (EB) were negative. Special strains and cultures for fungi, bacteria, and viruses were negative.</w:t>
      </w:r>
    </w:p>
    <w:p w14:paraId="14B0C1DA" w14:textId="77777777" w:rsidR="00C34BE9" w:rsidRDefault="00C34BE9">
      <w:pPr>
        <w:adjustRightInd w:val="0"/>
        <w:snapToGrid w:val="0"/>
        <w:spacing w:line="360" w:lineRule="auto"/>
        <w:jc w:val="both"/>
        <w:rPr>
          <w:rFonts w:ascii="Book Antiqua" w:hAnsi="Book Antiqua"/>
          <w:color w:val="000000"/>
        </w:rPr>
      </w:pPr>
    </w:p>
    <w:p w14:paraId="5C097D05"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i/>
          <w:color w:val="000000"/>
        </w:rPr>
        <w:t>Imaging examinations</w:t>
      </w:r>
    </w:p>
    <w:p w14:paraId="730E04D3"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 xml:space="preserve">The chest computed tomography/X-ray examination showed no inflammation present. Skin biopsy and bone marrow biopsy were performed as soon as aGVHD was suspected, on pathological evaluation most of epidermal vacuolization and lymphocytic infiltration in case 5 and case 6 (Figure 3 and Figure 4), and bone marrow smear and biopsy revealed complete aplasia in patients in case 3 (Figure 5). </w:t>
      </w:r>
    </w:p>
    <w:p w14:paraId="7BDC14F3" w14:textId="77777777" w:rsidR="00C34BE9" w:rsidRDefault="00C34BE9">
      <w:pPr>
        <w:adjustRightInd w:val="0"/>
        <w:snapToGrid w:val="0"/>
        <w:spacing w:line="360" w:lineRule="auto"/>
        <w:jc w:val="both"/>
        <w:rPr>
          <w:rFonts w:ascii="Book Antiqua" w:hAnsi="Book Antiqua"/>
          <w:color w:val="000000"/>
        </w:rPr>
      </w:pPr>
    </w:p>
    <w:p w14:paraId="451CA9AF"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aps/>
          <w:color w:val="000000"/>
          <w:u w:val="single"/>
        </w:rPr>
        <w:t>MULTIDISCIPLINARY EXPERT CONSULTATION</w:t>
      </w:r>
    </w:p>
    <w:p w14:paraId="77A67EB4"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Multidisciplinary expert consultation was conducted for all the patient who was suspected of aGVHD post-LT in our LT center, because aGVHD following LT is a rare complication with poor outcome. Multidisciplinary experts from departments including hematology, dermatology, infection, kidney transplantation, rheumatology participate in the consultation. Experts mainly suggested that considering the time of onset, appearance of skin lesions and distribution, aGVHD is highly suspected, and skin biopsy and bone marrow biopsy should be performed immediately. Patients with impaired consciousness need to take cerebrospinal fluid testing. Massive corticosteroid therapy was suggested to be the main treatment and anti-infection treatment should be strengthened. Myelosuppression should be improved as soon as possible combined with blood purification to reduce immune response.</w:t>
      </w:r>
    </w:p>
    <w:p w14:paraId="4957C151" w14:textId="77777777" w:rsidR="00C34BE9" w:rsidRDefault="00C34BE9">
      <w:pPr>
        <w:adjustRightInd w:val="0"/>
        <w:snapToGrid w:val="0"/>
        <w:spacing w:line="360" w:lineRule="auto"/>
        <w:jc w:val="both"/>
        <w:rPr>
          <w:rFonts w:ascii="Book Antiqua" w:hAnsi="Book Antiqua"/>
          <w:color w:val="000000"/>
        </w:rPr>
      </w:pPr>
    </w:p>
    <w:p w14:paraId="46A01911"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aps/>
          <w:color w:val="000000"/>
          <w:u w:val="single"/>
        </w:rPr>
        <w:t>FINAL DIAGNOSIS</w:t>
      </w:r>
    </w:p>
    <w:p w14:paraId="06EE7673"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Currently, there is no widely accepted clinical or laboratory diagnostic test for GVHD. A high index of suspicion for diagnosis would be beneficial for the early diagnosis and treatment. Any patient presenting fever, skin rash, diarrhea, and pancytopenia after LT was suspected of aGVHD. If the biopsies revealed GVHD, treatment was started immediately. </w:t>
      </w:r>
    </w:p>
    <w:p w14:paraId="0542C205"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The histopathological grading of skin involvement was as follows</w:t>
      </w:r>
      <w:r>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vacuolar alteration of the basal layer (grade I), keratinocyte apoptosis, and lymphocytic infiltration of the dermo-epidermal layer (grade II), dermo-epidermal separation and vesicle formation (grade III), and necrosis and denudation of epidermis (grade IV). Histopathologically, severe GVHD was defined as grade III and IV, while mild GVHD was defined as grade I and II. aGVHD was confirmed by skin biopsy and bone marrow smear in all 6 patients (Table 2). Severe GVHD was observed in 2 patients (case 4, 6), and mild GVHD was detected in 4 patients (case 1, 2, 3, 5). </w:t>
      </w:r>
    </w:p>
    <w:p w14:paraId="6D19DBAE"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Moreover, we detected the classification and analysis of peripheral blood T lymphocytes in recipients and found that the proportion of CD3+CD8+ T cell increased gradually (from 81.06% to 85.9%), while the CD4/CD8 ratio was decreased (from 0.19 to 0.13) in case 4, indicating progressive deterioration of patient’s GVHD. A similar situation was observed in case 6, and the proportion of CD3+CD8+ T cells in peripheral blood lymphocytes was 89.21%; the CD4/CD8 ratio was 0.05. The aGVHD progressed rapidly in those cases, and both patients were deceased However, aGVHD was detected and cured in case 5, the proportion of CD3+CD8+ T cells of peripheral blood lymphocytes was 49.7%, and the CD4/CD8 ratio was 0.37. This suggested that a high proportion of CD3+CD8+ T cells in peripheral blood T-lymphocytes of recipients persistently increases after LT with compatible clinical and histological features of GVHD and is associated with the eventual development of aGVHD after LT.</w:t>
      </w:r>
    </w:p>
    <w:p w14:paraId="140DA650" w14:textId="77777777" w:rsidR="00C34BE9" w:rsidRDefault="00C34BE9">
      <w:pPr>
        <w:adjustRightInd w:val="0"/>
        <w:snapToGrid w:val="0"/>
        <w:spacing w:line="360" w:lineRule="auto"/>
        <w:jc w:val="both"/>
        <w:rPr>
          <w:rFonts w:ascii="Book Antiqua" w:hAnsi="Book Antiqua"/>
          <w:color w:val="000000"/>
        </w:rPr>
      </w:pPr>
    </w:p>
    <w:p w14:paraId="6AB20787"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aps/>
          <w:color w:val="000000"/>
          <w:u w:val="single"/>
        </w:rPr>
        <w:t>TREATMENT</w:t>
      </w:r>
    </w:p>
    <w:p w14:paraId="4AD7B649" w14:textId="77777777" w:rsidR="00C34BE9" w:rsidRDefault="00C34BE9">
      <w:pPr>
        <w:adjustRightInd w:val="0"/>
        <w:snapToGrid w:val="0"/>
        <w:spacing w:line="360" w:lineRule="auto"/>
        <w:jc w:val="both"/>
        <w:rPr>
          <w:rFonts w:ascii="Book Antiqua" w:hAnsi="Book Antiqua"/>
          <w:i/>
          <w:iCs/>
          <w:color w:val="000000"/>
        </w:rPr>
      </w:pPr>
      <w:r>
        <w:rPr>
          <w:rFonts w:ascii="Book Antiqua" w:eastAsia="Book Antiqua" w:hAnsi="Book Antiqua" w:cs="Book Antiqua"/>
          <w:b/>
          <w:bCs/>
          <w:i/>
          <w:iCs/>
          <w:color w:val="000000"/>
        </w:rPr>
        <w:t>Routine immunosuppression protocols of post-LT</w:t>
      </w:r>
    </w:p>
    <w:p w14:paraId="5078EC1B" w14:textId="77777777" w:rsidR="00C34BE9" w:rsidRDefault="00C34BE9">
      <w:pPr>
        <w:adjustRightInd w:val="0"/>
        <w:snapToGrid w:val="0"/>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The first methylprednisolone (10 mg/kg) dose was administered immediately before the portal vein opening during graft implantation. This dose was tapered from 100 mg/d to 20 mg/d during the postoperative period. The administration was stopped at 1 mo postoperatively, except in patients with autoimmune hepatitis, primary sclerosing cholangitis, or primary biliary cirrhosis. Postoperative steroid-free therapy was used for HCC patients. Tacrolimus/cyclosporin and mycophenolate mofetil were initiated on days 1–3 postoperatively. The primary goal was to maintain the valley concentration in tacrolimus or the peak concentration in cyclosporin at 5–8 ng/mL and 600–800 ng/mL in 1–3 mo, respectively. </w:t>
      </w:r>
    </w:p>
    <w:p w14:paraId="4A069CA1" w14:textId="77777777" w:rsidR="00C34BE9" w:rsidRDefault="00C34BE9">
      <w:pPr>
        <w:adjustRightInd w:val="0"/>
        <w:snapToGrid w:val="0"/>
        <w:spacing w:line="360" w:lineRule="auto"/>
        <w:jc w:val="both"/>
        <w:rPr>
          <w:rFonts w:ascii="Book Antiqua" w:hAnsi="Book Antiqua"/>
          <w:color w:val="000000"/>
        </w:rPr>
      </w:pPr>
    </w:p>
    <w:p w14:paraId="7AB397A3" w14:textId="77777777" w:rsidR="00C34BE9" w:rsidRDefault="00C34BE9">
      <w:pPr>
        <w:adjustRightInd w:val="0"/>
        <w:snapToGrid w:val="0"/>
        <w:spacing w:line="360" w:lineRule="auto"/>
        <w:jc w:val="both"/>
        <w:rPr>
          <w:rFonts w:ascii="Book Antiqua" w:hAnsi="Book Antiqua"/>
          <w:i/>
          <w:iCs/>
          <w:color w:val="000000"/>
        </w:rPr>
      </w:pPr>
      <w:r>
        <w:rPr>
          <w:rFonts w:ascii="Book Antiqua" w:eastAsia="Book Antiqua" w:hAnsi="Book Antiqua" w:cs="Book Antiqua"/>
          <w:b/>
          <w:bCs/>
          <w:i/>
          <w:iCs/>
          <w:color w:val="000000"/>
        </w:rPr>
        <w:t>Isolation and protection of after aGVHD</w:t>
      </w:r>
    </w:p>
    <w:p w14:paraId="56CD4F89" w14:textId="77777777" w:rsidR="00C34BE9" w:rsidRDefault="00C34BE9">
      <w:pPr>
        <w:adjustRightInd w:val="0"/>
        <w:snapToGrid w:val="0"/>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All patients were isolated and transferred to the surgical intensive care unit in the critical condition of aGVHD. Special nurses were arranged to carry out respiratory tract and digestive tract protection treatments.</w:t>
      </w:r>
    </w:p>
    <w:p w14:paraId="1D711669" w14:textId="77777777" w:rsidR="00C34BE9" w:rsidRDefault="00C34BE9">
      <w:pPr>
        <w:adjustRightInd w:val="0"/>
        <w:snapToGrid w:val="0"/>
        <w:spacing w:line="360" w:lineRule="auto"/>
        <w:jc w:val="both"/>
        <w:rPr>
          <w:rFonts w:ascii="Book Antiqua" w:hAnsi="Book Antiqua"/>
          <w:color w:val="000000"/>
        </w:rPr>
      </w:pPr>
    </w:p>
    <w:p w14:paraId="1675733E" w14:textId="77777777" w:rsidR="00C34BE9" w:rsidRDefault="00C34BE9">
      <w:pPr>
        <w:adjustRightInd w:val="0"/>
        <w:snapToGrid w:val="0"/>
        <w:spacing w:line="360" w:lineRule="auto"/>
        <w:jc w:val="both"/>
        <w:rPr>
          <w:rFonts w:ascii="Book Antiqua" w:hAnsi="Book Antiqua"/>
          <w:i/>
          <w:iCs/>
          <w:color w:val="000000"/>
        </w:rPr>
      </w:pPr>
      <w:r>
        <w:rPr>
          <w:rFonts w:ascii="Book Antiqua" w:eastAsia="Book Antiqua" w:hAnsi="Book Antiqua" w:cs="Book Antiqua"/>
          <w:b/>
          <w:bCs/>
          <w:i/>
          <w:iCs/>
          <w:color w:val="000000"/>
        </w:rPr>
        <w:t>Treatment regimen of aGVHD</w:t>
      </w:r>
    </w:p>
    <w:p w14:paraId="32D2D4BC"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Immunosuppressant adjustment:</w:t>
      </w:r>
      <w:r>
        <w:rPr>
          <w:rFonts w:ascii="Book Antiqua" w:eastAsia="Book Antiqua" w:hAnsi="Book Antiqua" w:cs="Book Antiqua"/>
          <w:color w:val="000000"/>
        </w:rPr>
        <w:t xml:space="preserve"> Administration of tacrolimus remained unchanged (case 1, 5, 6) or tacrolimus was decreased (case 4) and cyclosporin were decreased (case 2, 3) (Table 3).</w:t>
      </w:r>
    </w:p>
    <w:p w14:paraId="5D380783" w14:textId="77777777" w:rsidR="00C34BE9" w:rsidRDefault="00C34BE9">
      <w:pPr>
        <w:adjustRightInd w:val="0"/>
        <w:snapToGrid w:val="0"/>
        <w:spacing w:line="360" w:lineRule="auto"/>
        <w:jc w:val="both"/>
        <w:rPr>
          <w:rFonts w:ascii="Book Antiqua" w:hAnsi="Book Antiqua"/>
          <w:color w:val="000000"/>
        </w:rPr>
      </w:pPr>
    </w:p>
    <w:p w14:paraId="498516EA" w14:textId="77777777" w:rsidR="00C34BE9" w:rsidRDefault="00C34BE9">
      <w:pPr>
        <w:adjustRightInd w:val="0"/>
        <w:snapToGrid w:val="0"/>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Corticosteroid regimen:</w:t>
      </w:r>
      <w:r>
        <w:rPr>
          <w:rFonts w:ascii="Book Antiqua" w:eastAsia="Book Antiqua" w:hAnsi="Book Antiqua" w:cs="Book Antiqua"/>
          <w:color w:val="000000"/>
        </w:rPr>
        <w:t xml:space="preserve"> As soon as aGVHD was diagnosed or highly suspected, methylprednisolone was administered, and the initial dose was approximately 7–10 mg/kg/d for 2-3 d, and tapered to 20 mg within a week.</w:t>
      </w:r>
    </w:p>
    <w:p w14:paraId="11CCDF2F" w14:textId="77777777" w:rsidR="00C34BE9" w:rsidRDefault="00C34BE9">
      <w:pPr>
        <w:adjustRightInd w:val="0"/>
        <w:snapToGrid w:val="0"/>
        <w:spacing w:line="360" w:lineRule="auto"/>
        <w:jc w:val="both"/>
        <w:rPr>
          <w:rFonts w:ascii="Book Antiqua" w:hAnsi="Book Antiqua"/>
          <w:color w:val="000000"/>
        </w:rPr>
      </w:pPr>
    </w:p>
    <w:p w14:paraId="7B9ACF2F"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Human normal immunoglobulin: </w:t>
      </w:r>
      <w:r>
        <w:rPr>
          <w:rFonts w:ascii="Book Antiqua" w:eastAsia="Book Antiqua" w:hAnsi="Book Antiqua" w:cs="Book Antiqua"/>
          <w:color w:val="000000"/>
        </w:rPr>
        <w:t>As soon as aGVHD was diagnosed or highly suspected, human normal immunoglobulin was administered for 3–5 d, and the dose was approximately 0.15–0.2 g/kg/d;</w:t>
      </w:r>
    </w:p>
    <w:p w14:paraId="7D0B385B" w14:textId="77777777" w:rsidR="00C34BE9" w:rsidRDefault="00C34BE9">
      <w:pPr>
        <w:adjustRightInd w:val="0"/>
        <w:snapToGrid w:val="0"/>
        <w:spacing w:line="360" w:lineRule="auto"/>
        <w:jc w:val="both"/>
        <w:rPr>
          <w:rFonts w:ascii="Book Antiqua" w:eastAsia="Book Antiqua" w:hAnsi="Book Antiqua" w:cs="Book Antiqua"/>
          <w:color w:val="000000"/>
        </w:rPr>
      </w:pPr>
    </w:p>
    <w:p w14:paraId="327DE5AF" w14:textId="77777777" w:rsidR="00C34BE9" w:rsidRDefault="00C34BE9">
      <w:pPr>
        <w:adjustRightInd w:val="0"/>
        <w:snapToGrid w:val="0"/>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Other joint programs: </w:t>
      </w:r>
      <w:r>
        <w:rPr>
          <w:rFonts w:ascii="Book Antiqua" w:eastAsia="Book Antiqua" w:hAnsi="Book Antiqua" w:cs="Book Antiqua"/>
          <w:color w:val="000000"/>
        </w:rPr>
        <w:t>A dost of 20 mg basiliximab/Zenapax was administered intravenously every 4 d in cases 1 and case 6, a total of 2 agent. While antithymocyte globulin (ATG) 50 mg/d for two days in case 3 and tumor necrosis factor-alpha (TNF-α) inhibitor (Infliximab) 300 mg/d for one day in case 4.</w:t>
      </w:r>
    </w:p>
    <w:p w14:paraId="22E13056" w14:textId="77777777" w:rsidR="00C34BE9" w:rsidRDefault="00C34BE9">
      <w:pPr>
        <w:adjustRightInd w:val="0"/>
        <w:snapToGrid w:val="0"/>
        <w:spacing w:line="360" w:lineRule="auto"/>
        <w:jc w:val="both"/>
        <w:rPr>
          <w:rFonts w:ascii="Book Antiqua" w:hAnsi="Book Antiqua"/>
          <w:color w:val="000000"/>
        </w:rPr>
      </w:pPr>
    </w:p>
    <w:p w14:paraId="34080AD7" w14:textId="77777777" w:rsidR="00C34BE9" w:rsidRDefault="00C34BE9">
      <w:pPr>
        <w:adjustRightInd w:val="0"/>
        <w:snapToGrid w:val="0"/>
        <w:spacing w:line="360" w:lineRule="auto"/>
        <w:jc w:val="both"/>
        <w:rPr>
          <w:rFonts w:ascii="Book Antiqua" w:hAnsi="Book Antiqua"/>
          <w:i/>
          <w:iCs/>
          <w:color w:val="000000"/>
        </w:rPr>
      </w:pPr>
      <w:r>
        <w:rPr>
          <w:rFonts w:ascii="Book Antiqua" w:eastAsia="Book Antiqua" w:hAnsi="Book Antiqua" w:cs="Book Antiqua"/>
          <w:b/>
          <w:bCs/>
          <w:i/>
          <w:iCs/>
          <w:color w:val="000000"/>
        </w:rPr>
        <w:t>Support treatment</w:t>
      </w:r>
    </w:p>
    <w:p w14:paraId="3394AB67"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Improve myelosuppression:</w:t>
      </w:r>
      <w:r>
        <w:rPr>
          <w:rFonts w:ascii="Book Antiqua" w:eastAsia="Book Antiqua" w:hAnsi="Book Antiqua" w:cs="Book Antiqua"/>
          <w:color w:val="000000"/>
        </w:rPr>
        <w:t xml:space="preserve"> Granulocyte colony-stimulating factor, granulocyte-macrophage colony-stimulating factor, and thrombopoietin were applied in all cases until myelosuppression was improved.</w:t>
      </w:r>
    </w:p>
    <w:p w14:paraId="69806B54" w14:textId="77777777" w:rsidR="00C34BE9" w:rsidRDefault="00C34BE9">
      <w:pPr>
        <w:adjustRightInd w:val="0"/>
        <w:snapToGrid w:val="0"/>
        <w:spacing w:line="360" w:lineRule="auto"/>
        <w:jc w:val="both"/>
        <w:rPr>
          <w:rFonts w:ascii="Book Antiqua" w:eastAsia="Book Antiqua" w:hAnsi="Book Antiqua" w:cs="Book Antiqua"/>
          <w:color w:val="000000"/>
        </w:rPr>
      </w:pPr>
    </w:p>
    <w:p w14:paraId="7EA25858" w14:textId="77777777" w:rsidR="00C34BE9" w:rsidRDefault="00C34BE9">
      <w:pPr>
        <w:adjustRightInd w:val="0"/>
        <w:snapToGrid w:val="0"/>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Antibiotics: </w:t>
      </w:r>
      <w:r>
        <w:rPr>
          <w:rFonts w:ascii="Book Antiqua" w:eastAsia="Book Antiqua" w:hAnsi="Book Antiqua" w:cs="Book Antiqua"/>
          <w:color w:val="000000"/>
        </w:rPr>
        <w:t>Patients with pancytopenia related to aGVHD after LT and corticosteroids regimen were at an elevated risk for opportunistic infections, sepsis, and death. The broad-spectrum antibacterial, antiviral, and antifungal prophylaxis were administered early during the disease.</w:t>
      </w:r>
    </w:p>
    <w:p w14:paraId="35241836" w14:textId="77777777" w:rsidR="00C34BE9" w:rsidRDefault="00C34BE9">
      <w:pPr>
        <w:adjustRightInd w:val="0"/>
        <w:snapToGrid w:val="0"/>
        <w:spacing w:line="360" w:lineRule="auto"/>
        <w:jc w:val="both"/>
        <w:rPr>
          <w:rFonts w:ascii="Book Antiqua" w:hAnsi="Book Antiqua"/>
          <w:color w:val="000000"/>
        </w:rPr>
      </w:pPr>
    </w:p>
    <w:p w14:paraId="44C1AD5A"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Nutrition support therapy: </w:t>
      </w:r>
      <w:r>
        <w:rPr>
          <w:rFonts w:ascii="Book Antiqua" w:eastAsia="Book Antiqua" w:hAnsi="Book Antiqua" w:cs="Book Antiqua"/>
          <w:color w:val="000000"/>
        </w:rPr>
        <w:t>Severe protein-calorie malnutrition as a result of GVHD led to protein-losing enteropathy and malabsorption, which are common and should be treated with 1.5 g/kg/d protein in addition to vitamin, micronutrient, and essential trace element replacement therapy.</w:t>
      </w:r>
    </w:p>
    <w:p w14:paraId="55243873" w14:textId="77777777" w:rsidR="00C34BE9" w:rsidRDefault="00C34BE9">
      <w:pPr>
        <w:adjustRightInd w:val="0"/>
        <w:snapToGrid w:val="0"/>
        <w:spacing w:line="360" w:lineRule="auto"/>
        <w:jc w:val="both"/>
        <w:rPr>
          <w:rFonts w:ascii="Book Antiqua" w:eastAsia="Book Antiqua" w:hAnsi="Book Antiqua" w:cs="Book Antiqua"/>
          <w:color w:val="000000"/>
        </w:rPr>
      </w:pPr>
    </w:p>
    <w:p w14:paraId="69967D0D"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Other treatment:</w:t>
      </w:r>
      <w:r>
        <w:rPr>
          <w:rFonts w:ascii="Book Antiqua" w:eastAsia="Book Antiqua" w:hAnsi="Book Antiqua" w:cs="Book Antiqua"/>
          <w:color w:val="000000"/>
        </w:rPr>
        <w:t xml:space="preserve"> One patient (case 4) developed renal insufficiency and no urine during treatment and was treated with continuous renal replacement therapy.</w:t>
      </w:r>
    </w:p>
    <w:p w14:paraId="4D483D6E" w14:textId="77777777" w:rsidR="00C34BE9" w:rsidRDefault="00C34BE9">
      <w:pPr>
        <w:adjustRightInd w:val="0"/>
        <w:snapToGrid w:val="0"/>
        <w:spacing w:line="360" w:lineRule="auto"/>
        <w:jc w:val="both"/>
        <w:rPr>
          <w:rFonts w:ascii="Book Antiqua" w:hAnsi="Book Antiqua"/>
          <w:color w:val="000000"/>
        </w:rPr>
      </w:pPr>
    </w:p>
    <w:p w14:paraId="67697967"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aps/>
          <w:color w:val="000000"/>
          <w:u w:val="single"/>
        </w:rPr>
        <w:t>OUTCOME AND FOLLOW-UP</w:t>
      </w:r>
    </w:p>
    <w:p w14:paraId="54635974"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The prevalence of GVHD in our institute was 0.57%. The median recipient and donor ages were 57.17 ± 9.41 years and 45.50 ± 7.87years, respectively. The median disparity between the recipient and donor age was 13.67± 11.04 years. The ABO blood group matching was identical in all patients (Table 1 and Table 2). The age disparity of the donor-recipient was &gt; 20 years in two cases: 21- and 32-years for case 1 and case 4, respectively. The initial symptoms of aGVHD occurred in these patients post-LT earlier than others at 15</w:t>
      </w:r>
      <w:r>
        <w:rPr>
          <w:rFonts w:ascii="Book Antiqua" w:hAnsi="Book Antiqua" w:cs="Book Antiqua" w:hint="eastAsia"/>
          <w:color w:val="000000"/>
          <w:lang w:eastAsia="zh-CN"/>
        </w:rPr>
        <w:t xml:space="preserve"> d</w:t>
      </w:r>
      <w:r>
        <w:rPr>
          <w:rFonts w:ascii="Book Antiqua" w:eastAsia="Book Antiqua" w:hAnsi="Book Antiqua" w:cs="Book Antiqua"/>
          <w:color w:val="000000"/>
        </w:rPr>
        <w:t xml:space="preserve"> and 17 d, respectively. One of the critical findings was that the greater the age disparity, the faster the progression and the higher the mortality in aGVHD after LT.</w:t>
      </w:r>
    </w:p>
    <w:p w14:paraId="026BACB5"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The median time from LT until the clinical presentation of GVHD was 22.17 ± 6.49 d (Table 2). The median time from the beginning of the clinical symptom to histopathological diagnosis was 7.50 ± 4.0</w:t>
      </w:r>
      <w:r>
        <w:rPr>
          <w:rFonts w:ascii="Book Antiqua" w:hAnsi="Book Antiqua" w:cs="Book Antiqua" w:hint="eastAsia"/>
          <w:color w:val="000000"/>
          <w:lang w:eastAsia="zh-CN"/>
        </w:rPr>
        <w:t>4</w:t>
      </w:r>
      <w:r>
        <w:rPr>
          <w:rFonts w:ascii="Book Antiqua" w:eastAsia="Book Antiqua" w:hAnsi="Book Antiqua" w:cs="Book Antiqua"/>
          <w:color w:val="000000"/>
        </w:rPr>
        <w:t> d. Three patients (case 2, 4, 5) were diagnosed as GVHD by histopathology within 1 wk after clinical manifestations. The remaining three patients (case 1, 3, 6) were confirmed on days 9, 10, and 13, respectively.</w:t>
      </w:r>
    </w:p>
    <w:p w14:paraId="77CD4F00"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Despite intensive treatment strategies, 4/6 (66.67%) patients (case 1, 3, 4, and 6) died due to sepsis, multiple organ failure, and cerebral hemorrhage. One of them (case 4) had several risk factors contributing to the development of aGVHD include donor-recipient age disparity of &gt; 30 years, retransplantation, and HCC recurrence, and the aGVHD progressed rapidly and developed symptoms of the CNS. Despite the aggressive treatment with methylprednisolone and TNF-α</w:t>
      </w:r>
      <w:r>
        <w:rPr>
          <w:rFonts w:ascii="Book Antiqua" w:hAnsi="Book Antiqua" w:cs="Book Antiqua" w:hint="eastAsia"/>
          <w:color w:val="000000"/>
          <w:lang w:eastAsia="zh-CN"/>
        </w:rPr>
        <w:t xml:space="preserve"> </w:t>
      </w:r>
      <w:r>
        <w:rPr>
          <w:rFonts w:ascii="Book Antiqua" w:eastAsia="Book Antiqua" w:hAnsi="Book Antiqua" w:cs="Book Antiqua"/>
          <w:color w:val="000000"/>
        </w:rPr>
        <w:t>inhibitor, the patient died after 21 d. Only two patients (case 2, 5) were discharged due to successful treatment. Case 2 recovered on day 10 after mild bone marrow suppression, and the skin rash subsided gradually. The patient died due to tuberculosis on the 6th month of follow-up</w:t>
      </w:r>
      <w:r>
        <w:rPr>
          <w:rFonts w:ascii="Book Antiqua" w:eastAsia="Book Antiqua" w:hAnsi="Book Antiqua" w:cs="Book Antiqua"/>
          <w:color w:val="000000"/>
          <w:vertAlign w:val="superscript"/>
        </w:rPr>
        <w:t>[7]</w:t>
      </w:r>
      <w:r>
        <w:rPr>
          <w:rFonts w:ascii="Book Antiqua" w:eastAsia="Book Antiqua" w:hAnsi="Book Antiqua" w:cs="Book Antiqua"/>
          <w:color w:val="000000"/>
        </w:rPr>
        <w:t xml:space="preserve">. Case 5 patient recovered on day 23 after severe bone marrow suppression, and the skin rash subsided gradually. The patient was alive and healthy without complications during 30 mo of follow-up. Thus, the overall mortality rate was 83.33% (5/6 patients) in aGVHD after LT at our hospital. </w:t>
      </w:r>
    </w:p>
    <w:p w14:paraId="1A5CBC80" w14:textId="77777777" w:rsidR="00C34BE9" w:rsidRDefault="00C34BE9">
      <w:pPr>
        <w:adjustRightInd w:val="0"/>
        <w:snapToGrid w:val="0"/>
        <w:spacing w:line="360" w:lineRule="auto"/>
        <w:jc w:val="both"/>
        <w:rPr>
          <w:rFonts w:ascii="Book Antiqua" w:hAnsi="Book Antiqua"/>
          <w:color w:val="000000"/>
        </w:rPr>
      </w:pPr>
    </w:p>
    <w:p w14:paraId="72B82A87"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aps/>
          <w:color w:val="000000"/>
          <w:u w:val="single"/>
        </w:rPr>
        <w:t>DISCUSSION</w:t>
      </w:r>
    </w:p>
    <w:p w14:paraId="1E446772"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GVHD may be divided into two groups, humoral and cellular, according to the underlying immunological mechanism</w:t>
      </w:r>
      <w:r>
        <w:rPr>
          <w:rFonts w:ascii="Book Antiqua" w:eastAsia="Book Antiqua" w:hAnsi="Book Antiqua" w:cs="Book Antiqua"/>
          <w:color w:val="000000"/>
          <w:vertAlign w:val="superscript"/>
        </w:rPr>
        <w:t>[8]</w:t>
      </w:r>
      <w:r>
        <w:rPr>
          <w:rFonts w:ascii="Book Antiqua" w:eastAsia="Book Antiqua" w:hAnsi="Book Antiqua" w:cs="Book Antiqua"/>
          <w:color w:val="000000"/>
        </w:rPr>
        <w:t>. Humoral-type GVHD occurs in ABO blood group patients with incompatible or nonidentical liver grafts and is mediated by antibody production by donor T lymphocytes against the red cell antigen of the recipient. It is characterized by fever and hemolysis; the symptoms are mild with hemolytic anemia</w:t>
      </w:r>
      <w:r>
        <w:rPr>
          <w:rFonts w:ascii="Book Antiqua" w:eastAsia="Book Antiqua" w:hAnsi="Book Antiqua" w:cs="Book Antiqua"/>
          <w:color w:val="000000"/>
          <w:vertAlign w:val="superscript"/>
        </w:rPr>
        <w:t>[1,9]</w:t>
      </w:r>
      <w:r>
        <w:rPr>
          <w:rFonts w:ascii="Book Antiqua" w:eastAsia="Book Antiqua" w:hAnsi="Book Antiqua" w:cs="Book Antiqua"/>
          <w:color w:val="000000"/>
        </w:rPr>
        <w:t>. On the other hand, cellular-type GVHD is a rare complication with high mortality. It arises due to a major histocompatibility complex (MHC) mismatch, which affects the activation and clonal expansion of cytotoxic donor T lymphocytes. Some conditions are required for GVHD development following transplantation</w:t>
      </w:r>
      <w:r>
        <w:rPr>
          <w:rFonts w:ascii="Book Antiqua" w:eastAsia="Book Antiqua" w:hAnsi="Book Antiqua" w:cs="Book Antiqua"/>
          <w:color w:val="000000"/>
          <w:vertAlign w:val="superscript"/>
        </w:rPr>
        <w:t>[10]</w:t>
      </w:r>
      <w:r>
        <w:rPr>
          <w:rFonts w:ascii="Book Antiqua" w:eastAsia="Book Antiqua" w:hAnsi="Book Antiqua" w:cs="Book Antiqua"/>
          <w:color w:val="000000"/>
        </w:rPr>
        <w:t>: (1) presence of immunocompetent T lymphocytes in the transplanted graft; (2) differences in human leukocyte antigen (HLA) between the donor and recipient; and (3) inability of the recipient to eliminate donor-induced lymphocytes.</w:t>
      </w:r>
    </w:p>
    <w:p w14:paraId="41413131"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The GVHD pathogenesis was first described by Billingham</w:t>
      </w:r>
      <w:r>
        <w:rPr>
          <w:rFonts w:ascii="Book Antiqua" w:eastAsia="Book Antiqua" w:hAnsi="Book Antiqua" w:cs="Book Antiqua"/>
          <w:color w:val="000000"/>
          <w:vertAlign w:val="superscript"/>
        </w:rPr>
        <w:t>[11]</w:t>
      </w:r>
      <w:r>
        <w:rPr>
          <w:rFonts w:ascii="Book Antiqua" w:eastAsia="Book Antiqua" w:hAnsi="Book Antiqua" w:cs="Book Antiqua"/>
          <w:color w:val="000000"/>
        </w:rPr>
        <w:t xml:space="preserve"> in 1966. Subsequently, Burdick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[12]</w:t>
      </w:r>
      <w:r>
        <w:rPr>
          <w:rFonts w:ascii="Book Antiqua" w:eastAsia="Book Antiqua" w:hAnsi="Book Antiqua" w:cs="Book Antiqua"/>
          <w:color w:val="000000"/>
        </w:rPr>
        <w:t xml:space="preserve"> published their first case report of GVHD development following LT in 1988. In 2004, Taylor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[13]</w:t>
      </w:r>
      <w:r>
        <w:rPr>
          <w:rFonts w:ascii="Book Antiqua" w:eastAsia="Book Antiqua" w:hAnsi="Book Antiqua" w:cs="Book Antiqua"/>
          <w:color w:val="000000"/>
        </w:rPr>
        <w:t xml:space="preserve"> described a three-phase model for the development of GVHD after LT, which was extrapolated from the experience with GVHD after stem cell transplant. Phase 1 is characterized by a pre-LT immunocompromised, inflammatory state that enhances host antigen-presenting cells (APCs) </w:t>
      </w:r>
      <w:r>
        <w:rPr>
          <w:rFonts w:ascii="Book Antiqua" w:eastAsia="Book Antiqua" w:hAnsi="Book Antiqua" w:cs="Book Antiqua"/>
          <w:i/>
          <w:iCs/>
          <w:color w:val="000000"/>
        </w:rPr>
        <w:t>via</w:t>
      </w:r>
      <w:r>
        <w:rPr>
          <w:rFonts w:ascii="Book Antiqua" w:eastAsia="Book Antiqua" w:hAnsi="Book Antiqua" w:cs="Book Antiqua"/>
          <w:color w:val="000000"/>
        </w:rPr>
        <w:t xml:space="preserve"> upregulated MHC class I and II expression. Phase 2 occurs after LT, with the transfer of immunocompetent donor leukocytes. These passenger lymphocytes are activated upon interaction with the upregulated host APC HLA peptides. In the presence of MHC mismatch after LT, these activated lymphocytes undergo IL-2-dependent clonal expansion, favoring the expression of memory cells and cytotoxic effector cells. Phase 3 is characterized by cell death and tissue dysfunction, which are effectuated by the cytotoxic donor T lymphocytes targeting antigens expressed by the host tissue</w:t>
      </w:r>
      <w:r>
        <w:rPr>
          <w:rFonts w:ascii="Book Antiqua" w:eastAsia="Book Antiqua" w:hAnsi="Book Antiqua" w:cs="Book Antiqua"/>
          <w:color w:val="000000"/>
          <w:vertAlign w:val="superscript"/>
        </w:rPr>
        <w:t>[9,11,14]</w:t>
      </w:r>
      <w:r>
        <w:rPr>
          <w:rFonts w:ascii="Book Antiqua" w:eastAsia="Book Antiqua" w:hAnsi="Book Antiqua" w:cs="Book Antiqua"/>
          <w:color w:val="000000"/>
        </w:rPr>
        <w:t>.</w:t>
      </w:r>
    </w:p>
    <w:p w14:paraId="7D090827"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Some risk factors contributing to the development of GVHD after LT include complete HLA matching, HLA class I match, donor-recipient age disparity of &gt; 20 years, retransplantation, rejection before GVHD, autoimmune hepatitis, HCC, and viral infections (CMV and HSV)</w:t>
      </w:r>
      <w:r>
        <w:rPr>
          <w:rFonts w:ascii="Book Antiqua" w:eastAsia="Book Antiqua" w:hAnsi="Book Antiqua" w:cs="Book Antiqua"/>
          <w:color w:val="000000"/>
          <w:vertAlign w:val="superscript"/>
        </w:rPr>
        <w:t>[3]</w:t>
      </w:r>
      <w:r>
        <w:rPr>
          <w:rFonts w:ascii="Book Antiqua" w:eastAsia="Book Antiqua" w:hAnsi="Book Antiqua" w:cs="Book Antiqua"/>
          <w:color w:val="000000"/>
        </w:rPr>
        <w:t>. The patients in the current study presented one or more risk factors, including age disparity &gt; 20 years (case 1 and 4), retransplantation (case 4), and HCC (case 1, 3, and 4) (Table 2).</w:t>
      </w:r>
    </w:p>
    <w:p w14:paraId="5E8ABAD3"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The most common target organs of donor-induced lymphocytes in post-LT GVHD are skin, GI mucosa, and bone marrow</w:t>
      </w:r>
      <w:r>
        <w:rPr>
          <w:rFonts w:ascii="Book Antiqua" w:eastAsia="Book Antiqua" w:hAnsi="Book Antiqua" w:cs="Book Antiqua"/>
          <w:color w:val="000000"/>
          <w:vertAlign w:val="superscript"/>
        </w:rPr>
        <w:t>[15]</w:t>
      </w:r>
      <w:r>
        <w:rPr>
          <w:rFonts w:ascii="Book Antiqua" w:eastAsia="Book Antiqua" w:hAnsi="Book Antiqua" w:cs="Book Antiqua"/>
          <w:color w:val="000000"/>
        </w:rPr>
        <w:t>. Since the liver graft is not one of the target organs, hepatic functions are normal</w:t>
      </w:r>
      <w:r>
        <w:rPr>
          <w:rFonts w:ascii="Book Antiqua" w:eastAsia="Book Antiqua" w:hAnsi="Book Antiqua" w:cs="Book Antiqua"/>
          <w:color w:val="000000"/>
          <w:vertAlign w:val="superscript"/>
        </w:rPr>
        <w:t>[10]</w:t>
      </w:r>
      <w:r>
        <w:rPr>
          <w:rFonts w:ascii="Book Antiqua" w:eastAsia="Book Antiqua" w:hAnsi="Book Antiqua" w:cs="Book Antiqua"/>
          <w:color w:val="000000"/>
        </w:rPr>
        <w:t>. Skin rash is maculopapular but may develop into bullous formation, followed by desquamation of the whole body over a period</w:t>
      </w:r>
      <w:r>
        <w:rPr>
          <w:rFonts w:ascii="Book Antiqua" w:eastAsia="Book Antiqua" w:hAnsi="Book Antiqua" w:cs="Book Antiqua"/>
          <w:color w:val="000000"/>
          <w:vertAlign w:val="superscript"/>
        </w:rPr>
        <w:t>[16]</w:t>
      </w:r>
      <w:r>
        <w:rPr>
          <w:rFonts w:ascii="Book Antiqua" w:eastAsia="Book Antiqua" w:hAnsi="Book Antiqua" w:cs="Book Antiqua"/>
          <w:color w:val="000000"/>
        </w:rPr>
        <w:t>. Bone marrow involvement occurs as thrombocytopenia, anemia, leucopenia, or pancytopenia. Diarrhea episodes with different severity may develop secondary to the destruction of GI epithelium</w:t>
      </w:r>
      <w:r>
        <w:rPr>
          <w:rFonts w:ascii="Book Antiqua" w:eastAsia="Book Antiqua" w:hAnsi="Book Antiqua" w:cs="Book Antiqua"/>
          <w:color w:val="000000"/>
          <w:vertAlign w:val="superscript"/>
        </w:rPr>
        <w:t>[13]</w:t>
      </w:r>
      <w:r>
        <w:rPr>
          <w:rFonts w:ascii="Book Antiqua" w:eastAsia="Book Antiqua" w:hAnsi="Book Antiqua" w:cs="Book Antiqua"/>
          <w:color w:val="000000"/>
        </w:rPr>
        <w:t>. There is accumulating evidence from the literature</w:t>
      </w:r>
      <w:r>
        <w:rPr>
          <w:rFonts w:ascii="Book Antiqua" w:eastAsia="Book Antiqua" w:hAnsi="Book Antiqua" w:cs="Book Antiqua"/>
          <w:color w:val="000000"/>
          <w:vertAlign w:val="superscript"/>
        </w:rPr>
        <w:t>[17]</w:t>
      </w:r>
      <w:r>
        <w:rPr>
          <w:rFonts w:ascii="Book Antiqua" w:eastAsia="Book Antiqua" w:hAnsi="Book Antiqua" w:cs="Book Antiqua"/>
          <w:color w:val="000000"/>
        </w:rPr>
        <w:t> that early GVHD may be directed also against other tissues. In particular, organs such as kidney, CNS, and lungs may be involved in patients experiencing aGVHD after allogeneic hematopoietic stem cell transplantation. Pahari</w:t>
      </w:r>
      <w:r>
        <w:rPr>
          <w:rFonts w:ascii="Book Antiqua" w:eastAsia="Book Antiqua" w:hAnsi="Book Antiqua" w:cs="Book Antiqua"/>
          <w:color w:val="000000"/>
          <w:vertAlign w:val="superscript"/>
        </w:rPr>
        <w:t>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[18] </w:t>
      </w:r>
      <w:r>
        <w:rPr>
          <w:rFonts w:ascii="Book Antiqua" w:eastAsia="Book Antiqua" w:hAnsi="Book Antiqua" w:cs="Book Antiqua"/>
          <w:color w:val="000000"/>
        </w:rPr>
        <w:t>reported the first case of CNS-GVHD following LT. Subsequently, seizures and altered mental status were recorded, and the patient died of sepsis and multiorgan failure. In the current study, the common first symptoms, skin rash (100%) and fever (83.33%), typically occurred on day 22.</w:t>
      </w:r>
    </w:p>
    <w:p w14:paraId="0B2E17D5" w14:textId="77777777" w:rsidR="00C34BE9" w:rsidRDefault="00C34BE9">
      <w:pPr>
        <w:adjustRightInd w:val="0"/>
        <w:snapToGrid w:val="0"/>
        <w:spacing w:line="360" w:lineRule="auto"/>
        <w:ind w:firstLineChars="100" w:firstLine="240"/>
        <w:jc w:val="both"/>
        <w:rPr>
          <w:rFonts w:ascii="Book Antiqua" w:eastAsia="Book Antiqua" w:hAnsi="Book Antiqua" w:cs="Book Antiqua"/>
          <w:color w:val="000000"/>
        </w:rPr>
      </w:pPr>
      <w:r>
        <w:rPr>
          <w:rFonts w:ascii="Book Antiqua" w:eastAsia="Book Antiqua" w:hAnsi="Book Antiqua" w:cs="Book Antiqua"/>
          <w:color w:val="000000"/>
        </w:rPr>
        <w:t>The diagnosis of GVHD is challenging, but currently, there is no widely accepted clinical or laboratory diagnostic test for GVHD. Early cultures (including fungal blood cultures and stool for Clostridium difficile), serum CMV or EB PCR, and chest radiography were conducted to exclude competing infections. Skin biopsies (epidermal vacuolization and lymphocytic exocytosis) or colonoscopy/flexible sigmoidoscopy (crypt apoptosis) and bone marrow (marrow hypoplasia/aplasia) must be performed to exclude competing etiologies and provide diagnostic clarity in GVHD</w:t>
      </w:r>
      <w:r>
        <w:rPr>
          <w:rFonts w:ascii="Book Antiqua" w:eastAsia="Book Antiqua" w:hAnsi="Book Antiqua" w:cs="Book Antiqua"/>
          <w:color w:val="000000"/>
          <w:vertAlign w:val="superscript"/>
        </w:rPr>
        <w:t>[3]</w:t>
      </w:r>
      <w:r>
        <w:rPr>
          <w:rFonts w:ascii="Book Antiqua" w:eastAsia="Book Antiqua" w:hAnsi="Book Antiqua" w:cs="Book Antiqua"/>
          <w:color w:val="000000"/>
        </w:rPr>
        <w:t>. Differential diagnosis is critical for GVHD early treatment initiation. The differential diagnosis of GVHD after LT includes drug reactions, graft rejection, and bacterial (</w:t>
      </w:r>
      <w:r>
        <w:rPr>
          <w:rFonts w:ascii="Book Antiqua" w:eastAsia="Book Antiqua" w:hAnsi="Book Antiqua" w:cs="Book Antiqua"/>
          <w:i/>
          <w:iCs/>
          <w:color w:val="000000"/>
        </w:rPr>
        <w:t>C. difficile</w:t>
      </w:r>
      <w:r>
        <w:rPr>
          <w:rFonts w:ascii="Book Antiqua" w:eastAsia="Book Antiqua" w:hAnsi="Book Antiqua" w:cs="Book Antiqua"/>
          <w:color w:val="000000"/>
        </w:rPr>
        <w:t>) or viral (CMV) infections</w:t>
      </w:r>
      <w:r>
        <w:rPr>
          <w:rFonts w:ascii="Book Antiqua" w:eastAsia="Book Antiqua" w:hAnsi="Book Antiqua" w:cs="Book Antiqua"/>
          <w:color w:val="000000"/>
          <w:vertAlign w:val="superscript"/>
        </w:rPr>
        <w:t>[15]</w:t>
      </w:r>
      <w:r>
        <w:rPr>
          <w:rFonts w:ascii="Book Antiqua" w:eastAsia="Book Antiqua" w:hAnsi="Book Antiqua" w:cs="Book Antiqua"/>
          <w:color w:val="000000"/>
        </w:rPr>
        <w:t>.</w:t>
      </w:r>
    </w:p>
    <w:p w14:paraId="0254FE6E"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 xml:space="preserve">Taylor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[13]</w:t>
      </w:r>
      <w:r>
        <w:rPr>
          <w:rFonts w:ascii="Book Antiqua" w:eastAsia="Book Antiqua" w:hAnsi="Book Antiqua" w:cs="Book Antiqua"/>
          <w:color w:val="000000"/>
        </w:rPr>
        <w:t xml:space="preserve"> investigated the presence of donor lymphocyte chimerism in recipient peripheral blood as a diagnostic aid for GVHD after LT. The donor lymphocyte microchimerism (&lt; 1% donor lymphocyte chimerism) is often seen in LT recipients and is deemed crucial for immune tolerance and graft acceptance by the host. However, macrochimerism (1%–80%), </w:t>
      </w:r>
      <w:r>
        <w:rPr>
          <w:rFonts w:ascii="Book Antiqua" w:eastAsia="Book Antiqua" w:hAnsi="Book Antiqua" w:cs="Book Antiqua"/>
          <w:i/>
          <w:iCs/>
          <w:color w:val="000000"/>
        </w:rPr>
        <w:t>i.e.</w:t>
      </w:r>
      <w:r>
        <w:rPr>
          <w:rFonts w:ascii="Book Antiqua" w:eastAsia="Book Antiqua" w:hAnsi="Book Antiqua" w:cs="Book Antiqua"/>
          <w:color w:val="000000"/>
        </w:rPr>
        <w:t xml:space="preserve">, donor lymphocyte chimerism in recipient tissues (peripheral blood, skin, GI tract, bone marrow, or buccal mucosa), especially with a high proportion of CD8+ T cells, persists 3-4 wk after LT and thus is associated with the eventual development of GVHD. Recently, chimerism analysis assessed the donor DNA using fluorescent </w:t>
      </w:r>
      <w:r>
        <w:rPr>
          <w:rFonts w:ascii="Book Antiqua" w:eastAsia="Book Antiqua" w:hAnsi="Book Antiqua" w:cs="Book Antiqua"/>
          <w:i/>
          <w:iCs/>
          <w:color w:val="000000"/>
        </w:rPr>
        <w:t>in situ</w:t>
      </w:r>
      <w:r>
        <w:rPr>
          <w:rFonts w:ascii="Book Antiqua" w:eastAsia="Book Antiqua" w:hAnsi="Book Antiqua" w:cs="Book Antiqua"/>
          <w:color w:val="000000"/>
        </w:rPr>
        <w:t xml:space="preserve"> hybridization and the short tandem repeat (STR) loci to quantitate the donor’s contribution to any of the nucleated cell populations in the skin, peripheral blood, GI mucosa, and/or bone marrow, and cerebrospinal fluid</w:t>
      </w:r>
      <w:r>
        <w:rPr>
          <w:rFonts w:ascii="Book Antiqua" w:eastAsia="Book Antiqua" w:hAnsi="Book Antiqua" w:cs="Book Antiqua"/>
          <w:color w:val="000000"/>
          <w:vertAlign w:val="superscript"/>
        </w:rPr>
        <w:t>[18,19]</w:t>
      </w:r>
      <w:r>
        <w:rPr>
          <w:rFonts w:ascii="Book Antiqua" w:eastAsia="Book Antiqua" w:hAnsi="Book Antiqua" w:cs="Book Antiqua"/>
          <w:color w:val="000000"/>
        </w:rPr>
        <w:t>. </w:t>
      </w:r>
    </w:p>
    <w:p w14:paraId="11B17058"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 xml:space="preserve">Whereas, there were some data of other reported different. Zhao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[20]</w:t>
      </w:r>
      <w:r>
        <w:rPr>
          <w:rFonts w:ascii="Book Antiqua" w:eastAsia="Book Antiqua" w:hAnsi="Book Antiqua" w:cs="Book Antiqua"/>
          <w:color w:val="000000"/>
        </w:rPr>
        <w:t xml:space="preserve"> reported that they detected peripheral blood donor T-lymphocyte chimerism in 55 peripheral blood samples by STR-PCR in post-LT, and found donor T-lymphocytes chimerism in 11 peripheral blood samples. Among these 11 recipients, eight recipients finally developed aGVHD, and the percentages of donor T-lymphocytes chimerism were &gt; 10% (21.0%–98%), and the percentage for the other three recipients were &lt; 10% and had no aGVHD. Noguchi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[21]</w:t>
      </w:r>
      <w:r>
        <w:rPr>
          <w:rFonts w:ascii="Book Antiqua" w:eastAsia="Book Antiqua" w:hAnsi="Book Antiqua" w:cs="Book Antiqua"/>
          <w:color w:val="000000"/>
        </w:rPr>
        <w:t xml:space="preserve"> reported that a GVHD case in a 59-year-old woman with dermatomyositis-associated interstitial pneumonia, who took immunosuppressants including corticosteroids before receiving right lung transplantation from a 13-year-old brain-dead male donor. She developed systemic erythema with desquamation and pancytopenia by day 20, and she was diagnosed with GVHD following examination of bone marrow aspiration results that 15% of nucleated cells were donor type on day 27. Corticosteroid pulse therapy reduced the symptoms and decreased donor-type cell percentage. However, chimerism analysis of peripheral blood on day 68 revealed that 95% granulocytes were recipient type, but 95% T cells were Donor type. The patient died of multiple organ failure despite treatment. In this case, donor T-lymphocytes chimerism preceded whole blood donor chimerism and the deterioration of GVHD. </w:t>
      </w:r>
    </w:p>
    <w:p w14:paraId="5F2FA427"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Though chimerism is an important investigation, presence of chimerism in absence of clinical symptoms and histological findings is non-specific, making macrochimerism only a diagnostic tool</w:t>
      </w:r>
      <w:r>
        <w:rPr>
          <w:rFonts w:ascii="Book Antiqua" w:eastAsia="Book Antiqua" w:hAnsi="Book Antiqua" w:cs="Book Antiqua"/>
          <w:color w:val="000000"/>
          <w:vertAlign w:val="superscript"/>
        </w:rPr>
        <w:t>[2,19,22]</w:t>
      </w:r>
      <w:r>
        <w:rPr>
          <w:rFonts w:ascii="Book Antiqua" w:eastAsia="Book Antiqua" w:hAnsi="Book Antiqua" w:cs="Book Antiqua"/>
          <w:color w:val="000000"/>
        </w:rPr>
        <w:t>. Given that whole-blood chimerism analysis can underestimate donor type cell chimerism because of the presence of abundant granulocytes, donor T-lymphocytes chimerism might be useful for the early diagnosis of GVHD. It has been suggested that an increased level of donor CD8+ T/NK cells &gt; 10% is indicative of GVHD. Also the severity and duration of chimerism varies with the evolution of patient and monitoring donor T-lymphocytes chimerism in these target organs, even after treatment and resolution of symptoms, could guide the treatment</w:t>
      </w:r>
      <w:r>
        <w:rPr>
          <w:rFonts w:ascii="Book Antiqua" w:eastAsia="Book Antiqua" w:hAnsi="Book Antiqua" w:cs="Book Antiqua"/>
          <w:color w:val="000000"/>
          <w:vertAlign w:val="superscript"/>
        </w:rPr>
        <w:t>[23]</w:t>
      </w:r>
      <w:r>
        <w:rPr>
          <w:rFonts w:ascii="Book Antiqua" w:eastAsia="Book Antiqua" w:hAnsi="Book Antiqua" w:cs="Book Antiqua"/>
          <w:color w:val="000000"/>
        </w:rPr>
        <w:t>.</w:t>
      </w:r>
    </w:p>
    <w:p w14:paraId="41B96840"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Since we do not donor T-lymphocyte chimerism analysis in the six patients with aGVHD in previously, we make a diagnosis and differential diagnosis of aGVHD based on the time of the first symptoms, clinical manifestations, laboratory testing, and microbiological and histopathological data. With the rapid development of science, chimerism analysis assessed to quantitate the donor’s contribution populations to any of the nucleated cell can be an important diagnostic indicator of aGVHD after LT. Dynamic detection of chimerism analysis is more beneficial to early diagnosis and treatment guidance.</w:t>
      </w:r>
    </w:p>
    <w:p w14:paraId="00E1314D"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 xml:space="preserve">In addition, it was found in one patient (case 4) that Ferritin level was markedly elevated (31527 ng/mL, range: 30-400 ng/mL). This phenomenon was consistent with that reported by Murali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[3]</w:t>
      </w:r>
      <w:r>
        <w:rPr>
          <w:rFonts w:ascii="Book Antiqua" w:eastAsia="Book Antiqua" w:hAnsi="Book Antiqua" w:cs="Book Antiqua"/>
          <w:color w:val="000000"/>
        </w:rPr>
        <w:t>, wherein the mean ferritin peak in patients who died of GVHD was 9930  ng/mL</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(range: 2225–20333), while that in the surviving patient was 733 ng/mL. Ferritin level also can be an important diagnostic indicator of aGVHD after LT. </w:t>
      </w:r>
    </w:p>
    <w:p w14:paraId="5A2D067A"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The evidence guiding therapy for post-LT aGVHD is limited, and without prospective clinical trials for reference, most options are related to several other single-center reported cases with treatment experience and extrapolated experience from aGVHD of HSCT patients. The standard treatment of post-HSCT patients is based on systemic steroids, which might result in a sustained response in 60% of the patients</w:t>
      </w:r>
      <w:r>
        <w:rPr>
          <w:rFonts w:ascii="Book Antiqua" w:eastAsia="Book Antiqua" w:hAnsi="Book Antiqua" w:cs="Book Antiqua"/>
          <w:color w:val="000000"/>
          <w:vertAlign w:val="superscript"/>
        </w:rPr>
        <w:t>[24,25]</w:t>
      </w:r>
      <w:r>
        <w:rPr>
          <w:rFonts w:ascii="Book Antiqua" w:eastAsia="Book Antiqua" w:hAnsi="Book Antiqua" w:cs="Book Antiqua"/>
          <w:color w:val="000000"/>
        </w:rPr>
        <w:t xml:space="preserve">. In a seminal study, MacMillan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[26]</w:t>
      </w:r>
      <w:r>
        <w:rPr>
          <w:rFonts w:ascii="Book Antiqua" w:eastAsia="Book Antiqua" w:hAnsi="Book Antiqua" w:cs="Book Antiqua"/>
          <w:color w:val="000000"/>
        </w:rPr>
        <w:t> showed that first-line therapy of aGVHD with corticosteroids (60 mg daily followed by an 8-wk taper) resulted in response rates of 50% and 1-year survival of 53%. As a result, corticosteroids remain a cornerstone of the initial treatment of aGVHD in post-LT. Strikingly, post-LT aGVHD is less responsive to corticosteroid corticosteroids than post-HSCT aGVHD, and most appear steroid-resistant aGVHD</w:t>
      </w:r>
      <w:r>
        <w:rPr>
          <w:rFonts w:ascii="Book Antiqua" w:eastAsia="Book Antiqua" w:hAnsi="Book Antiqua" w:cs="Book Antiqua"/>
          <w:color w:val="000000"/>
          <w:vertAlign w:val="superscript"/>
        </w:rPr>
        <w:t>[27]</w:t>
      </w:r>
      <w:r>
        <w:rPr>
          <w:rFonts w:ascii="Book Antiqua" w:eastAsia="Book Antiqua" w:hAnsi="Book Antiqua" w:cs="Book Antiqua"/>
          <w:color w:val="000000"/>
        </w:rPr>
        <w:t>. A therapeutic option for SOT-associated GVHD is to hinder the activation of donor T cells by increasing immunosuppression. However, this might increase the risk of lethal infections. On the other hand, reduction and even complete withdrawal immunosuppression facilitate host T cells to balance out their donor counterparts and lead to either graft rejection or GVHD worsening. Neither of the two conflicting strategies has yielded satisfactory results</w:t>
      </w:r>
      <w:r>
        <w:rPr>
          <w:rFonts w:ascii="Book Antiqua" w:eastAsia="Book Antiqua" w:hAnsi="Book Antiqua" w:cs="Book Antiqua"/>
          <w:color w:val="000000"/>
          <w:vertAlign w:val="superscript"/>
        </w:rPr>
        <w:t>[3]</w:t>
      </w:r>
      <w:r>
        <w:rPr>
          <w:rFonts w:ascii="Book Antiqua" w:eastAsia="Book Antiqua" w:hAnsi="Book Antiqua" w:cs="Book Antiqua"/>
          <w:color w:val="000000"/>
        </w:rPr>
        <w:t>.</w:t>
      </w:r>
    </w:p>
    <w:p w14:paraId="0C5E564F"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Despite several studies in post-HSCT aGVHD, no agents for the treatment of corticosteroids resistant or refractory GVHD have emerged as a gold standard to alleviate the dismal outcome for these patients</w:t>
      </w:r>
      <w:r>
        <w:rPr>
          <w:rFonts w:ascii="Book Antiqua" w:eastAsia="Book Antiqua" w:hAnsi="Book Antiqua" w:cs="Book Antiqua"/>
          <w:color w:val="000000"/>
          <w:vertAlign w:val="superscript"/>
        </w:rPr>
        <w:t>[28]</w:t>
      </w:r>
      <w:r>
        <w:rPr>
          <w:rFonts w:ascii="Book Antiqua" w:eastAsia="Book Antiqua" w:hAnsi="Book Antiqua" w:cs="Book Antiqua"/>
          <w:color w:val="000000"/>
        </w:rPr>
        <w:t>. Ruxolitinib, a Janus kinase inhibitor, has recently emerged as a promising treatment for steroid-refractory aGVHD in post-HSCT</w:t>
      </w:r>
      <w:r>
        <w:rPr>
          <w:rFonts w:ascii="Book Antiqua" w:eastAsia="Book Antiqua" w:hAnsi="Book Antiqua" w:cs="Book Antiqua"/>
          <w:color w:val="000000"/>
          <w:vertAlign w:val="superscript"/>
        </w:rPr>
        <w:t>[29,30]</w:t>
      </w:r>
      <w:r>
        <w:rPr>
          <w:rFonts w:ascii="Book Antiqua" w:eastAsia="Book Antiqua" w:hAnsi="Book Antiqua" w:cs="Book Antiqua"/>
          <w:color w:val="000000"/>
        </w:rPr>
        <w:t>. Furthermore, some research indicate that</w:t>
      </w:r>
      <w:r>
        <w:rPr>
          <w:rFonts w:ascii="Book Antiqua" w:eastAsia="Book Antiqua" w:hAnsi="Book Antiqua" w:cs="Book Antiqua"/>
          <w:color w:val="000000"/>
          <w:vertAlign w:val="superscript"/>
        </w:rPr>
        <w:t>[31,32]</w:t>
      </w:r>
      <w:r>
        <w:rPr>
          <w:rFonts w:ascii="Book Antiqua" w:eastAsia="Book Antiqua" w:hAnsi="Book Antiqua" w:cs="Book Antiqua"/>
          <w:color w:val="000000"/>
        </w:rPr>
        <w:t> the effective and safe use of Tocilizumab as a rescue treatment in a patient with steroid-refractory aGVHD. However, ruxolitinib and tocilizumab for SOT-associated aGVHD are absent experience, which could make it an interesting option for the treatment of this potentially fatal complication. Therefore, treatment of steroid-resistant aGVHD is an unmet clinical need in solid organ transplantation.</w:t>
      </w:r>
    </w:p>
    <w:p w14:paraId="1A21C76E"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Without strong evidence guiding therapy to steroid-resistant aGVHD in solid organ transplantation, and the search for better prophylactic and therapeutic strategies is critical to improve transplant out-comes. Furthermore, the high rate of myelosuppression and infection is a major cause of high mortality in aGVHD after LT. As a result, a broad-spectrum antibacterial, antiviral, and antifungal prophylaxis should be administered early in the disease process</w:t>
      </w:r>
      <w:r>
        <w:rPr>
          <w:rFonts w:ascii="Book Antiqua" w:eastAsia="Book Antiqua" w:hAnsi="Book Antiqua" w:cs="Book Antiqua"/>
          <w:color w:val="000000"/>
          <w:vertAlign w:val="superscript"/>
        </w:rPr>
        <w:t>[33]</w:t>
      </w:r>
      <w:r>
        <w:rPr>
          <w:rFonts w:ascii="Book Antiqua" w:eastAsia="Book Antiqua" w:hAnsi="Book Antiqua" w:cs="Book Antiqua"/>
          <w:color w:val="000000"/>
        </w:rPr>
        <w:t xml:space="preserve">. Recently, Zhao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[20]</w:t>
      </w:r>
      <w:r>
        <w:rPr>
          <w:rFonts w:ascii="Book Antiqua" w:eastAsia="Book Antiqua" w:hAnsi="Book Antiqua" w:cs="Book Antiqua"/>
          <w:color w:val="000000"/>
        </w:rPr>
        <w:t xml:space="preserve"> suggest that aGVHD patients caused by the addition of immunosuppressive agents as "aGVHD induced by immunosuppression". Thus, lower-dose corticosteroids (1.5 mg/kg/d within one week) for aGVHD after LT could to improve transplant out-comes, and try to avoid repeated corticosteroid therapy otherwise it would highly promote the progression of aGVHD. </w:t>
      </w:r>
    </w:p>
    <w:p w14:paraId="1CEC7951"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Strikingly, GVHD after LT is less responsive to corticosteroids than GVHD after HSCT. Therefore, most patients were administered additional immunosuppression, which include sirolimus, abatacept, anti-lymphocyte globulin (rituximab), or ATG, TNF-α inhibitors (both infliximab and etanercept) and IL-2 receptor (CD25) antibodies (basiliximab and daclizumab) in patients</w:t>
      </w:r>
      <w:r>
        <w:rPr>
          <w:rFonts w:ascii="Book Antiqua" w:eastAsia="Book Antiqua" w:hAnsi="Book Antiqua" w:cs="Book Antiqua"/>
          <w:color w:val="000000"/>
          <w:vertAlign w:val="superscript"/>
        </w:rPr>
        <w:t>[3,34]</w:t>
      </w:r>
      <w:r>
        <w:rPr>
          <w:rFonts w:ascii="Book Antiqua" w:eastAsia="Book Antiqua" w:hAnsi="Book Antiqua" w:cs="Book Antiqua"/>
          <w:color w:val="000000"/>
        </w:rPr>
        <w:t>. However, these agents have been used in a trial in a few patients (including our patients) after LT with variable and inefficient results. Therefore, we also believe that the increase of immunosuppressant could induce the rapid progression of aGVHD after LT. Furthermore, the target organs of aGVHD are injured by cytokines and inflammatory mediators, and blood purification could effectively remove these cytokines and inflammatory mediators, which might play an active role in the treatment of aGVHD.</w:t>
      </w:r>
    </w:p>
    <w:p w14:paraId="36F6CE4D"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Recently, several studies found that human pathologies and diseases are linked to the gut microbiota. Animal and human studies have shown that gut microbial populations and diversity are altered after allogeneic transplantations, such as LT and HSCT</w:t>
      </w:r>
      <w:r>
        <w:rPr>
          <w:rFonts w:ascii="Book Antiqua" w:eastAsia="Book Antiqua" w:hAnsi="Book Antiqua" w:cs="Book Antiqua"/>
          <w:color w:val="000000"/>
          <w:vertAlign w:val="superscript"/>
        </w:rPr>
        <w:t>[35-37]</w:t>
      </w:r>
      <w:r>
        <w:rPr>
          <w:rFonts w:ascii="Book Antiqua" w:eastAsia="Book Antiqua" w:hAnsi="Book Antiqua" w:cs="Book Antiqua"/>
          <w:color w:val="000000"/>
        </w:rPr>
        <w:t>. Moreover, when complications, such as infection, rejection, and GVHD occur, gut microbial populations and diversity present a significant dysbiosis. A better understanding of the correlation between gut microbiota and complications after allogeneic transplantation might promote gut microbiota as a therapeutic target in the future. Furthermore, these interventions might include truncated use of antibiotics in afebrile neutropenic patients</w:t>
      </w:r>
      <w:r>
        <w:rPr>
          <w:rFonts w:ascii="Book Antiqua" w:eastAsia="Book Antiqua" w:hAnsi="Book Antiqua" w:cs="Book Antiqua"/>
          <w:color w:val="000000"/>
          <w:vertAlign w:val="superscript"/>
        </w:rPr>
        <w:t>[38]</w:t>
      </w:r>
      <w:r>
        <w:rPr>
          <w:rFonts w:ascii="Book Antiqua" w:eastAsia="Book Antiqua" w:hAnsi="Book Antiqua" w:cs="Book Antiqua"/>
          <w:color w:val="000000"/>
        </w:rPr>
        <w:t> or improved antibiotic stewardship with reduced use of antibiotics, such as carbapenems and piperacillin-tazobactam, to preserve gut microbial diversity</w:t>
      </w:r>
      <w:r>
        <w:rPr>
          <w:rFonts w:ascii="Book Antiqua" w:eastAsia="Book Antiqua" w:hAnsi="Book Antiqua" w:cs="Book Antiqua"/>
          <w:color w:val="000000"/>
          <w:vertAlign w:val="superscript"/>
        </w:rPr>
        <w:t>[39]</w:t>
      </w:r>
      <w:r>
        <w:rPr>
          <w:rFonts w:ascii="Book Antiqua" w:eastAsia="Book Antiqua" w:hAnsi="Book Antiqua" w:cs="Book Antiqua"/>
          <w:color w:val="000000"/>
        </w:rPr>
        <w:t>. Conversely, active measures should be explored in-depth to determine whether fecal microbiota transplants</w:t>
      </w:r>
      <w:r>
        <w:rPr>
          <w:rFonts w:ascii="Book Antiqua" w:eastAsia="Book Antiqua" w:hAnsi="Book Antiqua" w:cs="Book Antiqua"/>
          <w:color w:val="000000"/>
          <w:vertAlign w:val="superscript"/>
        </w:rPr>
        <w:t>[40]</w:t>
      </w:r>
      <w:r>
        <w:rPr>
          <w:rFonts w:ascii="Book Antiqua" w:eastAsia="Book Antiqua" w:hAnsi="Book Antiqua" w:cs="Book Antiqua"/>
          <w:color w:val="000000"/>
        </w:rPr>
        <w:t xml:space="preserve"> and engineered microbial interventions reduce GVHD risk and successfully treat patients with GVHD. </w:t>
      </w:r>
    </w:p>
    <w:p w14:paraId="35552A74" w14:textId="77777777" w:rsidR="00C34BE9" w:rsidRDefault="00C34BE9">
      <w:pPr>
        <w:adjustRightInd w:val="0"/>
        <w:snapToGrid w:val="0"/>
        <w:spacing w:line="360" w:lineRule="auto"/>
        <w:ind w:firstLineChars="100" w:firstLine="240"/>
        <w:jc w:val="both"/>
        <w:rPr>
          <w:rFonts w:ascii="Book Antiqua" w:hAnsi="Book Antiqua"/>
          <w:color w:val="000000"/>
        </w:rPr>
      </w:pPr>
      <w:r>
        <w:rPr>
          <w:rFonts w:ascii="Book Antiqua" w:eastAsia="Book Antiqua" w:hAnsi="Book Antiqua" w:cs="Book Antiqua"/>
          <w:color w:val="000000"/>
        </w:rPr>
        <w:t>Zuber</w:t>
      </w:r>
      <w:r>
        <w:rPr>
          <w:rFonts w:ascii="Book Antiqua" w:eastAsia="Book Antiqua" w:hAnsi="Book Antiqua" w:cs="Book Antiqua"/>
          <w:i/>
          <w:iCs/>
          <w:color w:val="000000"/>
        </w:rPr>
        <w:t xml:space="preserve"> et al</w:t>
      </w:r>
      <w:r>
        <w:rPr>
          <w:rFonts w:ascii="Book Antiqua" w:eastAsia="Book Antiqua" w:hAnsi="Book Antiqua" w:cs="Book Antiqua"/>
          <w:color w:val="000000"/>
          <w:vertAlign w:val="superscript"/>
        </w:rPr>
        <w:t>[41]</w:t>
      </w:r>
      <w:r>
        <w:rPr>
          <w:rFonts w:ascii="Book Antiqua" w:eastAsia="Book Antiqua" w:hAnsi="Book Antiqua" w:cs="Book Antiqua"/>
          <w:color w:val="000000"/>
        </w:rPr>
        <w:t> presented an innovative strategy, donor-targeted therapy would ideally mitigate graft-versus-host reactivity while sparing recipient immune functions. It was termed donor-targeted serotherapy, based on the adoptive transfer of anti-HLA donor-specific antibodies for the treatment of refractory GVHD in HLA-mismatched settings. The two children with end-stage renal disease developed severe steroid-resistant acute GVHD along with full and sustained donor T cell chimerism after isolated kidney transplantation. They used this novel therapeutic approach, wherein aGVHD symptoms were promptly resolved in one child. The study provided a proof-of-concept for a highly targeted novel therapeutic strategy for SOT-associated GVHD. </w:t>
      </w:r>
    </w:p>
    <w:p w14:paraId="1F4A6CC0" w14:textId="77777777" w:rsidR="00C34BE9" w:rsidRDefault="00C34BE9">
      <w:pPr>
        <w:adjustRightInd w:val="0"/>
        <w:snapToGrid w:val="0"/>
        <w:spacing w:line="360" w:lineRule="auto"/>
        <w:jc w:val="both"/>
        <w:rPr>
          <w:rFonts w:ascii="Book Antiqua" w:hAnsi="Book Antiqua"/>
          <w:color w:val="000000"/>
        </w:rPr>
      </w:pPr>
    </w:p>
    <w:p w14:paraId="053AB59B"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aps/>
          <w:color w:val="000000"/>
          <w:u w:val="single"/>
        </w:rPr>
        <w:t>CONCLUSION</w:t>
      </w:r>
    </w:p>
    <w:p w14:paraId="3855A319"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Presently, GVHD is a rare complication after LT lacking universal treatment guidelines but a high mortality rate (5/6 patients, 83.33%). The diagnosis mainly depends on clinical symptoms and laboratory examinations, especially donor lymphocytes chimerism analysis and histopathological findings. We considered that donor T-lymphocyte chimerism STR is of paramount importance for the diagnosis of aGVHD. Herein, we incorporated STR into the aGVHD diagnostic criteria and dynamic monitoring. Because early diagnosis and treatment are critical, a confirmatory test is not essential. Corticosteroids have been the mainstay of therapy in post-LT aGVHD. However, aGVHD after LT is less responsive to corticosteroids, and most appear steroid-resistant aGVHD. Therefore, treatment strategies to mitigate mortality are paramount, and prospective clinical trials with novel therapeutics are imperative.</w:t>
      </w:r>
    </w:p>
    <w:p w14:paraId="485EBADE" w14:textId="77777777" w:rsidR="00C34BE9" w:rsidRDefault="00C34BE9">
      <w:pPr>
        <w:adjustRightInd w:val="0"/>
        <w:snapToGrid w:val="0"/>
        <w:spacing w:line="360" w:lineRule="auto"/>
        <w:jc w:val="both"/>
        <w:rPr>
          <w:rFonts w:ascii="Book Antiqua" w:hAnsi="Book Antiqua"/>
          <w:color w:val="000000"/>
        </w:rPr>
      </w:pPr>
    </w:p>
    <w:p w14:paraId="7533A6BE"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aps/>
          <w:color w:val="000000"/>
          <w:u w:val="single"/>
        </w:rPr>
        <w:t>ACKNOWLEDGEMENTS</w:t>
      </w:r>
    </w:p>
    <w:p w14:paraId="5990CDE5"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We thank doctors and nurses at Department of Surgical Intensive Care Unit, Hepatobiliary Surgery, The First Affiliated Hospital of Xi’an Jiaotong University for treatment and nursing at aGVHD patients. We also thank the Pathology Department for the pathological diagnosis of the patient's skin tissue.</w:t>
      </w:r>
    </w:p>
    <w:p w14:paraId="2337A23C" w14:textId="77777777" w:rsidR="00C34BE9" w:rsidRDefault="00C34BE9">
      <w:pPr>
        <w:adjustRightInd w:val="0"/>
        <w:snapToGrid w:val="0"/>
        <w:spacing w:line="360" w:lineRule="auto"/>
        <w:jc w:val="both"/>
        <w:rPr>
          <w:rFonts w:ascii="Book Antiqua" w:hAnsi="Book Antiqua"/>
          <w:color w:val="000000"/>
        </w:rPr>
      </w:pPr>
    </w:p>
    <w:p w14:paraId="28579BAF"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REFERENCES</w:t>
      </w:r>
    </w:p>
    <w:p w14:paraId="43FC51C7"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 </w:t>
      </w:r>
      <w:r>
        <w:rPr>
          <w:rFonts w:ascii="Book Antiqua" w:hAnsi="Book Antiqua"/>
          <w:b/>
          <w:bCs/>
          <w:color w:val="000000"/>
        </w:rPr>
        <w:t>Wood A</w:t>
      </w:r>
      <w:r>
        <w:rPr>
          <w:rFonts w:ascii="Book Antiqua" w:hAnsi="Book Antiqua"/>
          <w:color w:val="000000"/>
        </w:rPr>
        <w:t xml:space="preserve">, Eghtesad B, Lindenmeyer CC. Graft-Versus-Host Disease After Liver Transplantation. </w:t>
      </w:r>
      <w:r>
        <w:rPr>
          <w:rFonts w:ascii="Book Antiqua" w:hAnsi="Book Antiqua"/>
          <w:i/>
          <w:iCs/>
          <w:color w:val="000000"/>
        </w:rPr>
        <w:t>Clin Liver Dis (Hoboken)</w:t>
      </w:r>
      <w:r>
        <w:rPr>
          <w:rFonts w:ascii="Book Antiqua" w:hAnsi="Book Antiqua"/>
          <w:color w:val="000000"/>
        </w:rPr>
        <w:t xml:space="preserve"> 2020; </w:t>
      </w:r>
      <w:r>
        <w:rPr>
          <w:rFonts w:ascii="Book Antiqua" w:hAnsi="Book Antiqua"/>
          <w:b/>
          <w:bCs/>
          <w:color w:val="000000"/>
        </w:rPr>
        <w:t>15</w:t>
      </w:r>
      <w:r>
        <w:rPr>
          <w:rFonts w:ascii="Book Antiqua" w:hAnsi="Book Antiqua"/>
          <w:color w:val="000000"/>
        </w:rPr>
        <w:t>: 81-84 [PMID: 32226622 DOI: 10.1002/cld.884]</w:t>
      </w:r>
    </w:p>
    <w:p w14:paraId="41DA2AE4"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 </w:t>
      </w:r>
      <w:r>
        <w:rPr>
          <w:rFonts w:ascii="Book Antiqua" w:hAnsi="Book Antiqua"/>
          <w:b/>
          <w:bCs/>
          <w:color w:val="000000"/>
        </w:rPr>
        <w:t>Chaib E</w:t>
      </w:r>
      <w:r>
        <w:rPr>
          <w:rFonts w:ascii="Book Antiqua" w:hAnsi="Book Antiqua"/>
          <w:color w:val="000000"/>
        </w:rPr>
        <w:t xml:space="preserve">, Silva FD, Figueira ER, Lima FR, Andraus W, D'Albuquerque LA. Graft-versus-host disease after liver transplantation. </w:t>
      </w:r>
      <w:r>
        <w:rPr>
          <w:rFonts w:ascii="Book Antiqua" w:hAnsi="Book Antiqua"/>
          <w:i/>
          <w:iCs/>
          <w:color w:val="000000"/>
        </w:rPr>
        <w:t>Clinics (Sao Paulo)</w:t>
      </w:r>
      <w:r>
        <w:rPr>
          <w:rFonts w:ascii="Book Antiqua" w:hAnsi="Book Antiqua"/>
          <w:color w:val="000000"/>
        </w:rPr>
        <w:t xml:space="preserve"> 2011; </w:t>
      </w:r>
      <w:r>
        <w:rPr>
          <w:rFonts w:ascii="Book Antiqua" w:hAnsi="Book Antiqua"/>
          <w:b/>
          <w:bCs/>
          <w:color w:val="000000"/>
        </w:rPr>
        <w:t>66</w:t>
      </w:r>
      <w:r>
        <w:rPr>
          <w:rFonts w:ascii="Book Antiqua" w:hAnsi="Book Antiqua"/>
          <w:color w:val="000000"/>
        </w:rPr>
        <w:t>: 1115-1118 [PMID: 21808887 DOI: 10.1590/s1807-59322011000600035]</w:t>
      </w:r>
    </w:p>
    <w:p w14:paraId="69AC405F"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 </w:t>
      </w:r>
      <w:r>
        <w:rPr>
          <w:rFonts w:ascii="Book Antiqua" w:hAnsi="Book Antiqua"/>
          <w:b/>
          <w:bCs/>
          <w:color w:val="000000"/>
        </w:rPr>
        <w:t>Murali AR</w:t>
      </w:r>
      <w:r>
        <w:rPr>
          <w:rFonts w:ascii="Book Antiqua" w:hAnsi="Book Antiqua"/>
          <w:color w:val="000000"/>
        </w:rPr>
        <w:t xml:space="preserve">, Chandra S, Stewart Z, Blazar BR, Farooq U, Ince MN, Dunkelberg J. Graft Versus Host Disease After Liver Transplantation in Adults: A Case series, Review of Literature, and an Approach to Management. </w:t>
      </w:r>
      <w:r>
        <w:rPr>
          <w:rFonts w:ascii="Book Antiqua" w:hAnsi="Book Antiqua"/>
          <w:i/>
          <w:iCs/>
          <w:color w:val="000000"/>
        </w:rPr>
        <w:t>Transplantation</w:t>
      </w:r>
      <w:r>
        <w:rPr>
          <w:rFonts w:ascii="Book Antiqua" w:hAnsi="Book Antiqua"/>
          <w:color w:val="000000"/>
        </w:rPr>
        <w:t xml:space="preserve"> 2016; </w:t>
      </w:r>
      <w:r>
        <w:rPr>
          <w:rFonts w:ascii="Book Antiqua" w:hAnsi="Book Antiqua"/>
          <w:b/>
          <w:bCs/>
          <w:color w:val="000000"/>
        </w:rPr>
        <w:t>100</w:t>
      </w:r>
      <w:r>
        <w:rPr>
          <w:rFonts w:ascii="Book Antiqua" w:hAnsi="Book Antiqua"/>
          <w:color w:val="000000"/>
        </w:rPr>
        <w:t>: 2661-2670 [PMID: 27495762 DOI: 10.1097/TP.0000000000001406]</w:t>
      </w:r>
    </w:p>
    <w:p w14:paraId="102E6AA9"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4 </w:t>
      </w:r>
      <w:r>
        <w:rPr>
          <w:rFonts w:ascii="Book Antiqua" w:hAnsi="Book Antiqua"/>
          <w:b/>
          <w:bCs/>
          <w:color w:val="000000"/>
        </w:rPr>
        <w:t>Matsukuma KE</w:t>
      </w:r>
      <w:r>
        <w:rPr>
          <w:rFonts w:ascii="Book Antiqua" w:hAnsi="Book Antiqua"/>
          <w:color w:val="000000"/>
        </w:rPr>
        <w:t xml:space="preserve">, Wei D, Sun K, Ramsamooj R, Chen M. Diagnosis and differential diagnosis of hepatic graft versus host disease (GVHD). </w:t>
      </w:r>
      <w:r>
        <w:rPr>
          <w:rFonts w:ascii="Book Antiqua" w:hAnsi="Book Antiqua"/>
          <w:i/>
          <w:iCs/>
          <w:color w:val="000000"/>
        </w:rPr>
        <w:t>J Gastrointest Oncol</w:t>
      </w:r>
      <w:r>
        <w:rPr>
          <w:rFonts w:ascii="Book Antiqua" w:hAnsi="Book Antiqua"/>
          <w:color w:val="000000"/>
        </w:rPr>
        <w:t xml:space="preserve"> 2016; </w:t>
      </w:r>
      <w:r>
        <w:rPr>
          <w:rFonts w:ascii="Book Antiqua" w:hAnsi="Book Antiqua"/>
          <w:b/>
          <w:bCs/>
          <w:color w:val="000000"/>
        </w:rPr>
        <w:t>7</w:t>
      </w:r>
      <w:r>
        <w:rPr>
          <w:rFonts w:ascii="Book Antiqua" w:hAnsi="Book Antiqua"/>
          <w:color w:val="000000"/>
        </w:rPr>
        <w:t>: S21-S31 [PMID: 27034810 DOI: 10.3978/j.issn.2078-6891.2015.036]</w:t>
      </w:r>
    </w:p>
    <w:p w14:paraId="5FBE8951"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5 </w:t>
      </w:r>
      <w:r>
        <w:rPr>
          <w:rFonts w:ascii="Book Antiqua" w:hAnsi="Book Antiqua"/>
          <w:b/>
          <w:bCs/>
          <w:color w:val="000000"/>
        </w:rPr>
        <w:t>Schulman JM</w:t>
      </w:r>
      <w:r>
        <w:rPr>
          <w:rFonts w:ascii="Book Antiqua" w:hAnsi="Book Antiqua"/>
          <w:color w:val="000000"/>
        </w:rPr>
        <w:t xml:space="preserve">, Yoon C, Schwarz J, Vagefi PA, Mully TW, Shinkai K. Absence of peripheral blood chimerism in graft-vs-host disease following orthotopic liver transplantation: case report and review of the literature. </w:t>
      </w:r>
      <w:r>
        <w:rPr>
          <w:rFonts w:ascii="Book Antiqua" w:hAnsi="Book Antiqua"/>
          <w:i/>
          <w:iCs/>
          <w:color w:val="000000"/>
        </w:rPr>
        <w:t>Int J Dermatol</w:t>
      </w:r>
      <w:r>
        <w:rPr>
          <w:rFonts w:ascii="Book Antiqua" w:hAnsi="Book Antiqua"/>
          <w:color w:val="000000"/>
        </w:rPr>
        <w:t xml:space="preserve"> 2014; </w:t>
      </w:r>
      <w:r>
        <w:rPr>
          <w:rFonts w:ascii="Book Antiqua" w:hAnsi="Book Antiqua"/>
          <w:b/>
          <w:bCs/>
          <w:color w:val="000000"/>
        </w:rPr>
        <w:t>53</w:t>
      </w:r>
      <w:r>
        <w:rPr>
          <w:rFonts w:ascii="Book Antiqua" w:hAnsi="Book Antiqua"/>
          <w:color w:val="000000"/>
        </w:rPr>
        <w:t>: e492-e498 [PMID: 24372059 DOI: 10.1111/ijd.12149]</w:t>
      </w:r>
    </w:p>
    <w:p w14:paraId="2BA6E3E9"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6 </w:t>
      </w:r>
      <w:r>
        <w:rPr>
          <w:rFonts w:ascii="Book Antiqua" w:hAnsi="Book Antiqua"/>
          <w:b/>
          <w:bCs/>
          <w:color w:val="000000"/>
        </w:rPr>
        <w:t>Kim GY</w:t>
      </w:r>
      <w:r>
        <w:rPr>
          <w:rFonts w:ascii="Book Antiqua" w:hAnsi="Book Antiqua"/>
          <w:color w:val="000000"/>
        </w:rPr>
        <w:t xml:space="preserve">, Schmelkin LA, Davis MDP, El-Azhary RA, Farrell AM, Meves A, Lehman JS. Dermatologic manifestations of solid organ transplantation-associated graft-versus-host disease: A systematic review. </w:t>
      </w:r>
      <w:r>
        <w:rPr>
          <w:rFonts w:ascii="Book Antiqua" w:hAnsi="Book Antiqua"/>
          <w:i/>
          <w:iCs/>
          <w:color w:val="000000"/>
        </w:rPr>
        <w:t>J Am Acad Dermatol</w:t>
      </w:r>
      <w:r>
        <w:rPr>
          <w:rFonts w:ascii="Book Antiqua" w:hAnsi="Book Antiqua"/>
          <w:color w:val="000000"/>
        </w:rPr>
        <w:t xml:space="preserve"> 2018; </w:t>
      </w:r>
      <w:r>
        <w:rPr>
          <w:rFonts w:ascii="Book Antiqua" w:hAnsi="Book Antiqua"/>
          <w:b/>
          <w:bCs/>
          <w:color w:val="000000"/>
        </w:rPr>
        <w:t>78</w:t>
      </w:r>
      <w:r>
        <w:rPr>
          <w:rFonts w:ascii="Book Antiqua" w:hAnsi="Book Antiqua"/>
          <w:color w:val="000000"/>
        </w:rPr>
        <w:t>: 1097-1101.e1 [PMID: 29288097 DOI: 10.1016/j.jaad.2017.12.050]</w:t>
      </w:r>
    </w:p>
    <w:p w14:paraId="3C82224F"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7 </w:t>
      </w:r>
      <w:r>
        <w:rPr>
          <w:rFonts w:ascii="Book Antiqua" w:hAnsi="Book Antiqua"/>
          <w:b/>
          <w:bCs/>
          <w:color w:val="000000"/>
        </w:rPr>
        <w:t>Wang B</w:t>
      </w:r>
      <w:r>
        <w:rPr>
          <w:rFonts w:ascii="Book Antiqua" w:hAnsi="Book Antiqua"/>
          <w:color w:val="000000"/>
        </w:rPr>
        <w:t xml:space="preserve">, Lu Y, Yu L, Liu C, Wu Z, Liu X. Diagnosis and treatment for graft-versus-host disease after liver transplantation: two case reports. </w:t>
      </w:r>
      <w:r>
        <w:rPr>
          <w:rFonts w:ascii="Book Antiqua" w:hAnsi="Book Antiqua"/>
          <w:i/>
          <w:iCs/>
          <w:color w:val="000000"/>
        </w:rPr>
        <w:t>Transplant Proc</w:t>
      </w:r>
      <w:r>
        <w:rPr>
          <w:rFonts w:ascii="Book Antiqua" w:hAnsi="Book Antiqua"/>
          <w:color w:val="000000"/>
        </w:rPr>
        <w:t xml:space="preserve"> 2007; </w:t>
      </w:r>
      <w:r>
        <w:rPr>
          <w:rFonts w:ascii="Book Antiqua" w:hAnsi="Book Antiqua"/>
          <w:b/>
          <w:bCs/>
          <w:color w:val="000000"/>
        </w:rPr>
        <w:t>39</w:t>
      </w:r>
      <w:r>
        <w:rPr>
          <w:rFonts w:ascii="Book Antiqua" w:hAnsi="Book Antiqua"/>
          <w:color w:val="000000"/>
        </w:rPr>
        <w:t>: 1696-1698 [PMID: 17580224 DOI: 10.1016/j.transproceed.2007.02.078]</w:t>
      </w:r>
    </w:p>
    <w:p w14:paraId="676B012C"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8 </w:t>
      </w:r>
      <w:r>
        <w:rPr>
          <w:rFonts w:ascii="Book Antiqua" w:hAnsi="Book Antiqua"/>
          <w:b/>
          <w:bCs/>
          <w:color w:val="000000"/>
        </w:rPr>
        <w:t>Kang WH</w:t>
      </w:r>
      <w:r>
        <w:rPr>
          <w:rFonts w:ascii="Book Antiqua" w:hAnsi="Book Antiqua"/>
          <w:color w:val="000000"/>
        </w:rPr>
        <w:t xml:space="preserve">, Hwang S, Song GW, Jung DH, Park GC, Ahn CS, Moon DB, Kim KH, Ha TY, Kim WJ, Kim SH, Cho HD, Kwon JH, Jwa EK, Lee SG. Acute Graft-vs-Host Disease After Liver Transplantation: Experience at a High-volume Liver Transplantation Center in Korea. </w:t>
      </w:r>
      <w:r>
        <w:rPr>
          <w:rFonts w:ascii="Book Antiqua" w:hAnsi="Book Antiqua"/>
          <w:i/>
          <w:iCs/>
          <w:color w:val="000000"/>
        </w:rPr>
        <w:t>Transplant Proc</w:t>
      </w:r>
      <w:r>
        <w:rPr>
          <w:rFonts w:ascii="Book Antiqua" w:hAnsi="Book Antiqua"/>
          <w:color w:val="000000"/>
        </w:rPr>
        <w:t xml:space="preserve"> 2016; </w:t>
      </w:r>
      <w:r>
        <w:rPr>
          <w:rFonts w:ascii="Book Antiqua" w:hAnsi="Book Antiqua"/>
          <w:b/>
          <w:bCs/>
          <w:color w:val="000000"/>
        </w:rPr>
        <w:t>48</w:t>
      </w:r>
      <w:r>
        <w:rPr>
          <w:rFonts w:ascii="Book Antiqua" w:hAnsi="Book Antiqua"/>
          <w:color w:val="000000"/>
        </w:rPr>
        <w:t>: 3368-3372 [PMID: 27931583 DOI: 10.1016/j.transproceed.2016.08.051]</w:t>
      </w:r>
    </w:p>
    <w:p w14:paraId="0F18D1F9"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9 </w:t>
      </w:r>
      <w:r>
        <w:rPr>
          <w:rFonts w:ascii="Book Antiqua" w:hAnsi="Book Antiqua"/>
          <w:b/>
          <w:bCs/>
          <w:color w:val="000000"/>
        </w:rPr>
        <w:t>Triulzi DJ</w:t>
      </w:r>
      <w:r>
        <w:rPr>
          <w:rFonts w:ascii="Book Antiqua" w:hAnsi="Book Antiqua"/>
          <w:color w:val="000000"/>
        </w:rPr>
        <w:t xml:space="preserve">, Nalesnik MA. Microchimerism, GVHD, and tolerance in solid organ transplantation. </w:t>
      </w:r>
      <w:r>
        <w:rPr>
          <w:rFonts w:ascii="Book Antiqua" w:hAnsi="Book Antiqua"/>
          <w:i/>
          <w:iCs/>
          <w:color w:val="000000"/>
        </w:rPr>
        <w:t>Transfusion</w:t>
      </w:r>
      <w:r>
        <w:rPr>
          <w:rFonts w:ascii="Book Antiqua" w:hAnsi="Book Antiqua"/>
          <w:color w:val="000000"/>
        </w:rPr>
        <w:t xml:space="preserve"> 2001; </w:t>
      </w:r>
      <w:r>
        <w:rPr>
          <w:rFonts w:ascii="Book Antiqua" w:hAnsi="Book Antiqua"/>
          <w:b/>
          <w:bCs/>
          <w:color w:val="000000"/>
        </w:rPr>
        <w:t>41</w:t>
      </w:r>
      <w:r>
        <w:rPr>
          <w:rFonts w:ascii="Book Antiqua" w:hAnsi="Book Antiqua"/>
          <w:color w:val="000000"/>
        </w:rPr>
        <w:t>: 419-426 [PMID: 11274601 DOI: 10.1046/j.1537-2995.2001.41030419.x]</w:t>
      </w:r>
    </w:p>
    <w:p w14:paraId="463C00E4"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10 </w:t>
      </w:r>
      <w:r>
        <w:rPr>
          <w:rFonts w:ascii="Book Antiqua" w:hAnsi="Book Antiqua"/>
          <w:b/>
          <w:bCs/>
          <w:color w:val="000000"/>
        </w:rPr>
        <w:t>Akbulut S</w:t>
      </w:r>
      <w:r>
        <w:rPr>
          <w:rFonts w:ascii="Book Antiqua" w:hAnsi="Book Antiqua"/>
          <w:color w:val="000000"/>
        </w:rPr>
        <w:t xml:space="preserve">, Yilmaz M, Yilmaz S. Graft-versus-host disease after liver transplantation: a comprehensive literature review. </w:t>
      </w:r>
      <w:r>
        <w:rPr>
          <w:rFonts w:ascii="Book Antiqua" w:hAnsi="Book Antiqua"/>
          <w:i/>
          <w:iCs/>
          <w:color w:val="000000"/>
        </w:rPr>
        <w:t>World J Gastroenterol</w:t>
      </w:r>
      <w:r>
        <w:rPr>
          <w:rFonts w:ascii="Book Antiqua" w:hAnsi="Book Antiqua"/>
          <w:color w:val="000000"/>
        </w:rPr>
        <w:t xml:space="preserve"> 2012; </w:t>
      </w:r>
      <w:r>
        <w:rPr>
          <w:rFonts w:ascii="Book Antiqua" w:hAnsi="Book Antiqua"/>
          <w:b/>
          <w:bCs/>
          <w:color w:val="000000"/>
        </w:rPr>
        <w:t>18</w:t>
      </w:r>
      <w:r>
        <w:rPr>
          <w:rFonts w:ascii="Book Antiqua" w:hAnsi="Book Antiqua"/>
          <w:color w:val="000000"/>
        </w:rPr>
        <w:t>: 5240-5248 [PMID: 23066319 DOI: 10.3748/wjg.v18.i37.5240]</w:t>
      </w:r>
    </w:p>
    <w:p w14:paraId="06FB16F4" w14:textId="6AE6E072"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11 </w:t>
      </w:r>
      <w:r>
        <w:rPr>
          <w:rFonts w:ascii="Book Antiqua" w:hAnsi="Book Antiqua"/>
          <w:b/>
          <w:bCs/>
          <w:color w:val="000000"/>
        </w:rPr>
        <w:t>Billingham RE</w:t>
      </w:r>
      <w:r>
        <w:rPr>
          <w:rFonts w:ascii="Book Antiqua" w:hAnsi="Book Antiqua"/>
          <w:color w:val="000000"/>
        </w:rPr>
        <w:t xml:space="preserve">. The biology of graft-versus-host reactions. </w:t>
      </w:r>
      <w:r>
        <w:rPr>
          <w:rFonts w:ascii="Book Antiqua" w:hAnsi="Book Antiqua"/>
          <w:i/>
          <w:iCs/>
          <w:color w:val="000000"/>
        </w:rPr>
        <w:t>Harvey Lect</w:t>
      </w:r>
      <w:r>
        <w:rPr>
          <w:rFonts w:ascii="Book Antiqua" w:hAnsi="Book Antiqua"/>
          <w:color w:val="000000"/>
        </w:rPr>
        <w:t xml:space="preserve"> 1966</w:t>
      </w:r>
      <w:r w:rsidR="00A5794F" w:rsidRPr="00A5794F">
        <w:rPr>
          <w:rFonts w:ascii="Book Antiqua" w:hAnsi="Book Antiqua"/>
          <w:color w:val="000000"/>
        </w:rPr>
        <w:t>-1967</w:t>
      </w:r>
      <w:r>
        <w:rPr>
          <w:rFonts w:ascii="Book Antiqua" w:hAnsi="Book Antiqua"/>
          <w:color w:val="000000"/>
        </w:rPr>
        <w:t xml:space="preserve">; </w:t>
      </w:r>
      <w:r>
        <w:rPr>
          <w:rFonts w:ascii="Book Antiqua" w:hAnsi="Book Antiqua"/>
          <w:b/>
          <w:bCs/>
          <w:color w:val="000000"/>
        </w:rPr>
        <w:t>62</w:t>
      </w:r>
      <w:r>
        <w:rPr>
          <w:rFonts w:ascii="Book Antiqua" w:hAnsi="Book Antiqua"/>
          <w:color w:val="000000"/>
        </w:rPr>
        <w:t>: 21-78 [PMID: 4875305]</w:t>
      </w:r>
    </w:p>
    <w:p w14:paraId="69AC463C"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12 </w:t>
      </w:r>
      <w:r>
        <w:rPr>
          <w:rFonts w:ascii="Book Antiqua" w:hAnsi="Book Antiqua"/>
          <w:b/>
          <w:bCs/>
          <w:color w:val="000000"/>
        </w:rPr>
        <w:t>Burdick JF</w:t>
      </w:r>
      <w:r>
        <w:rPr>
          <w:rFonts w:ascii="Book Antiqua" w:hAnsi="Book Antiqua"/>
          <w:color w:val="000000"/>
        </w:rPr>
        <w:t xml:space="preserve">, Vogelsang GB, Smith WJ, Farmer ER, Bias WB, Kaufmann SH, Horn J, Colombani PM, Pitt HA, Perler BA. Severe graft-versus-host disease in a liver-transplant recipient. </w:t>
      </w:r>
      <w:r>
        <w:rPr>
          <w:rFonts w:ascii="Book Antiqua" w:hAnsi="Book Antiqua"/>
          <w:i/>
          <w:iCs/>
          <w:color w:val="000000"/>
        </w:rPr>
        <w:t>N Engl J Med</w:t>
      </w:r>
      <w:r>
        <w:rPr>
          <w:rFonts w:ascii="Book Antiqua" w:hAnsi="Book Antiqua"/>
          <w:color w:val="000000"/>
        </w:rPr>
        <w:t xml:space="preserve"> 1988; </w:t>
      </w:r>
      <w:r>
        <w:rPr>
          <w:rFonts w:ascii="Book Antiqua" w:hAnsi="Book Antiqua"/>
          <w:b/>
          <w:bCs/>
          <w:color w:val="000000"/>
        </w:rPr>
        <w:t>318</w:t>
      </w:r>
      <w:r>
        <w:rPr>
          <w:rFonts w:ascii="Book Antiqua" w:hAnsi="Book Antiqua"/>
          <w:color w:val="000000"/>
        </w:rPr>
        <w:t>: 689-691 [PMID: 3278235 DOI: 10.1056/NEJM198803173181107]</w:t>
      </w:r>
    </w:p>
    <w:p w14:paraId="110F6376"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13 </w:t>
      </w:r>
      <w:r>
        <w:rPr>
          <w:rFonts w:ascii="Book Antiqua" w:hAnsi="Book Antiqua"/>
          <w:b/>
          <w:bCs/>
          <w:color w:val="000000"/>
        </w:rPr>
        <w:t>Taylor AL</w:t>
      </w:r>
      <w:r>
        <w:rPr>
          <w:rFonts w:ascii="Book Antiqua" w:hAnsi="Book Antiqua"/>
          <w:color w:val="000000"/>
        </w:rPr>
        <w:t xml:space="preserve">, Gibbs P, Sudhindran S, Key T, Goodman RS, Morgan CH, Watson CJ, Delriviere L, Alexander GJ, Jamieson NV, Bradley JA, Taylor CJ. Monitoring systemic donor lymphocyte macrochimerism to aid the diagnosis of graft-versus-host disease after liver transplantation. </w:t>
      </w:r>
      <w:r>
        <w:rPr>
          <w:rFonts w:ascii="Book Antiqua" w:hAnsi="Book Antiqua"/>
          <w:i/>
          <w:iCs/>
          <w:color w:val="000000"/>
        </w:rPr>
        <w:t>Transplantation</w:t>
      </w:r>
      <w:r>
        <w:rPr>
          <w:rFonts w:ascii="Book Antiqua" w:hAnsi="Book Antiqua"/>
          <w:color w:val="000000"/>
        </w:rPr>
        <w:t xml:space="preserve"> 2004; </w:t>
      </w:r>
      <w:r>
        <w:rPr>
          <w:rFonts w:ascii="Book Antiqua" w:hAnsi="Book Antiqua"/>
          <w:b/>
          <w:bCs/>
          <w:color w:val="000000"/>
        </w:rPr>
        <w:t>77</w:t>
      </w:r>
      <w:r>
        <w:rPr>
          <w:rFonts w:ascii="Book Antiqua" w:hAnsi="Book Antiqua"/>
          <w:color w:val="000000"/>
        </w:rPr>
        <w:t>: 441-446 [PMID: 14966423 DOI: 10.1097/01.TP.0000103721.29729.FE]</w:t>
      </w:r>
    </w:p>
    <w:p w14:paraId="16675C6B"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14 </w:t>
      </w:r>
      <w:r>
        <w:rPr>
          <w:rFonts w:ascii="Book Antiqua" w:hAnsi="Book Antiqua"/>
          <w:b/>
          <w:bCs/>
          <w:color w:val="000000"/>
        </w:rPr>
        <w:t>Carnevale R</w:t>
      </w:r>
      <w:r>
        <w:rPr>
          <w:rFonts w:ascii="Book Antiqua" w:hAnsi="Book Antiqua"/>
          <w:color w:val="000000"/>
        </w:rPr>
        <w:t xml:space="preserve">, Raparelli V, Nocella C, Bartimoccia S, Novo M, Severino A, De Falco E, Cammisotto V, Pasquale C, Crescioli C, Scavalli AS, Riggio O, Basili S, Violi F. Gut-derived endotoxin stimulates factor VIII secretion from endothelial cells. Implications for hypercoagulability in cirrhosis. </w:t>
      </w:r>
      <w:r>
        <w:rPr>
          <w:rFonts w:ascii="Book Antiqua" w:hAnsi="Book Antiqua"/>
          <w:i/>
          <w:iCs/>
          <w:color w:val="000000"/>
        </w:rPr>
        <w:t>J Hepatol</w:t>
      </w:r>
      <w:r>
        <w:rPr>
          <w:rFonts w:ascii="Book Antiqua" w:hAnsi="Book Antiqua"/>
          <w:color w:val="000000"/>
        </w:rPr>
        <w:t xml:space="preserve"> 2017; </w:t>
      </w:r>
      <w:r>
        <w:rPr>
          <w:rFonts w:ascii="Book Antiqua" w:hAnsi="Book Antiqua"/>
          <w:b/>
          <w:bCs/>
          <w:color w:val="000000"/>
        </w:rPr>
        <w:t>67</w:t>
      </w:r>
      <w:r>
        <w:rPr>
          <w:rFonts w:ascii="Book Antiqua" w:hAnsi="Book Antiqua"/>
          <w:color w:val="000000"/>
        </w:rPr>
        <w:t>: 950-956 [PMID: 28716745 DOI: 10.1016/j.jhep.2017.07.002]</w:t>
      </w:r>
    </w:p>
    <w:p w14:paraId="16513157"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15 </w:t>
      </w:r>
      <w:r>
        <w:rPr>
          <w:rFonts w:ascii="Book Antiqua" w:hAnsi="Book Antiqua"/>
          <w:b/>
          <w:bCs/>
          <w:color w:val="000000"/>
        </w:rPr>
        <w:t>Gonultas F</w:t>
      </w:r>
      <w:r>
        <w:rPr>
          <w:rFonts w:ascii="Book Antiqua" w:hAnsi="Book Antiqua"/>
          <w:color w:val="000000"/>
        </w:rPr>
        <w:t xml:space="preserve">, Akbulut S, Barut B, Kutluturk K, Yilmaz S. Graft-versus-host disease after living donor liver transplantation: an unpredictable troublesome complication for liver transplant centers. </w:t>
      </w:r>
      <w:r>
        <w:rPr>
          <w:rFonts w:ascii="Book Antiqua" w:hAnsi="Book Antiqua"/>
          <w:i/>
          <w:iCs/>
          <w:color w:val="000000"/>
        </w:rPr>
        <w:t>Eur J Gastroenterol Hepatol</w:t>
      </w:r>
      <w:r>
        <w:rPr>
          <w:rFonts w:ascii="Book Antiqua" w:hAnsi="Book Antiqua"/>
          <w:color w:val="000000"/>
        </w:rPr>
        <w:t xml:space="preserve"> 2020; </w:t>
      </w:r>
      <w:r>
        <w:rPr>
          <w:rFonts w:ascii="Book Antiqua" w:hAnsi="Book Antiqua"/>
          <w:b/>
          <w:bCs/>
          <w:color w:val="000000"/>
        </w:rPr>
        <w:t>32</w:t>
      </w:r>
      <w:r>
        <w:rPr>
          <w:rFonts w:ascii="Book Antiqua" w:hAnsi="Book Antiqua"/>
          <w:color w:val="000000"/>
        </w:rPr>
        <w:t>: 95-100 [PMID: 31524772 DOI: 10.1097/MEG.0000000000001530]</w:t>
      </w:r>
    </w:p>
    <w:p w14:paraId="43DEA07C"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16 </w:t>
      </w:r>
      <w:r>
        <w:rPr>
          <w:rFonts w:ascii="Book Antiqua" w:hAnsi="Book Antiqua"/>
          <w:b/>
          <w:bCs/>
          <w:color w:val="000000"/>
        </w:rPr>
        <w:t>Kakotrichi A</w:t>
      </w:r>
      <w:r>
        <w:rPr>
          <w:rFonts w:ascii="Book Antiqua" w:hAnsi="Book Antiqua"/>
          <w:color w:val="000000"/>
        </w:rPr>
        <w:t xml:space="preserve">, Hind J. Graft-versus-host disease in paediatric liver transplantation: A review of the literature. </w:t>
      </w:r>
      <w:r>
        <w:rPr>
          <w:rFonts w:ascii="Book Antiqua" w:hAnsi="Book Antiqua"/>
          <w:i/>
          <w:iCs/>
          <w:color w:val="000000"/>
        </w:rPr>
        <w:t>S Afr Med J</w:t>
      </w:r>
      <w:r>
        <w:rPr>
          <w:rFonts w:ascii="Book Antiqua" w:hAnsi="Book Antiqua"/>
          <w:color w:val="000000"/>
        </w:rPr>
        <w:t xml:space="preserve"> 2017; </w:t>
      </w:r>
      <w:r>
        <w:rPr>
          <w:rFonts w:ascii="Book Antiqua" w:hAnsi="Book Antiqua"/>
          <w:b/>
          <w:bCs/>
          <w:color w:val="000000"/>
        </w:rPr>
        <w:t>107</w:t>
      </w:r>
      <w:r>
        <w:rPr>
          <w:rFonts w:ascii="Book Antiqua" w:hAnsi="Book Antiqua"/>
          <w:color w:val="000000"/>
        </w:rPr>
        <w:t>: 12133 [PMID: 29183425]</w:t>
      </w:r>
    </w:p>
    <w:p w14:paraId="4EBF92A2"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17 </w:t>
      </w:r>
      <w:r>
        <w:rPr>
          <w:rFonts w:ascii="Book Antiqua" w:hAnsi="Book Antiqua"/>
          <w:b/>
          <w:bCs/>
          <w:color w:val="000000"/>
        </w:rPr>
        <w:t>Mariotti J</w:t>
      </w:r>
      <w:r>
        <w:rPr>
          <w:rFonts w:ascii="Book Antiqua" w:hAnsi="Book Antiqua"/>
          <w:color w:val="000000"/>
        </w:rPr>
        <w:t xml:space="preserve">, Penack O, Castagna L. Acute Graft-versus-Host-Disease Other Than Typical Targets: Between Myths and Facts. </w:t>
      </w:r>
      <w:r>
        <w:rPr>
          <w:rFonts w:ascii="Book Antiqua" w:hAnsi="Book Antiqua"/>
          <w:i/>
          <w:iCs/>
          <w:color w:val="000000"/>
        </w:rPr>
        <w:t>Transplant Cell Ther</w:t>
      </w:r>
      <w:r>
        <w:rPr>
          <w:rFonts w:ascii="Book Antiqua" w:hAnsi="Book Antiqua"/>
          <w:color w:val="000000"/>
        </w:rPr>
        <w:t xml:space="preserve"> 2021; </w:t>
      </w:r>
      <w:r>
        <w:rPr>
          <w:rFonts w:ascii="Book Antiqua" w:hAnsi="Book Antiqua"/>
          <w:b/>
          <w:bCs/>
          <w:color w:val="000000"/>
        </w:rPr>
        <w:t>27</w:t>
      </w:r>
      <w:r>
        <w:rPr>
          <w:rFonts w:ascii="Book Antiqua" w:hAnsi="Book Antiqua"/>
          <w:color w:val="000000"/>
        </w:rPr>
        <w:t>: 115-124 [PMID: 33017661 DOI: 10.1016/j.bbmt.2020.09.033]</w:t>
      </w:r>
    </w:p>
    <w:p w14:paraId="266925AC"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18 </w:t>
      </w:r>
      <w:r>
        <w:rPr>
          <w:rFonts w:ascii="Book Antiqua" w:hAnsi="Book Antiqua"/>
          <w:b/>
          <w:bCs/>
          <w:color w:val="000000"/>
        </w:rPr>
        <w:t>Pahari H</w:t>
      </w:r>
      <w:r>
        <w:rPr>
          <w:rFonts w:ascii="Book Antiqua" w:hAnsi="Book Antiqua"/>
          <w:color w:val="000000"/>
        </w:rPr>
        <w:t xml:space="preserve">, Nagai S, Skorupski S, Salgia R. Graft-versus-host disease of the central nervous system after liver transplantation: A rare complication. </w:t>
      </w:r>
      <w:r>
        <w:rPr>
          <w:rFonts w:ascii="Book Antiqua" w:hAnsi="Book Antiqua"/>
          <w:i/>
          <w:iCs/>
          <w:color w:val="000000"/>
        </w:rPr>
        <w:t>Am J Transplant</w:t>
      </w:r>
      <w:r>
        <w:rPr>
          <w:rFonts w:ascii="Book Antiqua" w:hAnsi="Book Antiqua"/>
          <w:color w:val="000000"/>
        </w:rPr>
        <w:t xml:space="preserve"> 2018; </w:t>
      </w:r>
      <w:r>
        <w:rPr>
          <w:rFonts w:ascii="Book Antiqua" w:hAnsi="Book Antiqua"/>
          <w:b/>
          <w:bCs/>
          <w:color w:val="000000"/>
        </w:rPr>
        <w:t>18</w:t>
      </w:r>
      <w:r>
        <w:rPr>
          <w:rFonts w:ascii="Book Antiqua" w:hAnsi="Book Antiqua"/>
          <w:color w:val="000000"/>
        </w:rPr>
        <w:t>: 2591-2594 [PMID: 29935052 DOI: 10.1111/ajt.14981]</w:t>
      </w:r>
    </w:p>
    <w:p w14:paraId="2AD702A4"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19 </w:t>
      </w:r>
      <w:r>
        <w:rPr>
          <w:rFonts w:ascii="Book Antiqua" w:hAnsi="Book Antiqua"/>
          <w:b/>
          <w:bCs/>
          <w:color w:val="000000"/>
        </w:rPr>
        <w:t>Domiati-Saad R</w:t>
      </w:r>
      <w:r>
        <w:rPr>
          <w:rFonts w:ascii="Book Antiqua" w:hAnsi="Book Antiqua"/>
          <w:color w:val="000000"/>
        </w:rPr>
        <w:t xml:space="preserve">, Klintmalm GB, Netto G, Agura ED, Chinnakotla S, Smith DM. Acute graft versus host disease after liver transplantation: patterns of lymphocyte chimerism. </w:t>
      </w:r>
      <w:r>
        <w:rPr>
          <w:rFonts w:ascii="Book Antiqua" w:hAnsi="Book Antiqua"/>
          <w:i/>
          <w:iCs/>
          <w:color w:val="000000"/>
        </w:rPr>
        <w:t>Am J Transplant</w:t>
      </w:r>
      <w:r>
        <w:rPr>
          <w:rFonts w:ascii="Book Antiqua" w:hAnsi="Book Antiqua"/>
          <w:color w:val="000000"/>
        </w:rPr>
        <w:t xml:space="preserve"> 2005; </w:t>
      </w:r>
      <w:r>
        <w:rPr>
          <w:rFonts w:ascii="Book Antiqua" w:hAnsi="Book Antiqua"/>
          <w:b/>
          <w:bCs/>
          <w:color w:val="000000"/>
        </w:rPr>
        <w:t>5</w:t>
      </w:r>
      <w:r>
        <w:rPr>
          <w:rFonts w:ascii="Book Antiqua" w:hAnsi="Book Antiqua"/>
          <w:color w:val="000000"/>
        </w:rPr>
        <w:t>: 2968-2973 [PMID: 16303012 DOI: 10.1111/j.1600-6143.2005.01110.x]</w:t>
      </w:r>
    </w:p>
    <w:p w14:paraId="158D082D"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20 </w:t>
      </w:r>
      <w:r>
        <w:rPr>
          <w:rFonts w:ascii="Book Antiqua" w:hAnsi="Book Antiqua"/>
          <w:b/>
          <w:bCs/>
          <w:color w:val="000000"/>
        </w:rPr>
        <w:t>Zhao XF</w:t>
      </w:r>
      <w:r>
        <w:rPr>
          <w:rFonts w:ascii="Book Antiqua" w:hAnsi="Book Antiqua"/>
          <w:color w:val="000000"/>
        </w:rPr>
        <w:t xml:space="preserve">, Lin DD, Li N, Wu JS, Guo QL, Wang L. Diagnosis and treatment of acute graft-versus-host disease after liver transplantation: A report of 11cases. </w:t>
      </w:r>
      <w:r>
        <w:rPr>
          <w:rFonts w:ascii="Book Antiqua" w:hAnsi="Book Antiqua"/>
          <w:i/>
          <w:iCs/>
          <w:color w:val="000000"/>
        </w:rPr>
        <w:t>Transpl Immunol</w:t>
      </w:r>
      <w:r>
        <w:rPr>
          <w:rFonts w:ascii="Book Antiqua" w:hAnsi="Book Antiqua"/>
          <w:color w:val="000000"/>
        </w:rPr>
        <w:t xml:space="preserve"> 2020; </w:t>
      </w:r>
      <w:r>
        <w:rPr>
          <w:rFonts w:ascii="Book Antiqua" w:hAnsi="Book Antiqua"/>
          <w:b/>
          <w:bCs/>
          <w:color w:val="000000"/>
        </w:rPr>
        <w:t>62</w:t>
      </w:r>
      <w:r>
        <w:rPr>
          <w:rFonts w:ascii="Book Antiqua" w:hAnsi="Book Antiqua"/>
          <w:color w:val="000000"/>
        </w:rPr>
        <w:t>: 101307 [PMID: 32540505 DOI: 10.1016/j.trim.2020.101307]</w:t>
      </w:r>
    </w:p>
    <w:p w14:paraId="5E7F5B78"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21 </w:t>
      </w:r>
      <w:r>
        <w:rPr>
          <w:rFonts w:ascii="Book Antiqua" w:hAnsi="Book Antiqua"/>
          <w:b/>
          <w:bCs/>
          <w:color w:val="000000"/>
        </w:rPr>
        <w:t>Noguchi M</w:t>
      </w:r>
      <w:r>
        <w:rPr>
          <w:rFonts w:ascii="Book Antiqua" w:hAnsi="Book Antiqua"/>
          <w:color w:val="000000"/>
        </w:rPr>
        <w:t xml:space="preserve">, Shindo T, Yamada Y, Date H. T-cell chimerism prior to graft-versus-host disease. </w:t>
      </w:r>
      <w:r>
        <w:rPr>
          <w:rFonts w:ascii="Book Antiqua" w:hAnsi="Book Antiqua"/>
          <w:i/>
          <w:iCs/>
          <w:color w:val="000000"/>
        </w:rPr>
        <w:t>Eur J Cardiothorac Surg</w:t>
      </w:r>
      <w:r>
        <w:rPr>
          <w:rFonts w:ascii="Book Antiqua" w:hAnsi="Book Antiqua"/>
          <w:color w:val="000000"/>
        </w:rPr>
        <w:t xml:space="preserve"> 2021; </w:t>
      </w:r>
      <w:r>
        <w:rPr>
          <w:rFonts w:ascii="Book Antiqua" w:hAnsi="Book Antiqua"/>
          <w:b/>
          <w:bCs/>
          <w:color w:val="000000"/>
        </w:rPr>
        <w:t>60</w:t>
      </w:r>
      <w:r>
        <w:rPr>
          <w:rFonts w:ascii="Book Antiqua" w:hAnsi="Book Antiqua"/>
          <w:color w:val="000000"/>
        </w:rPr>
        <w:t>: 194-196 [PMID: 33495782 DOI: 10.1093/ejcts/ezaa484]</w:t>
      </w:r>
    </w:p>
    <w:p w14:paraId="56E5027A"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22 </w:t>
      </w:r>
      <w:r>
        <w:rPr>
          <w:rFonts w:ascii="Book Antiqua" w:hAnsi="Book Antiqua"/>
          <w:b/>
          <w:bCs/>
          <w:color w:val="000000"/>
        </w:rPr>
        <w:t>Hahn AB</w:t>
      </w:r>
      <w:r>
        <w:rPr>
          <w:rFonts w:ascii="Book Antiqua" w:hAnsi="Book Antiqua"/>
          <w:color w:val="000000"/>
        </w:rPr>
        <w:t xml:space="preserve">, Baliga P. Rapid method for the analysis of peripheral chimerism in suspected graft-versus-host disease after liver transplantation. </w:t>
      </w:r>
      <w:r>
        <w:rPr>
          <w:rFonts w:ascii="Book Antiqua" w:hAnsi="Book Antiqua"/>
          <w:i/>
          <w:iCs/>
          <w:color w:val="000000"/>
        </w:rPr>
        <w:t>Liver Transpl</w:t>
      </w:r>
      <w:r>
        <w:rPr>
          <w:rFonts w:ascii="Book Antiqua" w:hAnsi="Book Antiqua"/>
          <w:color w:val="000000"/>
        </w:rPr>
        <w:t xml:space="preserve"> 2000; </w:t>
      </w:r>
      <w:r>
        <w:rPr>
          <w:rFonts w:ascii="Book Antiqua" w:hAnsi="Book Antiqua"/>
          <w:b/>
          <w:bCs/>
          <w:color w:val="000000"/>
        </w:rPr>
        <w:t>6</w:t>
      </w:r>
      <w:r>
        <w:rPr>
          <w:rFonts w:ascii="Book Antiqua" w:hAnsi="Book Antiqua"/>
          <w:color w:val="000000"/>
        </w:rPr>
        <w:t>: 180-184 [PMID: 10719017 DOI: 10.1002/lt.500060214]</w:t>
      </w:r>
    </w:p>
    <w:p w14:paraId="2A9CF423"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23 </w:t>
      </w:r>
      <w:r>
        <w:rPr>
          <w:rFonts w:ascii="Book Antiqua" w:hAnsi="Book Antiqua"/>
          <w:b/>
          <w:bCs/>
          <w:color w:val="000000"/>
        </w:rPr>
        <w:t>Rai V</w:t>
      </w:r>
      <w:r>
        <w:rPr>
          <w:rFonts w:ascii="Book Antiqua" w:hAnsi="Book Antiqua"/>
          <w:color w:val="000000"/>
        </w:rPr>
        <w:t xml:space="preserve">, Dietz NE, Agrawal DK. Immunological basis for treatment of graft versus host disease after liver transplant. </w:t>
      </w:r>
      <w:r>
        <w:rPr>
          <w:rFonts w:ascii="Book Antiqua" w:hAnsi="Book Antiqua"/>
          <w:i/>
          <w:iCs/>
          <w:color w:val="000000"/>
        </w:rPr>
        <w:t>Expert Rev Clin Immunol</w:t>
      </w:r>
      <w:r>
        <w:rPr>
          <w:rFonts w:ascii="Book Antiqua" w:hAnsi="Book Antiqua"/>
          <w:color w:val="000000"/>
        </w:rPr>
        <w:t xml:space="preserve"> 2016; </w:t>
      </w:r>
      <w:r>
        <w:rPr>
          <w:rFonts w:ascii="Book Antiqua" w:hAnsi="Book Antiqua"/>
          <w:b/>
          <w:bCs/>
          <w:color w:val="000000"/>
        </w:rPr>
        <w:t>12</w:t>
      </w:r>
      <w:r>
        <w:rPr>
          <w:rFonts w:ascii="Book Antiqua" w:hAnsi="Book Antiqua"/>
          <w:color w:val="000000"/>
        </w:rPr>
        <w:t>: 583-593 [PMID: 26795873 DOI: 10.1586/1744666X.2016.1145056]</w:t>
      </w:r>
    </w:p>
    <w:p w14:paraId="624EB92E"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24 </w:t>
      </w:r>
      <w:r>
        <w:rPr>
          <w:rFonts w:ascii="Book Antiqua" w:hAnsi="Book Antiqua"/>
          <w:b/>
          <w:bCs/>
          <w:color w:val="000000"/>
        </w:rPr>
        <w:t>Zeiser R</w:t>
      </w:r>
      <w:r>
        <w:rPr>
          <w:rFonts w:ascii="Book Antiqua" w:hAnsi="Book Antiqua"/>
          <w:color w:val="000000"/>
        </w:rPr>
        <w:t xml:space="preserve">, Blazar BR. Acute Graft-versus-Host Disease - Biologic Process, Prevention, and Therapy. </w:t>
      </w:r>
      <w:r>
        <w:rPr>
          <w:rFonts w:ascii="Book Antiqua" w:hAnsi="Book Antiqua"/>
          <w:i/>
          <w:iCs/>
          <w:color w:val="000000"/>
        </w:rPr>
        <w:t>N Engl J Med</w:t>
      </w:r>
      <w:r>
        <w:rPr>
          <w:rFonts w:ascii="Book Antiqua" w:hAnsi="Book Antiqua"/>
          <w:color w:val="000000"/>
        </w:rPr>
        <w:t xml:space="preserve"> 2017; </w:t>
      </w:r>
      <w:r>
        <w:rPr>
          <w:rFonts w:ascii="Book Antiqua" w:hAnsi="Book Antiqua"/>
          <w:b/>
          <w:bCs/>
          <w:color w:val="000000"/>
        </w:rPr>
        <w:t>377</w:t>
      </w:r>
      <w:r>
        <w:rPr>
          <w:rFonts w:ascii="Book Antiqua" w:hAnsi="Book Antiqua"/>
          <w:color w:val="000000"/>
        </w:rPr>
        <w:t>: 2167-2179 [PMID: 29171820 DOI: 10.1056/NEJMra1609337]</w:t>
      </w:r>
    </w:p>
    <w:p w14:paraId="01230B15"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25 </w:t>
      </w:r>
      <w:r>
        <w:rPr>
          <w:rFonts w:ascii="Book Antiqua" w:hAnsi="Book Antiqua"/>
          <w:b/>
          <w:bCs/>
          <w:color w:val="000000"/>
        </w:rPr>
        <w:t>Martin PJ</w:t>
      </w:r>
      <w:r>
        <w:rPr>
          <w:rFonts w:ascii="Book Antiqua" w:hAnsi="Book Antiqua"/>
          <w:color w:val="000000"/>
        </w:rPr>
        <w:t xml:space="preserve">, Rizzo JD, Wingard JR, Ballen K, Curtin PT, Cutler C, Litzow MR, Nieto Y, Savani BN, Schriber JR, Shaughnessy PJ, Wall DA, Carpenter PA. First- and second-line systemic treatment of acute graft-versus-host disease: recommendations of the American Society of Blood and Marrow Transplantation. </w:t>
      </w:r>
      <w:r>
        <w:rPr>
          <w:rFonts w:ascii="Book Antiqua" w:hAnsi="Book Antiqua"/>
          <w:i/>
          <w:iCs/>
          <w:color w:val="000000"/>
        </w:rPr>
        <w:t>Biol Blood Marrow Transplant</w:t>
      </w:r>
      <w:r>
        <w:rPr>
          <w:rFonts w:ascii="Book Antiqua" w:hAnsi="Book Antiqua"/>
          <w:color w:val="000000"/>
        </w:rPr>
        <w:t xml:space="preserve"> 2012; </w:t>
      </w:r>
      <w:r>
        <w:rPr>
          <w:rFonts w:ascii="Book Antiqua" w:hAnsi="Book Antiqua"/>
          <w:b/>
          <w:bCs/>
          <w:color w:val="000000"/>
        </w:rPr>
        <w:t>18</w:t>
      </w:r>
      <w:r>
        <w:rPr>
          <w:rFonts w:ascii="Book Antiqua" w:hAnsi="Book Antiqua"/>
          <w:color w:val="000000"/>
        </w:rPr>
        <w:t>: 1150-1163 [PMID: 22510384 DOI: 10.1016/j.bbmt.2012.04.005]</w:t>
      </w:r>
    </w:p>
    <w:p w14:paraId="386CD149"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26 </w:t>
      </w:r>
      <w:r>
        <w:rPr>
          <w:rFonts w:ascii="Book Antiqua" w:hAnsi="Book Antiqua"/>
          <w:b/>
          <w:bCs/>
          <w:color w:val="000000"/>
        </w:rPr>
        <w:t>MacMillan ML</w:t>
      </w:r>
      <w:r>
        <w:rPr>
          <w:rFonts w:ascii="Book Antiqua" w:hAnsi="Book Antiqua"/>
          <w:color w:val="000000"/>
        </w:rPr>
        <w:t xml:space="preserve">, Weisdorf DJ, Wagner JE, DeFor TE, Burns LJ, Ramsay NK, Davies SM, Blazar BR. Response of 443 patients to steroids as primary therapy for acute graft-versus-host disease: comparison of grading systems. </w:t>
      </w:r>
      <w:r>
        <w:rPr>
          <w:rFonts w:ascii="Book Antiqua" w:hAnsi="Book Antiqua"/>
          <w:i/>
          <w:iCs/>
          <w:color w:val="000000"/>
        </w:rPr>
        <w:t>Biol Blood Marrow Transplant</w:t>
      </w:r>
      <w:r>
        <w:rPr>
          <w:rFonts w:ascii="Book Antiqua" w:hAnsi="Book Antiqua"/>
          <w:color w:val="000000"/>
        </w:rPr>
        <w:t xml:space="preserve"> 2002; </w:t>
      </w:r>
      <w:r>
        <w:rPr>
          <w:rFonts w:ascii="Book Antiqua" w:hAnsi="Book Antiqua"/>
          <w:b/>
          <w:bCs/>
          <w:color w:val="000000"/>
        </w:rPr>
        <w:t>8</w:t>
      </w:r>
      <w:r>
        <w:rPr>
          <w:rFonts w:ascii="Book Antiqua" w:hAnsi="Book Antiqua"/>
          <w:color w:val="000000"/>
        </w:rPr>
        <w:t>: 387-394 [PMID: 12171485 DOI: 10.1053/bbmt.2002.v8.pm12171485]</w:t>
      </w:r>
    </w:p>
    <w:p w14:paraId="41A5C140"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27 </w:t>
      </w:r>
      <w:r>
        <w:rPr>
          <w:rFonts w:ascii="Book Antiqua" w:hAnsi="Book Antiqua"/>
          <w:b/>
          <w:bCs/>
          <w:color w:val="000000"/>
        </w:rPr>
        <w:t>Chen XB</w:t>
      </w:r>
      <w:r>
        <w:rPr>
          <w:rFonts w:ascii="Book Antiqua" w:hAnsi="Book Antiqua"/>
          <w:color w:val="000000"/>
        </w:rPr>
        <w:t xml:space="preserve">, Yang J, Xu MQ, Wen TF, Yan LN. Unsuccessful treatment of four patients with acute graft-vs-host disease after liver transplantation. </w:t>
      </w:r>
      <w:r>
        <w:rPr>
          <w:rFonts w:ascii="Book Antiqua" w:hAnsi="Book Antiqua"/>
          <w:i/>
          <w:iCs/>
          <w:color w:val="000000"/>
        </w:rPr>
        <w:t>World J Gastroenterol</w:t>
      </w:r>
      <w:r>
        <w:rPr>
          <w:rFonts w:ascii="Book Antiqua" w:hAnsi="Book Antiqua"/>
          <w:color w:val="000000"/>
        </w:rPr>
        <w:t xml:space="preserve"> 2012; </w:t>
      </w:r>
      <w:r>
        <w:rPr>
          <w:rFonts w:ascii="Book Antiqua" w:hAnsi="Book Antiqua"/>
          <w:b/>
          <w:bCs/>
          <w:color w:val="000000"/>
        </w:rPr>
        <w:t>18</w:t>
      </w:r>
      <w:r>
        <w:rPr>
          <w:rFonts w:ascii="Book Antiqua" w:hAnsi="Book Antiqua"/>
          <w:color w:val="000000"/>
        </w:rPr>
        <w:t>: 84-89 [PMID: 22228975 DOI: 10.3748/wjg.v18.i1.84]</w:t>
      </w:r>
    </w:p>
    <w:p w14:paraId="0EF3907D"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28 </w:t>
      </w:r>
      <w:r>
        <w:rPr>
          <w:rFonts w:ascii="Book Antiqua" w:hAnsi="Book Antiqua"/>
          <w:b/>
          <w:bCs/>
          <w:color w:val="000000"/>
        </w:rPr>
        <w:t>Westin JR</w:t>
      </w:r>
      <w:r>
        <w:rPr>
          <w:rFonts w:ascii="Book Antiqua" w:hAnsi="Book Antiqua"/>
          <w:color w:val="000000"/>
        </w:rPr>
        <w:t xml:space="preserve">, Saliba RM, De Lima M, Alousi A, Hosing C, Qazilbash MH, Khouri IF, Shpall EJ, Anderlini P, Rondon G, Andersson BS, Champlin R, Couriel DR. Steroid-Refractory Acute GVHD: Predictors and Outcomes. </w:t>
      </w:r>
      <w:r>
        <w:rPr>
          <w:rFonts w:ascii="Book Antiqua" w:hAnsi="Book Antiqua"/>
          <w:i/>
          <w:iCs/>
          <w:color w:val="000000"/>
        </w:rPr>
        <w:t>Adv Hematol</w:t>
      </w:r>
      <w:r>
        <w:rPr>
          <w:rFonts w:ascii="Book Antiqua" w:hAnsi="Book Antiqua"/>
          <w:color w:val="000000"/>
        </w:rPr>
        <w:t xml:space="preserve"> 2011; </w:t>
      </w:r>
      <w:r>
        <w:rPr>
          <w:rFonts w:ascii="Book Antiqua" w:hAnsi="Book Antiqua"/>
          <w:b/>
          <w:bCs/>
          <w:color w:val="000000"/>
        </w:rPr>
        <w:t>2011</w:t>
      </w:r>
      <w:r>
        <w:rPr>
          <w:rFonts w:ascii="Book Antiqua" w:hAnsi="Book Antiqua"/>
          <w:color w:val="000000"/>
        </w:rPr>
        <w:t>: 601953 [PMID: 22110505 DOI: 10.1155/2011/601953]</w:t>
      </w:r>
    </w:p>
    <w:p w14:paraId="30FAD5E4"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29 </w:t>
      </w:r>
      <w:r>
        <w:rPr>
          <w:rFonts w:ascii="Book Antiqua" w:hAnsi="Book Antiqua"/>
          <w:b/>
          <w:bCs/>
          <w:color w:val="000000"/>
        </w:rPr>
        <w:t>Risitano AM</w:t>
      </w:r>
      <w:r>
        <w:rPr>
          <w:rFonts w:ascii="Book Antiqua" w:hAnsi="Book Antiqua"/>
          <w:color w:val="000000"/>
        </w:rPr>
        <w:t xml:space="preserve">, Peffault de Latour R. Ruxolitinib for steroid-resistant acute GVHD. </w:t>
      </w:r>
      <w:r>
        <w:rPr>
          <w:rFonts w:ascii="Book Antiqua" w:hAnsi="Book Antiqua"/>
          <w:i/>
          <w:iCs/>
          <w:color w:val="000000"/>
        </w:rPr>
        <w:t>Blood</w:t>
      </w:r>
      <w:r>
        <w:rPr>
          <w:rFonts w:ascii="Book Antiqua" w:hAnsi="Book Antiqua"/>
          <w:color w:val="000000"/>
        </w:rPr>
        <w:t xml:space="preserve"> 2020; </w:t>
      </w:r>
      <w:r>
        <w:rPr>
          <w:rFonts w:ascii="Book Antiqua" w:hAnsi="Book Antiqua"/>
          <w:b/>
          <w:bCs/>
          <w:color w:val="000000"/>
        </w:rPr>
        <w:t>135</w:t>
      </w:r>
      <w:r>
        <w:rPr>
          <w:rFonts w:ascii="Book Antiqua" w:hAnsi="Book Antiqua"/>
          <w:color w:val="000000"/>
        </w:rPr>
        <w:t>: 1721-1722 [PMID: 32407526 DOI: 10.1182/blood.2020005364]</w:t>
      </w:r>
    </w:p>
    <w:p w14:paraId="21EC5470"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30 </w:t>
      </w:r>
      <w:r>
        <w:rPr>
          <w:rFonts w:ascii="Book Antiqua" w:hAnsi="Book Antiqua"/>
          <w:b/>
          <w:bCs/>
          <w:color w:val="000000"/>
        </w:rPr>
        <w:t>von Bubnoff N</w:t>
      </w:r>
      <w:r>
        <w:rPr>
          <w:rFonts w:ascii="Book Antiqua" w:hAnsi="Book Antiqua"/>
          <w:color w:val="000000"/>
        </w:rPr>
        <w:t xml:space="preserve">, Ihorst G, Grishina O, Röthling N, Bertz H, Duyster J, Finke J, Zeiser R. Ruxolitinib in GvHD (RIG) study: a multicenter, randomized phase 2 trial to determine the response rate of Ruxolitinib and best available treatment (BAT) versus BAT in steroid-refractory acute graft-versus-host disease (aGvHD) (NCT02396628). </w:t>
      </w:r>
      <w:r>
        <w:rPr>
          <w:rFonts w:ascii="Book Antiqua" w:hAnsi="Book Antiqua"/>
          <w:i/>
          <w:iCs/>
          <w:color w:val="000000"/>
        </w:rPr>
        <w:t>BMC Cancer</w:t>
      </w:r>
      <w:r>
        <w:rPr>
          <w:rFonts w:ascii="Book Antiqua" w:hAnsi="Book Antiqua"/>
          <w:color w:val="000000"/>
        </w:rPr>
        <w:t xml:space="preserve"> 2018; </w:t>
      </w:r>
      <w:r>
        <w:rPr>
          <w:rFonts w:ascii="Book Antiqua" w:hAnsi="Book Antiqua"/>
          <w:b/>
          <w:bCs/>
          <w:color w:val="000000"/>
        </w:rPr>
        <w:t>18</w:t>
      </w:r>
      <w:r>
        <w:rPr>
          <w:rFonts w:ascii="Book Antiqua" w:hAnsi="Book Antiqua"/>
          <w:color w:val="000000"/>
        </w:rPr>
        <w:t>: 1132 [PMID: 30453910 DOI: 10.1186/s12885-018-5045-7]</w:t>
      </w:r>
    </w:p>
    <w:p w14:paraId="0270008B"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31 </w:t>
      </w:r>
      <w:r>
        <w:rPr>
          <w:rFonts w:ascii="Book Antiqua" w:hAnsi="Book Antiqua"/>
          <w:b/>
          <w:bCs/>
          <w:color w:val="000000"/>
        </w:rPr>
        <w:t>Melgarejo-Ortuño A</w:t>
      </w:r>
      <w:r>
        <w:rPr>
          <w:rFonts w:ascii="Book Antiqua" w:hAnsi="Book Antiqua"/>
          <w:color w:val="000000"/>
        </w:rPr>
        <w:t xml:space="preserve">, Escudero-Vilaplana V, Revuelta-Herrero JL, Bailen R, Collado-Borrell R, Gomez-Centurión I, Oarbeascoa G, Kwon M, Herranz-Alonso A, Diez-Martin JL, Sanjurjo-Saez M. Tocilizumab as salvage treatment of refractory pulmonary acute graft-versus-host disease. </w:t>
      </w:r>
      <w:r>
        <w:rPr>
          <w:rFonts w:ascii="Book Antiqua" w:hAnsi="Book Antiqua"/>
          <w:i/>
          <w:iCs/>
          <w:color w:val="000000"/>
        </w:rPr>
        <w:t>J Oncol Pharm Pract</w:t>
      </w:r>
      <w:r>
        <w:rPr>
          <w:rFonts w:ascii="Book Antiqua" w:hAnsi="Book Antiqua"/>
          <w:color w:val="000000"/>
        </w:rPr>
        <w:t xml:space="preserve"> 2021; </w:t>
      </w:r>
      <w:r>
        <w:rPr>
          <w:rFonts w:ascii="Book Antiqua" w:hAnsi="Book Antiqua"/>
          <w:b/>
          <w:bCs/>
          <w:color w:val="000000"/>
        </w:rPr>
        <w:t>27</w:t>
      </w:r>
      <w:r>
        <w:rPr>
          <w:rFonts w:ascii="Book Antiqua" w:hAnsi="Book Antiqua"/>
          <w:color w:val="000000"/>
        </w:rPr>
        <w:t>: 751-755 [PMID: 32787560 DOI: 10.1177/1078155220948934]</w:t>
      </w:r>
    </w:p>
    <w:p w14:paraId="1DD17C49"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32 </w:t>
      </w:r>
      <w:r>
        <w:rPr>
          <w:rFonts w:ascii="Book Antiqua" w:hAnsi="Book Antiqua"/>
          <w:b/>
          <w:bCs/>
          <w:color w:val="000000"/>
        </w:rPr>
        <w:t>Yucebay F</w:t>
      </w:r>
      <w:r>
        <w:rPr>
          <w:rFonts w:ascii="Book Antiqua" w:hAnsi="Book Antiqua"/>
          <w:color w:val="000000"/>
        </w:rPr>
        <w:t xml:space="preserve">, Matthews C, Puto M, Li J, William B, Jaglowski SM, Penza SL, Vasu S, Benson DM, Andritsos LA, Devine SM, Efebera YA, Roddy JVF. Tocilizumab as first-line therapy for steroid-refractory acute graft-versus-host-disease: analysis of a single-center experience. </w:t>
      </w:r>
      <w:r>
        <w:rPr>
          <w:rFonts w:ascii="Book Antiqua" w:hAnsi="Book Antiqua"/>
          <w:i/>
          <w:iCs/>
          <w:color w:val="000000"/>
        </w:rPr>
        <w:t>Leuk Lymphoma</w:t>
      </w:r>
      <w:r>
        <w:rPr>
          <w:rFonts w:ascii="Book Antiqua" w:hAnsi="Book Antiqua"/>
          <w:color w:val="000000"/>
        </w:rPr>
        <w:t xml:space="preserve"> 2019; </w:t>
      </w:r>
      <w:r>
        <w:rPr>
          <w:rFonts w:ascii="Book Antiqua" w:hAnsi="Book Antiqua"/>
          <w:b/>
          <w:bCs/>
          <w:color w:val="000000"/>
        </w:rPr>
        <w:t>60</w:t>
      </w:r>
      <w:r>
        <w:rPr>
          <w:rFonts w:ascii="Book Antiqua" w:hAnsi="Book Antiqua"/>
          <w:color w:val="000000"/>
        </w:rPr>
        <w:t>: 2223-2229 [PMID: 30764681 DOI: 10.1080/10428194.2019.1573996]</w:t>
      </w:r>
    </w:p>
    <w:p w14:paraId="0899C14F"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33 </w:t>
      </w:r>
      <w:r>
        <w:rPr>
          <w:rFonts w:ascii="Book Antiqua" w:hAnsi="Book Antiqua"/>
          <w:b/>
          <w:bCs/>
          <w:color w:val="000000"/>
        </w:rPr>
        <w:t>Miller HK</w:t>
      </w:r>
      <w:r>
        <w:rPr>
          <w:rFonts w:ascii="Book Antiqua" w:hAnsi="Book Antiqua"/>
          <w:color w:val="000000"/>
        </w:rPr>
        <w:t xml:space="preserve">, Braun TM, Stillwell T, Harris AC, Choi S, Connelly J, Couriel D, Goldstein S, Kitko CL, Magenau J, Pawarode A, Reddy P, Riwes M, Yanik GA, Levine JE. Infectious Risk after Allogeneic Hematopoietic Cell Transplantation Complicated by Acute Graft-versus-Host Disease. </w:t>
      </w:r>
      <w:r>
        <w:rPr>
          <w:rFonts w:ascii="Book Antiqua" w:hAnsi="Book Antiqua"/>
          <w:i/>
          <w:iCs/>
          <w:color w:val="000000"/>
        </w:rPr>
        <w:t>Biol Blood Marrow Transplant</w:t>
      </w:r>
      <w:r>
        <w:rPr>
          <w:rFonts w:ascii="Book Antiqua" w:hAnsi="Book Antiqua"/>
          <w:color w:val="000000"/>
        </w:rPr>
        <w:t xml:space="preserve"> 2017; </w:t>
      </w:r>
      <w:r>
        <w:rPr>
          <w:rFonts w:ascii="Book Antiqua" w:hAnsi="Book Antiqua"/>
          <w:b/>
          <w:bCs/>
          <w:color w:val="000000"/>
        </w:rPr>
        <w:t>23</w:t>
      </w:r>
      <w:r>
        <w:rPr>
          <w:rFonts w:ascii="Book Antiqua" w:hAnsi="Book Antiqua"/>
          <w:color w:val="000000"/>
        </w:rPr>
        <w:t>: 522-528 [PMID: 28017733 DOI: 10.1016/j.bbmt.2016.12.630]</w:t>
      </w:r>
    </w:p>
    <w:p w14:paraId="0D99B471"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34 </w:t>
      </w:r>
      <w:r>
        <w:rPr>
          <w:rFonts w:ascii="Book Antiqua" w:hAnsi="Book Antiqua"/>
          <w:b/>
          <w:bCs/>
          <w:color w:val="000000"/>
        </w:rPr>
        <w:t>Elfeki MA</w:t>
      </w:r>
      <w:r>
        <w:rPr>
          <w:rFonts w:ascii="Book Antiqua" w:hAnsi="Book Antiqua"/>
          <w:color w:val="000000"/>
        </w:rPr>
        <w:t xml:space="preserve">, Genco PV, Pungpapong S, Nakhleh RE, Nguyen JH, Harnois DM. Abatacept use in graft-versus-host disease after orthotopic liver transplantation: a case report. </w:t>
      </w:r>
      <w:r>
        <w:rPr>
          <w:rFonts w:ascii="Book Antiqua" w:hAnsi="Book Antiqua"/>
          <w:i/>
          <w:iCs/>
          <w:color w:val="000000"/>
        </w:rPr>
        <w:t>Transplant Proc</w:t>
      </w:r>
      <w:r>
        <w:rPr>
          <w:rFonts w:ascii="Book Antiqua" w:hAnsi="Book Antiqua"/>
          <w:color w:val="000000"/>
        </w:rPr>
        <w:t xml:space="preserve"> 2014; </w:t>
      </w:r>
      <w:r>
        <w:rPr>
          <w:rFonts w:ascii="Book Antiqua" w:hAnsi="Book Antiqua"/>
          <w:b/>
          <w:bCs/>
          <w:color w:val="000000"/>
        </w:rPr>
        <w:t>46</w:t>
      </w:r>
      <w:r>
        <w:rPr>
          <w:rFonts w:ascii="Book Antiqua" w:hAnsi="Book Antiqua"/>
          <w:color w:val="000000"/>
        </w:rPr>
        <w:t>: 2422-2425 [PMID: 25242798 DOI: 10.1016/j.transproceed.2014.06.061]</w:t>
      </w:r>
    </w:p>
    <w:p w14:paraId="5CAC0421"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35 </w:t>
      </w:r>
      <w:r>
        <w:rPr>
          <w:rFonts w:ascii="Book Antiqua" w:hAnsi="Book Antiqua"/>
          <w:b/>
          <w:bCs/>
          <w:color w:val="000000"/>
        </w:rPr>
        <w:t>Wang W</w:t>
      </w:r>
      <w:r>
        <w:rPr>
          <w:rFonts w:ascii="Book Antiqua" w:hAnsi="Book Antiqua"/>
          <w:color w:val="000000"/>
        </w:rPr>
        <w:t xml:space="preserve">, Xu S, Ren Z, Jiang J, Zheng S. Gut microbiota and allogeneic transplantation. </w:t>
      </w:r>
      <w:r>
        <w:rPr>
          <w:rFonts w:ascii="Book Antiqua" w:hAnsi="Book Antiqua"/>
          <w:i/>
          <w:iCs/>
          <w:color w:val="000000"/>
        </w:rPr>
        <w:t>J Transl Med</w:t>
      </w:r>
      <w:r>
        <w:rPr>
          <w:rFonts w:ascii="Book Antiqua" w:hAnsi="Book Antiqua"/>
          <w:color w:val="000000"/>
        </w:rPr>
        <w:t xml:space="preserve"> 2015; </w:t>
      </w:r>
      <w:r>
        <w:rPr>
          <w:rFonts w:ascii="Book Antiqua" w:hAnsi="Book Antiqua"/>
          <w:b/>
          <w:bCs/>
          <w:color w:val="000000"/>
        </w:rPr>
        <w:t>13</w:t>
      </w:r>
      <w:r>
        <w:rPr>
          <w:rFonts w:ascii="Book Antiqua" w:hAnsi="Book Antiqua"/>
          <w:color w:val="000000"/>
        </w:rPr>
        <w:t>: 275 [PMID: 26298517 DOI: 10.1186/s12967-015-0640-8]</w:t>
      </w:r>
    </w:p>
    <w:p w14:paraId="4E273EDA"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36 </w:t>
      </w:r>
      <w:r>
        <w:rPr>
          <w:rFonts w:ascii="Book Antiqua" w:hAnsi="Book Antiqua"/>
          <w:b/>
          <w:bCs/>
          <w:color w:val="000000"/>
        </w:rPr>
        <w:t>Fredricks DN</w:t>
      </w:r>
      <w:r>
        <w:rPr>
          <w:rFonts w:ascii="Book Antiqua" w:hAnsi="Book Antiqua"/>
          <w:color w:val="000000"/>
        </w:rPr>
        <w:t xml:space="preserve">. The gut microbiota and graft-versus-host disease. </w:t>
      </w:r>
      <w:r>
        <w:rPr>
          <w:rFonts w:ascii="Book Antiqua" w:hAnsi="Book Antiqua"/>
          <w:i/>
          <w:iCs/>
          <w:color w:val="000000"/>
        </w:rPr>
        <w:t>J Clin Invest</w:t>
      </w:r>
      <w:r>
        <w:rPr>
          <w:rFonts w:ascii="Book Antiqua" w:hAnsi="Book Antiqua"/>
          <w:color w:val="000000"/>
        </w:rPr>
        <w:t xml:space="preserve"> 2019; </w:t>
      </w:r>
      <w:r>
        <w:rPr>
          <w:rFonts w:ascii="Book Antiqua" w:hAnsi="Book Antiqua"/>
          <w:b/>
          <w:bCs/>
          <w:color w:val="000000"/>
        </w:rPr>
        <w:t>129</w:t>
      </w:r>
      <w:r>
        <w:rPr>
          <w:rFonts w:ascii="Book Antiqua" w:hAnsi="Book Antiqua"/>
          <w:color w:val="000000"/>
        </w:rPr>
        <w:t>: 1808-1817 [PMID: 31042160 DOI: 10.1172/JCI125797]</w:t>
      </w:r>
    </w:p>
    <w:p w14:paraId="52A31B5E"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37 </w:t>
      </w:r>
      <w:r>
        <w:rPr>
          <w:rFonts w:ascii="Book Antiqua" w:hAnsi="Book Antiqua"/>
          <w:b/>
          <w:bCs/>
          <w:color w:val="000000"/>
        </w:rPr>
        <w:t>Noor F</w:t>
      </w:r>
      <w:r>
        <w:rPr>
          <w:rFonts w:ascii="Book Antiqua" w:hAnsi="Book Antiqua"/>
          <w:color w:val="000000"/>
        </w:rPr>
        <w:t xml:space="preserve">, Kaysen A, Wilmes P, Schneider JG. The Gut Microbiota and Hematopoietic Stem Cell Transplantation: Challenges and Potentials. </w:t>
      </w:r>
      <w:r>
        <w:rPr>
          <w:rFonts w:ascii="Book Antiqua" w:hAnsi="Book Antiqua"/>
          <w:i/>
          <w:iCs/>
          <w:color w:val="000000"/>
        </w:rPr>
        <w:t>J Innate Immun</w:t>
      </w:r>
      <w:r>
        <w:rPr>
          <w:rFonts w:ascii="Book Antiqua" w:hAnsi="Book Antiqua"/>
          <w:color w:val="000000"/>
        </w:rPr>
        <w:t xml:space="preserve"> 2019; </w:t>
      </w:r>
      <w:r>
        <w:rPr>
          <w:rFonts w:ascii="Book Antiqua" w:hAnsi="Book Antiqua"/>
          <w:b/>
          <w:bCs/>
          <w:color w:val="000000"/>
        </w:rPr>
        <w:t>11</w:t>
      </w:r>
      <w:r>
        <w:rPr>
          <w:rFonts w:ascii="Book Antiqua" w:hAnsi="Book Antiqua"/>
          <w:color w:val="000000"/>
        </w:rPr>
        <w:t>: 405-415 [PMID: 30286447 DOI: 10.1159/000492943]</w:t>
      </w:r>
    </w:p>
    <w:p w14:paraId="565DCDBF"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38 </w:t>
      </w:r>
      <w:r>
        <w:rPr>
          <w:rFonts w:ascii="Book Antiqua" w:hAnsi="Book Antiqua"/>
          <w:b/>
          <w:bCs/>
          <w:color w:val="000000"/>
        </w:rPr>
        <w:t>Aguilar-Guisado M</w:t>
      </w:r>
      <w:r>
        <w:rPr>
          <w:rFonts w:ascii="Book Antiqua" w:hAnsi="Book Antiqua"/>
          <w:color w:val="000000"/>
        </w:rPr>
        <w:t xml:space="preserve">, Espigado I, Martín-Peña A, Gudiol C, Royo-Cebrecos C, Falantes J, Vázquez-López L, Montero MI, Rosso-Fernández C, de la Luz Martino M, Parody R, González-Campos J, Garzón-López S, Calderón-Cabrera C, Barba P, Rodríguez N, Rovira M, Montero-Mateos E, Carratalá J, Pérez-Simón JA, Cisneros JM. Optimisation of empirical antimicrobial therapy in patients with haematological malignancies and febrile neutropenia (How Long study): an open-label, randomised, controlled phase 4 trial. </w:t>
      </w:r>
      <w:r>
        <w:rPr>
          <w:rFonts w:ascii="Book Antiqua" w:hAnsi="Book Antiqua"/>
          <w:i/>
          <w:iCs/>
          <w:color w:val="000000"/>
        </w:rPr>
        <w:t>Lancet Haematol</w:t>
      </w:r>
      <w:r>
        <w:rPr>
          <w:rFonts w:ascii="Book Antiqua" w:hAnsi="Book Antiqua"/>
          <w:color w:val="000000"/>
        </w:rPr>
        <w:t xml:space="preserve"> 2017; </w:t>
      </w:r>
      <w:r>
        <w:rPr>
          <w:rFonts w:ascii="Book Antiqua" w:hAnsi="Book Antiqua"/>
          <w:b/>
          <w:bCs/>
          <w:color w:val="000000"/>
        </w:rPr>
        <w:t>4</w:t>
      </w:r>
      <w:r>
        <w:rPr>
          <w:rFonts w:ascii="Book Antiqua" w:hAnsi="Book Antiqua"/>
          <w:color w:val="000000"/>
        </w:rPr>
        <w:t>: e573-e583 [PMID: 29153975 DOI: 10.1016/S2352-3026(17)30211-9]</w:t>
      </w:r>
    </w:p>
    <w:p w14:paraId="67AB081A"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39 </w:t>
      </w:r>
      <w:r>
        <w:rPr>
          <w:rFonts w:ascii="Book Antiqua" w:hAnsi="Book Antiqua"/>
          <w:b/>
          <w:bCs/>
          <w:color w:val="000000"/>
        </w:rPr>
        <w:t>Weber D</w:t>
      </w:r>
      <w:r>
        <w:rPr>
          <w:rFonts w:ascii="Book Antiqua" w:hAnsi="Book Antiqua"/>
          <w:color w:val="000000"/>
        </w:rPr>
        <w:t xml:space="preserve">, Jenq RR, Peled JU, Taur Y, Hiergeist A, Koestler J, Dettmer K, Weber M, Wolff D, Hahn J, Pamer EG, Herr W, Gessner A, Oefner PJ, van den Brink MRM, Holler E. Microbiota Disruption Induced by Early Use of Broad-Spectrum Antibiotics Is an Independent Risk Factor of Outcome after Allogeneic Stem Cell Transplantation. </w:t>
      </w:r>
      <w:r>
        <w:rPr>
          <w:rFonts w:ascii="Book Antiqua" w:hAnsi="Book Antiqua"/>
          <w:i/>
          <w:iCs/>
          <w:color w:val="000000"/>
        </w:rPr>
        <w:t>Biol Blood Marrow Transplant</w:t>
      </w:r>
      <w:r>
        <w:rPr>
          <w:rFonts w:ascii="Book Antiqua" w:hAnsi="Book Antiqua"/>
          <w:color w:val="000000"/>
        </w:rPr>
        <w:t xml:space="preserve"> 2017; </w:t>
      </w:r>
      <w:r>
        <w:rPr>
          <w:rFonts w:ascii="Book Antiqua" w:hAnsi="Book Antiqua"/>
          <w:b/>
          <w:bCs/>
          <w:color w:val="000000"/>
        </w:rPr>
        <w:t>23</w:t>
      </w:r>
      <w:r>
        <w:rPr>
          <w:rFonts w:ascii="Book Antiqua" w:hAnsi="Book Antiqua"/>
          <w:color w:val="000000"/>
        </w:rPr>
        <w:t>: 845-852 [PMID: 28232086 DOI: 10.1016/j.bbmt.2017.02.006]</w:t>
      </w:r>
    </w:p>
    <w:p w14:paraId="2762C6FB"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40 </w:t>
      </w:r>
      <w:r>
        <w:rPr>
          <w:rFonts w:ascii="Book Antiqua" w:hAnsi="Book Antiqua"/>
          <w:b/>
          <w:bCs/>
          <w:color w:val="000000"/>
        </w:rPr>
        <w:t>DeFilipp Z</w:t>
      </w:r>
      <w:r>
        <w:rPr>
          <w:rFonts w:ascii="Book Antiqua" w:hAnsi="Book Antiqua"/>
          <w:color w:val="000000"/>
        </w:rPr>
        <w:t xml:space="preserve">, Peled JU, Li S, Mahabamunuge J, Dagher Z, Slingerland AE, Del Rio C, Valles B, Kempner ME, Smith M, Brown J, Dey BR, El-Jawahri A, McAfee SL, Spitzer TR, Ballen KK, Sung AD, Dalton TE, Messina JA, Dettmer K, Liebisch G, Oefner P, Taur Y, Pamer EG, Holler E, Mansour MK, van den Brink MRM, Hohmann E, Jenq RR, Chen YB. Third-party fecal microbiota transplantation following allo-HCT reconstitutes microbiome diversity. </w:t>
      </w:r>
      <w:r>
        <w:rPr>
          <w:rFonts w:ascii="Book Antiqua" w:hAnsi="Book Antiqua"/>
          <w:i/>
          <w:iCs/>
          <w:color w:val="000000"/>
        </w:rPr>
        <w:t>Blood Adv</w:t>
      </w:r>
      <w:r>
        <w:rPr>
          <w:rFonts w:ascii="Book Antiqua" w:hAnsi="Book Antiqua"/>
          <w:color w:val="000000"/>
        </w:rPr>
        <w:t xml:space="preserve"> 2018; </w:t>
      </w:r>
      <w:r>
        <w:rPr>
          <w:rFonts w:ascii="Book Antiqua" w:hAnsi="Book Antiqua"/>
          <w:b/>
          <w:bCs/>
          <w:color w:val="000000"/>
        </w:rPr>
        <w:t>2</w:t>
      </w:r>
      <w:r>
        <w:rPr>
          <w:rFonts w:ascii="Book Antiqua" w:hAnsi="Book Antiqua"/>
          <w:color w:val="000000"/>
        </w:rPr>
        <w:t>: 745-753 [PMID: 29592876 DOI: 10.1182/bloodadvances.2018017731]</w:t>
      </w:r>
    </w:p>
    <w:p w14:paraId="1378567D" w14:textId="77777777" w:rsidR="00C34BE9" w:rsidRDefault="00C34BE9">
      <w:pPr>
        <w:adjustRightInd w:val="0"/>
        <w:snapToGrid w:val="0"/>
        <w:spacing w:line="360" w:lineRule="auto"/>
        <w:jc w:val="both"/>
        <w:rPr>
          <w:rFonts w:ascii="Book Antiqua" w:hAnsi="Book Antiqua"/>
          <w:color w:val="000000"/>
        </w:rPr>
      </w:pPr>
      <w:r>
        <w:rPr>
          <w:rFonts w:ascii="Book Antiqua" w:hAnsi="Book Antiqua"/>
          <w:color w:val="000000"/>
        </w:rPr>
        <w:t xml:space="preserve">41 </w:t>
      </w:r>
      <w:r>
        <w:rPr>
          <w:rFonts w:ascii="Book Antiqua" w:hAnsi="Book Antiqua"/>
          <w:b/>
          <w:bCs/>
          <w:color w:val="000000"/>
        </w:rPr>
        <w:t>Zuber J</w:t>
      </w:r>
      <w:r>
        <w:rPr>
          <w:rFonts w:ascii="Book Antiqua" w:hAnsi="Book Antiqua"/>
          <w:color w:val="000000"/>
        </w:rPr>
        <w:t xml:space="preserve">, Boyer O, Neven B, Jollet I, Renac V, Berthaud R, Levy R, Lamarthée B, Visentin J, Marchal A, Gouge-Biebuyck N, Godron-Dubrasquet A, Aladjidi N, Rabah MO, Winter S, Léon J, Dussiot M, Rabant M, Krid S, Krug P, Charbit M, Lacaille F, André I, Cavazzana M, Llanas B, Allard L, Pirenne F, Gross S, Djoudi R, Tiberghien P, Taupin JL, Blanche S, Salomon R. Donor-targeted serotherapy as a rescue therapy for steroid-resistant acute GVHD after HLA-mismatched kidney transplantation. </w:t>
      </w:r>
      <w:r>
        <w:rPr>
          <w:rFonts w:ascii="Book Antiqua" w:hAnsi="Book Antiqua"/>
          <w:i/>
          <w:iCs/>
          <w:color w:val="000000"/>
        </w:rPr>
        <w:t>Am J Transplant</w:t>
      </w:r>
      <w:r>
        <w:rPr>
          <w:rFonts w:ascii="Book Antiqua" w:hAnsi="Book Antiqua"/>
          <w:color w:val="000000"/>
        </w:rPr>
        <w:t xml:space="preserve"> 2020; </w:t>
      </w:r>
      <w:r>
        <w:rPr>
          <w:rFonts w:ascii="Book Antiqua" w:hAnsi="Book Antiqua"/>
          <w:b/>
          <w:bCs/>
          <w:color w:val="000000"/>
        </w:rPr>
        <w:t>20</w:t>
      </w:r>
      <w:r>
        <w:rPr>
          <w:rFonts w:ascii="Book Antiqua" w:hAnsi="Book Antiqua"/>
          <w:color w:val="000000"/>
        </w:rPr>
        <w:t>: 2243-2253 [PMID: 32065452 DOI: 10.1111/ajt.15827]</w:t>
      </w:r>
    </w:p>
    <w:p w14:paraId="0A9AC1F2" w14:textId="77777777" w:rsidR="00C34BE9" w:rsidRDefault="00C34BE9">
      <w:pPr>
        <w:adjustRightInd w:val="0"/>
        <w:snapToGrid w:val="0"/>
        <w:spacing w:line="360" w:lineRule="auto"/>
        <w:jc w:val="both"/>
        <w:rPr>
          <w:rFonts w:ascii="Book Antiqua" w:hAnsi="Book Antiqua"/>
          <w:color w:val="000000"/>
        </w:rPr>
      </w:pPr>
    </w:p>
    <w:p w14:paraId="6E0F0DCB" w14:textId="77777777" w:rsidR="00C34BE9" w:rsidRDefault="00C34BE9">
      <w:pPr>
        <w:adjustRightInd w:val="0"/>
        <w:snapToGrid w:val="0"/>
        <w:spacing w:line="360" w:lineRule="auto"/>
        <w:jc w:val="both"/>
        <w:rPr>
          <w:rFonts w:ascii="Book Antiqua" w:hAnsi="Book Antiqua"/>
          <w:color w:val="000000"/>
        </w:rPr>
      </w:pPr>
    </w:p>
    <w:p w14:paraId="52911D61"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Footnotes</w:t>
      </w:r>
    </w:p>
    <w:p w14:paraId="2420FD2A"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209CEF74" w14:textId="77777777" w:rsidR="00C34BE9" w:rsidRDefault="00C34BE9">
      <w:pPr>
        <w:adjustRightInd w:val="0"/>
        <w:snapToGrid w:val="0"/>
        <w:spacing w:line="360" w:lineRule="auto"/>
        <w:jc w:val="both"/>
        <w:rPr>
          <w:rFonts w:ascii="Book Antiqua" w:hAnsi="Book Antiqua"/>
          <w:color w:val="000000"/>
        </w:rPr>
      </w:pPr>
    </w:p>
    <w:p w14:paraId="3F9AFBA6"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no conflicts of interest.</w:t>
      </w:r>
    </w:p>
    <w:p w14:paraId="37B4E639" w14:textId="77777777" w:rsidR="00C34BE9" w:rsidRDefault="00C34BE9">
      <w:pPr>
        <w:adjustRightInd w:val="0"/>
        <w:snapToGrid w:val="0"/>
        <w:spacing w:line="360" w:lineRule="auto"/>
        <w:jc w:val="both"/>
        <w:rPr>
          <w:rFonts w:ascii="Book Antiqua" w:hAnsi="Book Antiqua"/>
          <w:color w:val="000000"/>
        </w:rPr>
      </w:pPr>
    </w:p>
    <w:p w14:paraId="31F0E728"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01E0CA31" w14:textId="77777777" w:rsidR="00C34BE9" w:rsidRDefault="00C34BE9">
      <w:pPr>
        <w:adjustRightInd w:val="0"/>
        <w:snapToGrid w:val="0"/>
        <w:spacing w:line="360" w:lineRule="auto"/>
        <w:jc w:val="both"/>
        <w:rPr>
          <w:rFonts w:ascii="Book Antiqua" w:hAnsi="Book Antiqua"/>
          <w:color w:val="000000"/>
        </w:rPr>
      </w:pPr>
    </w:p>
    <w:p w14:paraId="27B9796B"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173B985" w14:textId="77777777" w:rsidR="00C34BE9" w:rsidRDefault="00C34BE9">
      <w:pPr>
        <w:adjustRightInd w:val="0"/>
        <w:snapToGrid w:val="0"/>
        <w:spacing w:line="360" w:lineRule="auto"/>
        <w:jc w:val="both"/>
        <w:rPr>
          <w:rFonts w:ascii="Book Antiqua" w:hAnsi="Book Antiqua"/>
          <w:color w:val="000000"/>
        </w:rPr>
      </w:pPr>
    </w:p>
    <w:p w14:paraId="1FA0DDEA"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Unsolicited manuscript</w:t>
      </w:r>
    </w:p>
    <w:p w14:paraId="796E0F21" w14:textId="77777777" w:rsidR="00C34BE9" w:rsidRDefault="00C34BE9">
      <w:pPr>
        <w:adjustRightInd w:val="0"/>
        <w:snapToGrid w:val="0"/>
        <w:spacing w:line="360" w:lineRule="auto"/>
        <w:jc w:val="both"/>
        <w:rPr>
          <w:rFonts w:ascii="Book Antiqua" w:hAnsi="Book Antiqua"/>
          <w:color w:val="000000"/>
        </w:rPr>
      </w:pPr>
    </w:p>
    <w:p w14:paraId="0E475CE0"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May 27, 2021</w:t>
      </w:r>
    </w:p>
    <w:p w14:paraId="62C2C8D3"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June 24, 2021</w:t>
      </w:r>
    </w:p>
    <w:p w14:paraId="71A444B0" w14:textId="77777777" w:rsidR="00A44186" w:rsidRDefault="00C34BE9" w:rsidP="00A44186">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 xml:space="preserve">Article in press: </w:t>
      </w:r>
      <w:r w:rsidR="00A44186" w:rsidRPr="002112BD">
        <w:rPr>
          <w:rFonts w:ascii="Book Antiqua" w:eastAsia="Book Antiqua" w:hAnsi="Book Antiqua" w:cs="Book Antiqua"/>
          <w:color w:val="000000"/>
        </w:rPr>
        <w:t>September 16, 2021</w:t>
      </w:r>
    </w:p>
    <w:p w14:paraId="29ECB70D" w14:textId="45EC059B" w:rsidR="00C34BE9" w:rsidRDefault="00C34BE9">
      <w:pPr>
        <w:adjustRightInd w:val="0"/>
        <w:snapToGrid w:val="0"/>
        <w:spacing w:line="360" w:lineRule="auto"/>
        <w:jc w:val="both"/>
        <w:rPr>
          <w:rFonts w:ascii="Book Antiqua" w:hAnsi="Book Antiqua"/>
          <w:color w:val="000000"/>
        </w:rPr>
      </w:pPr>
    </w:p>
    <w:p w14:paraId="793740BD"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Transplantation</w:t>
      </w:r>
    </w:p>
    <w:p w14:paraId="57BB9CC0"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537968F6"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b/>
          <w:color w:val="000000"/>
        </w:rPr>
        <w:t>Peer-review report’s scientific quality classification</w:t>
      </w:r>
    </w:p>
    <w:p w14:paraId="73BC7ED4"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Grade A (Excellent): 0</w:t>
      </w:r>
    </w:p>
    <w:p w14:paraId="215A8693"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Grade B (Very good): B</w:t>
      </w:r>
    </w:p>
    <w:p w14:paraId="28E97D1C"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Grade C (Good): C</w:t>
      </w:r>
    </w:p>
    <w:p w14:paraId="20716E7F"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Grade D (Fair): 0</w:t>
      </w:r>
    </w:p>
    <w:p w14:paraId="3AA8B104" w14:textId="77777777" w:rsidR="00C34BE9" w:rsidRDefault="00C34BE9">
      <w:pPr>
        <w:adjustRightInd w:val="0"/>
        <w:snapToGrid w:val="0"/>
        <w:spacing w:line="360" w:lineRule="auto"/>
        <w:jc w:val="both"/>
        <w:rPr>
          <w:rFonts w:ascii="Book Antiqua" w:hAnsi="Book Antiqua"/>
          <w:color w:val="000000"/>
        </w:rPr>
      </w:pPr>
      <w:r>
        <w:rPr>
          <w:rFonts w:ascii="Book Antiqua" w:eastAsia="Book Antiqua" w:hAnsi="Book Antiqua" w:cs="Book Antiqua"/>
          <w:color w:val="000000"/>
        </w:rPr>
        <w:t>Grade E (Poor): 0</w:t>
      </w:r>
    </w:p>
    <w:p w14:paraId="749BA6BD" w14:textId="77777777" w:rsidR="00C34BE9" w:rsidRDefault="00C34BE9">
      <w:pPr>
        <w:adjustRightInd w:val="0"/>
        <w:snapToGrid w:val="0"/>
        <w:spacing w:line="360" w:lineRule="auto"/>
        <w:jc w:val="both"/>
        <w:rPr>
          <w:rFonts w:ascii="Book Antiqua" w:hAnsi="Book Antiqua"/>
          <w:color w:val="000000"/>
        </w:rPr>
      </w:pPr>
    </w:p>
    <w:p w14:paraId="12589B05" w14:textId="540FFC67" w:rsidR="00C34BE9" w:rsidRDefault="00C34BE9">
      <w:pPr>
        <w:adjustRightInd w:val="0"/>
        <w:snapToGrid w:val="0"/>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Feng Y, Sun C</w:t>
      </w:r>
      <w:r>
        <w:rPr>
          <w:rFonts w:ascii="Book Antiqua" w:eastAsia="Book Antiqua" w:hAnsi="Book Antiqua" w:cs="Book Antiqua"/>
          <w:b/>
          <w:color w:val="000000"/>
        </w:rPr>
        <w:t xml:space="preserve"> S-Editor: </w:t>
      </w:r>
      <w:r>
        <w:rPr>
          <w:rFonts w:ascii="Book Antiqua" w:eastAsia="Book Antiqua" w:hAnsi="Book Antiqua" w:cs="Book Antiqua"/>
          <w:color w:val="000000"/>
        </w:rPr>
        <w:t>Wang JL</w:t>
      </w:r>
      <w:r>
        <w:rPr>
          <w:rFonts w:ascii="Book Antiqua" w:eastAsia="Book Antiqua" w:hAnsi="Book Antiqua" w:cs="Book Antiqua"/>
          <w:b/>
          <w:color w:val="000000"/>
        </w:rPr>
        <w:t xml:space="preserve"> L-Editor: </w:t>
      </w:r>
      <w:r w:rsidR="0060696B">
        <w:rPr>
          <w:rFonts w:ascii="Book Antiqua" w:eastAsia="Book Antiqua" w:hAnsi="Book Antiqua" w:cs="Book Antiqua"/>
          <w:bCs/>
          <w:color w:val="000000"/>
        </w:rPr>
        <w:t xml:space="preserve">A </w:t>
      </w:r>
      <w:r>
        <w:rPr>
          <w:rFonts w:ascii="Book Antiqua" w:eastAsia="Book Antiqua" w:hAnsi="Book Antiqua" w:cs="Book Antiqua"/>
          <w:b/>
          <w:color w:val="000000"/>
        </w:rPr>
        <w:t xml:space="preserve">P-Editor: </w:t>
      </w:r>
      <w:r w:rsidR="0060696B">
        <w:rPr>
          <w:rFonts w:ascii="Book Antiqua" w:eastAsia="Book Antiqua" w:hAnsi="Book Antiqua" w:cs="Book Antiqua"/>
          <w:bCs/>
          <w:color w:val="000000"/>
        </w:rPr>
        <w:t>Wang LYT</w:t>
      </w:r>
    </w:p>
    <w:p w14:paraId="6C3FDA1E" w14:textId="77777777" w:rsidR="00C34BE9" w:rsidRDefault="00C34BE9">
      <w:pPr>
        <w:adjustRightInd w:val="0"/>
        <w:snapToGrid w:val="0"/>
        <w:spacing w:line="360" w:lineRule="auto"/>
        <w:jc w:val="both"/>
        <w:rPr>
          <w:rFonts w:ascii="Book Antiqua" w:eastAsia="Book Antiqua" w:hAnsi="Book Antiqua" w:cs="Book Antiqua"/>
          <w:b/>
          <w:color w:val="000000"/>
        </w:rPr>
      </w:pPr>
    </w:p>
    <w:p w14:paraId="689F9FCA" w14:textId="77777777" w:rsidR="00C34BE9" w:rsidRDefault="00C34BE9">
      <w:pPr>
        <w:adjustRightInd w:val="0"/>
        <w:snapToGrid w:val="0"/>
        <w:spacing w:line="360" w:lineRule="auto"/>
        <w:jc w:val="both"/>
        <w:rPr>
          <w:rFonts w:ascii="Book Antiqua" w:hAnsi="Book Antiqua" w:cs="Book Antiqua"/>
          <w:b/>
          <w:color w:val="000000"/>
          <w:lang w:eastAsia="zh-CN"/>
        </w:rPr>
      </w:pPr>
      <w:r>
        <w:rPr>
          <w:rFonts w:ascii="Book Antiqua" w:hAnsi="Book Antiqua" w:cs="Book Antiqua"/>
          <w:b/>
          <w:color w:val="000000"/>
          <w:lang w:eastAsia="zh-CN"/>
        </w:rPr>
        <w:t>Figure Legends</w:t>
      </w:r>
    </w:p>
    <w:p w14:paraId="4EC201FE" w14:textId="77777777" w:rsidR="00C34BE9" w:rsidRDefault="00C34BE9">
      <w:pPr>
        <w:adjustRightInd w:val="0"/>
        <w:snapToGrid w:val="0"/>
        <w:spacing w:line="360" w:lineRule="auto"/>
        <w:jc w:val="both"/>
        <w:rPr>
          <w:rFonts w:ascii="Book Antiqua" w:hAnsi="Book Antiqua" w:cs="Book Antiqua"/>
          <w:b/>
          <w:color w:val="000000"/>
          <w:lang w:eastAsia="zh-CN"/>
        </w:rPr>
      </w:pPr>
    </w:p>
    <w:p w14:paraId="03D33F8C" w14:textId="77777777" w:rsidR="00C34BE9" w:rsidRDefault="009C4451">
      <w:pPr>
        <w:adjustRightInd w:val="0"/>
        <w:snapToGrid w:val="0"/>
        <w:spacing w:line="360" w:lineRule="auto"/>
        <w:jc w:val="both"/>
        <w:rPr>
          <w:rFonts w:ascii="Book Antiqua" w:hAnsi="Book Antiqua" w:cs="Book Antiqua"/>
          <w:b/>
          <w:bCs/>
          <w:color w:val="000000"/>
        </w:rPr>
      </w:pPr>
      <w:bookmarkStart w:id="1" w:name="OLE_LINK2"/>
      <w:bookmarkStart w:id="2" w:name="OLE_LINK6"/>
      <w:r>
        <w:rPr>
          <w:rFonts w:ascii="Book Antiqua" w:hAnsi="Book Antiqua"/>
          <w:color w:val="000000"/>
        </w:rPr>
        <w:pict w14:anchorId="13FD09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 o:spid="_x0000_i1025" type="#_x0000_t75" alt="Figure 1" style="width:466.5pt;height:114.75pt;mso-position-horizontal-relative:page;mso-position-vertical-relative:page">
            <v:fill o:detectmouseclick="t"/>
            <v:imagedata r:id="rId7" o:title="Figure 1"/>
          </v:shape>
        </w:pict>
      </w:r>
    </w:p>
    <w:p w14:paraId="5A39A245" w14:textId="4DF93901" w:rsidR="00C34BE9" w:rsidRDefault="00C34BE9">
      <w:pPr>
        <w:adjustRightInd w:val="0"/>
        <w:snapToGrid w:val="0"/>
        <w:spacing w:line="360" w:lineRule="auto"/>
        <w:jc w:val="both"/>
        <w:rPr>
          <w:rFonts w:ascii="Book Antiqua" w:hAnsi="Book Antiqua" w:cs="Book Antiqua"/>
          <w:color w:val="000000"/>
          <w:lang w:eastAsia="zh-CN"/>
        </w:rPr>
      </w:pPr>
      <w:r>
        <w:rPr>
          <w:rFonts w:ascii="Book Antiqua" w:hAnsi="Book Antiqua" w:cs="Book Antiqua"/>
          <w:b/>
          <w:bCs/>
          <w:color w:val="000000"/>
        </w:rPr>
        <w:t>Fig</w:t>
      </w:r>
      <w:r>
        <w:rPr>
          <w:rFonts w:ascii="Book Antiqua" w:hAnsi="Book Antiqua" w:cs="Book Antiqua"/>
          <w:b/>
          <w:bCs/>
          <w:color w:val="000000"/>
          <w:lang w:eastAsia="zh-CN"/>
        </w:rPr>
        <w:t xml:space="preserve">ure </w:t>
      </w:r>
      <w:r>
        <w:rPr>
          <w:rFonts w:ascii="Book Antiqua" w:hAnsi="Book Antiqua" w:cs="Book Antiqua"/>
          <w:b/>
          <w:bCs/>
          <w:color w:val="000000"/>
        </w:rPr>
        <w:t xml:space="preserve">1 </w:t>
      </w:r>
      <w:bookmarkStart w:id="3" w:name="OLE_LINK5"/>
      <w:r>
        <w:rPr>
          <w:rFonts w:ascii="Book Antiqua" w:hAnsi="Book Antiqua" w:cs="Book Antiqua"/>
          <w:b/>
          <w:bCs/>
          <w:color w:val="000000"/>
        </w:rPr>
        <w:t>The</w:t>
      </w:r>
      <w:r>
        <w:rPr>
          <w:rFonts w:ascii="Book Antiqua" w:hAnsi="Book Antiqua" w:cs="Book Antiqua"/>
          <w:b/>
          <w:bCs/>
          <w:color w:val="000000"/>
          <w:lang w:eastAsia="zh-CN"/>
        </w:rPr>
        <w:t xml:space="preserve"> skin rash </w:t>
      </w:r>
      <w:r>
        <w:rPr>
          <w:rFonts w:ascii="Book Antiqua" w:hAnsi="Book Antiqua" w:cs="Book Antiqua"/>
          <w:b/>
          <w:bCs/>
          <w:color w:val="000000"/>
        </w:rPr>
        <w:t xml:space="preserve">evolution of </w:t>
      </w:r>
      <w:r>
        <w:rPr>
          <w:rFonts w:ascii="Book Antiqua" w:eastAsia="Book Antiqua" w:hAnsi="Book Antiqua" w:cs="Book Antiqua"/>
          <w:b/>
          <w:bCs/>
          <w:color w:val="000000"/>
        </w:rPr>
        <w:t>acute graft-versus-host disease</w:t>
      </w:r>
      <w:r>
        <w:rPr>
          <w:rFonts w:ascii="Book Antiqua" w:hAnsi="Book Antiqua" w:cs="Book Antiqua"/>
          <w:b/>
          <w:bCs/>
          <w:color w:val="000000"/>
        </w:rPr>
        <w:t xml:space="preserve"> occurred in case 5</w:t>
      </w:r>
      <w:bookmarkEnd w:id="3"/>
      <w:r>
        <w:rPr>
          <w:rFonts w:ascii="Book Antiqua" w:hAnsi="Book Antiqua" w:cs="Book Antiqua"/>
          <w:b/>
          <w:bCs/>
          <w:color w:val="000000"/>
        </w:rPr>
        <w:t>.</w:t>
      </w:r>
      <w:bookmarkEnd w:id="1"/>
      <w:r>
        <w:rPr>
          <w:rFonts w:ascii="Book Antiqua" w:hAnsi="Book Antiqua" w:cs="Book Antiqua"/>
          <w:color w:val="000000"/>
          <w:lang w:eastAsia="zh-CN"/>
        </w:rPr>
        <w:t xml:space="preserve"> A: On day 34 after liver transplantation (LT), he developed a maculo-papular skin rash on his palm, neck and upper extremities; B: </w:t>
      </w:r>
      <w:bookmarkStart w:id="4" w:name="OLE_LINK1"/>
      <w:r>
        <w:rPr>
          <w:rFonts w:ascii="Book Antiqua" w:hAnsi="Book Antiqua" w:cs="Book Antiqua"/>
          <w:color w:val="000000"/>
          <w:lang w:eastAsia="zh-CN"/>
        </w:rPr>
        <w:t xml:space="preserve">On day 36 after LT, </w:t>
      </w:r>
      <w:bookmarkEnd w:id="4"/>
      <w:r>
        <w:rPr>
          <w:rFonts w:ascii="Book Antiqua" w:hAnsi="Book Antiqua" w:cs="Book Antiqua"/>
          <w:color w:val="000000"/>
          <w:lang w:eastAsia="zh-CN"/>
        </w:rPr>
        <w:t>the rash progresses to the trunk, where it is partially fused into flakes, with extensive desquamation and flushing of the skin; C: On day 40 after LT, the skin rash was reduced and lighter in color, accompanied by extensive desquamation.</w:t>
      </w:r>
      <w:bookmarkEnd w:id="2"/>
    </w:p>
    <w:p w14:paraId="701304AF" w14:textId="1F25544F" w:rsidR="00C34BE9" w:rsidRDefault="00C34BE9">
      <w:pPr>
        <w:adjustRightInd w:val="0"/>
        <w:snapToGrid w:val="0"/>
        <w:spacing w:line="360" w:lineRule="auto"/>
        <w:jc w:val="both"/>
        <w:rPr>
          <w:rFonts w:ascii="Book Antiqua" w:hAnsi="Book Antiqua" w:cs="Book Antiqua"/>
          <w:color w:val="000000"/>
        </w:rPr>
      </w:pPr>
    </w:p>
    <w:p w14:paraId="24A7A2B0" w14:textId="77777777" w:rsidR="00C34BE9" w:rsidRDefault="009C4451">
      <w:pPr>
        <w:adjustRightInd w:val="0"/>
        <w:snapToGrid w:val="0"/>
        <w:spacing w:line="360" w:lineRule="auto"/>
        <w:jc w:val="both"/>
        <w:rPr>
          <w:rFonts w:ascii="Book Antiqua" w:hAnsi="Book Antiqua" w:cs="Book Antiqua"/>
          <w:b/>
          <w:bCs/>
          <w:color w:val="000000"/>
        </w:rPr>
      </w:pPr>
      <w:bookmarkStart w:id="5" w:name="OLE_LINK7"/>
      <w:r>
        <w:rPr>
          <w:rFonts w:ascii="Book Antiqua" w:hAnsi="Book Antiqua"/>
          <w:color w:val="000000"/>
        </w:rPr>
        <w:pict w14:anchorId="6D73A669">
          <v:shape id="图片 3" o:spid="_x0000_i1026" type="#_x0000_t75" style="width:468.75pt;height:114.75pt;mso-position-horizontal-relative:page;mso-position-vertical-relative:page">
            <v:fill o:detectmouseclick="t"/>
            <v:imagedata r:id="rId8" o:title=""/>
          </v:shape>
        </w:pict>
      </w:r>
    </w:p>
    <w:p w14:paraId="4E19102E" w14:textId="77777777" w:rsidR="00C34BE9" w:rsidRDefault="00C34BE9">
      <w:pPr>
        <w:adjustRightInd w:val="0"/>
        <w:snapToGrid w:val="0"/>
        <w:spacing w:line="360" w:lineRule="auto"/>
        <w:jc w:val="both"/>
        <w:rPr>
          <w:rFonts w:ascii="Book Antiqua" w:hAnsi="Book Antiqua" w:cs="Book Antiqua"/>
          <w:color w:val="000000"/>
          <w:lang w:eastAsia="zh-CN"/>
        </w:rPr>
      </w:pPr>
      <w:r>
        <w:rPr>
          <w:rFonts w:ascii="Book Antiqua" w:hAnsi="Book Antiqua" w:cs="Book Antiqua"/>
          <w:b/>
          <w:bCs/>
          <w:color w:val="000000"/>
        </w:rPr>
        <w:t>Fig</w:t>
      </w:r>
      <w:r>
        <w:rPr>
          <w:rFonts w:ascii="Book Antiqua" w:hAnsi="Book Antiqua" w:cs="Book Antiqua"/>
          <w:b/>
          <w:bCs/>
          <w:color w:val="000000"/>
          <w:lang w:eastAsia="zh-CN"/>
        </w:rPr>
        <w:t>ure 2</w:t>
      </w:r>
      <w:r>
        <w:rPr>
          <w:rFonts w:ascii="Book Antiqua" w:hAnsi="Book Antiqua" w:cs="Book Antiqua"/>
          <w:b/>
          <w:bCs/>
          <w:color w:val="000000"/>
        </w:rPr>
        <w:t xml:space="preserve"> The</w:t>
      </w:r>
      <w:r>
        <w:rPr>
          <w:rFonts w:ascii="Book Antiqua" w:hAnsi="Book Antiqua" w:cs="Book Antiqua"/>
          <w:b/>
          <w:bCs/>
          <w:color w:val="000000"/>
          <w:lang w:eastAsia="zh-CN"/>
        </w:rPr>
        <w:t xml:space="preserve"> skin rash </w:t>
      </w:r>
      <w:r>
        <w:rPr>
          <w:rFonts w:ascii="Book Antiqua" w:hAnsi="Book Antiqua" w:cs="Book Antiqua"/>
          <w:b/>
          <w:bCs/>
          <w:color w:val="000000"/>
        </w:rPr>
        <w:t xml:space="preserve">evolution of </w:t>
      </w:r>
      <w:r>
        <w:rPr>
          <w:rFonts w:ascii="Book Antiqua" w:eastAsia="Book Antiqua" w:hAnsi="Book Antiqua" w:cs="Book Antiqua"/>
          <w:b/>
          <w:bCs/>
          <w:color w:val="000000"/>
        </w:rPr>
        <w:t>acute graft-versus-host disease</w:t>
      </w:r>
      <w:r>
        <w:rPr>
          <w:rFonts w:ascii="Book Antiqua" w:hAnsi="Book Antiqua" w:cs="Book Antiqua"/>
          <w:b/>
          <w:bCs/>
          <w:color w:val="000000"/>
        </w:rPr>
        <w:t xml:space="preserve"> occurred in case </w:t>
      </w:r>
      <w:r>
        <w:rPr>
          <w:rFonts w:ascii="Book Antiqua" w:hAnsi="Book Antiqua" w:cs="Book Antiqua"/>
          <w:b/>
          <w:bCs/>
          <w:color w:val="000000"/>
          <w:lang w:eastAsia="zh-CN"/>
        </w:rPr>
        <w:t>6</w:t>
      </w:r>
      <w:r>
        <w:rPr>
          <w:rFonts w:ascii="Book Antiqua" w:hAnsi="Book Antiqua" w:cs="Book Antiqua"/>
          <w:b/>
          <w:bCs/>
          <w:color w:val="000000"/>
        </w:rPr>
        <w:t>.</w:t>
      </w:r>
      <w:r>
        <w:rPr>
          <w:rFonts w:ascii="Book Antiqua" w:hAnsi="Book Antiqua" w:cs="Book Antiqua"/>
          <w:b/>
          <w:bCs/>
          <w:color w:val="000000"/>
          <w:lang w:eastAsia="zh-CN"/>
        </w:rPr>
        <w:t xml:space="preserve"> </w:t>
      </w:r>
      <w:r>
        <w:rPr>
          <w:rFonts w:ascii="Book Antiqua" w:hAnsi="Book Antiqua" w:cs="Book Antiqua"/>
          <w:color w:val="000000"/>
          <w:lang w:eastAsia="zh-CN"/>
        </w:rPr>
        <w:t xml:space="preserve">A: </w:t>
      </w:r>
      <w:bookmarkStart w:id="6" w:name="OLE_LINK3"/>
      <w:r>
        <w:rPr>
          <w:rFonts w:ascii="Book Antiqua" w:hAnsi="Book Antiqua" w:cs="Book Antiqua"/>
          <w:color w:val="000000"/>
          <w:lang w:eastAsia="zh-CN"/>
        </w:rPr>
        <w:t xml:space="preserve">On day 30 after liver transplantation (LT), </w:t>
      </w:r>
      <w:bookmarkEnd w:id="6"/>
      <w:r>
        <w:rPr>
          <w:rFonts w:ascii="Book Antiqua" w:hAnsi="Book Antiqua" w:cs="Book Antiqua"/>
          <w:color w:val="000000"/>
          <w:lang w:eastAsia="zh-CN"/>
        </w:rPr>
        <w:t xml:space="preserve">he developed a maculo-papular </w:t>
      </w:r>
      <w:bookmarkStart w:id="7" w:name="OLE_LINK8"/>
      <w:r>
        <w:rPr>
          <w:rFonts w:ascii="Book Antiqua" w:hAnsi="Book Antiqua" w:cs="Book Antiqua"/>
          <w:color w:val="000000"/>
          <w:lang w:eastAsia="zh-CN"/>
        </w:rPr>
        <w:t>skin rash</w:t>
      </w:r>
      <w:bookmarkEnd w:id="7"/>
      <w:r>
        <w:rPr>
          <w:rFonts w:ascii="Book Antiqua" w:hAnsi="Book Antiqua" w:cs="Book Antiqua"/>
          <w:color w:val="000000"/>
          <w:lang w:eastAsia="zh-CN"/>
        </w:rPr>
        <w:t xml:space="preserve"> on his palm, neck and limbs; B, C:</w:t>
      </w:r>
      <w:bookmarkStart w:id="8" w:name="OLE_LINK4"/>
      <w:r>
        <w:rPr>
          <w:rFonts w:ascii="Book Antiqua" w:hAnsi="Book Antiqua" w:cs="Book Antiqua"/>
          <w:color w:val="000000"/>
          <w:lang w:eastAsia="zh-CN"/>
        </w:rPr>
        <w:t xml:space="preserve"> On day 35 after LT, </w:t>
      </w:r>
      <w:bookmarkEnd w:id="8"/>
      <w:r>
        <w:rPr>
          <w:rFonts w:ascii="Book Antiqua" w:hAnsi="Book Antiqua" w:cs="Book Antiqua"/>
          <w:color w:val="000000"/>
          <w:lang w:eastAsia="zh-CN"/>
        </w:rPr>
        <w:t xml:space="preserve">the skin rash gradually evolved into an erythematous maculopapular appearance, accompanied by partially confluent outbreak, it spread to the palm, face, neck, chest, and limbs. </w:t>
      </w:r>
    </w:p>
    <w:p w14:paraId="328E912C" w14:textId="77777777" w:rsidR="00C34BE9" w:rsidRDefault="00C34BE9">
      <w:pPr>
        <w:adjustRightInd w:val="0"/>
        <w:snapToGrid w:val="0"/>
        <w:spacing w:line="360" w:lineRule="auto"/>
        <w:jc w:val="both"/>
        <w:rPr>
          <w:rFonts w:ascii="Book Antiqua" w:hAnsi="Book Antiqua" w:cs="Book Antiqua"/>
          <w:color w:val="000000"/>
        </w:rPr>
      </w:pPr>
    </w:p>
    <w:p w14:paraId="2264245F" w14:textId="77777777" w:rsidR="00C34BE9" w:rsidRDefault="009C4451">
      <w:pPr>
        <w:adjustRightInd w:val="0"/>
        <w:snapToGrid w:val="0"/>
        <w:spacing w:line="360" w:lineRule="auto"/>
        <w:jc w:val="both"/>
        <w:rPr>
          <w:rFonts w:ascii="Book Antiqua" w:hAnsi="Book Antiqua" w:cs="Book Antiqua"/>
          <w:b/>
          <w:bCs/>
          <w:color w:val="000000"/>
        </w:rPr>
      </w:pPr>
      <w:r>
        <w:rPr>
          <w:rFonts w:ascii="Book Antiqua" w:hAnsi="Book Antiqua"/>
          <w:color w:val="000000"/>
        </w:rPr>
        <w:pict w14:anchorId="08C40302">
          <v:shape id="图片 4" o:spid="_x0000_i1027" type="#_x0000_t75" style="width:287.25pt;height:222.75pt;mso-position-horizontal-relative:page;mso-position-vertical-relative:page">
            <v:fill o:detectmouseclick="t"/>
            <v:imagedata r:id="rId9" o:title=""/>
          </v:shape>
        </w:pict>
      </w:r>
    </w:p>
    <w:p w14:paraId="76D40CC0" w14:textId="77777777" w:rsidR="00C34BE9" w:rsidRDefault="00C34BE9">
      <w:pPr>
        <w:adjustRightInd w:val="0"/>
        <w:snapToGrid w:val="0"/>
        <w:spacing w:line="360" w:lineRule="auto"/>
        <w:jc w:val="both"/>
        <w:rPr>
          <w:rFonts w:ascii="Book Antiqua" w:hAnsi="Book Antiqua" w:cs="Book Antiqua"/>
          <w:color w:val="000000"/>
        </w:rPr>
      </w:pPr>
      <w:r>
        <w:rPr>
          <w:rFonts w:ascii="Book Antiqua" w:hAnsi="Book Antiqua" w:cs="Book Antiqua"/>
          <w:b/>
          <w:bCs/>
          <w:color w:val="000000"/>
        </w:rPr>
        <w:t xml:space="preserve">Figure </w:t>
      </w:r>
      <w:r>
        <w:rPr>
          <w:rFonts w:ascii="Book Antiqua" w:hAnsi="Book Antiqua" w:cs="Book Antiqua"/>
          <w:b/>
          <w:bCs/>
          <w:color w:val="000000"/>
          <w:lang w:eastAsia="zh-CN"/>
        </w:rPr>
        <w:t>3</w:t>
      </w:r>
      <w:r>
        <w:rPr>
          <w:rFonts w:ascii="Book Antiqua" w:hAnsi="Book Antiqua" w:cs="Book Antiqua"/>
          <w:b/>
          <w:bCs/>
          <w:color w:val="000000"/>
        </w:rPr>
        <w:t xml:space="preserve"> </w:t>
      </w:r>
      <w:r>
        <w:rPr>
          <w:rFonts w:ascii="Book Antiqua" w:hAnsi="Book Antiqua" w:cs="Book Antiqua"/>
          <w:b/>
          <w:bCs/>
          <w:color w:val="000000"/>
          <w:lang w:eastAsia="zh-CN"/>
        </w:rPr>
        <w:t>The a</w:t>
      </w:r>
      <w:r>
        <w:rPr>
          <w:rFonts w:ascii="Book Antiqua" w:hAnsi="Book Antiqua" w:cs="Book Antiqua"/>
          <w:b/>
          <w:bCs/>
          <w:color w:val="000000"/>
        </w:rPr>
        <w:t xml:space="preserve">bdominal skin biopsy showed </w:t>
      </w:r>
      <w:r>
        <w:rPr>
          <w:rFonts w:ascii="Book Antiqua" w:hAnsi="Book Antiqua" w:cs="Book Antiqua"/>
          <w:b/>
          <w:bCs/>
          <w:color w:val="000000"/>
          <w:lang w:eastAsia="zh-CN"/>
        </w:rPr>
        <w:t xml:space="preserve">that </w:t>
      </w:r>
      <w:r>
        <w:rPr>
          <w:rFonts w:ascii="Book Antiqua" w:hAnsi="Book Antiqua" w:cs="Book Antiqua"/>
          <w:b/>
          <w:bCs/>
          <w:color w:val="000000"/>
        </w:rPr>
        <w:t xml:space="preserve">skin involvement </w:t>
      </w:r>
      <w:bookmarkStart w:id="9" w:name="OLE_LINK145"/>
      <w:r>
        <w:rPr>
          <w:rFonts w:ascii="Book Antiqua" w:hAnsi="Book Antiqua" w:cs="Book Antiqua"/>
          <w:b/>
          <w:bCs/>
          <w:color w:val="000000"/>
        </w:rPr>
        <w:t xml:space="preserve">with </w:t>
      </w:r>
      <w:bookmarkEnd w:id="9"/>
      <w:r>
        <w:rPr>
          <w:rFonts w:ascii="Book Antiqua" w:eastAsia="Book Antiqua" w:hAnsi="Book Antiqua" w:cs="Book Antiqua"/>
          <w:b/>
          <w:bCs/>
          <w:color w:val="000000"/>
        </w:rPr>
        <w:t>acute graft-versus-host disease</w:t>
      </w:r>
      <w:r>
        <w:rPr>
          <w:rFonts w:ascii="Book Antiqua" w:hAnsi="Book Antiqua" w:cs="Book Antiqua"/>
          <w:b/>
          <w:bCs/>
          <w:color w:val="000000"/>
        </w:rPr>
        <w:t xml:space="preserve"> in case </w:t>
      </w:r>
      <w:r>
        <w:rPr>
          <w:rFonts w:ascii="Book Antiqua" w:hAnsi="Book Antiqua" w:cs="Book Antiqua"/>
          <w:b/>
          <w:bCs/>
          <w:color w:val="000000"/>
          <w:lang w:eastAsia="zh-CN"/>
        </w:rPr>
        <w:t>5 (H</w:t>
      </w:r>
      <w:r>
        <w:rPr>
          <w:rFonts w:ascii="Book Antiqua" w:hAnsi="Book Antiqua" w:cs="Book Antiqua"/>
          <w:b/>
          <w:bCs/>
          <w:color w:val="000000"/>
        </w:rPr>
        <w:t>aematoxylin-eosin staining</w:t>
      </w:r>
      <w:r>
        <w:rPr>
          <w:rFonts w:ascii="Book Antiqua" w:hAnsi="Book Antiqua" w:cs="Book Antiqua"/>
          <w:b/>
          <w:bCs/>
          <w:color w:val="000000"/>
          <w:lang w:eastAsia="zh-CN"/>
        </w:rPr>
        <w:t xml:space="preserve">, </w:t>
      </w:r>
      <w:bookmarkStart w:id="10" w:name="OLE_LINK16"/>
      <w:r>
        <w:rPr>
          <w:rFonts w:ascii="Book Antiqua" w:hAnsi="Book Antiqua" w:cs="Book Antiqua"/>
          <w:b/>
          <w:bCs/>
          <w:color w:val="000000"/>
          <w:lang w:eastAsia="zh-CN"/>
        </w:rPr>
        <w:t xml:space="preserve">HE </w:t>
      </w:r>
      <w:bookmarkEnd w:id="10"/>
      <w:r>
        <w:rPr>
          <w:rFonts w:ascii="Book Antiqua" w:hAnsi="Book Antiqua" w:cs="Arial"/>
          <w:b/>
          <w:bCs/>
          <w:color w:val="000000"/>
          <w:lang w:eastAsia="zh-CN"/>
        </w:rPr>
        <w:t xml:space="preserve">× </w:t>
      </w:r>
      <w:r>
        <w:rPr>
          <w:rFonts w:ascii="Book Antiqua" w:hAnsi="Book Antiqua" w:cs="Book Antiqua"/>
          <w:b/>
          <w:bCs/>
          <w:color w:val="000000"/>
          <w:lang w:eastAsia="zh-CN"/>
        </w:rPr>
        <w:t xml:space="preserve">200 </w:t>
      </w:r>
      <w:r>
        <w:rPr>
          <w:rFonts w:ascii="Book Antiqua" w:hAnsi="Book Antiqua" w:cs="Book Antiqua"/>
          <w:b/>
          <w:bCs/>
          <w:color w:val="000000"/>
        </w:rPr>
        <w:t>times</w:t>
      </w:r>
      <w:r>
        <w:rPr>
          <w:rFonts w:ascii="Book Antiqua" w:hAnsi="Book Antiqua" w:cs="Book Antiqua"/>
          <w:b/>
          <w:bCs/>
          <w:color w:val="000000"/>
          <w:lang w:eastAsia="zh-CN"/>
        </w:rPr>
        <w:t xml:space="preserve">). </w:t>
      </w:r>
      <w:r>
        <w:rPr>
          <w:rFonts w:ascii="Book Antiqua" w:hAnsi="Book Antiqua" w:cs="Book Antiqua"/>
          <w:color w:val="000000"/>
        </w:rPr>
        <w:t>Small abdominal skin tissue, hyperkeratosis and dyskeratosis of the epidermis, lymphocyte</w:t>
      </w:r>
      <w:bookmarkStart w:id="11" w:name="OLE_LINK153"/>
      <w:r>
        <w:rPr>
          <w:rFonts w:ascii="Book Antiqua" w:hAnsi="Book Antiqua" w:cs="Book Antiqua"/>
          <w:color w:val="000000"/>
        </w:rPr>
        <w:t xml:space="preserve"> infiltration</w:t>
      </w:r>
      <w:bookmarkEnd w:id="11"/>
      <w:r>
        <w:rPr>
          <w:rFonts w:ascii="Book Antiqua" w:hAnsi="Book Antiqua" w:cs="Book Antiqua"/>
          <w:color w:val="000000"/>
        </w:rPr>
        <w:t xml:space="preserve"> around small vessels in the dermal line and around skin appendages, hyperplasia and sclerosis of the dermal fibrous tissue.</w:t>
      </w:r>
    </w:p>
    <w:p w14:paraId="3FFA2374" w14:textId="77777777" w:rsidR="00C34BE9" w:rsidRDefault="00C34BE9">
      <w:pPr>
        <w:adjustRightInd w:val="0"/>
        <w:snapToGrid w:val="0"/>
        <w:spacing w:line="360" w:lineRule="auto"/>
        <w:jc w:val="both"/>
        <w:rPr>
          <w:rFonts w:ascii="Book Antiqua" w:hAnsi="Book Antiqua" w:cs="Book Antiqua"/>
          <w:color w:val="000000"/>
        </w:rPr>
      </w:pPr>
    </w:p>
    <w:p w14:paraId="7A2EDCCC" w14:textId="77777777" w:rsidR="00C34BE9" w:rsidRDefault="00C34BE9">
      <w:pPr>
        <w:adjustRightInd w:val="0"/>
        <w:snapToGrid w:val="0"/>
        <w:spacing w:line="360" w:lineRule="auto"/>
        <w:jc w:val="both"/>
        <w:rPr>
          <w:rFonts w:ascii="Book Antiqua" w:hAnsi="Book Antiqua" w:cs="Book Antiqua"/>
          <w:b/>
          <w:bCs/>
          <w:color w:val="000000"/>
        </w:rPr>
      </w:pPr>
      <w:bookmarkStart w:id="12" w:name="OLE_LINK151"/>
    </w:p>
    <w:p w14:paraId="72D97F22" w14:textId="77777777" w:rsidR="00C34BE9" w:rsidRDefault="009C4451">
      <w:pPr>
        <w:adjustRightInd w:val="0"/>
        <w:snapToGrid w:val="0"/>
        <w:spacing w:line="360" w:lineRule="auto"/>
        <w:jc w:val="both"/>
        <w:rPr>
          <w:rFonts w:ascii="Book Antiqua" w:hAnsi="Book Antiqua" w:cs="Book Antiqua"/>
          <w:b/>
          <w:bCs/>
          <w:color w:val="000000"/>
        </w:rPr>
      </w:pPr>
      <w:r>
        <w:rPr>
          <w:rFonts w:ascii="Book Antiqua" w:hAnsi="Book Antiqua"/>
          <w:color w:val="000000"/>
        </w:rPr>
        <w:pict w14:anchorId="62B416C0">
          <v:shape id="图片 5" o:spid="_x0000_i1028" type="#_x0000_t75" style="width:283.5pt;height:219pt;mso-position-horizontal-relative:page;mso-position-vertical-relative:page">
            <v:fill o:detectmouseclick="t"/>
            <v:imagedata r:id="rId10" o:title=""/>
          </v:shape>
        </w:pict>
      </w:r>
    </w:p>
    <w:p w14:paraId="1CEF3377" w14:textId="77777777" w:rsidR="00C34BE9" w:rsidRDefault="00C34BE9">
      <w:pPr>
        <w:adjustRightInd w:val="0"/>
        <w:snapToGrid w:val="0"/>
        <w:spacing w:line="360" w:lineRule="auto"/>
        <w:jc w:val="both"/>
        <w:rPr>
          <w:rFonts w:ascii="Book Antiqua" w:hAnsi="Book Antiqua" w:cs="Book Antiqua"/>
          <w:color w:val="000000"/>
          <w:lang w:eastAsia="zh-CN"/>
        </w:rPr>
      </w:pPr>
      <w:r>
        <w:rPr>
          <w:rFonts w:ascii="Book Antiqua" w:hAnsi="Book Antiqua" w:cs="Book Antiqua"/>
          <w:b/>
          <w:bCs/>
          <w:color w:val="000000"/>
        </w:rPr>
        <w:t xml:space="preserve">Figure </w:t>
      </w:r>
      <w:r>
        <w:rPr>
          <w:rFonts w:ascii="Book Antiqua" w:hAnsi="Book Antiqua" w:cs="Book Antiqua"/>
          <w:b/>
          <w:bCs/>
          <w:color w:val="000000"/>
          <w:lang w:eastAsia="zh-CN"/>
        </w:rPr>
        <w:t>4</w:t>
      </w:r>
      <w:r>
        <w:rPr>
          <w:rFonts w:ascii="Book Antiqua" w:hAnsi="Book Antiqua" w:cs="Book Antiqua"/>
          <w:b/>
          <w:bCs/>
          <w:color w:val="000000"/>
        </w:rPr>
        <w:t xml:space="preserve"> </w:t>
      </w:r>
      <w:r>
        <w:rPr>
          <w:rFonts w:ascii="Book Antiqua" w:hAnsi="Book Antiqua" w:cs="Book Antiqua"/>
          <w:b/>
          <w:bCs/>
          <w:color w:val="000000"/>
          <w:lang w:eastAsia="zh-CN"/>
        </w:rPr>
        <w:t>The right forearm</w:t>
      </w:r>
      <w:r>
        <w:rPr>
          <w:rFonts w:ascii="Book Antiqua" w:hAnsi="Book Antiqua" w:cs="Book Antiqua"/>
          <w:b/>
          <w:bCs/>
          <w:color w:val="000000"/>
        </w:rPr>
        <w:t xml:space="preserve"> skin biopsy showed </w:t>
      </w:r>
      <w:r>
        <w:rPr>
          <w:rFonts w:ascii="Book Antiqua" w:hAnsi="Book Antiqua" w:cs="Book Antiqua"/>
          <w:b/>
          <w:bCs/>
          <w:color w:val="000000"/>
          <w:lang w:eastAsia="zh-CN"/>
        </w:rPr>
        <w:t xml:space="preserve">that </w:t>
      </w:r>
      <w:r>
        <w:rPr>
          <w:rFonts w:ascii="Book Antiqua" w:hAnsi="Book Antiqua" w:cs="Book Antiqua"/>
          <w:b/>
          <w:bCs/>
          <w:color w:val="000000"/>
        </w:rPr>
        <w:t xml:space="preserve">skin involvement with </w:t>
      </w:r>
      <w:r>
        <w:rPr>
          <w:rFonts w:ascii="Book Antiqua" w:eastAsia="Book Antiqua" w:hAnsi="Book Antiqua" w:cs="Book Antiqua"/>
          <w:b/>
          <w:bCs/>
          <w:color w:val="000000"/>
        </w:rPr>
        <w:t>acute graft-versus-host disease</w:t>
      </w:r>
      <w:r>
        <w:rPr>
          <w:rFonts w:ascii="Book Antiqua" w:hAnsi="Book Antiqua" w:cs="Book Antiqua"/>
          <w:b/>
          <w:bCs/>
          <w:color w:val="000000"/>
        </w:rPr>
        <w:t xml:space="preserve"> in case </w:t>
      </w:r>
      <w:r>
        <w:rPr>
          <w:rFonts w:ascii="Book Antiqua" w:hAnsi="Book Antiqua" w:cs="Book Antiqua"/>
          <w:b/>
          <w:bCs/>
          <w:color w:val="000000"/>
          <w:lang w:eastAsia="zh-CN"/>
        </w:rPr>
        <w:t>6</w:t>
      </w:r>
      <w:bookmarkEnd w:id="12"/>
      <w:r>
        <w:rPr>
          <w:rFonts w:ascii="Book Antiqua" w:hAnsi="Book Antiqua" w:cs="Book Antiqua"/>
          <w:b/>
          <w:bCs/>
          <w:color w:val="000000"/>
          <w:lang w:eastAsia="zh-CN"/>
        </w:rPr>
        <w:t xml:space="preserve"> (H</w:t>
      </w:r>
      <w:r>
        <w:rPr>
          <w:rFonts w:ascii="Book Antiqua" w:hAnsi="Book Antiqua" w:cs="Book Antiqua"/>
          <w:b/>
          <w:bCs/>
          <w:color w:val="000000"/>
        </w:rPr>
        <w:t>aematoxylin-eosin staining</w:t>
      </w:r>
      <w:r>
        <w:rPr>
          <w:rFonts w:ascii="Book Antiqua" w:hAnsi="Book Antiqua" w:cs="Book Antiqua"/>
          <w:b/>
          <w:bCs/>
          <w:color w:val="000000"/>
          <w:lang w:eastAsia="zh-CN"/>
        </w:rPr>
        <w:t xml:space="preserve">, HE </w:t>
      </w:r>
      <w:r>
        <w:rPr>
          <w:rFonts w:ascii="Book Antiqua" w:hAnsi="Book Antiqua" w:cs="Arial"/>
          <w:b/>
          <w:bCs/>
          <w:color w:val="000000"/>
          <w:lang w:eastAsia="zh-CN"/>
        </w:rPr>
        <w:t xml:space="preserve">× </w:t>
      </w:r>
      <w:r>
        <w:rPr>
          <w:rFonts w:ascii="Book Antiqua" w:hAnsi="Book Antiqua" w:cs="Book Antiqua"/>
          <w:b/>
          <w:bCs/>
          <w:color w:val="000000"/>
          <w:lang w:eastAsia="zh-CN"/>
        </w:rPr>
        <w:t xml:space="preserve">200 </w:t>
      </w:r>
      <w:r>
        <w:rPr>
          <w:rFonts w:ascii="Book Antiqua" w:hAnsi="Book Antiqua" w:cs="Book Antiqua"/>
          <w:b/>
          <w:bCs/>
          <w:color w:val="000000"/>
        </w:rPr>
        <w:t>times</w:t>
      </w:r>
      <w:r>
        <w:rPr>
          <w:rFonts w:ascii="Book Antiqua" w:hAnsi="Book Antiqua" w:cs="Book Antiqua"/>
          <w:b/>
          <w:bCs/>
          <w:color w:val="000000"/>
          <w:lang w:eastAsia="zh-CN"/>
        </w:rPr>
        <w:t xml:space="preserve">). </w:t>
      </w:r>
      <w:r>
        <w:rPr>
          <w:rFonts w:ascii="Book Antiqua" w:hAnsi="Book Antiqua" w:cs="Book Antiqua"/>
          <w:color w:val="000000"/>
          <w:lang w:eastAsia="zh-CN"/>
        </w:rPr>
        <w:t>The right forearm skin tissue, the base layer of squamous epithelium is liquefied and degeneration. The localized area of the spinous cell layer was edema, focal necrosis and a few dyskeratosis cells were observed, and a few lymphocytes and other inflammatory cells were infiltrated in the superficial dermis.</w:t>
      </w:r>
      <w:bookmarkEnd w:id="5"/>
    </w:p>
    <w:p w14:paraId="1F96164D" w14:textId="77777777" w:rsidR="00C34BE9" w:rsidRDefault="00C34BE9">
      <w:pPr>
        <w:adjustRightInd w:val="0"/>
        <w:snapToGrid w:val="0"/>
        <w:spacing w:line="360" w:lineRule="auto"/>
        <w:jc w:val="both"/>
        <w:rPr>
          <w:rFonts w:ascii="Book Antiqua" w:hAnsi="Book Antiqua" w:cs="Book Antiqua"/>
          <w:color w:val="000000"/>
        </w:rPr>
      </w:pPr>
    </w:p>
    <w:p w14:paraId="5BE2590B" w14:textId="77777777" w:rsidR="00C34BE9" w:rsidRDefault="009C4451">
      <w:pPr>
        <w:adjustRightInd w:val="0"/>
        <w:snapToGrid w:val="0"/>
        <w:spacing w:line="360" w:lineRule="auto"/>
        <w:jc w:val="both"/>
        <w:rPr>
          <w:rFonts w:ascii="Book Antiqua" w:hAnsi="Book Antiqua" w:cs="Book Antiqua"/>
          <w:b/>
          <w:bCs/>
          <w:color w:val="000000"/>
          <w:lang w:eastAsia="zh-CN"/>
        </w:rPr>
      </w:pPr>
      <w:r>
        <w:rPr>
          <w:rFonts w:ascii="Book Antiqua" w:hAnsi="Book Antiqua"/>
          <w:color w:val="000000"/>
        </w:rPr>
        <w:pict w14:anchorId="31D9B857">
          <v:shape id="图片 8" o:spid="_x0000_i1029" type="#_x0000_t75" alt="Figure 5" style="width:467.25pt;height:174.75pt;mso-position-horizontal-relative:page;mso-position-vertical-relative:page">
            <v:fill o:detectmouseclick="t"/>
            <v:imagedata r:id="rId11" o:title="Figure 5"/>
          </v:shape>
        </w:pict>
      </w:r>
    </w:p>
    <w:p w14:paraId="157EE95E" w14:textId="77777777" w:rsidR="00C34BE9" w:rsidRDefault="00C34BE9">
      <w:pPr>
        <w:adjustRightInd w:val="0"/>
        <w:snapToGrid w:val="0"/>
        <w:spacing w:line="360" w:lineRule="auto"/>
        <w:jc w:val="both"/>
        <w:rPr>
          <w:rFonts w:ascii="Book Antiqua" w:hAnsi="Book Antiqua" w:cs="Book Antiqua"/>
          <w:color w:val="000000"/>
        </w:rPr>
      </w:pPr>
      <w:r>
        <w:rPr>
          <w:rFonts w:ascii="Book Antiqua" w:hAnsi="Book Antiqua" w:cs="Book Antiqua"/>
          <w:b/>
          <w:bCs/>
          <w:color w:val="000000"/>
          <w:lang w:eastAsia="zh-CN"/>
        </w:rPr>
        <w:t>Figure 5 The bone marrow smear and bone marrow biopsy in case 3.</w:t>
      </w:r>
      <w:r>
        <w:rPr>
          <w:rFonts w:ascii="Book Antiqua" w:hAnsi="Book Antiqua" w:cs="Book Antiqua"/>
          <w:color w:val="000000"/>
          <w:lang w:eastAsia="zh-CN"/>
        </w:rPr>
        <w:t xml:space="preserve"> The images showed that the hyperplasia of bone marrow was extremely inhibited, the hyperplasia of granulocytes and erythrocytes was inhibited, lymphocytes accounted for 86%, and the morphology was generally normal. A (M × 400 times): Bone marrow smear; B (GO × 400 times): Bone marrow biopsy.</w:t>
      </w:r>
    </w:p>
    <w:p w14:paraId="40CB83FB" w14:textId="77777777" w:rsidR="00C34BE9" w:rsidRDefault="00C34BE9">
      <w:pPr>
        <w:adjustRightInd w:val="0"/>
        <w:snapToGrid w:val="0"/>
        <w:spacing w:line="360" w:lineRule="auto"/>
        <w:jc w:val="both"/>
        <w:rPr>
          <w:rFonts w:ascii="Book Antiqua" w:hAnsi="Book Antiqua" w:cs="Book Antiqua"/>
          <w:color w:val="000000"/>
        </w:rPr>
        <w:sectPr w:rsidR="00C34BE9">
          <w:footerReference w:type="default" r:id="rId12"/>
          <w:pgSz w:w="12240" w:h="15840"/>
          <w:pgMar w:top="1440" w:right="1440" w:bottom="1440" w:left="1440" w:header="720" w:footer="720" w:gutter="0"/>
          <w:cols w:space="720"/>
          <w:docGrid w:linePitch="360"/>
        </w:sectPr>
      </w:pPr>
    </w:p>
    <w:p w14:paraId="5A92FCF0" w14:textId="77777777" w:rsidR="00C34BE9" w:rsidRDefault="00C34BE9">
      <w:pPr>
        <w:tabs>
          <w:tab w:val="left" w:pos="7350"/>
          <w:tab w:val="right" w:pos="8306"/>
        </w:tabs>
        <w:adjustRightInd w:val="0"/>
        <w:snapToGrid w:val="0"/>
        <w:spacing w:line="360" w:lineRule="auto"/>
        <w:jc w:val="both"/>
        <w:rPr>
          <w:rFonts w:ascii="Book Antiqua" w:hAnsi="Book Antiqua" w:cs="Book Antiqua"/>
          <w:b/>
          <w:bCs/>
          <w:color w:val="000000"/>
        </w:rPr>
      </w:pPr>
      <w:r>
        <w:rPr>
          <w:rFonts w:ascii="Book Antiqua" w:hAnsi="Book Antiqua" w:cs="Book Antiqua"/>
          <w:b/>
          <w:bCs/>
          <w:color w:val="000000"/>
        </w:rPr>
        <w:t xml:space="preserve">Table 1 Demographic and some characteristics of </w:t>
      </w:r>
      <w:r>
        <w:rPr>
          <w:rFonts w:ascii="Book Antiqua" w:hAnsi="Book Antiqua" w:cs="Book Antiqua"/>
          <w:b/>
          <w:bCs/>
          <w:color w:val="000000"/>
          <w:lang w:eastAsia="zh-CN"/>
        </w:rPr>
        <w:t>six</w:t>
      </w:r>
      <w:r>
        <w:rPr>
          <w:rFonts w:ascii="Book Antiqua" w:hAnsi="Book Antiqua" w:cs="Book Antiqua"/>
          <w:b/>
          <w:bCs/>
          <w:color w:val="000000"/>
        </w:rPr>
        <w:t xml:space="preserve"> liver transplantation patients with acute graft-versus-host </w:t>
      </w:r>
      <w:r>
        <w:rPr>
          <w:rFonts w:ascii="Book Antiqua" w:hAnsi="Book Antiqua" w:cs="Book Antiqua" w:hint="eastAsia"/>
          <w:b/>
          <w:bCs/>
          <w:color w:val="000000"/>
        </w:rPr>
        <w:t>disease</w:t>
      </w:r>
    </w:p>
    <w:tbl>
      <w:tblPr>
        <w:tblpPr w:leftFromText="180" w:rightFromText="180" w:vertAnchor="page" w:horzAnchor="page" w:tblpX="1416" w:tblpY="3511"/>
        <w:tblOverlap w:val="never"/>
        <w:tblW w:w="5000" w:type="pct"/>
        <w:tblBorders>
          <w:top w:val="single" w:sz="4" w:space="0" w:color="auto"/>
          <w:bottom w:val="single" w:sz="4" w:space="0" w:color="auto"/>
        </w:tblBorders>
        <w:tblLook w:val="0000" w:firstRow="0" w:lastRow="0" w:firstColumn="0" w:lastColumn="0" w:noHBand="0" w:noVBand="0"/>
      </w:tblPr>
      <w:tblGrid>
        <w:gridCol w:w="1433"/>
        <w:gridCol w:w="1433"/>
        <w:gridCol w:w="1433"/>
        <w:gridCol w:w="1433"/>
        <w:gridCol w:w="1436"/>
        <w:gridCol w:w="1436"/>
        <w:gridCol w:w="1436"/>
        <w:gridCol w:w="1436"/>
        <w:gridCol w:w="1435"/>
        <w:gridCol w:w="1435"/>
      </w:tblGrid>
      <w:tr w:rsidR="00C34BE9" w:rsidRPr="00C34BE9" w14:paraId="3EBC7FE2" w14:textId="77777777" w:rsidTr="00C34BE9">
        <w:trPr>
          <w:trHeight w:val="1248"/>
        </w:trPr>
        <w:tc>
          <w:tcPr>
            <w:tcW w:w="499" w:type="pct"/>
            <w:tcBorders>
              <w:top w:val="single" w:sz="4" w:space="0" w:color="auto"/>
              <w:bottom w:val="single" w:sz="4" w:space="0" w:color="auto"/>
            </w:tcBorders>
            <w:shd w:val="clear" w:color="auto" w:fill="auto"/>
            <w:vAlign w:val="center"/>
          </w:tcPr>
          <w:p w14:paraId="53FE6B56"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bookmarkStart w:id="13" w:name="OLE_LINK9"/>
            <w:r w:rsidRPr="00C34BE9">
              <w:rPr>
                <w:rFonts w:ascii="Book Antiqua" w:hAnsi="Book Antiqua" w:cs="Book Antiqua"/>
                <w:b/>
                <w:bCs/>
                <w:color w:val="000000"/>
                <w:lang w:eastAsia="zh-CN"/>
              </w:rPr>
              <w:t>Patients</w:t>
            </w:r>
            <w:bookmarkEnd w:id="13"/>
          </w:p>
        </w:tc>
        <w:tc>
          <w:tcPr>
            <w:tcW w:w="499" w:type="pct"/>
            <w:tcBorders>
              <w:top w:val="single" w:sz="4" w:space="0" w:color="auto"/>
              <w:bottom w:val="single" w:sz="4" w:space="0" w:color="auto"/>
            </w:tcBorders>
            <w:shd w:val="clear" w:color="auto" w:fill="auto"/>
            <w:vAlign w:val="center"/>
          </w:tcPr>
          <w:p w14:paraId="6268AE83"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Recipient age</w:t>
            </w:r>
          </w:p>
        </w:tc>
        <w:tc>
          <w:tcPr>
            <w:tcW w:w="499" w:type="pct"/>
            <w:tcBorders>
              <w:top w:val="single" w:sz="4" w:space="0" w:color="auto"/>
              <w:bottom w:val="single" w:sz="4" w:space="0" w:color="auto"/>
            </w:tcBorders>
            <w:shd w:val="clear" w:color="auto" w:fill="auto"/>
            <w:vAlign w:val="center"/>
          </w:tcPr>
          <w:p w14:paraId="64FBC37C"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Recipient sex</w:t>
            </w:r>
          </w:p>
        </w:tc>
        <w:tc>
          <w:tcPr>
            <w:tcW w:w="499" w:type="pct"/>
            <w:tcBorders>
              <w:top w:val="single" w:sz="4" w:space="0" w:color="auto"/>
              <w:bottom w:val="single" w:sz="4" w:space="0" w:color="auto"/>
            </w:tcBorders>
            <w:shd w:val="clear" w:color="auto" w:fill="auto"/>
            <w:vAlign w:val="center"/>
          </w:tcPr>
          <w:p w14:paraId="29875B78" w14:textId="77777777" w:rsidR="00C34BE9" w:rsidRPr="00C34BE9" w:rsidRDefault="00C34BE9" w:rsidP="00C34BE9">
            <w:pPr>
              <w:widowControl w:val="0"/>
              <w:adjustRightInd w:val="0"/>
              <w:snapToGrid w:val="0"/>
              <w:spacing w:line="360" w:lineRule="auto"/>
              <w:ind w:rightChars="-207" w:right="-497"/>
              <w:jc w:val="both"/>
              <w:rPr>
                <w:rFonts w:ascii="Book Antiqua" w:hAnsi="Book Antiqua" w:cs="Book Antiqua"/>
                <w:b/>
                <w:bCs/>
                <w:color w:val="000000"/>
                <w:lang w:eastAsia="zh-CN"/>
              </w:rPr>
            </w:pPr>
            <w:r w:rsidRPr="00C34BE9">
              <w:rPr>
                <w:rFonts w:ascii="Book Antiqua" w:hAnsi="Book Antiqua" w:cs="Book Antiqua"/>
                <w:b/>
                <w:bCs/>
                <w:color w:val="000000"/>
                <w:lang w:eastAsia="zh-CN"/>
              </w:rPr>
              <w:t>Etiology</w:t>
            </w:r>
          </w:p>
        </w:tc>
        <w:tc>
          <w:tcPr>
            <w:tcW w:w="500" w:type="pct"/>
            <w:tcBorders>
              <w:top w:val="single" w:sz="4" w:space="0" w:color="auto"/>
              <w:bottom w:val="single" w:sz="4" w:space="0" w:color="auto"/>
            </w:tcBorders>
            <w:shd w:val="clear" w:color="auto" w:fill="auto"/>
            <w:vAlign w:val="center"/>
          </w:tcPr>
          <w:p w14:paraId="48CCC1E4"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LT</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type</w:t>
            </w:r>
          </w:p>
        </w:tc>
        <w:tc>
          <w:tcPr>
            <w:tcW w:w="500" w:type="pct"/>
            <w:tcBorders>
              <w:top w:val="single" w:sz="4" w:space="0" w:color="auto"/>
              <w:bottom w:val="single" w:sz="4" w:space="0" w:color="auto"/>
            </w:tcBorders>
            <w:shd w:val="clear" w:color="auto" w:fill="auto"/>
            <w:vAlign w:val="center"/>
          </w:tcPr>
          <w:p w14:paraId="7237239D"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Date</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of</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OLT</w:t>
            </w:r>
          </w:p>
        </w:tc>
        <w:tc>
          <w:tcPr>
            <w:tcW w:w="500" w:type="pct"/>
            <w:tcBorders>
              <w:top w:val="single" w:sz="4" w:space="0" w:color="auto"/>
              <w:bottom w:val="single" w:sz="4" w:space="0" w:color="auto"/>
            </w:tcBorders>
            <w:shd w:val="clear" w:color="auto" w:fill="auto"/>
            <w:vAlign w:val="center"/>
          </w:tcPr>
          <w:p w14:paraId="485E2B6E"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Recipient blood type</w:t>
            </w:r>
          </w:p>
        </w:tc>
        <w:tc>
          <w:tcPr>
            <w:tcW w:w="500" w:type="pct"/>
            <w:tcBorders>
              <w:top w:val="single" w:sz="4" w:space="0" w:color="auto"/>
              <w:bottom w:val="single" w:sz="4" w:space="0" w:color="auto"/>
            </w:tcBorders>
            <w:shd w:val="clear" w:color="auto" w:fill="auto"/>
            <w:vAlign w:val="center"/>
          </w:tcPr>
          <w:p w14:paraId="5FB4FC4B"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Donor blood</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type</w:t>
            </w:r>
          </w:p>
        </w:tc>
        <w:tc>
          <w:tcPr>
            <w:tcW w:w="500" w:type="pct"/>
            <w:tcBorders>
              <w:top w:val="single" w:sz="4" w:space="0" w:color="auto"/>
              <w:bottom w:val="single" w:sz="4" w:space="0" w:color="auto"/>
            </w:tcBorders>
            <w:shd w:val="clear" w:color="auto" w:fill="auto"/>
            <w:vAlign w:val="center"/>
          </w:tcPr>
          <w:p w14:paraId="3D3FA136"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Donor age</w:t>
            </w:r>
          </w:p>
        </w:tc>
        <w:tc>
          <w:tcPr>
            <w:tcW w:w="500" w:type="pct"/>
            <w:tcBorders>
              <w:top w:val="single" w:sz="4" w:space="0" w:color="auto"/>
              <w:bottom w:val="single" w:sz="4" w:space="0" w:color="auto"/>
            </w:tcBorders>
            <w:shd w:val="clear" w:color="auto" w:fill="auto"/>
            <w:vAlign w:val="center"/>
          </w:tcPr>
          <w:p w14:paraId="4D1877E6"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Age disparity</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donor-recipient</w:t>
            </w:r>
          </w:p>
        </w:tc>
      </w:tr>
      <w:tr w:rsidR="00C34BE9" w:rsidRPr="00C34BE9" w14:paraId="0E1080F8" w14:textId="77777777" w:rsidTr="00C34BE9">
        <w:trPr>
          <w:trHeight w:val="1248"/>
        </w:trPr>
        <w:tc>
          <w:tcPr>
            <w:tcW w:w="499" w:type="pct"/>
            <w:tcBorders>
              <w:top w:val="single" w:sz="4" w:space="0" w:color="auto"/>
            </w:tcBorders>
            <w:shd w:val="clear" w:color="auto" w:fill="auto"/>
            <w:vAlign w:val="center"/>
          </w:tcPr>
          <w:p w14:paraId="6082C5F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1</w:t>
            </w:r>
          </w:p>
        </w:tc>
        <w:tc>
          <w:tcPr>
            <w:tcW w:w="499" w:type="pct"/>
            <w:tcBorders>
              <w:top w:val="single" w:sz="4" w:space="0" w:color="auto"/>
            </w:tcBorders>
            <w:shd w:val="clear" w:color="auto" w:fill="auto"/>
            <w:vAlign w:val="center"/>
          </w:tcPr>
          <w:p w14:paraId="13F1457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64</w:t>
            </w:r>
          </w:p>
        </w:tc>
        <w:tc>
          <w:tcPr>
            <w:tcW w:w="499" w:type="pct"/>
            <w:tcBorders>
              <w:top w:val="single" w:sz="4" w:space="0" w:color="auto"/>
            </w:tcBorders>
            <w:shd w:val="clear" w:color="auto" w:fill="auto"/>
            <w:vAlign w:val="center"/>
          </w:tcPr>
          <w:p w14:paraId="2A018FB6"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bidi="ar"/>
              </w:rPr>
              <w:t>Male</w:t>
            </w:r>
          </w:p>
        </w:tc>
        <w:tc>
          <w:tcPr>
            <w:tcW w:w="499" w:type="pct"/>
            <w:tcBorders>
              <w:top w:val="single" w:sz="4" w:space="0" w:color="auto"/>
            </w:tcBorders>
            <w:shd w:val="clear" w:color="auto" w:fill="auto"/>
            <w:vAlign w:val="center"/>
          </w:tcPr>
          <w:p w14:paraId="18F3118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HCC,</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liver cirrhosis</w:t>
            </w:r>
          </w:p>
        </w:tc>
        <w:tc>
          <w:tcPr>
            <w:tcW w:w="500" w:type="pct"/>
            <w:tcBorders>
              <w:top w:val="single" w:sz="4" w:space="0" w:color="auto"/>
            </w:tcBorders>
            <w:shd w:val="clear" w:color="auto" w:fill="auto"/>
            <w:vAlign w:val="center"/>
          </w:tcPr>
          <w:p w14:paraId="3FF47522"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OLT</w:t>
            </w:r>
          </w:p>
        </w:tc>
        <w:tc>
          <w:tcPr>
            <w:tcW w:w="500" w:type="pct"/>
            <w:tcBorders>
              <w:top w:val="single" w:sz="4" w:space="0" w:color="auto"/>
            </w:tcBorders>
            <w:shd w:val="clear" w:color="auto" w:fill="auto"/>
            <w:vAlign w:val="center"/>
          </w:tcPr>
          <w:p w14:paraId="203E7451"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2003</w:t>
            </w:r>
          </w:p>
        </w:tc>
        <w:tc>
          <w:tcPr>
            <w:tcW w:w="500" w:type="pct"/>
            <w:tcBorders>
              <w:top w:val="single" w:sz="4" w:space="0" w:color="auto"/>
            </w:tcBorders>
            <w:shd w:val="clear" w:color="auto" w:fill="auto"/>
            <w:vAlign w:val="center"/>
          </w:tcPr>
          <w:p w14:paraId="17010E8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B</w:t>
            </w:r>
          </w:p>
        </w:tc>
        <w:tc>
          <w:tcPr>
            <w:tcW w:w="500" w:type="pct"/>
            <w:tcBorders>
              <w:top w:val="single" w:sz="4" w:space="0" w:color="auto"/>
            </w:tcBorders>
            <w:shd w:val="clear" w:color="auto" w:fill="auto"/>
            <w:vAlign w:val="center"/>
          </w:tcPr>
          <w:p w14:paraId="1E975FB5"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B</w:t>
            </w:r>
          </w:p>
        </w:tc>
        <w:tc>
          <w:tcPr>
            <w:tcW w:w="500" w:type="pct"/>
            <w:tcBorders>
              <w:top w:val="single" w:sz="4" w:space="0" w:color="auto"/>
            </w:tcBorders>
            <w:shd w:val="clear" w:color="auto" w:fill="auto"/>
            <w:vAlign w:val="center"/>
          </w:tcPr>
          <w:p w14:paraId="303F769A"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43</w:t>
            </w:r>
          </w:p>
        </w:tc>
        <w:tc>
          <w:tcPr>
            <w:tcW w:w="500" w:type="pct"/>
            <w:tcBorders>
              <w:top w:val="single" w:sz="4" w:space="0" w:color="auto"/>
            </w:tcBorders>
            <w:shd w:val="clear" w:color="auto" w:fill="auto"/>
            <w:vAlign w:val="center"/>
          </w:tcPr>
          <w:p w14:paraId="0DB5AF3D"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21</w:t>
            </w:r>
          </w:p>
        </w:tc>
      </w:tr>
      <w:tr w:rsidR="00C34BE9" w:rsidRPr="00C34BE9" w14:paraId="70F3EEDC" w14:textId="77777777" w:rsidTr="00C34BE9">
        <w:trPr>
          <w:trHeight w:val="1248"/>
        </w:trPr>
        <w:tc>
          <w:tcPr>
            <w:tcW w:w="499" w:type="pct"/>
            <w:shd w:val="clear" w:color="auto" w:fill="auto"/>
            <w:vAlign w:val="center"/>
          </w:tcPr>
          <w:p w14:paraId="2A305A5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2</w:t>
            </w:r>
          </w:p>
        </w:tc>
        <w:tc>
          <w:tcPr>
            <w:tcW w:w="499" w:type="pct"/>
            <w:shd w:val="clear" w:color="auto" w:fill="auto"/>
            <w:vAlign w:val="center"/>
          </w:tcPr>
          <w:p w14:paraId="1C06E14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59</w:t>
            </w:r>
          </w:p>
        </w:tc>
        <w:tc>
          <w:tcPr>
            <w:tcW w:w="499" w:type="pct"/>
            <w:shd w:val="clear" w:color="auto" w:fill="auto"/>
            <w:vAlign w:val="center"/>
          </w:tcPr>
          <w:p w14:paraId="4EFD0535"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bidi="ar"/>
              </w:rPr>
              <w:t>Male</w:t>
            </w:r>
          </w:p>
        </w:tc>
        <w:tc>
          <w:tcPr>
            <w:tcW w:w="499" w:type="pct"/>
            <w:shd w:val="clear" w:color="auto" w:fill="auto"/>
            <w:vAlign w:val="center"/>
          </w:tcPr>
          <w:p w14:paraId="5BBDA6BB"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HBV,</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liver cirrhosis</w:t>
            </w:r>
          </w:p>
        </w:tc>
        <w:tc>
          <w:tcPr>
            <w:tcW w:w="500" w:type="pct"/>
            <w:shd w:val="clear" w:color="auto" w:fill="auto"/>
            <w:vAlign w:val="center"/>
          </w:tcPr>
          <w:p w14:paraId="15B24407"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OLT</w:t>
            </w:r>
          </w:p>
        </w:tc>
        <w:tc>
          <w:tcPr>
            <w:tcW w:w="500" w:type="pct"/>
            <w:shd w:val="clear" w:color="auto" w:fill="auto"/>
            <w:vAlign w:val="center"/>
          </w:tcPr>
          <w:p w14:paraId="72E8903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2006</w:t>
            </w:r>
          </w:p>
        </w:tc>
        <w:tc>
          <w:tcPr>
            <w:tcW w:w="500" w:type="pct"/>
            <w:shd w:val="clear" w:color="auto" w:fill="auto"/>
            <w:vAlign w:val="center"/>
          </w:tcPr>
          <w:p w14:paraId="5EF084DC"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A</w:t>
            </w:r>
          </w:p>
        </w:tc>
        <w:tc>
          <w:tcPr>
            <w:tcW w:w="500" w:type="pct"/>
            <w:shd w:val="clear" w:color="auto" w:fill="auto"/>
            <w:vAlign w:val="center"/>
          </w:tcPr>
          <w:p w14:paraId="4C25DCD7"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A</w:t>
            </w:r>
          </w:p>
        </w:tc>
        <w:tc>
          <w:tcPr>
            <w:tcW w:w="500" w:type="pct"/>
            <w:shd w:val="clear" w:color="auto" w:fill="auto"/>
            <w:vAlign w:val="center"/>
          </w:tcPr>
          <w:p w14:paraId="6395F3AD"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50</w:t>
            </w:r>
          </w:p>
        </w:tc>
        <w:tc>
          <w:tcPr>
            <w:tcW w:w="500" w:type="pct"/>
            <w:shd w:val="clear" w:color="auto" w:fill="auto"/>
            <w:vAlign w:val="center"/>
          </w:tcPr>
          <w:p w14:paraId="0AB2304F"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9</w:t>
            </w:r>
          </w:p>
        </w:tc>
      </w:tr>
      <w:tr w:rsidR="00C34BE9" w:rsidRPr="00C34BE9" w14:paraId="6D21986C" w14:textId="77777777" w:rsidTr="00C34BE9">
        <w:trPr>
          <w:trHeight w:val="1248"/>
        </w:trPr>
        <w:tc>
          <w:tcPr>
            <w:tcW w:w="499" w:type="pct"/>
            <w:shd w:val="clear" w:color="auto" w:fill="auto"/>
            <w:vAlign w:val="center"/>
          </w:tcPr>
          <w:p w14:paraId="591F558C"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3</w:t>
            </w:r>
          </w:p>
        </w:tc>
        <w:tc>
          <w:tcPr>
            <w:tcW w:w="499" w:type="pct"/>
            <w:shd w:val="clear" w:color="auto" w:fill="auto"/>
            <w:vAlign w:val="center"/>
          </w:tcPr>
          <w:p w14:paraId="2221BDCB"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53</w:t>
            </w:r>
          </w:p>
        </w:tc>
        <w:tc>
          <w:tcPr>
            <w:tcW w:w="499" w:type="pct"/>
            <w:shd w:val="clear" w:color="auto" w:fill="auto"/>
            <w:vAlign w:val="center"/>
          </w:tcPr>
          <w:p w14:paraId="037AD7BC"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bidi="ar"/>
              </w:rPr>
              <w:t>Male</w:t>
            </w:r>
          </w:p>
        </w:tc>
        <w:tc>
          <w:tcPr>
            <w:tcW w:w="499" w:type="pct"/>
            <w:shd w:val="clear" w:color="auto" w:fill="auto"/>
            <w:vAlign w:val="center"/>
          </w:tcPr>
          <w:p w14:paraId="1AB3099C"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HCC,</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HBV,</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liver cirrhosis</w:t>
            </w:r>
          </w:p>
        </w:tc>
        <w:tc>
          <w:tcPr>
            <w:tcW w:w="500" w:type="pct"/>
            <w:shd w:val="clear" w:color="auto" w:fill="auto"/>
            <w:vAlign w:val="center"/>
          </w:tcPr>
          <w:p w14:paraId="618475FE"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OLT</w:t>
            </w:r>
          </w:p>
        </w:tc>
        <w:tc>
          <w:tcPr>
            <w:tcW w:w="500" w:type="pct"/>
            <w:shd w:val="clear" w:color="auto" w:fill="auto"/>
            <w:vAlign w:val="center"/>
          </w:tcPr>
          <w:p w14:paraId="31AF86B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2016</w:t>
            </w:r>
          </w:p>
        </w:tc>
        <w:tc>
          <w:tcPr>
            <w:tcW w:w="500" w:type="pct"/>
            <w:shd w:val="clear" w:color="auto" w:fill="auto"/>
            <w:vAlign w:val="center"/>
          </w:tcPr>
          <w:p w14:paraId="35CED99E"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A</w:t>
            </w:r>
          </w:p>
        </w:tc>
        <w:tc>
          <w:tcPr>
            <w:tcW w:w="500" w:type="pct"/>
            <w:shd w:val="clear" w:color="auto" w:fill="auto"/>
            <w:vAlign w:val="center"/>
          </w:tcPr>
          <w:p w14:paraId="5B7F476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A</w:t>
            </w:r>
          </w:p>
        </w:tc>
        <w:tc>
          <w:tcPr>
            <w:tcW w:w="500" w:type="pct"/>
            <w:shd w:val="clear" w:color="auto" w:fill="auto"/>
            <w:vAlign w:val="center"/>
          </w:tcPr>
          <w:p w14:paraId="3CE345C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51</w:t>
            </w:r>
          </w:p>
        </w:tc>
        <w:tc>
          <w:tcPr>
            <w:tcW w:w="500" w:type="pct"/>
            <w:shd w:val="clear" w:color="auto" w:fill="auto"/>
            <w:vAlign w:val="center"/>
          </w:tcPr>
          <w:p w14:paraId="75F9042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2</w:t>
            </w:r>
          </w:p>
        </w:tc>
      </w:tr>
      <w:tr w:rsidR="00C34BE9" w:rsidRPr="00C34BE9" w14:paraId="489C78F7" w14:textId="77777777" w:rsidTr="00C34BE9">
        <w:trPr>
          <w:trHeight w:val="1248"/>
        </w:trPr>
        <w:tc>
          <w:tcPr>
            <w:tcW w:w="499" w:type="pct"/>
            <w:shd w:val="clear" w:color="auto" w:fill="auto"/>
            <w:vAlign w:val="center"/>
          </w:tcPr>
          <w:p w14:paraId="3CE14711"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4</w:t>
            </w:r>
          </w:p>
        </w:tc>
        <w:tc>
          <w:tcPr>
            <w:tcW w:w="499" w:type="pct"/>
            <w:shd w:val="clear" w:color="auto" w:fill="auto"/>
            <w:vAlign w:val="center"/>
          </w:tcPr>
          <w:p w14:paraId="29703D4E"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63</w:t>
            </w:r>
          </w:p>
        </w:tc>
        <w:tc>
          <w:tcPr>
            <w:tcW w:w="499" w:type="pct"/>
            <w:shd w:val="clear" w:color="auto" w:fill="auto"/>
            <w:vAlign w:val="center"/>
          </w:tcPr>
          <w:p w14:paraId="51ECA2EA"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bidi="ar"/>
              </w:rPr>
              <w:t>Male</w:t>
            </w:r>
          </w:p>
        </w:tc>
        <w:tc>
          <w:tcPr>
            <w:tcW w:w="499" w:type="pct"/>
            <w:shd w:val="clear" w:color="auto" w:fill="auto"/>
            <w:vAlign w:val="center"/>
          </w:tcPr>
          <w:p w14:paraId="7E32D314"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HCC,</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HBV,</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OLT</w:t>
            </w:r>
          </w:p>
        </w:tc>
        <w:tc>
          <w:tcPr>
            <w:tcW w:w="500" w:type="pct"/>
            <w:shd w:val="clear" w:color="auto" w:fill="auto"/>
            <w:vAlign w:val="center"/>
          </w:tcPr>
          <w:p w14:paraId="7ED8B1EE"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OLT</w:t>
            </w:r>
          </w:p>
        </w:tc>
        <w:tc>
          <w:tcPr>
            <w:tcW w:w="500" w:type="pct"/>
            <w:shd w:val="clear" w:color="auto" w:fill="auto"/>
            <w:vAlign w:val="center"/>
          </w:tcPr>
          <w:p w14:paraId="5A2EE77A"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2018</w:t>
            </w:r>
          </w:p>
        </w:tc>
        <w:tc>
          <w:tcPr>
            <w:tcW w:w="500" w:type="pct"/>
            <w:shd w:val="clear" w:color="auto" w:fill="auto"/>
            <w:vAlign w:val="center"/>
          </w:tcPr>
          <w:p w14:paraId="5473227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O</w:t>
            </w:r>
          </w:p>
        </w:tc>
        <w:tc>
          <w:tcPr>
            <w:tcW w:w="500" w:type="pct"/>
            <w:shd w:val="clear" w:color="auto" w:fill="auto"/>
            <w:vAlign w:val="center"/>
          </w:tcPr>
          <w:p w14:paraId="5FFD0AD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O</w:t>
            </w:r>
          </w:p>
        </w:tc>
        <w:tc>
          <w:tcPr>
            <w:tcW w:w="500" w:type="pct"/>
            <w:shd w:val="clear" w:color="auto" w:fill="auto"/>
            <w:vAlign w:val="center"/>
          </w:tcPr>
          <w:p w14:paraId="0995A004"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bidi="ar"/>
              </w:rPr>
              <w:t>31</w:t>
            </w:r>
          </w:p>
        </w:tc>
        <w:tc>
          <w:tcPr>
            <w:tcW w:w="500" w:type="pct"/>
            <w:shd w:val="clear" w:color="auto" w:fill="auto"/>
            <w:vAlign w:val="center"/>
          </w:tcPr>
          <w:p w14:paraId="4C287EFC"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32</w:t>
            </w:r>
          </w:p>
        </w:tc>
      </w:tr>
      <w:tr w:rsidR="00C34BE9" w:rsidRPr="00C34BE9" w14:paraId="595E94C6" w14:textId="77777777" w:rsidTr="00C34BE9">
        <w:trPr>
          <w:trHeight w:val="1248"/>
        </w:trPr>
        <w:tc>
          <w:tcPr>
            <w:tcW w:w="499" w:type="pct"/>
            <w:shd w:val="clear" w:color="auto" w:fill="auto"/>
            <w:vAlign w:val="center"/>
          </w:tcPr>
          <w:p w14:paraId="35D97964"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5</w:t>
            </w:r>
          </w:p>
        </w:tc>
        <w:tc>
          <w:tcPr>
            <w:tcW w:w="499" w:type="pct"/>
            <w:shd w:val="clear" w:color="auto" w:fill="auto"/>
            <w:vAlign w:val="center"/>
          </w:tcPr>
          <w:p w14:paraId="7312CD1D"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40</w:t>
            </w:r>
          </w:p>
        </w:tc>
        <w:tc>
          <w:tcPr>
            <w:tcW w:w="499" w:type="pct"/>
            <w:shd w:val="clear" w:color="auto" w:fill="auto"/>
            <w:vAlign w:val="center"/>
          </w:tcPr>
          <w:p w14:paraId="3353BEEE"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bidi="ar"/>
              </w:rPr>
              <w:t>Male</w:t>
            </w:r>
          </w:p>
        </w:tc>
        <w:tc>
          <w:tcPr>
            <w:tcW w:w="499" w:type="pct"/>
            <w:shd w:val="clear" w:color="auto" w:fill="auto"/>
            <w:vAlign w:val="center"/>
          </w:tcPr>
          <w:p w14:paraId="2ED091CB"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HBV,</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liver cirrhosis</w:t>
            </w:r>
          </w:p>
        </w:tc>
        <w:tc>
          <w:tcPr>
            <w:tcW w:w="500" w:type="pct"/>
            <w:shd w:val="clear" w:color="auto" w:fill="auto"/>
            <w:vAlign w:val="center"/>
          </w:tcPr>
          <w:p w14:paraId="1275F0B7"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OLT</w:t>
            </w:r>
          </w:p>
        </w:tc>
        <w:tc>
          <w:tcPr>
            <w:tcW w:w="500" w:type="pct"/>
            <w:shd w:val="clear" w:color="auto" w:fill="auto"/>
            <w:vAlign w:val="center"/>
          </w:tcPr>
          <w:p w14:paraId="51A05965"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2018</w:t>
            </w:r>
          </w:p>
        </w:tc>
        <w:tc>
          <w:tcPr>
            <w:tcW w:w="500" w:type="pct"/>
            <w:shd w:val="clear" w:color="auto" w:fill="auto"/>
            <w:vAlign w:val="center"/>
          </w:tcPr>
          <w:p w14:paraId="0F926B6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B</w:t>
            </w:r>
          </w:p>
        </w:tc>
        <w:tc>
          <w:tcPr>
            <w:tcW w:w="500" w:type="pct"/>
            <w:shd w:val="clear" w:color="auto" w:fill="auto"/>
            <w:vAlign w:val="center"/>
          </w:tcPr>
          <w:p w14:paraId="7F2E5375"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B</w:t>
            </w:r>
          </w:p>
        </w:tc>
        <w:tc>
          <w:tcPr>
            <w:tcW w:w="500" w:type="pct"/>
            <w:shd w:val="clear" w:color="auto" w:fill="auto"/>
            <w:vAlign w:val="center"/>
          </w:tcPr>
          <w:p w14:paraId="2F44ACEF"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46</w:t>
            </w:r>
          </w:p>
        </w:tc>
        <w:tc>
          <w:tcPr>
            <w:tcW w:w="500" w:type="pct"/>
            <w:shd w:val="clear" w:color="auto" w:fill="auto"/>
            <w:vAlign w:val="center"/>
          </w:tcPr>
          <w:p w14:paraId="78AB295C"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6</w:t>
            </w:r>
          </w:p>
        </w:tc>
      </w:tr>
      <w:tr w:rsidR="00C34BE9" w:rsidRPr="00C34BE9" w14:paraId="51C4C81C" w14:textId="77777777" w:rsidTr="00C34BE9">
        <w:trPr>
          <w:trHeight w:val="1248"/>
        </w:trPr>
        <w:tc>
          <w:tcPr>
            <w:tcW w:w="499" w:type="pct"/>
            <w:shd w:val="clear" w:color="auto" w:fill="auto"/>
            <w:vAlign w:val="center"/>
          </w:tcPr>
          <w:p w14:paraId="1C7E4E91"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6</w:t>
            </w:r>
          </w:p>
        </w:tc>
        <w:tc>
          <w:tcPr>
            <w:tcW w:w="499" w:type="pct"/>
            <w:shd w:val="clear" w:color="auto" w:fill="auto"/>
            <w:vAlign w:val="center"/>
          </w:tcPr>
          <w:p w14:paraId="3498D3F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64</w:t>
            </w:r>
          </w:p>
        </w:tc>
        <w:tc>
          <w:tcPr>
            <w:tcW w:w="499" w:type="pct"/>
            <w:shd w:val="clear" w:color="auto" w:fill="auto"/>
            <w:vAlign w:val="center"/>
          </w:tcPr>
          <w:p w14:paraId="6608628D" w14:textId="77777777" w:rsidR="00C34BE9" w:rsidRPr="00C34BE9" w:rsidRDefault="00C34BE9" w:rsidP="00C34BE9">
            <w:pPr>
              <w:widowControl w:val="0"/>
              <w:adjustRightInd w:val="0"/>
              <w:snapToGrid w:val="0"/>
              <w:spacing w:line="360" w:lineRule="auto"/>
              <w:ind w:firstLineChars="100" w:firstLine="240"/>
              <w:jc w:val="both"/>
              <w:rPr>
                <w:rFonts w:ascii="Book Antiqua" w:hAnsi="Book Antiqua" w:cs="Book Antiqua"/>
                <w:color w:val="000000"/>
                <w:lang w:eastAsia="zh-CN"/>
              </w:rPr>
            </w:pPr>
            <w:r w:rsidRPr="00C34BE9">
              <w:rPr>
                <w:rFonts w:ascii="Book Antiqua" w:hAnsi="Book Antiqua" w:cs="Book Antiqua"/>
                <w:color w:val="000000"/>
                <w:lang w:eastAsia="zh-CN" w:bidi="ar"/>
              </w:rPr>
              <w:t>Male</w:t>
            </w:r>
          </w:p>
        </w:tc>
        <w:tc>
          <w:tcPr>
            <w:tcW w:w="499" w:type="pct"/>
            <w:shd w:val="clear" w:color="auto" w:fill="auto"/>
            <w:vAlign w:val="center"/>
          </w:tcPr>
          <w:p w14:paraId="6AB9A16C"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HBV, liver cirrhosis</w:t>
            </w:r>
          </w:p>
        </w:tc>
        <w:tc>
          <w:tcPr>
            <w:tcW w:w="500" w:type="pct"/>
            <w:shd w:val="clear" w:color="auto" w:fill="auto"/>
            <w:vAlign w:val="center"/>
          </w:tcPr>
          <w:p w14:paraId="6E72A325"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OLT</w:t>
            </w:r>
          </w:p>
        </w:tc>
        <w:tc>
          <w:tcPr>
            <w:tcW w:w="500" w:type="pct"/>
            <w:shd w:val="clear" w:color="auto" w:fill="auto"/>
            <w:vAlign w:val="center"/>
          </w:tcPr>
          <w:p w14:paraId="3EE9A665"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2019</w:t>
            </w:r>
          </w:p>
        </w:tc>
        <w:tc>
          <w:tcPr>
            <w:tcW w:w="500" w:type="pct"/>
            <w:shd w:val="clear" w:color="auto" w:fill="auto"/>
            <w:vAlign w:val="center"/>
          </w:tcPr>
          <w:p w14:paraId="24A15685"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B</w:t>
            </w:r>
          </w:p>
        </w:tc>
        <w:tc>
          <w:tcPr>
            <w:tcW w:w="500" w:type="pct"/>
            <w:shd w:val="clear" w:color="auto" w:fill="auto"/>
            <w:vAlign w:val="center"/>
          </w:tcPr>
          <w:p w14:paraId="5C81006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B</w:t>
            </w:r>
          </w:p>
        </w:tc>
        <w:tc>
          <w:tcPr>
            <w:tcW w:w="500" w:type="pct"/>
            <w:shd w:val="clear" w:color="auto" w:fill="auto"/>
            <w:vAlign w:val="center"/>
          </w:tcPr>
          <w:p w14:paraId="5BF8A82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52</w:t>
            </w:r>
          </w:p>
        </w:tc>
        <w:tc>
          <w:tcPr>
            <w:tcW w:w="500" w:type="pct"/>
            <w:shd w:val="clear" w:color="auto" w:fill="auto"/>
            <w:vAlign w:val="center"/>
          </w:tcPr>
          <w:p w14:paraId="6D5810B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p>
          <w:p w14:paraId="66857AC4"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12</w:t>
            </w:r>
          </w:p>
          <w:p w14:paraId="29C3A605"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p>
        </w:tc>
      </w:tr>
    </w:tbl>
    <w:p w14:paraId="053DC027" w14:textId="77777777" w:rsidR="00C34BE9" w:rsidRDefault="00C34BE9">
      <w:pPr>
        <w:spacing w:line="360" w:lineRule="auto"/>
        <w:rPr>
          <w:rFonts w:ascii="Book Antiqua" w:hAnsi="Book Antiqua"/>
        </w:rPr>
      </w:pPr>
      <w:r>
        <w:rPr>
          <w:rFonts w:ascii="Book Antiqua" w:hAnsi="Book Antiqua"/>
          <w:color w:val="000000"/>
          <w:lang w:eastAsia="zh-CN"/>
        </w:rPr>
        <w:t xml:space="preserve">LT: </w:t>
      </w:r>
      <w:r>
        <w:rPr>
          <w:rFonts w:ascii="Book Antiqua" w:hAnsi="Book Antiqua" w:cs="Book Antiqua"/>
          <w:color w:val="000000"/>
        </w:rPr>
        <w:t>Liver transplantation</w:t>
      </w:r>
      <w:r>
        <w:rPr>
          <w:rFonts w:ascii="Book Antiqua" w:hAnsi="Book Antiqua"/>
          <w:color w:val="000000"/>
          <w:lang w:eastAsia="zh-CN"/>
        </w:rPr>
        <w:t xml:space="preserve">; OLT: </w:t>
      </w:r>
      <w:r>
        <w:rPr>
          <w:rFonts w:ascii="Book Antiqua" w:eastAsia="Book Antiqua" w:hAnsi="Book Antiqua" w:cs="Book Antiqua"/>
          <w:color w:val="000000"/>
        </w:rPr>
        <w:t xml:space="preserve">Orthotopic </w:t>
      </w:r>
      <w:r>
        <w:rPr>
          <w:rFonts w:ascii="Book Antiqua" w:hAnsi="Book Antiqua" w:cs="Book Antiqua"/>
          <w:color w:val="000000"/>
        </w:rPr>
        <w:t>liver transplantation</w:t>
      </w:r>
      <w:r>
        <w:rPr>
          <w:rFonts w:ascii="Book Antiqua" w:hAnsi="Book Antiqua"/>
          <w:color w:val="000000"/>
          <w:lang w:eastAsia="zh-CN"/>
        </w:rPr>
        <w:t xml:space="preserve">; HBV: </w:t>
      </w:r>
      <w:r>
        <w:rPr>
          <w:rFonts w:ascii="Book Antiqua" w:eastAsia="Book Antiqua" w:hAnsi="Book Antiqua" w:cs="Book Antiqua"/>
          <w:color w:val="000000"/>
        </w:rPr>
        <w:t>Hepatitis B virus</w:t>
      </w:r>
      <w:r>
        <w:rPr>
          <w:rFonts w:ascii="Book Antiqua" w:hAnsi="Book Antiqua"/>
          <w:lang w:eastAsia="zh-CN"/>
        </w:rPr>
        <w:t xml:space="preserve">; </w:t>
      </w:r>
      <w:r>
        <w:rPr>
          <w:rFonts w:ascii="Book Antiqua" w:hAnsi="Book Antiqua"/>
          <w:color w:val="000000"/>
          <w:lang w:eastAsia="zh-CN"/>
        </w:rPr>
        <w:t>HCC:</w:t>
      </w:r>
      <w:r>
        <w:rPr>
          <w:rFonts w:ascii="Book Antiqua" w:eastAsia="Book Antiqua" w:hAnsi="Book Antiqua" w:cs="Book Antiqua"/>
          <w:color w:val="000000"/>
        </w:rPr>
        <w:t xml:space="preserve"> Hepatocellular carcinoma.</w:t>
      </w:r>
    </w:p>
    <w:p w14:paraId="2D0153D0" w14:textId="77777777" w:rsidR="00C34BE9" w:rsidRDefault="00C34BE9">
      <w:pPr>
        <w:adjustRightInd w:val="0"/>
        <w:snapToGrid w:val="0"/>
        <w:spacing w:line="360" w:lineRule="auto"/>
        <w:jc w:val="both"/>
        <w:rPr>
          <w:rFonts w:ascii="Book Antiqua" w:hAnsi="Book Antiqua" w:cs="Book Antiqua"/>
          <w:color w:val="000000"/>
        </w:rPr>
      </w:pPr>
      <w:bookmarkStart w:id="14" w:name="OLE_LINK14"/>
      <w:r>
        <w:rPr>
          <w:rFonts w:ascii="Book Antiqua" w:hAnsi="Book Antiqua" w:cs="Book Antiqua"/>
          <w:color w:val="000000"/>
        </w:rPr>
        <w:br w:type="page"/>
      </w:r>
      <w:r>
        <w:rPr>
          <w:rFonts w:ascii="Book Antiqua" w:hAnsi="Book Antiqua" w:cs="Book Antiqua"/>
          <w:b/>
          <w:bCs/>
          <w:color w:val="000000"/>
        </w:rPr>
        <w:t xml:space="preserve">Table </w:t>
      </w:r>
      <w:r>
        <w:rPr>
          <w:rFonts w:ascii="Book Antiqua" w:hAnsi="Book Antiqua" w:cs="Book Antiqua"/>
          <w:b/>
          <w:bCs/>
          <w:color w:val="000000"/>
          <w:lang w:eastAsia="zh-CN"/>
        </w:rPr>
        <w:t>2</w:t>
      </w:r>
      <w:r>
        <w:rPr>
          <w:rFonts w:ascii="Book Antiqua" w:hAnsi="Book Antiqua" w:cs="Book Antiqua"/>
          <w:b/>
          <w:bCs/>
          <w:color w:val="000000"/>
        </w:rPr>
        <w:t xml:space="preserve"> Main clinical characteristics of </w:t>
      </w:r>
      <w:r>
        <w:rPr>
          <w:rFonts w:ascii="Book Antiqua" w:hAnsi="Book Antiqua" w:cs="Book Antiqua"/>
          <w:b/>
          <w:bCs/>
          <w:color w:val="000000"/>
          <w:lang w:eastAsia="zh-CN"/>
        </w:rPr>
        <w:t>six</w:t>
      </w:r>
      <w:r>
        <w:rPr>
          <w:rFonts w:ascii="Book Antiqua" w:hAnsi="Book Antiqua" w:cs="Book Antiqua"/>
          <w:b/>
          <w:bCs/>
          <w:color w:val="000000"/>
        </w:rPr>
        <w:t xml:space="preserve"> liver transplantation patients with acute graft-versus-host disease</w:t>
      </w:r>
    </w:p>
    <w:tbl>
      <w:tblPr>
        <w:tblpPr w:leftFromText="180" w:rightFromText="180" w:vertAnchor="page" w:horzAnchor="page" w:tblpX="1451" w:tblpY="2336"/>
        <w:tblOverlap w:val="never"/>
        <w:tblW w:w="5422" w:type="pct"/>
        <w:tblBorders>
          <w:top w:val="single" w:sz="4" w:space="0" w:color="auto"/>
          <w:bottom w:val="single" w:sz="4" w:space="0" w:color="auto"/>
        </w:tblBorders>
        <w:tblLayout w:type="fixed"/>
        <w:tblLook w:val="0000" w:firstRow="0" w:lastRow="0" w:firstColumn="0" w:lastColumn="0" w:noHBand="0" w:noVBand="0"/>
      </w:tblPr>
      <w:tblGrid>
        <w:gridCol w:w="1290"/>
        <w:gridCol w:w="1728"/>
        <w:gridCol w:w="1287"/>
        <w:gridCol w:w="914"/>
        <w:gridCol w:w="1696"/>
        <w:gridCol w:w="1152"/>
        <w:gridCol w:w="1583"/>
        <w:gridCol w:w="1002"/>
        <w:gridCol w:w="1152"/>
        <w:gridCol w:w="1152"/>
        <w:gridCol w:w="1297"/>
        <w:gridCol w:w="1304"/>
      </w:tblGrid>
      <w:tr w:rsidR="00C34BE9" w:rsidRPr="00C34BE9" w14:paraId="1314824A" w14:textId="77777777" w:rsidTr="00C34BE9">
        <w:tc>
          <w:tcPr>
            <w:tcW w:w="1290" w:type="dxa"/>
            <w:tcBorders>
              <w:top w:val="single" w:sz="4" w:space="0" w:color="auto"/>
              <w:bottom w:val="single" w:sz="4" w:space="0" w:color="auto"/>
            </w:tcBorders>
            <w:shd w:val="clear" w:color="auto" w:fill="auto"/>
          </w:tcPr>
          <w:p w14:paraId="26F91C85"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bookmarkStart w:id="15" w:name="OLE_LINK15"/>
            <w:r w:rsidRPr="00C34BE9">
              <w:rPr>
                <w:rFonts w:ascii="Book Antiqua" w:hAnsi="Book Antiqua" w:cs="Book Antiqua"/>
                <w:b/>
                <w:bCs/>
                <w:color w:val="000000"/>
                <w:lang w:eastAsia="zh-CN"/>
              </w:rPr>
              <w:t>Patients</w:t>
            </w:r>
          </w:p>
        </w:tc>
        <w:tc>
          <w:tcPr>
            <w:tcW w:w="1728" w:type="dxa"/>
            <w:tcBorders>
              <w:top w:val="single" w:sz="4" w:space="0" w:color="auto"/>
              <w:bottom w:val="single" w:sz="4" w:space="0" w:color="auto"/>
            </w:tcBorders>
            <w:shd w:val="clear" w:color="auto" w:fill="auto"/>
          </w:tcPr>
          <w:p w14:paraId="3DC7D882"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bookmarkStart w:id="16" w:name="OLE_LINK11"/>
            <w:bookmarkStart w:id="17" w:name="OLE_LINK10"/>
            <w:r w:rsidRPr="00C34BE9">
              <w:rPr>
                <w:rFonts w:ascii="Book Antiqua" w:hAnsi="Book Antiqua" w:cs="Book Antiqua"/>
                <w:b/>
                <w:bCs/>
                <w:color w:val="000000"/>
                <w:lang w:eastAsia="zh-CN"/>
              </w:rPr>
              <w:t>Initial</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symptom</w:t>
            </w:r>
            <w:bookmarkEnd w:id="16"/>
          </w:p>
        </w:tc>
        <w:tc>
          <w:tcPr>
            <w:tcW w:w="1287" w:type="dxa"/>
            <w:tcBorders>
              <w:top w:val="single" w:sz="4" w:space="0" w:color="auto"/>
              <w:bottom w:val="single" w:sz="4" w:space="0" w:color="auto"/>
            </w:tcBorders>
            <w:shd w:val="clear" w:color="auto" w:fill="auto"/>
          </w:tcPr>
          <w:p w14:paraId="36C9C3ED"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Involved systems</w:t>
            </w:r>
            <w:bookmarkEnd w:id="17"/>
          </w:p>
        </w:tc>
        <w:tc>
          <w:tcPr>
            <w:tcW w:w="914" w:type="dxa"/>
            <w:tcBorders>
              <w:top w:val="single" w:sz="4" w:space="0" w:color="auto"/>
              <w:bottom w:val="single" w:sz="4" w:space="0" w:color="auto"/>
            </w:tcBorders>
            <w:shd w:val="clear" w:color="auto" w:fill="auto"/>
          </w:tcPr>
          <w:p w14:paraId="756E269F"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From LT to GVHD</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(d)</w:t>
            </w:r>
          </w:p>
        </w:tc>
        <w:tc>
          <w:tcPr>
            <w:tcW w:w="1696" w:type="dxa"/>
            <w:tcBorders>
              <w:top w:val="single" w:sz="4" w:space="0" w:color="auto"/>
              <w:bottom w:val="single" w:sz="4" w:space="0" w:color="auto"/>
            </w:tcBorders>
            <w:shd w:val="clear" w:color="auto" w:fill="auto"/>
          </w:tcPr>
          <w:p w14:paraId="1DCCA590"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Diagnostic tools</w:t>
            </w:r>
          </w:p>
        </w:tc>
        <w:tc>
          <w:tcPr>
            <w:tcW w:w="1152" w:type="dxa"/>
            <w:tcBorders>
              <w:top w:val="single" w:sz="4" w:space="0" w:color="auto"/>
              <w:bottom w:val="single" w:sz="4" w:space="0" w:color="auto"/>
            </w:tcBorders>
            <w:shd w:val="clear" w:color="auto" w:fill="auto"/>
          </w:tcPr>
          <w:p w14:paraId="4EF84C45" w14:textId="77777777" w:rsidR="00C34BE9" w:rsidRPr="00C34BE9" w:rsidRDefault="00C34BE9" w:rsidP="00C34BE9">
            <w:pPr>
              <w:widowControl w:val="0"/>
              <w:suppressAutoHyphens/>
              <w:adjustRightInd w:val="0"/>
              <w:snapToGrid w:val="0"/>
              <w:spacing w:line="360" w:lineRule="auto"/>
              <w:ind w:rightChars="-207" w:right="-497"/>
              <w:jc w:val="both"/>
              <w:rPr>
                <w:rFonts w:ascii="Book Antiqua" w:hAnsi="Book Antiqua" w:cs="Book Antiqua"/>
                <w:b/>
                <w:bCs/>
                <w:color w:val="000000"/>
                <w:lang w:eastAsia="zh-CN"/>
              </w:rPr>
            </w:pPr>
            <w:r w:rsidRPr="00C34BE9">
              <w:rPr>
                <w:rFonts w:ascii="Book Antiqua" w:hAnsi="Book Antiqua" w:cs="Book Antiqua"/>
                <w:b/>
                <w:bCs/>
                <w:color w:val="000000"/>
                <w:lang w:eastAsia="zh-CN"/>
              </w:rPr>
              <w:t>From</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LT to biopsy</w:t>
            </w:r>
          </w:p>
          <w:p w14:paraId="2692CD6F" w14:textId="77777777" w:rsidR="00C34BE9" w:rsidRPr="00C34BE9" w:rsidRDefault="00C34BE9" w:rsidP="00C34BE9">
            <w:pPr>
              <w:widowControl w:val="0"/>
              <w:suppressAutoHyphens/>
              <w:adjustRightInd w:val="0"/>
              <w:snapToGrid w:val="0"/>
              <w:spacing w:line="360" w:lineRule="auto"/>
              <w:ind w:rightChars="-207" w:right="-497"/>
              <w:jc w:val="both"/>
              <w:rPr>
                <w:rFonts w:ascii="Book Antiqua" w:hAnsi="Book Antiqua" w:cs="Book Antiqua"/>
                <w:b/>
                <w:bCs/>
                <w:color w:val="000000"/>
                <w:lang w:eastAsia="zh-CN"/>
              </w:rPr>
            </w:pPr>
            <w:r w:rsidRPr="00C34BE9">
              <w:rPr>
                <w:rFonts w:ascii="Book Antiqua" w:hAnsi="Book Antiqua" w:cs="Book Antiqua"/>
                <w:b/>
                <w:bCs/>
                <w:color w:val="000000"/>
                <w:lang w:eastAsia="zh-CN"/>
              </w:rPr>
              <w:t>(d)</w:t>
            </w:r>
          </w:p>
        </w:tc>
        <w:tc>
          <w:tcPr>
            <w:tcW w:w="1583" w:type="dxa"/>
            <w:tcBorders>
              <w:top w:val="single" w:sz="4" w:space="0" w:color="auto"/>
              <w:bottom w:val="single" w:sz="4" w:space="0" w:color="auto"/>
            </w:tcBorders>
            <w:shd w:val="clear" w:color="auto" w:fill="auto"/>
          </w:tcPr>
          <w:p w14:paraId="68DFD10C" w14:textId="77777777" w:rsidR="00C34BE9" w:rsidRPr="00C34BE9" w:rsidRDefault="00C34BE9" w:rsidP="00C34BE9">
            <w:pPr>
              <w:widowControl w:val="0"/>
              <w:suppressAutoHyphens/>
              <w:adjustRightInd w:val="0"/>
              <w:snapToGrid w:val="0"/>
              <w:spacing w:line="360" w:lineRule="auto"/>
              <w:ind w:rightChars="-207" w:right="-497"/>
              <w:jc w:val="both"/>
              <w:rPr>
                <w:rFonts w:ascii="Book Antiqua" w:hAnsi="Book Antiqua" w:cs="Book Antiqua"/>
                <w:b/>
                <w:bCs/>
                <w:color w:val="000000"/>
                <w:lang w:eastAsia="zh-CN"/>
              </w:rPr>
            </w:pPr>
            <w:r w:rsidRPr="00C34BE9">
              <w:rPr>
                <w:rFonts w:ascii="Book Antiqua" w:hAnsi="Book Antiqua" w:cs="Book Antiqua"/>
                <w:b/>
                <w:bCs/>
                <w:color w:val="000000"/>
                <w:lang w:eastAsia="zh-CN"/>
              </w:rPr>
              <w:t>From</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GVHD to</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diagnosis</w:t>
            </w:r>
          </w:p>
          <w:p w14:paraId="6D639C43"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(d)</w:t>
            </w:r>
          </w:p>
        </w:tc>
        <w:tc>
          <w:tcPr>
            <w:tcW w:w="1002" w:type="dxa"/>
            <w:tcBorders>
              <w:top w:val="single" w:sz="4" w:space="0" w:color="auto"/>
              <w:bottom w:val="single" w:sz="4" w:space="0" w:color="auto"/>
            </w:tcBorders>
            <w:shd w:val="clear" w:color="auto" w:fill="auto"/>
          </w:tcPr>
          <w:p w14:paraId="216EAD8E"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Skin biopsy</w:t>
            </w:r>
          </w:p>
        </w:tc>
        <w:tc>
          <w:tcPr>
            <w:tcW w:w="1152" w:type="dxa"/>
            <w:tcBorders>
              <w:top w:val="single" w:sz="4" w:space="0" w:color="auto"/>
              <w:bottom w:val="single" w:sz="4" w:space="0" w:color="auto"/>
            </w:tcBorders>
            <w:shd w:val="clear" w:color="auto" w:fill="auto"/>
          </w:tcPr>
          <w:p w14:paraId="2E04D3C3"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GVHD related death</w:t>
            </w:r>
          </w:p>
        </w:tc>
        <w:tc>
          <w:tcPr>
            <w:tcW w:w="1152" w:type="dxa"/>
            <w:tcBorders>
              <w:top w:val="single" w:sz="4" w:space="0" w:color="auto"/>
              <w:bottom w:val="single" w:sz="4" w:space="0" w:color="auto"/>
            </w:tcBorders>
            <w:shd w:val="clear" w:color="auto" w:fill="auto"/>
          </w:tcPr>
          <w:p w14:paraId="0A3CBC01"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Ferritin level</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(ng/mL)</w:t>
            </w:r>
          </w:p>
        </w:tc>
        <w:tc>
          <w:tcPr>
            <w:tcW w:w="1297" w:type="dxa"/>
            <w:tcBorders>
              <w:top w:val="single" w:sz="4" w:space="0" w:color="auto"/>
              <w:bottom w:val="single" w:sz="4" w:space="0" w:color="auto"/>
            </w:tcBorders>
            <w:shd w:val="clear" w:color="auto" w:fill="auto"/>
          </w:tcPr>
          <w:p w14:paraId="570535DF"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Survival</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day</w:t>
            </w:r>
          </w:p>
        </w:tc>
        <w:tc>
          <w:tcPr>
            <w:tcW w:w="1304" w:type="dxa"/>
            <w:tcBorders>
              <w:top w:val="single" w:sz="4" w:space="0" w:color="auto"/>
              <w:bottom w:val="single" w:sz="4" w:space="0" w:color="auto"/>
            </w:tcBorders>
            <w:shd w:val="clear" w:color="auto" w:fill="auto"/>
          </w:tcPr>
          <w:p w14:paraId="7DF09F19" w14:textId="77777777" w:rsidR="00C34BE9" w:rsidRPr="00C34BE9" w:rsidRDefault="00C34BE9" w:rsidP="00C34BE9">
            <w:pPr>
              <w:widowControl w:val="0"/>
              <w:suppressAutoHyphens/>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Mortality cause</w:t>
            </w:r>
          </w:p>
        </w:tc>
      </w:tr>
      <w:tr w:rsidR="00C34BE9" w:rsidRPr="00C34BE9" w14:paraId="2B3E990B" w14:textId="77777777" w:rsidTr="00C34BE9">
        <w:tc>
          <w:tcPr>
            <w:tcW w:w="1290" w:type="dxa"/>
            <w:tcBorders>
              <w:top w:val="single" w:sz="4" w:space="0" w:color="auto"/>
            </w:tcBorders>
            <w:shd w:val="clear" w:color="auto" w:fill="auto"/>
          </w:tcPr>
          <w:p w14:paraId="14D6FC45"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bookmarkStart w:id="18" w:name="OLE_LINK13" w:colFirst="10" w:colLast="10"/>
            <w:r w:rsidRPr="00C34BE9">
              <w:rPr>
                <w:rFonts w:ascii="Book Antiqua" w:hAnsi="Book Antiqua" w:cs="Book Antiqua"/>
                <w:color w:val="000000"/>
                <w:lang w:eastAsia="zh-CN" w:bidi="ar"/>
              </w:rPr>
              <w:t>Case 1</w:t>
            </w:r>
          </w:p>
        </w:tc>
        <w:tc>
          <w:tcPr>
            <w:tcW w:w="1728" w:type="dxa"/>
            <w:tcBorders>
              <w:top w:val="single" w:sz="4" w:space="0" w:color="auto"/>
            </w:tcBorders>
            <w:shd w:val="clear" w:color="auto" w:fill="auto"/>
          </w:tcPr>
          <w:p w14:paraId="16989D1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Fever</w:t>
            </w:r>
          </w:p>
        </w:tc>
        <w:tc>
          <w:tcPr>
            <w:tcW w:w="1287" w:type="dxa"/>
            <w:tcBorders>
              <w:top w:val="single" w:sz="4" w:space="0" w:color="auto"/>
            </w:tcBorders>
            <w:shd w:val="clear" w:color="auto" w:fill="auto"/>
          </w:tcPr>
          <w:p w14:paraId="77CE38EA"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Skin, GI, BM</w:t>
            </w:r>
          </w:p>
        </w:tc>
        <w:tc>
          <w:tcPr>
            <w:tcW w:w="914" w:type="dxa"/>
            <w:tcBorders>
              <w:top w:val="single" w:sz="4" w:space="0" w:color="auto"/>
            </w:tcBorders>
            <w:shd w:val="clear" w:color="auto" w:fill="auto"/>
          </w:tcPr>
          <w:p w14:paraId="3D6A5B8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15</w:t>
            </w:r>
          </w:p>
        </w:tc>
        <w:tc>
          <w:tcPr>
            <w:tcW w:w="1696" w:type="dxa"/>
            <w:tcBorders>
              <w:top w:val="single" w:sz="4" w:space="0" w:color="auto"/>
            </w:tcBorders>
            <w:shd w:val="clear" w:color="auto" w:fill="auto"/>
          </w:tcPr>
          <w:p w14:paraId="344505F5"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Skin biopsy,</w:t>
            </w:r>
            <w:r w:rsidRPr="00C34BE9">
              <w:rPr>
                <w:rFonts w:ascii="Book Antiqua" w:hAnsi="Book Antiqua" w:cs="Book Antiqua" w:hint="eastAsia"/>
                <w:color w:val="000000"/>
                <w:lang w:eastAsia="zh-CN"/>
              </w:rPr>
              <w:t xml:space="preserve"> </w:t>
            </w:r>
            <w:r w:rsidRPr="00C34BE9">
              <w:rPr>
                <w:rFonts w:ascii="Book Antiqua" w:hAnsi="Book Antiqua" w:cs="Book Antiqua"/>
                <w:color w:val="000000"/>
                <w:lang w:eastAsia="zh-CN"/>
              </w:rPr>
              <w:t>bone</w:t>
            </w:r>
            <w:r w:rsidRPr="00C34BE9">
              <w:rPr>
                <w:rFonts w:ascii="Book Antiqua" w:hAnsi="Book Antiqua" w:cs="Book Antiqua" w:hint="eastAsia"/>
                <w:color w:val="000000"/>
                <w:lang w:eastAsia="zh-CN"/>
              </w:rPr>
              <w:t xml:space="preserve"> </w:t>
            </w:r>
            <w:r w:rsidRPr="00C34BE9">
              <w:rPr>
                <w:rFonts w:ascii="Book Antiqua" w:hAnsi="Book Antiqua" w:cs="Book Antiqua"/>
                <w:color w:val="000000"/>
                <w:lang w:eastAsia="zh-CN"/>
              </w:rPr>
              <w:t>marrow smear</w:t>
            </w:r>
          </w:p>
        </w:tc>
        <w:tc>
          <w:tcPr>
            <w:tcW w:w="1152" w:type="dxa"/>
            <w:tcBorders>
              <w:top w:val="single" w:sz="4" w:space="0" w:color="auto"/>
            </w:tcBorders>
            <w:shd w:val="clear" w:color="auto" w:fill="auto"/>
          </w:tcPr>
          <w:p w14:paraId="5702544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24</w:t>
            </w:r>
          </w:p>
        </w:tc>
        <w:tc>
          <w:tcPr>
            <w:tcW w:w="1583" w:type="dxa"/>
            <w:tcBorders>
              <w:top w:val="single" w:sz="4" w:space="0" w:color="auto"/>
            </w:tcBorders>
            <w:shd w:val="clear" w:color="auto" w:fill="auto"/>
          </w:tcPr>
          <w:p w14:paraId="0F68248D"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9</w:t>
            </w:r>
          </w:p>
        </w:tc>
        <w:tc>
          <w:tcPr>
            <w:tcW w:w="1002" w:type="dxa"/>
            <w:tcBorders>
              <w:top w:val="single" w:sz="4" w:space="0" w:color="auto"/>
            </w:tcBorders>
            <w:shd w:val="clear" w:color="auto" w:fill="auto"/>
          </w:tcPr>
          <w:p w14:paraId="294EF94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Grade II</w:t>
            </w:r>
          </w:p>
        </w:tc>
        <w:tc>
          <w:tcPr>
            <w:tcW w:w="1152" w:type="dxa"/>
            <w:tcBorders>
              <w:top w:val="single" w:sz="4" w:space="0" w:color="auto"/>
            </w:tcBorders>
            <w:shd w:val="clear" w:color="auto" w:fill="auto"/>
          </w:tcPr>
          <w:p w14:paraId="55BD301E"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Yes</w:t>
            </w:r>
          </w:p>
        </w:tc>
        <w:tc>
          <w:tcPr>
            <w:tcW w:w="1152" w:type="dxa"/>
            <w:tcBorders>
              <w:top w:val="single" w:sz="4" w:space="0" w:color="auto"/>
            </w:tcBorders>
            <w:shd w:val="clear" w:color="auto" w:fill="auto"/>
          </w:tcPr>
          <w:p w14:paraId="55EBD241"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w:t>
            </w:r>
          </w:p>
        </w:tc>
        <w:tc>
          <w:tcPr>
            <w:tcW w:w="1297" w:type="dxa"/>
            <w:tcBorders>
              <w:top w:val="single" w:sz="4" w:space="0" w:color="auto"/>
            </w:tcBorders>
            <w:shd w:val="clear" w:color="auto" w:fill="auto"/>
          </w:tcPr>
          <w:p w14:paraId="52EDDBE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31</w:t>
            </w:r>
          </w:p>
        </w:tc>
        <w:tc>
          <w:tcPr>
            <w:tcW w:w="1304" w:type="dxa"/>
            <w:tcBorders>
              <w:top w:val="single" w:sz="4" w:space="0" w:color="auto"/>
            </w:tcBorders>
            <w:shd w:val="clear" w:color="auto" w:fill="auto"/>
          </w:tcPr>
          <w:p w14:paraId="0A1A3A63"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Cerebral hemorrhage</w:t>
            </w:r>
          </w:p>
        </w:tc>
      </w:tr>
      <w:tr w:rsidR="00C34BE9" w:rsidRPr="00C34BE9" w14:paraId="11438FC7" w14:textId="77777777" w:rsidTr="00C34BE9">
        <w:tc>
          <w:tcPr>
            <w:tcW w:w="1290" w:type="dxa"/>
            <w:shd w:val="clear" w:color="auto" w:fill="auto"/>
          </w:tcPr>
          <w:p w14:paraId="1B8213DD"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2</w:t>
            </w:r>
          </w:p>
        </w:tc>
        <w:tc>
          <w:tcPr>
            <w:tcW w:w="1728" w:type="dxa"/>
            <w:shd w:val="clear" w:color="auto" w:fill="auto"/>
          </w:tcPr>
          <w:p w14:paraId="6840C91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bookmarkStart w:id="19" w:name="OLE_LINK12"/>
            <w:r w:rsidRPr="00C34BE9">
              <w:rPr>
                <w:rFonts w:ascii="Book Antiqua" w:hAnsi="Book Antiqua" w:cs="Book Antiqua"/>
                <w:color w:val="000000"/>
                <w:lang w:eastAsia="zh-CN" w:bidi="ar"/>
              </w:rPr>
              <w:t>Pancytopenia</w:t>
            </w:r>
            <w:bookmarkEnd w:id="19"/>
          </w:p>
        </w:tc>
        <w:tc>
          <w:tcPr>
            <w:tcW w:w="1287" w:type="dxa"/>
            <w:shd w:val="clear" w:color="auto" w:fill="auto"/>
          </w:tcPr>
          <w:p w14:paraId="186F865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Skin,</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BM</w:t>
            </w:r>
          </w:p>
        </w:tc>
        <w:tc>
          <w:tcPr>
            <w:tcW w:w="914" w:type="dxa"/>
            <w:shd w:val="clear" w:color="auto" w:fill="auto"/>
          </w:tcPr>
          <w:p w14:paraId="0980C12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28</w:t>
            </w:r>
          </w:p>
        </w:tc>
        <w:tc>
          <w:tcPr>
            <w:tcW w:w="1696" w:type="dxa"/>
            <w:shd w:val="clear" w:color="auto" w:fill="auto"/>
          </w:tcPr>
          <w:p w14:paraId="2B7E7B9D"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Skin biopsy,</w:t>
            </w:r>
            <w:r w:rsidRPr="00C34BE9">
              <w:rPr>
                <w:rFonts w:ascii="Book Antiqua" w:hAnsi="Book Antiqua" w:cs="Book Antiqua" w:hint="eastAsia"/>
                <w:color w:val="000000"/>
                <w:lang w:eastAsia="zh-CN"/>
              </w:rPr>
              <w:t xml:space="preserve"> </w:t>
            </w:r>
            <w:r w:rsidRPr="00C34BE9">
              <w:rPr>
                <w:rFonts w:ascii="Book Antiqua" w:hAnsi="Book Antiqua" w:cs="Book Antiqua"/>
                <w:color w:val="000000"/>
                <w:lang w:eastAsia="zh-CN"/>
              </w:rPr>
              <w:t>bone marrow smear</w:t>
            </w:r>
          </w:p>
        </w:tc>
        <w:tc>
          <w:tcPr>
            <w:tcW w:w="1152" w:type="dxa"/>
            <w:shd w:val="clear" w:color="auto" w:fill="auto"/>
          </w:tcPr>
          <w:p w14:paraId="2E590157"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32</w:t>
            </w:r>
          </w:p>
        </w:tc>
        <w:tc>
          <w:tcPr>
            <w:tcW w:w="1583" w:type="dxa"/>
            <w:shd w:val="clear" w:color="auto" w:fill="auto"/>
          </w:tcPr>
          <w:p w14:paraId="27952F23"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4</w:t>
            </w:r>
          </w:p>
        </w:tc>
        <w:tc>
          <w:tcPr>
            <w:tcW w:w="1002" w:type="dxa"/>
            <w:shd w:val="clear" w:color="auto" w:fill="auto"/>
          </w:tcPr>
          <w:p w14:paraId="213E24F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Grade II</w:t>
            </w:r>
          </w:p>
        </w:tc>
        <w:tc>
          <w:tcPr>
            <w:tcW w:w="1152" w:type="dxa"/>
            <w:shd w:val="clear" w:color="auto" w:fill="auto"/>
          </w:tcPr>
          <w:p w14:paraId="681CC3A3"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No</w:t>
            </w:r>
          </w:p>
        </w:tc>
        <w:tc>
          <w:tcPr>
            <w:tcW w:w="1152" w:type="dxa"/>
            <w:shd w:val="clear" w:color="auto" w:fill="auto"/>
          </w:tcPr>
          <w:p w14:paraId="328A2EFD"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w:t>
            </w:r>
          </w:p>
        </w:tc>
        <w:tc>
          <w:tcPr>
            <w:tcW w:w="1297" w:type="dxa"/>
            <w:shd w:val="clear" w:color="auto" w:fill="auto"/>
          </w:tcPr>
          <w:p w14:paraId="7A397387"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180</w:t>
            </w:r>
          </w:p>
        </w:tc>
        <w:tc>
          <w:tcPr>
            <w:tcW w:w="1304" w:type="dxa"/>
            <w:shd w:val="clear" w:color="auto" w:fill="auto"/>
          </w:tcPr>
          <w:p w14:paraId="0911F729"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Tuberculosis</w:t>
            </w:r>
          </w:p>
        </w:tc>
      </w:tr>
      <w:tr w:rsidR="00C34BE9" w:rsidRPr="00C34BE9" w14:paraId="6E6DBC9D" w14:textId="77777777" w:rsidTr="00C34BE9">
        <w:tc>
          <w:tcPr>
            <w:tcW w:w="1290" w:type="dxa"/>
            <w:shd w:val="clear" w:color="auto" w:fill="auto"/>
          </w:tcPr>
          <w:p w14:paraId="67EF7B64"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3</w:t>
            </w:r>
          </w:p>
        </w:tc>
        <w:tc>
          <w:tcPr>
            <w:tcW w:w="1728" w:type="dxa"/>
            <w:shd w:val="clear" w:color="auto" w:fill="auto"/>
          </w:tcPr>
          <w:p w14:paraId="695D8AB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Fever</w:t>
            </w:r>
          </w:p>
        </w:tc>
        <w:tc>
          <w:tcPr>
            <w:tcW w:w="1287" w:type="dxa"/>
            <w:shd w:val="clear" w:color="auto" w:fill="auto"/>
          </w:tcPr>
          <w:p w14:paraId="449F4AB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Skin, GI, BM</w:t>
            </w:r>
          </w:p>
        </w:tc>
        <w:tc>
          <w:tcPr>
            <w:tcW w:w="914" w:type="dxa"/>
            <w:shd w:val="clear" w:color="auto" w:fill="auto"/>
          </w:tcPr>
          <w:p w14:paraId="2E02768C"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24</w:t>
            </w:r>
          </w:p>
        </w:tc>
        <w:tc>
          <w:tcPr>
            <w:tcW w:w="1696" w:type="dxa"/>
            <w:shd w:val="clear" w:color="auto" w:fill="auto"/>
          </w:tcPr>
          <w:p w14:paraId="2F8A9C72"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Skin biopsy,</w:t>
            </w:r>
            <w:r w:rsidRPr="00C34BE9">
              <w:rPr>
                <w:rFonts w:ascii="Book Antiqua" w:hAnsi="Book Antiqua" w:cs="Book Antiqua" w:hint="eastAsia"/>
                <w:color w:val="000000"/>
                <w:lang w:eastAsia="zh-CN"/>
              </w:rPr>
              <w:t xml:space="preserve"> </w:t>
            </w:r>
            <w:r w:rsidRPr="00C34BE9">
              <w:rPr>
                <w:rFonts w:ascii="Book Antiqua" w:hAnsi="Book Antiqua" w:cs="Book Antiqua"/>
                <w:color w:val="000000"/>
                <w:lang w:eastAsia="zh-CN"/>
              </w:rPr>
              <w:t>bone marrow smear</w:t>
            </w:r>
          </w:p>
        </w:tc>
        <w:tc>
          <w:tcPr>
            <w:tcW w:w="1152" w:type="dxa"/>
            <w:shd w:val="clear" w:color="auto" w:fill="auto"/>
          </w:tcPr>
          <w:p w14:paraId="73A0951B"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34</w:t>
            </w:r>
          </w:p>
        </w:tc>
        <w:tc>
          <w:tcPr>
            <w:tcW w:w="1583" w:type="dxa"/>
            <w:shd w:val="clear" w:color="auto" w:fill="auto"/>
          </w:tcPr>
          <w:p w14:paraId="728528E3"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10</w:t>
            </w:r>
          </w:p>
        </w:tc>
        <w:tc>
          <w:tcPr>
            <w:tcW w:w="1002" w:type="dxa"/>
            <w:shd w:val="clear" w:color="auto" w:fill="auto"/>
          </w:tcPr>
          <w:p w14:paraId="797E84DF"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Grade II</w:t>
            </w:r>
          </w:p>
        </w:tc>
        <w:tc>
          <w:tcPr>
            <w:tcW w:w="1152" w:type="dxa"/>
            <w:shd w:val="clear" w:color="auto" w:fill="auto"/>
          </w:tcPr>
          <w:p w14:paraId="05BC5B5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Yes</w:t>
            </w:r>
          </w:p>
        </w:tc>
        <w:tc>
          <w:tcPr>
            <w:tcW w:w="1152" w:type="dxa"/>
            <w:shd w:val="clear" w:color="auto" w:fill="auto"/>
          </w:tcPr>
          <w:p w14:paraId="26081974"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w:t>
            </w:r>
          </w:p>
        </w:tc>
        <w:tc>
          <w:tcPr>
            <w:tcW w:w="1297" w:type="dxa"/>
            <w:shd w:val="clear" w:color="auto" w:fill="auto"/>
          </w:tcPr>
          <w:p w14:paraId="1FC5479E"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51</w:t>
            </w:r>
          </w:p>
        </w:tc>
        <w:tc>
          <w:tcPr>
            <w:tcW w:w="1304" w:type="dxa"/>
            <w:shd w:val="clear" w:color="auto" w:fill="auto"/>
          </w:tcPr>
          <w:p w14:paraId="6E592F05"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Sepsis</w:t>
            </w:r>
          </w:p>
        </w:tc>
      </w:tr>
      <w:tr w:rsidR="00C34BE9" w:rsidRPr="00C34BE9" w14:paraId="42773EE5" w14:textId="77777777" w:rsidTr="00C34BE9">
        <w:tc>
          <w:tcPr>
            <w:tcW w:w="1290" w:type="dxa"/>
            <w:shd w:val="clear" w:color="auto" w:fill="auto"/>
          </w:tcPr>
          <w:p w14:paraId="02E9BF2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4</w:t>
            </w:r>
          </w:p>
        </w:tc>
        <w:tc>
          <w:tcPr>
            <w:tcW w:w="1728" w:type="dxa"/>
            <w:shd w:val="clear" w:color="auto" w:fill="auto"/>
          </w:tcPr>
          <w:p w14:paraId="5C573F91"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Fever</w:t>
            </w:r>
          </w:p>
        </w:tc>
        <w:tc>
          <w:tcPr>
            <w:tcW w:w="1287" w:type="dxa"/>
            <w:shd w:val="clear" w:color="auto" w:fill="auto"/>
          </w:tcPr>
          <w:p w14:paraId="1A2E75F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Skin,</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BM,</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CNS</w:t>
            </w:r>
          </w:p>
        </w:tc>
        <w:tc>
          <w:tcPr>
            <w:tcW w:w="914" w:type="dxa"/>
            <w:shd w:val="clear" w:color="auto" w:fill="auto"/>
          </w:tcPr>
          <w:p w14:paraId="036F8E5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17</w:t>
            </w:r>
          </w:p>
        </w:tc>
        <w:tc>
          <w:tcPr>
            <w:tcW w:w="1696" w:type="dxa"/>
            <w:shd w:val="clear" w:color="auto" w:fill="auto"/>
          </w:tcPr>
          <w:p w14:paraId="69B4A01B"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Skin biopsy</w:t>
            </w:r>
          </w:p>
        </w:tc>
        <w:tc>
          <w:tcPr>
            <w:tcW w:w="1152" w:type="dxa"/>
            <w:shd w:val="clear" w:color="auto" w:fill="auto"/>
          </w:tcPr>
          <w:p w14:paraId="516F195A"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19</w:t>
            </w:r>
          </w:p>
        </w:tc>
        <w:tc>
          <w:tcPr>
            <w:tcW w:w="1583" w:type="dxa"/>
            <w:shd w:val="clear" w:color="auto" w:fill="auto"/>
          </w:tcPr>
          <w:p w14:paraId="2E2C80F7"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2</w:t>
            </w:r>
          </w:p>
        </w:tc>
        <w:tc>
          <w:tcPr>
            <w:tcW w:w="1002" w:type="dxa"/>
            <w:shd w:val="clear" w:color="auto" w:fill="auto"/>
          </w:tcPr>
          <w:p w14:paraId="7C5C5373"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Grade III</w:t>
            </w:r>
          </w:p>
        </w:tc>
        <w:tc>
          <w:tcPr>
            <w:tcW w:w="1152" w:type="dxa"/>
            <w:shd w:val="clear" w:color="auto" w:fill="auto"/>
          </w:tcPr>
          <w:p w14:paraId="7CFA6D2B"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Yes</w:t>
            </w:r>
          </w:p>
        </w:tc>
        <w:tc>
          <w:tcPr>
            <w:tcW w:w="1152" w:type="dxa"/>
            <w:shd w:val="clear" w:color="auto" w:fill="auto"/>
          </w:tcPr>
          <w:p w14:paraId="2E3AF75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31527</w:t>
            </w:r>
          </w:p>
        </w:tc>
        <w:tc>
          <w:tcPr>
            <w:tcW w:w="1297" w:type="dxa"/>
            <w:shd w:val="clear" w:color="auto" w:fill="auto"/>
          </w:tcPr>
          <w:p w14:paraId="272FB407"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21</w:t>
            </w:r>
          </w:p>
        </w:tc>
        <w:tc>
          <w:tcPr>
            <w:tcW w:w="1304" w:type="dxa"/>
            <w:shd w:val="clear" w:color="auto" w:fill="auto"/>
          </w:tcPr>
          <w:p w14:paraId="6C1A27D6"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Sepsis</w:t>
            </w:r>
          </w:p>
        </w:tc>
      </w:tr>
      <w:tr w:rsidR="00C34BE9" w:rsidRPr="00C34BE9" w14:paraId="46E6FE0D" w14:textId="77777777" w:rsidTr="00C34BE9">
        <w:tc>
          <w:tcPr>
            <w:tcW w:w="1290" w:type="dxa"/>
            <w:shd w:val="clear" w:color="auto" w:fill="auto"/>
          </w:tcPr>
          <w:p w14:paraId="73B49E4C"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5</w:t>
            </w:r>
          </w:p>
        </w:tc>
        <w:tc>
          <w:tcPr>
            <w:tcW w:w="1728" w:type="dxa"/>
            <w:shd w:val="clear" w:color="auto" w:fill="auto"/>
          </w:tcPr>
          <w:p w14:paraId="7329B1E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Fever</w:t>
            </w:r>
          </w:p>
        </w:tc>
        <w:tc>
          <w:tcPr>
            <w:tcW w:w="1287" w:type="dxa"/>
            <w:shd w:val="clear" w:color="auto" w:fill="auto"/>
          </w:tcPr>
          <w:p w14:paraId="219B0B7E"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Skin, GI, BM</w:t>
            </w:r>
          </w:p>
        </w:tc>
        <w:tc>
          <w:tcPr>
            <w:tcW w:w="914" w:type="dxa"/>
            <w:shd w:val="clear" w:color="auto" w:fill="auto"/>
          </w:tcPr>
          <w:p w14:paraId="54149E24"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31</w:t>
            </w:r>
          </w:p>
        </w:tc>
        <w:tc>
          <w:tcPr>
            <w:tcW w:w="1696" w:type="dxa"/>
            <w:shd w:val="clear" w:color="auto" w:fill="auto"/>
          </w:tcPr>
          <w:p w14:paraId="36039BDA"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Skin biopsy,</w:t>
            </w:r>
            <w:r w:rsidRPr="00C34BE9">
              <w:rPr>
                <w:rFonts w:ascii="Book Antiqua" w:hAnsi="Book Antiqua" w:cs="Book Antiqua" w:hint="eastAsia"/>
                <w:color w:val="000000"/>
                <w:lang w:eastAsia="zh-CN"/>
              </w:rPr>
              <w:t xml:space="preserve"> </w:t>
            </w:r>
            <w:r w:rsidRPr="00C34BE9">
              <w:rPr>
                <w:rFonts w:ascii="Book Antiqua" w:hAnsi="Book Antiqua" w:cs="Book Antiqua"/>
                <w:color w:val="000000"/>
                <w:lang w:eastAsia="zh-CN"/>
              </w:rPr>
              <w:t>bone marrow smear</w:t>
            </w:r>
          </w:p>
        </w:tc>
        <w:tc>
          <w:tcPr>
            <w:tcW w:w="1152" w:type="dxa"/>
            <w:shd w:val="clear" w:color="auto" w:fill="auto"/>
          </w:tcPr>
          <w:p w14:paraId="437ECCB1"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38</w:t>
            </w:r>
          </w:p>
        </w:tc>
        <w:tc>
          <w:tcPr>
            <w:tcW w:w="1583" w:type="dxa"/>
            <w:shd w:val="clear" w:color="auto" w:fill="auto"/>
          </w:tcPr>
          <w:p w14:paraId="727F7B9D"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7</w:t>
            </w:r>
          </w:p>
        </w:tc>
        <w:tc>
          <w:tcPr>
            <w:tcW w:w="1002" w:type="dxa"/>
            <w:shd w:val="clear" w:color="auto" w:fill="auto"/>
          </w:tcPr>
          <w:p w14:paraId="1FB623A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Grade II</w:t>
            </w:r>
          </w:p>
        </w:tc>
        <w:tc>
          <w:tcPr>
            <w:tcW w:w="1152" w:type="dxa"/>
            <w:shd w:val="clear" w:color="auto" w:fill="auto"/>
          </w:tcPr>
          <w:p w14:paraId="2982B3FB"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No</w:t>
            </w:r>
          </w:p>
        </w:tc>
        <w:tc>
          <w:tcPr>
            <w:tcW w:w="1152" w:type="dxa"/>
            <w:shd w:val="clear" w:color="auto" w:fill="auto"/>
          </w:tcPr>
          <w:p w14:paraId="163F76C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1297" w:type="dxa"/>
            <w:shd w:val="clear" w:color="auto" w:fill="auto"/>
          </w:tcPr>
          <w:p w14:paraId="1BBBAA6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Alive</w:t>
            </w:r>
          </w:p>
        </w:tc>
        <w:tc>
          <w:tcPr>
            <w:tcW w:w="1304" w:type="dxa"/>
            <w:shd w:val="clear" w:color="auto" w:fill="auto"/>
          </w:tcPr>
          <w:p w14:paraId="0984CE32" w14:textId="77777777" w:rsidR="00C34BE9" w:rsidRPr="00C34BE9" w:rsidRDefault="00C34BE9" w:rsidP="00C34BE9">
            <w:pPr>
              <w:widowControl w:val="0"/>
              <w:adjustRightInd w:val="0"/>
              <w:snapToGrid w:val="0"/>
              <w:spacing w:line="360" w:lineRule="auto"/>
              <w:ind w:firstLineChars="200" w:firstLine="480"/>
              <w:jc w:val="both"/>
              <w:rPr>
                <w:rFonts w:ascii="Book Antiqua" w:hAnsi="Book Antiqua" w:cs="Book Antiqua"/>
                <w:color w:val="000000"/>
                <w:lang w:eastAsia="zh-CN"/>
              </w:rPr>
            </w:pPr>
            <w:r w:rsidRPr="00C34BE9">
              <w:rPr>
                <w:rFonts w:ascii="Book Antiqua" w:hAnsi="Book Antiqua" w:cs="Book Antiqua"/>
                <w:color w:val="000000"/>
                <w:lang w:eastAsia="zh-CN"/>
              </w:rPr>
              <w:t>-</w:t>
            </w:r>
          </w:p>
        </w:tc>
      </w:tr>
      <w:tr w:rsidR="00C34BE9" w:rsidRPr="00C34BE9" w14:paraId="36A37AD7" w14:textId="77777777" w:rsidTr="00C34BE9">
        <w:tc>
          <w:tcPr>
            <w:tcW w:w="1290" w:type="dxa"/>
            <w:shd w:val="clear" w:color="auto" w:fill="auto"/>
          </w:tcPr>
          <w:p w14:paraId="26AD00CE"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6</w:t>
            </w:r>
          </w:p>
        </w:tc>
        <w:tc>
          <w:tcPr>
            <w:tcW w:w="1728" w:type="dxa"/>
            <w:shd w:val="clear" w:color="auto" w:fill="auto"/>
          </w:tcPr>
          <w:p w14:paraId="5604AEA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Fever</w:t>
            </w:r>
          </w:p>
        </w:tc>
        <w:tc>
          <w:tcPr>
            <w:tcW w:w="1287" w:type="dxa"/>
            <w:shd w:val="clear" w:color="auto" w:fill="auto"/>
          </w:tcPr>
          <w:p w14:paraId="0CAC67DA"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Skin, GI, BM</w:t>
            </w:r>
          </w:p>
        </w:tc>
        <w:tc>
          <w:tcPr>
            <w:tcW w:w="914" w:type="dxa"/>
            <w:shd w:val="clear" w:color="auto" w:fill="auto"/>
          </w:tcPr>
          <w:p w14:paraId="4D18D85B"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18</w:t>
            </w:r>
          </w:p>
        </w:tc>
        <w:tc>
          <w:tcPr>
            <w:tcW w:w="1696" w:type="dxa"/>
            <w:shd w:val="clear" w:color="auto" w:fill="auto"/>
          </w:tcPr>
          <w:p w14:paraId="4D3103CF"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Skin biopsy</w:t>
            </w:r>
          </w:p>
        </w:tc>
        <w:tc>
          <w:tcPr>
            <w:tcW w:w="1152" w:type="dxa"/>
            <w:shd w:val="clear" w:color="auto" w:fill="auto"/>
          </w:tcPr>
          <w:p w14:paraId="6C6BF37D"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31</w:t>
            </w:r>
          </w:p>
        </w:tc>
        <w:tc>
          <w:tcPr>
            <w:tcW w:w="1583" w:type="dxa"/>
            <w:shd w:val="clear" w:color="auto" w:fill="auto"/>
          </w:tcPr>
          <w:p w14:paraId="0468F3B5"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13</w:t>
            </w:r>
          </w:p>
        </w:tc>
        <w:tc>
          <w:tcPr>
            <w:tcW w:w="1002" w:type="dxa"/>
            <w:shd w:val="clear" w:color="auto" w:fill="auto"/>
          </w:tcPr>
          <w:p w14:paraId="495A0C71"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Grade III</w:t>
            </w:r>
          </w:p>
        </w:tc>
        <w:tc>
          <w:tcPr>
            <w:tcW w:w="1152" w:type="dxa"/>
            <w:shd w:val="clear" w:color="auto" w:fill="auto"/>
          </w:tcPr>
          <w:p w14:paraId="1E9C32E7"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Yes</w:t>
            </w:r>
          </w:p>
        </w:tc>
        <w:tc>
          <w:tcPr>
            <w:tcW w:w="1152" w:type="dxa"/>
            <w:shd w:val="clear" w:color="auto" w:fill="auto"/>
          </w:tcPr>
          <w:p w14:paraId="6959985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w:t>
            </w:r>
          </w:p>
        </w:tc>
        <w:tc>
          <w:tcPr>
            <w:tcW w:w="1297" w:type="dxa"/>
            <w:shd w:val="clear" w:color="auto" w:fill="auto"/>
          </w:tcPr>
          <w:p w14:paraId="2D35317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bidi="ar"/>
              </w:rPr>
              <w:t>45</w:t>
            </w:r>
          </w:p>
        </w:tc>
        <w:tc>
          <w:tcPr>
            <w:tcW w:w="1304" w:type="dxa"/>
            <w:shd w:val="clear" w:color="auto" w:fill="auto"/>
          </w:tcPr>
          <w:p w14:paraId="6CB6A9F8"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Sepsis</w:t>
            </w:r>
          </w:p>
        </w:tc>
      </w:tr>
      <w:bookmarkEnd w:id="15"/>
      <w:bookmarkEnd w:id="18"/>
    </w:tbl>
    <w:p w14:paraId="38AC6BBD" w14:textId="77777777" w:rsidR="00C34BE9" w:rsidRDefault="00C34BE9">
      <w:pPr>
        <w:adjustRightInd w:val="0"/>
        <w:snapToGrid w:val="0"/>
        <w:spacing w:line="360" w:lineRule="auto"/>
        <w:jc w:val="both"/>
        <w:rPr>
          <w:rFonts w:ascii="Book Antiqua" w:hAnsi="Book Antiqua" w:cs="Book Antiqua"/>
          <w:b/>
          <w:bCs/>
          <w:color w:val="000000"/>
        </w:rPr>
      </w:pPr>
    </w:p>
    <w:bookmarkEnd w:id="14"/>
    <w:p w14:paraId="49ADFF23" w14:textId="77777777" w:rsidR="00C34BE9" w:rsidRDefault="00C34BE9">
      <w:pPr>
        <w:adjustRightInd w:val="0"/>
        <w:snapToGrid w:val="0"/>
        <w:spacing w:line="360" w:lineRule="auto"/>
        <w:jc w:val="both"/>
        <w:rPr>
          <w:rFonts w:ascii="Book Antiqua" w:hAnsi="Book Antiqua"/>
          <w:color w:val="000000"/>
          <w:lang w:eastAsia="zh-CN"/>
        </w:rPr>
      </w:pPr>
      <w:r>
        <w:rPr>
          <w:rFonts w:ascii="Book Antiqua" w:hAnsi="Book Antiqua"/>
          <w:color w:val="000000"/>
          <w:lang w:eastAsia="zh-CN"/>
        </w:rPr>
        <w:t xml:space="preserve">LT: </w:t>
      </w:r>
      <w:r>
        <w:rPr>
          <w:rFonts w:ascii="Book Antiqua" w:hAnsi="Book Antiqua" w:cs="Book Antiqua"/>
          <w:color w:val="000000"/>
        </w:rPr>
        <w:t>Liver transplantation</w:t>
      </w:r>
      <w:r>
        <w:rPr>
          <w:rFonts w:ascii="Book Antiqua" w:hAnsi="Book Antiqua"/>
          <w:color w:val="000000"/>
          <w:lang w:eastAsia="zh-CN"/>
        </w:rPr>
        <w:t xml:space="preserve">; </w:t>
      </w:r>
      <w:r>
        <w:rPr>
          <w:rFonts w:ascii="Book Antiqua" w:hAnsi="Book Antiqua" w:cs="Book Antiqua"/>
          <w:color w:val="000000"/>
          <w:lang w:eastAsia="zh-CN"/>
        </w:rPr>
        <w:t>GVHD</w:t>
      </w:r>
      <w:r>
        <w:rPr>
          <w:rFonts w:ascii="Book Antiqua" w:hAnsi="Book Antiqua" w:cs="Book Antiqua"/>
          <w:b/>
          <w:bCs/>
          <w:color w:val="000000"/>
          <w:lang w:eastAsia="zh-CN"/>
        </w:rPr>
        <w:t xml:space="preserve">: </w:t>
      </w:r>
      <w:r>
        <w:rPr>
          <w:rFonts w:ascii="Book Antiqua" w:eastAsia="Book Antiqua" w:hAnsi="Book Antiqua" w:cs="Book Antiqua"/>
          <w:color w:val="000000"/>
        </w:rPr>
        <w:t>Graft-versus-host disease</w:t>
      </w:r>
      <w:r>
        <w:rPr>
          <w:rFonts w:ascii="Book Antiqua" w:hAnsi="Book Antiqua" w:cs="Book Antiqua"/>
          <w:color w:val="000000"/>
          <w:lang w:eastAsia="zh-CN" w:bidi="ar"/>
        </w:rPr>
        <w:t>; GI:</w:t>
      </w:r>
      <w:r>
        <w:rPr>
          <w:rFonts w:ascii="Book Antiqua" w:eastAsia="Book Antiqua" w:hAnsi="Book Antiqua" w:cs="Book Antiqua"/>
          <w:color w:val="000000"/>
        </w:rPr>
        <w:t xml:space="preserve"> Gastrointestinal;</w:t>
      </w:r>
      <w:r>
        <w:rPr>
          <w:rFonts w:ascii="Book Antiqua" w:hAnsi="Book Antiqua" w:cs="Book Antiqua"/>
          <w:color w:val="000000"/>
          <w:lang w:eastAsia="zh-CN" w:bidi="ar"/>
        </w:rPr>
        <w:t xml:space="preserve"> BM:</w:t>
      </w:r>
      <w:r>
        <w:rPr>
          <w:rFonts w:ascii="Book Antiqua" w:eastAsia="Book Antiqua" w:hAnsi="Book Antiqua" w:cs="Book Antiqua"/>
          <w:color w:val="000000"/>
        </w:rPr>
        <w:t xml:space="preserve"> Bone marrow.</w:t>
      </w:r>
    </w:p>
    <w:p w14:paraId="3321B483" w14:textId="77777777" w:rsidR="00C34BE9" w:rsidRDefault="00C34BE9">
      <w:pPr>
        <w:rPr>
          <w:rFonts w:ascii="Book Antiqua" w:hAnsi="Book Antiqua"/>
          <w:color w:val="000000"/>
          <w:lang w:eastAsia="zh-CN"/>
        </w:rPr>
      </w:pPr>
      <w:r>
        <w:rPr>
          <w:rFonts w:ascii="Book Antiqua" w:hAnsi="Book Antiqua"/>
          <w:color w:val="000000"/>
          <w:lang w:eastAsia="zh-CN"/>
        </w:rPr>
        <w:br w:type="page"/>
      </w:r>
    </w:p>
    <w:p w14:paraId="2F16D46A" w14:textId="77777777" w:rsidR="00C34BE9" w:rsidRDefault="00C34BE9">
      <w:pPr>
        <w:adjustRightInd w:val="0"/>
        <w:snapToGrid w:val="0"/>
        <w:spacing w:line="360" w:lineRule="auto"/>
        <w:jc w:val="both"/>
        <w:rPr>
          <w:rFonts w:ascii="Book Antiqua" w:hAnsi="Book Antiqua" w:cs="Book Antiqua"/>
          <w:b/>
          <w:bCs/>
          <w:color w:val="000000"/>
        </w:rPr>
      </w:pPr>
      <w:r>
        <w:rPr>
          <w:rFonts w:ascii="Book Antiqua" w:hAnsi="Book Antiqua" w:cs="Book Antiqua"/>
          <w:b/>
          <w:bCs/>
          <w:color w:val="000000"/>
        </w:rPr>
        <w:t xml:space="preserve">Table 3 The treatment and prognosis of </w:t>
      </w:r>
      <w:r>
        <w:rPr>
          <w:rFonts w:ascii="Book Antiqua" w:hAnsi="Book Antiqua" w:cs="Book Antiqua"/>
          <w:b/>
          <w:bCs/>
          <w:color w:val="000000"/>
          <w:lang w:eastAsia="zh-CN"/>
        </w:rPr>
        <w:t>six</w:t>
      </w:r>
      <w:r>
        <w:rPr>
          <w:rFonts w:ascii="Book Antiqua" w:hAnsi="Book Antiqua" w:cs="Book Antiqua"/>
          <w:b/>
          <w:bCs/>
          <w:color w:val="000000"/>
        </w:rPr>
        <w:t xml:space="preserve"> </w:t>
      </w:r>
      <w:r>
        <w:rPr>
          <w:rFonts w:ascii="Book Antiqua" w:eastAsia="Book Antiqua" w:hAnsi="Book Antiqua" w:cs="Book Antiqua"/>
          <w:b/>
          <w:bCs/>
          <w:color w:val="000000"/>
        </w:rPr>
        <w:t>graft-versus-host disease</w:t>
      </w:r>
      <w:r>
        <w:rPr>
          <w:rFonts w:ascii="Book Antiqua" w:hAnsi="Book Antiqua" w:cs="Book Antiqua"/>
          <w:b/>
          <w:bCs/>
          <w:color w:val="000000"/>
        </w:rPr>
        <w:t xml:space="preserve"> patients</w:t>
      </w:r>
    </w:p>
    <w:tbl>
      <w:tblPr>
        <w:tblpPr w:leftFromText="180" w:rightFromText="180" w:vertAnchor="text" w:horzAnchor="margin" w:tblpY="68"/>
        <w:tblOverlap w:val="never"/>
        <w:tblW w:w="5203" w:type="pct"/>
        <w:tblBorders>
          <w:top w:val="single" w:sz="4" w:space="0" w:color="auto"/>
          <w:bottom w:val="single" w:sz="4" w:space="0" w:color="auto"/>
        </w:tblBorders>
        <w:tblLook w:val="0000" w:firstRow="0" w:lastRow="0" w:firstColumn="0" w:lastColumn="0" w:noHBand="0" w:noVBand="0"/>
      </w:tblPr>
      <w:tblGrid>
        <w:gridCol w:w="1096"/>
        <w:gridCol w:w="2470"/>
        <w:gridCol w:w="1456"/>
        <w:gridCol w:w="1946"/>
        <w:gridCol w:w="2565"/>
        <w:gridCol w:w="1458"/>
        <w:gridCol w:w="950"/>
        <w:gridCol w:w="790"/>
        <w:gridCol w:w="897"/>
        <w:gridCol w:w="1300"/>
      </w:tblGrid>
      <w:tr w:rsidR="00C34BE9" w:rsidRPr="00C34BE9" w14:paraId="00C607AF" w14:textId="77777777" w:rsidTr="00C34BE9">
        <w:tc>
          <w:tcPr>
            <w:tcW w:w="0" w:type="auto"/>
            <w:vMerge w:val="restart"/>
            <w:tcBorders>
              <w:top w:val="single" w:sz="4" w:space="0" w:color="auto"/>
              <w:bottom w:val="single" w:sz="4" w:space="0" w:color="auto"/>
            </w:tcBorders>
            <w:shd w:val="clear" w:color="auto" w:fill="auto"/>
          </w:tcPr>
          <w:p w14:paraId="19DFC3A5"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Patients</w:t>
            </w:r>
          </w:p>
        </w:tc>
        <w:tc>
          <w:tcPr>
            <w:tcW w:w="0" w:type="auto"/>
            <w:vMerge w:val="restart"/>
            <w:tcBorders>
              <w:top w:val="single" w:sz="4" w:space="0" w:color="auto"/>
              <w:bottom w:val="single" w:sz="4" w:space="0" w:color="auto"/>
            </w:tcBorders>
            <w:shd w:val="clear" w:color="auto" w:fill="auto"/>
          </w:tcPr>
          <w:p w14:paraId="38616250"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Methylprednisolone</w:t>
            </w:r>
          </w:p>
        </w:tc>
        <w:tc>
          <w:tcPr>
            <w:tcW w:w="0" w:type="auto"/>
            <w:gridSpan w:val="5"/>
            <w:tcBorders>
              <w:top w:val="single" w:sz="4" w:space="0" w:color="auto"/>
              <w:bottom w:val="single" w:sz="4" w:space="0" w:color="auto"/>
            </w:tcBorders>
            <w:shd w:val="clear" w:color="auto" w:fill="auto"/>
          </w:tcPr>
          <w:p w14:paraId="0B057AF2"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Immunosuppressant</w:t>
            </w:r>
          </w:p>
        </w:tc>
        <w:tc>
          <w:tcPr>
            <w:tcW w:w="0" w:type="auto"/>
            <w:vMerge w:val="restart"/>
            <w:tcBorders>
              <w:top w:val="single" w:sz="4" w:space="0" w:color="auto"/>
              <w:bottom w:val="single" w:sz="4" w:space="0" w:color="auto"/>
            </w:tcBorders>
            <w:shd w:val="clear" w:color="auto" w:fill="auto"/>
          </w:tcPr>
          <w:p w14:paraId="6C4A4E42"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IVIG</w:t>
            </w:r>
          </w:p>
        </w:tc>
        <w:tc>
          <w:tcPr>
            <w:tcW w:w="0" w:type="auto"/>
            <w:vMerge w:val="restart"/>
            <w:tcBorders>
              <w:top w:val="single" w:sz="4" w:space="0" w:color="auto"/>
              <w:bottom w:val="single" w:sz="4" w:space="0" w:color="auto"/>
            </w:tcBorders>
            <w:shd w:val="clear" w:color="auto" w:fill="auto"/>
          </w:tcPr>
          <w:p w14:paraId="79A92A97"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CRRT</w:t>
            </w:r>
          </w:p>
        </w:tc>
        <w:tc>
          <w:tcPr>
            <w:tcW w:w="0" w:type="auto"/>
            <w:vMerge w:val="restart"/>
            <w:tcBorders>
              <w:top w:val="single" w:sz="4" w:space="0" w:color="auto"/>
              <w:bottom w:val="single" w:sz="4" w:space="0" w:color="auto"/>
            </w:tcBorders>
            <w:shd w:val="clear" w:color="auto" w:fill="auto"/>
          </w:tcPr>
          <w:p w14:paraId="69D3E35B"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bookmarkStart w:id="20" w:name="OLE_LINK44"/>
            <w:r w:rsidRPr="00C34BE9">
              <w:rPr>
                <w:rFonts w:ascii="Book Antiqua" w:hAnsi="Book Antiqua" w:cs="Book Antiqua"/>
                <w:b/>
                <w:bCs/>
                <w:color w:val="000000"/>
                <w:lang w:eastAsia="zh-CN"/>
              </w:rPr>
              <w:t>G-CSF</w:t>
            </w:r>
            <w:bookmarkEnd w:id="20"/>
            <w:r w:rsidRPr="00C34BE9">
              <w:rPr>
                <w:rFonts w:ascii="Book Antiqua" w:hAnsi="Book Antiqua" w:cs="Book Antiqua"/>
                <w:b/>
                <w:bCs/>
                <w:color w:val="000000"/>
                <w:lang w:eastAsia="zh-CN"/>
              </w:rPr>
              <w:t>/GM-CSF</w:t>
            </w:r>
          </w:p>
        </w:tc>
      </w:tr>
      <w:tr w:rsidR="00C34BE9" w:rsidRPr="00C34BE9" w14:paraId="7F2E489E" w14:textId="77777777" w:rsidTr="00C34BE9">
        <w:tc>
          <w:tcPr>
            <w:tcW w:w="0" w:type="auto"/>
            <w:vMerge/>
            <w:tcBorders>
              <w:top w:val="single" w:sz="4" w:space="0" w:color="auto"/>
              <w:bottom w:val="single" w:sz="4" w:space="0" w:color="auto"/>
            </w:tcBorders>
            <w:shd w:val="clear" w:color="auto" w:fill="auto"/>
          </w:tcPr>
          <w:p w14:paraId="48216E16"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p>
        </w:tc>
        <w:tc>
          <w:tcPr>
            <w:tcW w:w="0" w:type="auto"/>
            <w:vMerge/>
            <w:tcBorders>
              <w:top w:val="single" w:sz="4" w:space="0" w:color="auto"/>
              <w:bottom w:val="single" w:sz="4" w:space="0" w:color="auto"/>
            </w:tcBorders>
            <w:shd w:val="clear" w:color="auto" w:fill="auto"/>
          </w:tcPr>
          <w:p w14:paraId="45890D99"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p>
        </w:tc>
        <w:tc>
          <w:tcPr>
            <w:tcW w:w="0" w:type="auto"/>
            <w:tcBorders>
              <w:top w:val="single" w:sz="4" w:space="0" w:color="auto"/>
              <w:bottom w:val="single" w:sz="4" w:space="0" w:color="auto"/>
            </w:tcBorders>
            <w:shd w:val="clear" w:color="auto" w:fill="auto"/>
          </w:tcPr>
          <w:p w14:paraId="35DB7016"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Tacrolimus</w:t>
            </w:r>
          </w:p>
        </w:tc>
        <w:tc>
          <w:tcPr>
            <w:tcW w:w="652" w:type="pct"/>
            <w:tcBorders>
              <w:top w:val="single" w:sz="4" w:space="0" w:color="auto"/>
              <w:bottom w:val="single" w:sz="4" w:space="0" w:color="auto"/>
            </w:tcBorders>
            <w:shd w:val="clear" w:color="auto" w:fill="auto"/>
          </w:tcPr>
          <w:p w14:paraId="3E67DD1A"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Cyclosporin</w:t>
            </w:r>
          </w:p>
        </w:tc>
        <w:tc>
          <w:tcPr>
            <w:tcW w:w="859" w:type="pct"/>
            <w:tcBorders>
              <w:top w:val="single" w:sz="4" w:space="0" w:color="auto"/>
              <w:bottom w:val="single" w:sz="4" w:space="0" w:color="auto"/>
            </w:tcBorders>
            <w:shd w:val="clear" w:color="auto" w:fill="auto"/>
          </w:tcPr>
          <w:p w14:paraId="3199F182"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Basiliximab/Zenapax</w:t>
            </w:r>
          </w:p>
        </w:tc>
        <w:tc>
          <w:tcPr>
            <w:tcW w:w="0" w:type="auto"/>
            <w:tcBorders>
              <w:top w:val="single" w:sz="4" w:space="0" w:color="auto"/>
              <w:bottom w:val="single" w:sz="4" w:space="0" w:color="auto"/>
            </w:tcBorders>
            <w:shd w:val="clear" w:color="auto" w:fill="auto"/>
          </w:tcPr>
          <w:p w14:paraId="79D2D181"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TNF-α</w:t>
            </w:r>
            <w:r w:rsidRPr="00C34BE9">
              <w:rPr>
                <w:rFonts w:ascii="Book Antiqua" w:hAnsi="Book Antiqua" w:cs="Book Antiqua" w:hint="eastAsia"/>
                <w:b/>
                <w:bCs/>
                <w:color w:val="000000"/>
                <w:lang w:eastAsia="zh-CN"/>
              </w:rPr>
              <w:t xml:space="preserve"> </w:t>
            </w:r>
            <w:r w:rsidRPr="00C34BE9">
              <w:rPr>
                <w:rFonts w:ascii="Book Antiqua" w:hAnsi="Book Antiqua" w:cs="Book Antiqua"/>
                <w:b/>
                <w:bCs/>
                <w:color w:val="000000"/>
                <w:lang w:eastAsia="zh-CN"/>
              </w:rPr>
              <w:t>inhibitor</w:t>
            </w:r>
          </w:p>
        </w:tc>
        <w:tc>
          <w:tcPr>
            <w:tcW w:w="0" w:type="auto"/>
            <w:tcBorders>
              <w:top w:val="single" w:sz="4" w:space="0" w:color="auto"/>
              <w:bottom w:val="single" w:sz="4" w:space="0" w:color="auto"/>
            </w:tcBorders>
            <w:shd w:val="clear" w:color="auto" w:fill="auto"/>
          </w:tcPr>
          <w:p w14:paraId="27BC346E"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r w:rsidRPr="00C34BE9">
              <w:rPr>
                <w:rFonts w:ascii="Book Antiqua" w:hAnsi="Book Antiqua" w:cs="Book Antiqua"/>
                <w:b/>
                <w:bCs/>
                <w:color w:val="000000"/>
                <w:lang w:eastAsia="zh-CN"/>
              </w:rPr>
              <w:t>ATG</w:t>
            </w:r>
          </w:p>
        </w:tc>
        <w:tc>
          <w:tcPr>
            <w:tcW w:w="0" w:type="auto"/>
            <w:vMerge/>
            <w:tcBorders>
              <w:top w:val="single" w:sz="4" w:space="0" w:color="auto"/>
              <w:bottom w:val="single" w:sz="4" w:space="0" w:color="auto"/>
            </w:tcBorders>
            <w:shd w:val="clear" w:color="auto" w:fill="auto"/>
          </w:tcPr>
          <w:p w14:paraId="7A342F75"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p>
        </w:tc>
        <w:tc>
          <w:tcPr>
            <w:tcW w:w="0" w:type="auto"/>
            <w:vMerge/>
            <w:tcBorders>
              <w:top w:val="single" w:sz="4" w:space="0" w:color="auto"/>
              <w:bottom w:val="single" w:sz="4" w:space="0" w:color="auto"/>
            </w:tcBorders>
            <w:shd w:val="clear" w:color="auto" w:fill="auto"/>
          </w:tcPr>
          <w:p w14:paraId="3F0D90FE"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p>
        </w:tc>
        <w:tc>
          <w:tcPr>
            <w:tcW w:w="0" w:type="auto"/>
            <w:vMerge/>
            <w:tcBorders>
              <w:top w:val="single" w:sz="4" w:space="0" w:color="auto"/>
              <w:bottom w:val="single" w:sz="4" w:space="0" w:color="auto"/>
            </w:tcBorders>
            <w:shd w:val="clear" w:color="auto" w:fill="auto"/>
          </w:tcPr>
          <w:p w14:paraId="068032EC" w14:textId="77777777" w:rsidR="00C34BE9" w:rsidRPr="00C34BE9" w:rsidRDefault="00C34BE9" w:rsidP="00C34BE9">
            <w:pPr>
              <w:widowControl w:val="0"/>
              <w:adjustRightInd w:val="0"/>
              <w:snapToGrid w:val="0"/>
              <w:spacing w:line="360" w:lineRule="auto"/>
              <w:jc w:val="both"/>
              <w:rPr>
                <w:rFonts w:ascii="Book Antiqua" w:hAnsi="Book Antiqua" w:cs="Book Antiqua"/>
                <w:b/>
                <w:bCs/>
                <w:color w:val="000000"/>
                <w:lang w:eastAsia="zh-CN"/>
              </w:rPr>
            </w:pPr>
          </w:p>
        </w:tc>
      </w:tr>
      <w:tr w:rsidR="00C34BE9" w:rsidRPr="00C34BE9" w14:paraId="2E2F6C6C" w14:textId="77777777" w:rsidTr="00C34BE9">
        <w:tc>
          <w:tcPr>
            <w:tcW w:w="0" w:type="auto"/>
            <w:tcBorders>
              <w:top w:val="single" w:sz="4" w:space="0" w:color="auto"/>
            </w:tcBorders>
            <w:shd w:val="clear" w:color="auto" w:fill="auto"/>
            <w:vAlign w:val="center"/>
          </w:tcPr>
          <w:p w14:paraId="2DA4E124"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1</w:t>
            </w:r>
          </w:p>
        </w:tc>
        <w:tc>
          <w:tcPr>
            <w:tcW w:w="0" w:type="auto"/>
            <w:tcBorders>
              <w:top w:val="single" w:sz="4" w:space="0" w:color="auto"/>
            </w:tcBorders>
            <w:shd w:val="clear" w:color="auto" w:fill="auto"/>
            <w:vAlign w:val="center"/>
          </w:tcPr>
          <w:p w14:paraId="295DF2C7"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10 mg/kg/d</w:t>
            </w:r>
          </w:p>
        </w:tc>
        <w:tc>
          <w:tcPr>
            <w:tcW w:w="0" w:type="auto"/>
            <w:tcBorders>
              <w:top w:val="single" w:sz="4" w:space="0" w:color="auto"/>
            </w:tcBorders>
            <w:shd w:val="clear" w:color="auto" w:fill="auto"/>
            <w:vAlign w:val="center"/>
          </w:tcPr>
          <w:p w14:paraId="143787D3"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w:t>
            </w:r>
          </w:p>
        </w:tc>
        <w:tc>
          <w:tcPr>
            <w:tcW w:w="652" w:type="pct"/>
            <w:tcBorders>
              <w:top w:val="single" w:sz="4" w:space="0" w:color="auto"/>
            </w:tcBorders>
            <w:shd w:val="clear" w:color="auto" w:fill="auto"/>
            <w:vAlign w:val="center"/>
          </w:tcPr>
          <w:p w14:paraId="316260BA"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859" w:type="pct"/>
            <w:tcBorders>
              <w:top w:val="single" w:sz="4" w:space="0" w:color="auto"/>
            </w:tcBorders>
            <w:shd w:val="clear" w:color="auto" w:fill="auto"/>
            <w:vAlign w:val="center"/>
          </w:tcPr>
          <w:p w14:paraId="26258674"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Zenapax</w:t>
            </w:r>
            <w:r w:rsidRPr="00C34BE9">
              <w:rPr>
                <w:rFonts w:ascii="Book Antiqua" w:hAnsi="Book Antiqua" w:cs="Book Antiqua" w:hint="eastAsia"/>
                <w:color w:val="000000"/>
                <w:lang w:eastAsia="zh-CN"/>
              </w:rPr>
              <w:t xml:space="preserve"> </w:t>
            </w:r>
            <w:r w:rsidRPr="00C34BE9">
              <w:rPr>
                <w:rFonts w:ascii="Book Antiqua" w:hAnsi="Book Antiqua" w:cs="Book Antiqua"/>
                <w:color w:val="000000"/>
                <w:lang w:eastAsia="zh-CN"/>
              </w:rPr>
              <w:t>(2 doses)</w:t>
            </w:r>
          </w:p>
        </w:tc>
        <w:tc>
          <w:tcPr>
            <w:tcW w:w="0" w:type="auto"/>
            <w:tcBorders>
              <w:top w:val="single" w:sz="4" w:space="0" w:color="auto"/>
            </w:tcBorders>
            <w:shd w:val="clear" w:color="auto" w:fill="auto"/>
            <w:vAlign w:val="center"/>
          </w:tcPr>
          <w:p w14:paraId="08A3E38A"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w:t>
            </w:r>
          </w:p>
        </w:tc>
        <w:tc>
          <w:tcPr>
            <w:tcW w:w="0" w:type="auto"/>
            <w:tcBorders>
              <w:top w:val="single" w:sz="4" w:space="0" w:color="auto"/>
            </w:tcBorders>
            <w:shd w:val="clear" w:color="auto" w:fill="auto"/>
            <w:vAlign w:val="center"/>
          </w:tcPr>
          <w:p w14:paraId="125CDEFB"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tcBorders>
              <w:top w:val="single" w:sz="4" w:space="0" w:color="auto"/>
            </w:tcBorders>
            <w:shd w:val="clear" w:color="auto" w:fill="auto"/>
            <w:vAlign w:val="center"/>
          </w:tcPr>
          <w:p w14:paraId="0FE2FF5B"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tcBorders>
              <w:top w:val="single" w:sz="4" w:space="0" w:color="auto"/>
            </w:tcBorders>
            <w:shd w:val="clear" w:color="auto" w:fill="auto"/>
            <w:vAlign w:val="center"/>
          </w:tcPr>
          <w:p w14:paraId="126AF411"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tcBorders>
              <w:top w:val="single" w:sz="4" w:space="0" w:color="auto"/>
            </w:tcBorders>
            <w:shd w:val="clear" w:color="auto" w:fill="auto"/>
            <w:vAlign w:val="center"/>
          </w:tcPr>
          <w:p w14:paraId="2C21F7E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r>
      <w:tr w:rsidR="00C34BE9" w:rsidRPr="00C34BE9" w14:paraId="4DB18C1F" w14:textId="77777777" w:rsidTr="00C34BE9">
        <w:tc>
          <w:tcPr>
            <w:tcW w:w="0" w:type="auto"/>
            <w:shd w:val="clear" w:color="auto" w:fill="auto"/>
            <w:vAlign w:val="center"/>
          </w:tcPr>
          <w:p w14:paraId="6C5F447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2</w:t>
            </w:r>
          </w:p>
        </w:tc>
        <w:tc>
          <w:tcPr>
            <w:tcW w:w="0" w:type="auto"/>
            <w:shd w:val="clear" w:color="auto" w:fill="auto"/>
            <w:vAlign w:val="center"/>
          </w:tcPr>
          <w:p w14:paraId="1DD2BC9C"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10 mg/kg/d</w:t>
            </w:r>
          </w:p>
        </w:tc>
        <w:tc>
          <w:tcPr>
            <w:tcW w:w="0" w:type="auto"/>
            <w:shd w:val="clear" w:color="auto" w:fill="auto"/>
            <w:vAlign w:val="center"/>
          </w:tcPr>
          <w:p w14:paraId="389A80D1"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w:t>
            </w:r>
          </w:p>
        </w:tc>
        <w:tc>
          <w:tcPr>
            <w:tcW w:w="652" w:type="pct"/>
            <w:shd w:val="clear" w:color="auto" w:fill="auto"/>
            <w:vAlign w:val="center"/>
          </w:tcPr>
          <w:p w14:paraId="1A4CAB1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859" w:type="pct"/>
            <w:shd w:val="clear" w:color="auto" w:fill="auto"/>
            <w:vAlign w:val="center"/>
          </w:tcPr>
          <w:p w14:paraId="0A4C710B"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319964C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w:t>
            </w:r>
          </w:p>
        </w:tc>
        <w:tc>
          <w:tcPr>
            <w:tcW w:w="0" w:type="auto"/>
            <w:shd w:val="clear" w:color="auto" w:fill="auto"/>
            <w:vAlign w:val="center"/>
          </w:tcPr>
          <w:p w14:paraId="64BAE49A"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70E0D364"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7C1A8F4C"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21F84D13"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r>
      <w:tr w:rsidR="00C34BE9" w:rsidRPr="00C34BE9" w14:paraId="1F4556DF" w14:textId="77777777" w:rsidTr="00C34BE9">
        <w:tc>
          <w:tcPr>
            <w:tcW w:w="0" w:type="auto"/>
            <w:shd w:val="clear" w:color="auto" w:fill="auto"/>
            <w:vAlign w:val="center"/>
          </w:tcPr>
          <w:p w14:paraId="2F59604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3</w:t>
            </w:r>
          </w:p>
        </w:tc>
        <w:tc>
          <w:tcPr>
            <w:tcW w:w="0" w:type="auto"/>
            <w:shd w:val="clear" w:color="auto" w:fill="auto"/>
            <w:vAlign w:val="center"/>
          </w:tcPr>
          <w:p w14:paraId="12CF1D3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8 mg/kg/d</w:t>
            </w:r>
          </w:p>
        </w:tc>
        <w:tc>
          <w:tcPr>
            <w:tcW w:w="0" w:type="auto"/>
            <w:shd w:val="clear" w:color="auto" w:fill="auto"/>
            <w:vAlign w:val="center"/>
          </w:tcPr>
          <w:p w14:paraId="2E9FD0BF"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w:t>
            </w:r>
          </w:p>
        </w:tc>
        <w:tc>
          <w:tcPr>
            <w:tcW w:w="652" w:type="pct"/>
            <w:shd w:val="clear" w:color="auto" w:fill="auto"/>
            <w:vAlign w:val="center"/>
          </w:tcPr>
          <w:p w14:paraId="4417F11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859" w:type="pct"/>
            <w:shd w:val="clear" w:color="auto" w:fill="auto"/>
            <w:vAlign w:val="center"/>
          </w:tcPr>
          <w:p w14:paraId="6589316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5B386C9E"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w:t>
            </w:r>
          </w:p>
        </w:tc>
        <w:tc>
          <w:tcPr>
            <w:tcW w:w="0" w:type="auto"/>
            <w:shd w:val="clear" w:color="auto" w:fill="auto"/>
            <w:vAlign w:val="center"/>
          </w:tcPr>
          <w:p w14:paraId="419B483C" w14:textId="59024F1C"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50 mg/d,</w:t>
            </w:r>
            <w:r w:rsidR="000E486E">
              <w:rPr>
                <w:rFonts w:ascii="Book Antiqua" w:hAnsi="Book Antiqua" w:cs="Book Antiqua" w:hint="eastAsia"/>
                <w:color w:val="000000"/>
                <w:lang w:eastAsia="zh-CN"/>
              </w:rPr>
              <w:t xml:space="preserve"> </w:t>
            </w:r>
            <w:r w:rsidRPr="00C34BE9">
              <w:rPr>
                <w:rFonts w:ascii="Book Antiqua" w:hAnsi="Book Antiqua" w:cs="Book Antiqua"/>
                <w:color w:val="000000"/>
                <w:lang w:eastAsia="zh-CN"/>
              </w:rPr>
              <w:t>2 d</w:t>
            </w:r>
          </w:p>
        </w:tc>
        <w:tc>
          <w:tcPr>
            <w:tcW w:w="0" w:type="auto"/>
            <w:shd w:val="clear" w:color="auto" w:fill="auto"/>
            <w:vAlign w:val="center"/>
          </w:tcPr>
          <w:p w14:paraId="7D2EEFD3"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0CB35D2E"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580A540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r>
      <w:tr w:rsidR="00C34BE9" w:rsidRPr="00C34BE9" w14:paraId="31EC63E2" w14:textId="77777777" w:rsidTr="00C34BE9">
        <w:tc>
          <w:tcPr>
            <w:tcW w:w="0" w:type="auto"/>
            <w:shd w:val="clear" w:color="auto" w:fill="auto"/>
            <w:vAlign w:val="center"/>
          </w:tcPr>
          <w:p w14:paraId="42227ECE"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4</w:t>
            </w:r>
          </w:p>
        </w:tc>
        <w:tc>
          <w:tcPr>
            <w:tcW w:w="0" w:type="auto"/>
            <w:shd w:val="clear" w:color="auto" w:fill="auto"/>
            <w:vAlign w:val="center"/>
          </w:tcPr>
          <w:p w14:paraId="40677DDA"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10 mg/kg/d</w:t>
            </w:r>
          </w:p>
        </w:tc>
        <w:tc>
          <w:tcPr>
            <w:tcW w:w="0" w:type="auto"/>
            <w:shd w:val="clear" w:color="auto" w:fill="auto"/>
            <w:vAlign w:val="center"/>
          </w:tcPr>
          <w:p w14:paraId="5D53E5F1"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w:t>
            </w:r>
          </w:p>
        </w:tc>
        <w:tc>
          <w:tcPr>
            <w:tcW w:w="652" w:type="pct"/>
            <w:shd w:val="clear" w:color="auto" w:fill="auto"/>
            <w:vAlign w:val="center"/>
          </w:tcPr>
          <w:p w14:paraId="76A92EE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859" w:type="pct"/>
            <w:shd w:val="clear" w:color="auto" w:fill="auto"/>
            <w:vAlign w:val="center"/>
          </w:tcPr>
          <w:p w14:paraId="53796ABF"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68674710" w14:textId="022C309E"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Infliximab,</w:t>
            </w:r>
            <w:r w:rsidRPr="00C34BE9">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300 mg/d,</w:t>
            </w:r>
            <w:r w:rsidR="000E486E">
              <w:rPr>
                <w:rFonts w:ascii="Book Antiqua" w:hAnsi="Book Antiqua" w:cs="Book Antiqua" w:hint="eastAsia"/>
                <w:color w:val="000000"/>
                <w:lang w:eastAsia="zh-CN" w:bidi="ar"/>
              </w:rPr>
              <w:t xml:space="preserve"> </w:t>
            </w:r>
            <w:r w:rsidRPr="00C34BE9">
              <w:rPr>
                <w:rFonts w:ascii="Book Antiqua" w:hAnsi="Book Antiqua" w:cs="Book Antiqua"/>
                <w:color w:val="000000"/>
                <w:lang w:eastAsia="zh-CN" w:bidi="ar"/>
              </w:rPr>
              <w:t>1 d</w:t>
            </w:r>
          </w:p>
        </w:tc>
        <w:tc>
          <w:tcPr>
            <w:tcW w:w="0" w:type="auto"/>
            <w:shd w:val="clear" w:color="auto" w:fill="auto"/>
            <w:vAlign w:val="center"/>
          </w:tcPr>
          <w:p w14:paraId="5D1E1F55"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67A4D6A5"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39CB5ED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4A0160D3"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r>
      <w:tr w:rsidR="00C34BE9" w:rsidRPr="00C34BE9" w14:paraId="5AD75FC9" w14:textId="77777777" w:rsidTr="00C34BE9">
        <w:tc>
          <w:tcPr>
            <w:tcW w:w="0" w:type="auto"/>
            <w:shd w:val="clear" w:color="auto" w:fill="auto"/>
            <w:vAlign w:val="center"/>
          </w:tcPr>
          <w:p w14:paraId="54C097C9"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5</w:t>
            </w:r>
          </w:p>
        </w:tc>
        <w:tc>
          <w:tcPr>
            <w:tcW w:w="0" w:type="auto"/>
            <w:shd w:val="clear" w:color="auto" w:fill="auto"/>
            <w:vAlign w:val="center"/>
          </w:tcPr>
          <w:p w14:paraId="7B8BED2E"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7 mg/kg/d</w:t>
            </w:r>
          </w:p>
        </w:tc>
        <w:tc>
          <w:tcPr>
            <w:tcW w:w="0" w:type="auto"/>
            <w:shd w:val="clear" w:color="auto" w:fill="auto"/>
            <w:vAlign w:val="center"/>
          </w:tcPr>
          <w:p w14:paraId="421704E2"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w:t>
            </w:r>
          </w:p>
        </w:tc>
        <w:tc>
          <w:tcPr>
            <w:tcW w:w="652" w:type="pct"/>
            <w:shd w:val="clear" w:color="auto" w:fill="auto"/>
            <w:vAlign w:val="center"/>
          </w:tcPr>
          <w:p w14:paraId="08231FA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859" w:type="pct"/>
            <w:shd w:val="clear" w:color="auto" w:fill="auto"/>
            <w:vAlign w:val="center"/>
          </w:tcPr>
          <w:p w14:paraId="4682236F"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09962408"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w:t>
            </w:r>
          </w:p>
        </w:tc>
        <w:tc>
          <w:tcPr>
            <w:tcW w:w="0" w:type="auto"/>
            <w:shd w:val="clear" w:color="auto" w:fill="auto"/>
            <w:vAlign w:val="center"/>
          </w:tcPr>
          <w:p w14:paraId="5FF0FE0D"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3B4F2CF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677BC27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11E00974"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r>
      <w:tr w:rsidR="00C34BE9" w:rsidRPr="00C34BE9" w14:paraId="2441D0F3" w14:textId="77777777" w:rsidTr="00C34BE9">
        <w:tc>
          <w:tcPr>
            <w:tcW w:w="0" w:type="auto"/>
            <w:shd w:val="clear" w:color="auto" w:fill="auto"/>
            <w:vAlign w:val="center"/>
          </w:tcPr>
          <w:p w14:paraId="1382882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Case 6</w:t>
            </w:r>
          </w:p>
        </w:tc>
        <w:tc>
          <w:tcPr>
            <w:tcW w:w="0" w:type="auto"/>
            <w:shd w:val="clear" w:color="auto" w:fill="auto"/>
            <w:vAlign w:val="center"/>
          </w:tcPr>
          <w:p w14:paraId="11ADE363"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8 mg/kg/d</w:t>
            </w:r>
          </w:p>
        </w:tc>
        <w:tc>
          <w:tcPr>
            <w:tcW w:w="0" w:type="auto"/>
            <w:shd w:val="clear" w:color="auto" w:fill="auto"/>
            <w:vAlign w:val="center"/>
          </w:tcPr>
          <w:p w14:paraId="56F90EAD" w14:textId="77777777" w:rsidR="00C34BE9" w:rsidRPr="00C34BE9" w:rsidRDefault="00C34BE9" w:rsidP="00C34BE9">
            <w:pPr>
              <w:widowControl w:val="0"/>
              <w:adjustRightInd w:val="0"/>
              <w:snapToGrid w:val="0"/>
              <w:spacing w:line="360" w:lineRule="auto"/>
              <w:jc w:val="both"/>
              <w:rPr>
                <w:rFonts w:ascii="Book Antiqua" w:hAnsi="Book Antiqua" w:cs="Book Antiqua"/>
                <w:color w:val="000000"/>
                <w:lang w:eastAsia="zh-CN"/>
              </w:rPr>
            </w:pPr>
            <w:r w:rsidRPr="00C34BE9">
              <w:rPr>
                <w:rFonts w:ascii="Book Antiqua" w:hAnsi="Book Antiqua" w:cs="Book Antiqua"/>
                <w:color w:val="000000"/>
                <w:lang w:eastAsia="zh-CN"/>
              </w:rPr>
              <w:t>+</w:t>
            </w:r>
          </w:p>
        </w:tc>
        <w:tc>
          <w:tcPr>
            <w:tcW w:w="652" w:type="pct"/>
            <w:shd w:val="clear" w:color="auto" w:fill="auto"/>
            <w:vAlign w:val="center"/>
          </w:tcPr>
          <w:p w14:paraId="2BB4E827"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859" w:type="pct"/>
            <w:shd w:val="clear" w:color="auto" w:fill="auto"/>
            <w:vAlign w:val="center"/>
          </w:tcPr>
          <w:p w14:paraId="563AE9D2"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Basiliximab</w:t>
            </w:r>
            <w:r w:rsidRPr="00C34BE9">
              <w:rPr>
                <w:rFonts w:ascii="Book Antiqua" w:hAnsi="Book Antiqua" w:cs="Book Antiqua" w:hint="eastAsia"/>
                <w:color w:val="000000"/>
                <w:lang w:eastAsia="zh-CN"/>
              </w:rPr>
              <w:t xml:space="preserve"> </w:t>
            </w:r>
            <w:r w:rsidRPr="00C34BE9">
              <w:rPr>
                <w:rFonts w:ascii="Book Antiqua" w:hAnsi="Book Antiqua" w:cs="Book Antiqua"/>
                <w:color w:val="000000"/>
                <w:lang w:eastAsia="zh-CN"/>
              </w:rPr>
              <w:t>(2 doses)</w:t>
            </w:r>
          </w:p>
        </w:tc>
        <w:tc>
          <w:tcPr>
            <w:tcW w:w="0" w:type="auto"/>
            <w:shd w:val="clear" w:color="auto" w:fill="auto"/>
            <w:vAlign w:val="center"/>
          </w:tcPr>
          <w:p w14:paraId="2D290C56"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bidi="ar"/>
              </w:rPr>
            </w:pPr>
            <w:r w:rsidRPr="00C34BE9">
              <w:rPr>
                <w:rFonts w:ascii="Book Antiqua" w:hAnsi="Book Antiqua" w:cs="Book Antiqua"/>
                <w:color w:val="000000"/>
                <w:lang w:eastAsia="zh-CN" w:bidi="ar"/>
              </w:rPr>
              <w:t>-</w:t>
            </w:r>
          </w:p>
        </w:tc>
        <w:tc>
          <w:tcPr>
            <w:tcW w:w="0" w:type="auto"/>
            <w:shd w:val="clear" w:color="auto" w:fill="auto"/>
            <w:vAlign w:val="center"/>
          </w:tcPr>
          <w:p w14:paraId="1ACAFA10"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77E801D7"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1A9B80A1"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c>
          <w:tcPr>
            <w:tcW w:w="0" w:type="auto"/>
            <w:shd w:val="clear" w:color="auto" w:fill="auto"/>
            <w:vAlign w:val="center"/>
          </w:tcPr>
          <w:p w14:paraId="5AA26D23" w14:textId="77777777" w:rsidR="00C34BE9" w:rsidRPr="00C34BE9" w:rsidRDefault="00C34BE9" w:rsidP="00C34BE9">
            <w:pPr>
              <w:adjustRightInd w:val="0"/>
              <w:snapToGrid w:val="0"/>
              <w:spacing w:line="360" w:lineRule="auto"/>
              <w:jc w:val="both"/>
              <w:textAlignment w:val="center"/>
              <w:rPr>
                <w:rFonts w:ascii="Book Antiqua" w:hAnsi="Book Antiqua" w:cs="Book Antiqua"/>
                <w:color w:val="000000"/>
                <w:lang w:eastAsia="zh-CN"/>
              </w:rPr>
            </w:pPr>
            <w:r w:rsidRPr="00C34BE9">
              <w:rPr>
                <w:rFonts w:ascii="Book Antiqua" w:hAnsi="Book Antiqua" w:cs="Book Antiqua"/>
                <w:color w:val="000000"/>
                <w:lang w:eastAsia="zh-CN"/>
              </w:rPr>
              <w:t>+</w:t>
            </w:r>
          </w:p>
        </w:tc>
      </w:tr>
    </w:tbl>
    <w:p w14:paraId="161F0B09" w14:textId="77777777" w:rsidR="00194195" w:rsidRDefault="00C34BE9">
      <w:pPr>
        <w:adjustRightInd w:val="0"/>
        <w:snapToGrid w:val="0"/>
        <w:spacing w:line="360" w:lineRule="auto"/>
        <w:jc w:val="both"/>
        <w:rPr>
          <w:rFonts w:ascii="Book Antiqua" w:eastAsia="Book Antiqua" w:hAnsi="Book Antiqua" w:cs="Book Antiqua"/>
          <w:color w:val="000000"/>
        </w:rPr>
        <w:sectPr w:rsidR="00194195">
          <w:pgSz w:w="17010" w:h="15842"/>
          <w:pgMar w:top="1440" w:right="1440" w:bottom="1440" w:left="1440" w:header="720" w:footer="720" w:gutter="0"/>
          <w:cols w:space="720"/>
          <w:docGrid w:linePitch="360"/>
        </w:sectPr>
      </w:pPr>
      <w:r>
        <w:rPr>
          <w:rFonts w:ascii="Book Antiqua" w:hAnsi="Book Antiqua" w:cs="Book Antiqua"/>
          <w:color w:val="000000"/>
        </w:rPr>
        <w:t xml:space="preserve">TNF-α: </w:t>
      </w:r>
      <w:r>
        <w:rPr>
          <w:rFonts w:ascii="Book Antiqua" w:eastAsia="Book Antiqua" w:hAnsi="Book Antiqua" w:cs="Book Antiqua"/>
          <w:color w:val="000000"/>
        </w:rPr>
        <w:t>Tumor necrosis factor-alpha;</w:t>
      </w:r>
      <w:r>
        <w:rPr>
          <w:rFonts w:ascii="Book Antiqua" w:hAnsi="Book Antiqua" w:cs="Book Antiqua" w:hint="eastAsia"/>
          <w:color w:val="000000"/>
          <w:lang w:eastAsia="zh-CN"/>
        </w:rPr>
        <w:t xml:space="preserve"> </w:t>
      </w:r>
      <w:r>
        <w:rPr>
          <w:rFonts w:ascii="Book Antiqua" w:hAnsi="Book Antiqua" w:cs="Book Antiqua"/>
          <w:color w:val="000000"/>
        </w:rPr>
        <w:t xml:space="preserve">IVIG: </w:t>
      </w:r>
      <w:r>
        <w:rPr>
          <w:rFonts w:ascii="Book Antiqua" w:eastAsia="Book Antiqua" w:hAnsi="Book Antiqua" w:cs="Book Antiqua"/>
          <w:color w:val="000000"/>
        </w:rPr>
        <w:t>Human normal immunoglobulin;</w:t>
      </w:r>
      <w:r>
        <w:rPr>
          <w:rFonts w:ascii="Book Antiqua" w:hAnsi="Book Antiqua" w:cs="Book Antiqua" w:hint="eastAsia"/>
          <w:color w:val="000000"/>
          <w:lang w:eastAsia="zh-CN"/>
        </w:rPr>
        <w:t xml:space="preserve"> </w:t>
      </w:r>
      <w:r>
        <w:rPr>
          <w:rFonts w:ascii="Book Antiqua" w:hAnsi="Book Antiqua" w:cs="Book Antiqua"/>
          <w:color w:val="000000"/>
          <w:lang w:eastAsia="zh-CN"/>
        </w:rPr>
        <w:t>CRRT:</w:t>
      </w:r>
      <w:r>
        <w:rPr>
          <w:rFonts w:ascii="Book Antiqua" w:eastAsia="Book Antiqua" w:hAnsi="Book Antiqua" w:cs="Book Antiqua"/>
          <w:color w:val="000000"/>
        </w:rPr>
        <w:t xml:space="preserve"> Continuous renal replacement therapy;</w:t>
      </w:r>
      <w:r>
        <w:rPr>
          <w:rFonts w:ascii="Book Antiqua" w:hAnsi="Book Antiqua" w:cs="Book Antiqua" w:hint="eastAsia"/>
          <w:color w:val="000000"/>
          <w:lang w:eastAsia="zh-CN"/>
        </w:rPr>
        <w:t xml:space="preserve"> </w:t>
      </w:r>
      <w:r>
        <w:rPr>
          <w:rFonts w:ascii="Book Antiqua" w:eastAsia="Book Antiqua" w:hAnsi="Book Antiqua" w:cs="Book Antiqua"/>
          <w:color w:val="000000"/>
        </w:rPr>
        <w:t>G-CSF: Granulocyte colony-stimulating factor; GM-CSF: Granulocyte-macrophage colony-stimulating factor.</w:t>
      </w:r>
    </w:p>
    <w:p w14:paraId="3BC1523D" w14:textId="77777777" w:rsidR="00194195" w:rsidRDefault="00194195" w:rsidP="00194195">
      <w:pPr>
        <w:jc w:val="center"/>
        <w:rPr>
          <w:rFonts w:ascii="Book Antiqua" w:hAnsi="Book Antiqua"/>
          <w:lang w:eastAsia="zh-CN"/>
        </w:rPr>
      </w:pPr>
    </w:p>
    <w:p w14:paraId="027CB067" w14:textId="77777777" w:rsidR="00194195" w:rsidRDefault="00194195" w:rsidP="00194195">
      <w:pPr>
        <w:jc w:val="center"/>
        <w:rPr>
          <w:rFonts w:ascii="Book Antiqua" w:hAnsi="Book Antiqua"/>
          <w:lang w:eastAsia="zh-CN"/>
        </w:rPr>
      </w:pPr>
    </w:p>
    <w:p w14:paraId="0488026A" w14:textId="77777777" w:rsidR="00194195" w:rsidRDefault="00194195" w:rsidP="00194195">
      <w:pPr>
        <w:jc w:val="center"/>
        <w:rPr>
          <w:rFonts w:ascii="Book Antiqua" w:hAnsi="Book Antiqua"/>
          <w:lang w:eastAsia="zh-CN"/>
        </w:rPr>
      </w:pPr>
    </w:p>
    <w:p w14:paraId="70D14951" w14:textId="77777777" w:rsidR="00194195" w:rsidRDefault="00194195" w:rsidP="00194195">
      <w:pPr>
        <w:jc w:val="center"/>
        <w:rPr>
          <w:rFonts w:ascii="Book Antiqua" w:hAnsi="Book Antiqua"/>
          <w:lang w:eastAsia="zh-CN"/>
        </w:rPr>
      </w:pPr>
    </w:p>
    <w:p w14:paraId="27F68ABB" w14:textId="77777777" w:rsidR="00194195" w:rsidRDefault="00194195" w:rsidP="00194195">
      <w:pPr>
        <w:jc w:val="center"/>
        <w:rPr>
          <w:rFonts w:ascii="Book Antiqua" w:hAnsi="Book Antiqua"/>
          <w:lang w:eastAsia="zh-CN"/>
        </w:rPr>
      </w:pPr>
    </w:p>
    <w:p w14:paraId="3834DFC2" w14:textId="6C7E38DC" w:rsidR="00194195" w:rsidRDefault="00194195" w:rsidP="00194195">
      <w:pPr>
        <w:jc w:val="center"/>
        <w:rPr>
          <w:rFonts w:ascii="Book Antiqua" w:hAnsi="Book Antiqua"/>
          <w:lang w:eastAsia="zh-CN"/>
        </w:rPr>
      </w:pPr>
      <w:r w:rsidRPr="00194195">
        <w:rPr>
          <w:rFonts w:ascii="Book Antiqua" w:hAnsi="Book Antiqua"/>
          <w:noProof/>
          <w:lang w:eastAsia="zh-CN"/>
        </w:rPr>
        <w:pict w14:anchorId="1CF48AD1">
          <v:shape id="_x0000_i1031" type="#_x0000_t75" style="width:196.5pt;height:113.25pt;visibility:visible;mso-wrap-style:square">
            <v:imagedata r:id="rId13" o:title="logo"/>
          </v:shape>
        </w:pict>
      </w:r>
    </w:p>
    <w:p w14:paraId="5F78D550" w14:textId="77777777" w:rsidR="00194195" w:rsidRDefault="00194195" w:rsidP="00194195">
      <w:pPr>
        <w:jc w:val="center"/>
        <w:rPr>
          <w:rFonts w:ascii="Book Antiqua" w:hAnsi="Book Antiqua"/>
          <w:lang w:eastAsia="zh-CN"/>
        </w:rPr>
      </w:pPr>
    </w:p>
    <w:p w14:paraId="399C54F9" w14:textId="77777777" w:rsidR="00194195" w:rsidRPr="00763D22" w:rsidRDefault="00194195" w:rsidP="00194195">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r w:rsidRPr="00763D22">
        <w:rPr>
          <w:rFonts w:ascii="Book Antiqua" w:eastAsia="Garamond-Bold" w:hAnsi="Book Antiqua" w:cs="Garamond-Bold"/>
          <w:b/>
          <w:bCs/>
          <w:color w:val="000000"/>
          <w:sz w:val="28"/>
          <w:szCs w:val="28"/>
        </w:rPr>
        <w:t>Baishideng Publishing Group Inc</w:t>
      </w:r>
    </w:p>
    <w:p w14:paraId="3D74B869" w14:textId="77777777" w:rsidR="00194195" w:rsidRPr="00763D22" w:rsidRDefault="00194195" w:rsidP="00194195">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41D379D3" w14:textId="77777777" w:rsidR="00194195" w:rsidRPr="00763D22" w:rsidRDefault="00194195" w:rsidP="00194195">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68F559C8" w14:textId="77777777" w:rsidR="00194195" w:rsidRPr="00763D22" w:rsidRDefault="00194195" w:rsidP="00194195">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27824E76" w14:textId="77777777" w:rsidR="00194195" w:rsidRPr="00763D22" w:rsidRDefault="00194195" w:rsidP="00194195">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4D08C18F" w14:textId="77777777" w:rsidR="00194195" w:rsidRPr="00763D22" w:rsidRDefault="00194195" w:rsidP="00194195">
      <w:pPr>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63F669BB" w14:textId="77777777" w:rsidR="00194195" w:rsidRDefault="00194195" w:rsidP="00194195">
      <w:pPr>
        <w:jc w:val="center"/>
        <w:rPr>
          <w:rFonts w:ascii="Book Antiqua" w:hAnsi="Book Antiqua"/>
          <w:lang w:eastAsia="zh-CN"/>
        </w:rPr>
      </w:pPr>
    </w:p>
    <w:p w14:paraId="7F432284" w14:textId="77777777" w:rsidR="00194195" w:rsidRDefault="00194195" w:rsidP="00194195">
      <w:pPr>
        <w:jc w:val="center"/>
        <w:rPr>
          <w:rFonts w:ascii="Book Antiqua" w:hAnsi="Book Antiqua"/>
          <w:lang w:eastAsia="zh-CN"/>
        </w:rPr>
      </w:pPr>
    </w:p>
    <w:p w14:paraId="4D901E42" w14:textId="77777777" w:rsidR="00194195" w:rsidRDefault="00194195" w:rsidP="00194195">
      <w:pPr>
        <w:jc w:val="center"/>
        <w:rPr>
          <w:rFonts w:ascii="Book Antiqua" w:hAnsi="Book Antiqua"/>
          <w:lang w:eastAsia="zh-CN"/>
        </w:rPr>
      </w:pPr>
    </w:p>
    <w:p w14:paraId="2CE5B101" w14:textId="4AF26F62" w:rsidR="00194195" w:rsidRDefault="00194195" w:rsidP="00194195">
      <w:pPr>
        <w:jc w:val="center"/>
        <w:rPr>
          <w:rFonts w:ascii="Book Antiqua" w:hAnsi="Book Antiqua"/>
          <w:lang w:eastAsia="zh-CN"/>
        </w:rPr>
      </w:pPr>
      <w:r w:rsidRPr="00194195">
        <w:rPr>
          <w:rFonts w:ascii="Book Antiqua" w:hAnsi="Book Antiqua"/>
          <w:noProof/>
          <w:lang w:eastAsia="zh-CN"/>
        </w:rPr>
        <w:pict w14:anchorId="224BA47F">
          <v:shape id="_x0000_i1030" type="#_x0000_t75" style="width:114pt;height:113.25pt;visibility:visible;mso-wrap-style:square">
            <v:imagedata r:id="rId14" o:title="二维码"/>
          </v:shape>
        </w:pict>
      </w:r>
    </w:p>
    <w:p w14:paraId="02C443D7" w14:textId="77777777" w:rsidR="00194195" w:rsidRDefault="00194195" w:rsidP="00194195">
      <w:pPr>
        <w:jc w:val="center"/>
        <w:rPr>
          <w:rFonts w:ascii="Book Antiqua" w:hAnsi="Book Antiqua"/>
          <w:lang w:eastAsia="zh-CN"/>
        </w:rPr>
      </w:pPr>
    </w:p>
    <w:p w14:paraId="3E6B45BB" w14:textId="77777777" w:rsidR="00194195" w:rsidRDefault="00194195" w:rsidP="00194195">
      <w:pPr>
        <w:jc w:val="center"/>
        <w:rPr>
          <w:rFonts w:ascii="Book Antiqua" w:hAnsi="Book Antiqua"/>
          <w:lang w:eastAsia="zh-CN"/>
        </w:rPr>
      </w:pPr>
    </w:p>
    <w:p w14:paraId="345EDA5F" w14:textId="77777777" w:rsidR="00194195" w:rsidRDefault="00194195" w:rsidP="00194195">
      <w:pPr>
        <w:jc w:val="center"/>
        <w:rPr>
          <w:rFonts w:ascii="Book Antiqua" w:hAnsi="Book Antiqua"/>
          <w:lang w:eastAsia="zh-CN"/>
        </w:rPr>
      </w:pPr>
    </w:p>
    <w:p w14:paraId="35EC4B46" w14:textId="77777777" w:rsidR="00194195" w:rsidRDefault="00194195" w:rsidP="00194195">
      <w:pPr>
        <w:jc w:val="center"/>
        <w:rPr>
          <w:rFonts w:ascii="Book Antiqua" w:hAnsi="Book Antiqua"/>
          <w:lang w:eastAsia="zh-CN"/>
        </w:rPr>
      </w:pPr>
    </w:p>
    <w:p w14:paraId="45109153" w14:textId="77777777" w:rsidR="00194195" w:rsidRDefault="00194195" w:rsidP="00194195">
      <w:pPr>
        <w:jc w:val="center"/>
        <w:rPr>
          <w:rFonts w:ascii="Book Antiqua" w:hAnsi="Book Antiqua"/>
          <w:lang w:eastAsia="zh-CN"/>
        </w:rPr>
      </w:pPr>
    </w:p>
    <w:p w14:paraId="27A3EF47" w14:textId="77777777" w:rsidR="00194195" w:rsidRDefault="00194195" w:rsidP="00194195">
      <w:pPr>
        <w:jc w:val="center"/>
        <w:rPr>
          <w:rFonts w:ascii="Book Antiqua" w:hAnsi="Book Antiqua"/>
          <w:lang w:eastAsia="zh-CN"/>
        </w:rPr>
      </w:pPr>
    </w:p>
    <w:p w14:paraId="571F2D44" w14:textId="77777777" w:rsidR="00194195" w:rsidRDefault="00194195" w:rsidP="00194195">
      <w:pPr>
        <w:jc w:val="center"/>
        <w:rPr>
          <w:rFonts w:ascii="Book Antiqua" w:hAnsi="Book Antiqua"/>
          <w:lang w:eastAsia="zh-CN"/>
        </w:rPr>
      </w:pPr>
    </w:p>
    <w:p w14:paraId="62186590" w14:textId="77777777" w:rsidR="00194195" w:rsidRDefault="00194195" w:rsidP="00194195">
      <w:pPr>
        <w:jc w:val="center"/>
        <w:rPr>
          <w:rFonts w:ascii="Book Antiqua" w:hAnsi="Book Antiqua"/>
          <w:lang w:eastAsia="zh-CN"/>
        </w:rPr>
      </w:pPr>
    </w:p>
    <w:p w14:paraId="5CFD39AD" w14:textId="77777777" w:rsidR="00194195" w:rsidRDefault="00194195" w:rsidP="00194195">
      <w:pPr>
        <w:jc w:val="center"/>
        <w:rPr>
          <w:rFonts w:ascii="Book Antiqua" w:hAnsi="Book Antiqua"/>
          <w:lang w:eastAsia="zh-CN"/>
        </w:rPr>
      </w:pPr>
    </w:p>
    <w:p w14:paraId="799A7F0E" w14:textId="77777777" w:rsidR="00194195" w:rsidRPr="00194195" w:rsidRDefault="00194195" w:rsidP="00194195">
      <w:pPr>
        <w:jc w:val="right"/>
        <w:rPr>
          <w:rFonts w:ascii="Book Antiqua" w:hAnsi="Book Antiqua"/>
          <w:color w:val="000000"/>
          <w:lang w:eastAsia="zh-CN"/>
        </w:rPr>
      </w:pPr>
    </w:p>
    <w:p w14:paraId="37093ACA" w14:textId="77777777" w:rsidR="00194195" w:rsidRPr="00194195" w:rsidRDefault="00194195" w:rsidP="00194195">
      <w:pPr>
        <w:jc w:val="center"/>
        <w:rPr>
          <w:rFonts w:ascii="Book Antiqua" w:hAnsi="Book Antiqua"/>
          <w:color w:val="000000"/>
          <w:lang w:eastAsia="zh-CN"/>
        </w:rPr>
      </w:pPr>
      <w:r w:rsidRPr="00194195">
        <w:rPr>
          <w:rFonts w:ascii="Book Antiqua" w:eastAsia="BookAntiqua-Bold" w:hAnsi="Book Antiqua" w:cs="BookAntiqua-Bold"/>
          <w:b/>
          <w:bCs/>
          <w:color w:val="000000"/>
        </w:rPr>
        <w:t>© 2021 Baishideng Publishing Group Inc. All rights reserved.</w:t>
      </w:r>
      <w:r w:rsidRPr="00194195">
        <w:rPr>
          <w:rFonts w:ascii="Book Antiqua" w:hAnsi="Book Antiqua"/>
          <w:color w:val="000000"/>
          <w:lang w:eastAsia="zh-CN"/>
        </w:rPr>
        <w:fldChar w:fldCharType="begin"/>
      </w:r>
      <w:r w:rsidRPr="00194195">
        <w:rPr>
          <w:rFonts w:ascii="Book Antiqua" w:hAnsi="Book Antiqua"/>
          <w:color w:val="000000"/>
          <w:lang w:eastAsia="zh-CN"/>
        </w:rPr>
        <w:instrText xml:space="preserve"> ADDIN EN.REFLIST </w:instrText>
      </w:r>
      <w:r w:rsidRPr="00194195">
        <w:rPr>
          <w:rFonts w:ascii="Book Antiqua" w:hAnsi="Book Antiqua"/>
          <w:color w:val="000000"/>
          <w:lang w:eastAsia="zh-CN"/>
        </w:rPr>
        <w:fldChar w:fldCharType="end"/>
      </w:r>
    </w:p>
    <w:p w14:paraId="0BF9D013" w14:textId="6D7AABD5" w:rsidR="00C34BE9" w:rsidRDefault="00C34BE9">
      <w:pPr>
        <w:adjustRightInd w:val="0"/>
        <w:snapToGrid w:val="0"/>
        <w:spacing w:line="360" w:lineRule="auto"/>
        <w:jc w:val="both"/>
        <w:rPr>
          <w:rFonts w:ascii="Book Antiqua" w:hAnsi="Book Antiqua"/>
          <w:color w:val="000000"/>
        </w:rPr>
      </w:pPr>
      <w:bookmarkStart w:id="21" w:name="_GoBack"/>
      <w:bookmarkEnd w:id="21"/>
    </w:p>
    <w:sectPr w:rsidR="00C34BE9" w:rsidSect="00BD7A2A">
      <w:pgSz w:w="11907" w:h="16839" w:code="9"/>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991366" w14:textId="77777777" w:rsidR="00765D2E" w:rsidRDefault="00765D2E">
      <w:r>
        <w:separator/>
      </w:r>
    </w:p>
  </w:endnote>
  <w:endnote w:type="continuationSeparator" w:id="0">
    <w:p w14:paraId="2F8AF4CC" w14:textId="77777777" w:rsidR="00765D2E" w:rsidRDefault="00765D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C2DF7E" w14:textId="77777777" w:rsidR="00C34BE9" w:rsidRDefault="00C34BE9">
    <w:pPr>
      <w:pStyle w:val="a4"/>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765D2E">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765D2E">
      <w:rPr>
        <w:b/>
        <w:bCs/>
        <w:noProof/>
      </w:rPr>
      <w:t>1</w:t>
    </w:r>
    <w:r>
      <w:rPr>
        <w:b/>
        <w:bCs/>
        <w:sz w:val="24"/>
        <w:szCs w:val="24"/>
      </w:rPr>
      <w:fldChar w:fldCharType="end"/>
    </w:r>
  </w:p>
  <w:p w14:paraId="7B0498D8" w14:textId="77777777" w:rsidR="00C34BE9" w:rsidRDefault="00C34BE9">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9CD7D7" w14:textId="77777777" w:rsidR="00765D2E" w:rsidRDefault="00765D2E">
      <w:r>
        <w:separator/>
      </w:r>
    </w:p>
  </w:footnote>
  <w:footnote w:type="continuationSeparator" w:id="0">
    <w:p w14:paraId="2AE681BD" w14:textId="77777777" w:rsidR="00765D2E" w:rsidRDefault="00765D2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noPunctuationKerning/>
  <w:characterSpacingControl w:val="doNotCompress"/>
  <w:savePreviewPicture/>
  <w:hdrShapeDefaults>
    <o:shapedefaults v:ext="edit" spidmax="2049" fillcolor="white">
      <v:fill color="white"/>
    </o:shapedefaults>
  </w:hdrShapeDefaults>
  <w:footnotePr>
    <w:footnote w:id="-1"/>
    <w:footnote w:id="0"/>
  </w:footnotePr>
  <w:endnotePr>
    <w:endnote w:id="-1"/>
    <w:endnote w:id="0"/>
  </w:endnotePr>
  <w:compat>
    <w:doNotExpandShiftReturn/>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77B3E"/>
    <w:rsid w:val="00004798"/>
    <w:rsid w:val="0000765B"/>
    <w:rsid w:val="00012A1F"/>
    <w:rsid w:val="00020968"/>
    <w:rsid w:val="000219ED"/>
    <w:rsid w:val="00027EEA"/>
    <w:rsid w:val="00047909"/>
    <w:rsid w:val="00053B9A"/>
    <w:rsid w:val="00081C0C"/>
    <w:rsid w:val="000A5909"/>
    <w:rsid w:val="000E486E"/>
    <w:rsid w:val="00111385"/>
    <w:rsid w:val="0013492F"/>
    <w:rsid w:val="00140AE7"/>
    <w:rsid w:val="0017782A"/>
    <w:rsid w:val="00177E4B"/>
    <w:rsid w:val="00193EEA"/>
    <w:rsid w:val="00194195"/>
    <w:rsid w:val="00195ACC"/>
    <w:rsid w:val="001A30B2"/>
    <w:rsid w:val="001A6ED1"/>
    <w:rsid w:val="001B636F"/>
    <w:rsid w:val="001E62B0"/>
    <w:rsid w:val="001F42B2"/>
    <w:rsid w:val="00201814"/>
    <w:rsid w:val="002112BD"/>
    <w:rsid w:val="002351C3"/>
    <w:rsid w:val="002400F9"/>
    <w:rsid w:val="002441FA"/>
    <w:rsid w:val="00256648"/>
    <w:rsid w:val="00267701"/>
    <w:rsid w:val="002A3E32"/>
    <w:rsid w:val="002D5FBA"/>
    <w:rsid w:val="00330B44"/>
    <w:rsid w:val="003343B3"/>
    <w:rsid w:val="0034633A"/>
    <w:rsid w:val="0036258C"/>
    <w:rsid w:val="00393679"/>
    <w:rsid w:val="003A696E"/>
    <w:rsid w:val="003A7E2B"/>
    <w:rsid w:val="003C216A"/>
    <w:rsid w:val="003F5243"/>
    <w:rsid w:val="00405E84"/>
    <w:rsid w:val="004318B8"/>
    <w:rsid w:val="00433A05"/>
    <w:rsid w:val="00444C15"/>
    <w:rsid w:val="00460961"/>
    <w:rsid w:val="00467641"/>
    <w:rsid w:val="00495148"/>
    <w:rsid w:val="004A505C"/>
    <w:rsid w:val="004C0FB2"/>
    <w:rsid w:val="004D314D"/>
    <w:rsid w:val="004F7101"/>
    <w:rsid w:val="00513F3B"/>
    <w:rsid w:val="0051599A"/>
    <w:rsid w:val="00532848"/>
    <w:rsid w:val="00532BDA"/>
    <w:rsid w:val="00562D0E"/>
    <w:rsid w:val="005702FC"/>
    <w:rsid w:val="00597155"/>
    <w:rsid w:val="005A7423"/>
    <w:rsid w:val="005B2D6D"/>
    <w:rsid w:val="005C111E"/>
    <w:rsid w:val="005D0759"/>
    <w:rsid w:val="00603EC7"/>
    <w:rsid w:val="0060696B"/>
    <w:rsid w:val="006122CA"/>
    <w:rsid w:val="006623B7"/>
    <w:rsid w:val="00663B3D"/>
    <w:rsid w:val="00664DA3"/>
    <w:rsid w:val="00685A1D"/>
    <w:rsid w:val="006A0BFB"/>
    <w:rsid w:val="006A2196"/>
    <w:rsid w:val="006B295A"/>
    <w:rsid w:val="006C0CCD"/>
    <w:rsid w:val="006C7324"/>
    <w:rsid w:val="006D2209"/>
    <w:rsid w:val="006D4A6B"/>
    <w:rsid w:val="007058C4"/>
    <w:rsid w:val="00725C0F"/>
    <w:rsid w:val="00765D2E"/>
    <w:rsid w:val="00771B4A"/>
    <w:rsid w:val="007738E7"/>
    <w:rsid w:val="007777E0"/>
    <w:rsid w:val="00781EEB"/>
    <w:rsid w:val="007A3AC0"/>
    <w:rsid w:val="007B28AB"/>
    <w:rsid w:val="007B364E"/>
    <w:rsid w:val="00830D1C"/>
    <w:rsid w:val="00840037"/>
    <w:rsid w:val="00843556"/>
    <w:rsid w:val="00865BB9"/>
    <w:rsid w:val="008728F1"/>
    <w:rsid w:val="008955A8"/>
    <w:rsid w:val="008A12B4"/>
    <w:rsid w:val="008A6081"/>
    <w:rsid w:val="008B63E6"/>
    <w:rsid w:val="008E4078"/>
    <w:rsid w:val="008F4900"/>
    <w:rsid w:val="008F786E"/>
    <w:rsid w:val="00910EAA"/>
    <w:rsid w:val="00936670"/>
    <w:rsid w:val="009470BB"/>
    <w:rsid w:val="00976A18"/>
    <w:rsid w:val="009B3999"/>
    <w:rsid w:val="009C4451"/>
    <w:rsid w:val="009D68CE"/>
    <w:rsid w:val="00A44186"/>
    <w:rsid w:val="00A5794F"/>
    <w:rsid w:val="00A57A24"/>
    <w:rsid w:val="00A77B3E"/>
    <w:rsid w:val="00A83930"/>
    <w:rsid w:val="00AB0CE9"/>
    <w:rsid w:val="00AD052A"/>
    <w:rsid w:val="00AF715F"/>
    <w:rsid w:val="00B04C85"/>
    <w:rsid w:val="00B65F92"/>
    <w:rsid w:val="00BA059A"/>
    <w:rsid w:val="00BA0CBA"/>
    <w:rsid w:val="00BC454A"/>
    <w:rsid w:val="00BD5B76"/>
    <w:rsid w:val="00BF22F1"/>
    <w:rsid w:val="00BF5ABD"/>
    <w:rsid w:val="00C34BE9"/>
    <w:rsid w:val="00C350AE"/>
    <w:rsid w:val="00C67857"/>
    <w:rsid w:val="00C75023"/>
    <w:rsid w:val="00C8058C"/>
    <w:rsid w:val="00C93242"/>
    <w:rsid w:val="00CA2A55"/>
    <w:rsid w:val="00CB35D8"/>
    <w:rsid w:val="00CB4F39"/>
    <w:rsid w:val="00CC2FA9"/>
    <w:rsid w:val="00CC7A32"/>
    <w:rsid w:val="00CD1FC7"/>
    <w:rsid w:val="00CD2026"/>
    <w:rsid w:val="00CF79C8"/>
    <w:rsid w:val="00D23BA5"/>
    <w:rsid w:val="00D35363"/>
    <w:rsid w:val="00D65BF1"/>
    <w:rsid w:val="00D8668F"/>
    <w:rsid w:val="00DB0DBB"/>
    <w:rsid w:val="00DB0E0C"/>
    <w:rsid w:val="00DF7BE3"/>
    <w:rsid w:val="00E36DAB"/>
    <w:rsid w:val="00E55A24"/>
    <w:rsid w:val="00E7258C"/>
    <w:rsid w:val="00E81103"/>
    <w:rsid w:val="00E8495B"/>
    <w:rsid w:val="00EA30A0"/>
    <w:rsid w:val="00EA7E7D"/>
    <w:rsid w:val="00EB3011"/>
    <w:rsid w:val="00EB6DC0"/>
    <w:rsid w:val="00EC3072"/>
    <w:rsid w:val="00EC55E1"/>
    <w:rsid w:val="00ED2066"/>
    <w:rsid w:val="00EF095C"/>
    <w:rsid w:val="00F14A6B"/>
    <w:rsid w:val="00F257BD"/>
    <w:rsid w:val="00F2758F"/>
    <w:rsid w:val="00F57AB6"/>
    <w:rsid w:val="00F831D6"/>
    <w:rsid w:val="00FB65D5"/>
    <w:rsid w:val="00FD2FA3"/>
    <w:rsid w:val="04A8409B"/>
    <w:rsid w:val="16163642"/>
    <w:rsid w:val="188156D1"/>
    <w:rsid w:val="2B516F4A"/>
    <w:rsid w:val="2E3E0D04"/>
    <w:rsid w:val="39C60151"/>
    <w:rsid w:val="3E5D6E0D"/>
    <w:rsid w:val="407E58D5"/>
    <w:rsid w:val="42A50E24"/>
    <w:rsid w:val="48E33325"/>
    <w:rsid w:val="4A464D68"/>
    <w:rsid w:val="5CD609AA"/>
    <w:rsid w:val="5FED23FD"/>
    <w:rsid w:val="6100317D"/>
    <w:rsid w:val="661D4F6A"/>
    <w:rsid w:val="6A2A2A20"/>
    <w:rsid w:val="71B67BF3"/>
    <w:rsid w:val="71DE1461"/>
    <w:rsid w:val="79DA6C08"/>
    <w:rsid w:val="7A2311D2"/>
    <w:rsid w:val="7FAF06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21ECC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semiHidden="0"/>
    <w:lsdException w:name="header" w:semiHidden="0" w:qFormat="1"/>
    <w:lsdException w:name="footer" w:semiHidden="0" w:uiPriority="99" w:qFormat="1"/>
    <w:lsdException w:name="caption" w:qFormat="1"/>
    <w:lsdException w:name="annotation reference" w:semiHidden="0"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semiHidden="0" w:uiPriority="1"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Web)" w:semiHidden="0"/>
    <w:lsdException w:name="Normal Table" w:uiPriority="99" w:qFormat="1"/>
    <w:lsdException w:name="annotation subject" w:semiHidden="0"/>
    <w:lsdException w:name="No List" w:uiPriority="99"/>
    <w:lsdException w:name="Outline List 1" w:uiPriority="99"/>
    <w:lsdException w:name="Outline List 2" w:uiPriority="99"/>
    <w:lsdException w:name="Outline List 3" w:uiPriority="99"/>
    <w:lsdException w:name="Balloon Text" w:semiHidden="0" w:unhideWhenUsed="0"/>
    <w:lsdException w:name="Table Grid" w:semiHidden="0" w:unhideWhenUsed="0" w:qFormat="1"/>
    <w:lsdException w:name="Placeholder Text" w:uiPriority="99"/>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99"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186"/>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nhideWhenUsed/>
  </w:style>
  <w:style w:type="character" w:customStyle="1" w:styleId="Char">
    <w:name w:val="批注文字 Char"/>
    <w:link w:val="a3"/>
    <w:semiHidden/>
    <w:rPr>
      <w:sz w:val="24"/>
      <w:szCs w:val="24"/>
    </w:rPr>
  </w:style>
  <w:style w:type="paragraph" w:styleId="a4">
    <w:name w:val="footer"/>
    <w:basedOn w:val="a"/>
    <w:link w:val="Char0"/>
    <w:uiPriority w:val="99"/>
    <w:unhideWhenUsed/>
    <w:qFormat/>
    <w:pPr>
      <w:tabs>
        <w:tab w:val="center" w:pos="4153"/>
        <w:tab w:val="right" w:pos="8306"/>
      </w:tabs>
      <w:snapToGrid w:val="0"/>
    </w:pPr>
    <w:rPr>
      <w:sz w:val="18"/>
      <w:szCs w:val="18"/>
    </w:rPr>
  </w:style>
  <w:style w:type="character" w:customStyle="1" w:styleId="Char0">
    <w:name w:val="页脚 Char"/>
    <w:link w:val="a4"/>
    <w:uiPriority w:val="99"/>
    <w:qFormat/>
    <w:rPr>
      <w:sz w:val="18"/>
      <w:szCs w:val="18"/>
    </w:rPr>
  </w:style>
  <w:style w:type="paragraph" w:styleId="a5">
    <w:name w:val="header"/>
    <w:basedOn w:val="a"/>
    <w:link w:val="Char1"/>
    <w:unhideWhenUsed/>
    <w:qFormat/>
    <w:pPr>
      <w:pBdr>
        <w:bottom w:val="single" w:sz="6" w:space="1" w:color="auto"/>
      </w:pBdr>
      <w:tabs>
        <w:tab w:val="center" w:pos="4153"/>
        <w:tab w:val="right" w:pos="8306"/>
      </w:tabs>
      <w:snapToGrid w:val="0"/>
      <w:jc w:val="center"/>
    </w:pPr>
    <w:rPr>
      <w:sz w:val="18"/>
      <w:szCs w:val="18"/>
    </w:rPr>
  </w:style>
  <w:style w:type="character" w:customStyle="1" w:styleId="Char1">
    <w:name w:val="页眉 Char"/>
    <w:link w:val="a5"/>
    <w:rPr>
      <w:sz w:val="18"/>
      <w:szCs w:val="18"/>
    </w:rPr>
  </w:style>
  <w:style w:type="paragraph" w:styleId="a6">
    <w:name w:val="Normal (Web)"/>
    <w:basedOn w:val="a"/>
    <w:unhideWhenUsed/>
  </w:style>
  <w:style w:type="paragraph" w:styleId="a7">
    <w:name w:val="annotation subject"/>
    <w:basedOn w:val="a3"/>
    <w:next w:val="a3"/>
    <w:link w:val="Char2"/>
    <w:unhideWhenUsed/>
    <w:rPr>
      <w:b/>
      <w:bCs/>
    </w:rPr>
  </w:style>
  <w:style w:type="character" w:customStyle="1" w:styleId="Char2">
    <w:name w:val="批注主题 Char"/>
    <w:link w:val="a7"/>
    <w:semiHidden/>
    <w:rPr>
      <w:b/>
      <w:bCs/>
      <w:sz w:val="24"/>
      <w:szCs w:val="24"/>
    </w:rPr>
  </w:style>
  <w:style w:type="table" w:styleId="a8">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annotation reference"/>
    <w:unhideWhenUsed/>
    <w:qFormat/>
    <w:rPr>
      <w:sz w:val="21"/>
      <w:szCs w:val="21"/>
    </w:rPr>
  </w:style>
  <w:style w:type="paragraph" w:styleId="aa">
    <w:name w:val="Revision"/>
    <w:hidden/>
    <w:uiPriority w:val="99"/>
    <w:unhideWhenUsed/>
    <w:rsid w:val="00330B44"/>
    <w:rPr>
      <w:sz w:val="24"/>
      <w:szCs w:val="24"/>
      <w:lang w:eastAsia="en-US"/>
    </w:rPr>
  </w:style>
  <w:style w:type="character" w:styleId="ab">
    <w:name w:val="Hyperlink"/>
    <w:unhideWhenUsed/>
    <w:rsid w:val="009C4451"/>
    <w:rPr>
      <w:color w:val="0563C1"/>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5957357">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32</Pages>
  <Words>7781</Words>
  <Characters>44357</Characters>
  <Application>Microsoft Office Word</Application>
  <DocSecurity>0</DocSecurity>
  <Lines>369</Lines>
  <Paragraphs>104</Paragraphs>
  <ScaleCrop>false</ScaleCrop>
  <Company/>
  <LinksUpToDate>false</LinksUpToDate>
  <CharactersWithSpaces>52034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Wang,Jin-Lei BPG</dc:creator>
  <cp:keywords/>
  <cp:lastModifiedBy>liujihong2008@qq.con</cp:lastModifiedBy>
  <cp:revision>15</cp:revision>
  <dcterms:created xsi:type="dcterms:W3CDTF">2021-10-13T09:16:00Z</dcterms:created>
  <dcterms:modified xsi:type="dcterms:W3CDTF">2021-10-19T03:09:00Z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647B27BE6C3F42938EDCB8B6CFB65180</vt:lpwstr>
  </property>
</Properties>
</file>