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68574</w:t>
      </w: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Hepatic portal venous gas without definite clinical manifestations of necrotizing enterocolitis in a </w:t>
      </w:r>
      <w:r>
        <w:rPr>
          <w:rFonts w:ascii="Book Antiqua" w:hAnsi="Book Antiqua" w:cs="Book Antiqua"/>
          <w:b/>
          <w:color w:val="000000"/>
          <w:lang w:eastAsia="zh-CN"/>
        </w:rPr>
        <w:t>3</w:t>
      </w:r>
      <w:r>
        <w:rPr>
          <w:rFonts w:ascii="Book Antiqua" w:eastAsia="Book Antiqua" w:hAnsi="Book Antiqua" w:cs="Book Antiqua"/>
          <w:b/>
          <w:color w:val="000000"/>
        </w:rPr>
        <w:t xml:space="preserve">-day-old full-term neonate: </w:t>
      </w:r>
      <w:r>
        <w:rPr>
          <w:rFonts w:ascii="Book Antiqua" w:hAnsi="Book Antiqua" w:cs="Book Antiqua"/>
          <w:b/>
          <w:color w:val="000000"/>
          <w:lang w:eastAsia="zh-CN"/>
        </w:rPr>
        <w:t>A</w:t>
      </w:r>
      <w:r>
        <w:rPr>
          <w:rFonts w:ascii="Book Antiqua" w:eastAsia="Book Antiqua" w:hAnsi="Book Antiqua" w:cs="Book Antiqua"/>
          <w:b/>
          <w:color w:val="000000"/>
        </w:rPr>
        <w:t xml:space="preserve"> case report</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Yuan </w:t>
      </w:r>
      <w:r>
        <w:rPr>
          <w:rFonts w:ascii="Book Antiqua" w:hAnsi="Book Antiqua" w:cs="Book Antiqua" w:hint="eastAsia"/>
          <w:color w:val="000000"/>
          <w:lang w:eastAsia="zh-CN"/>
        </w:rPr>
        <w:t xml:space="preserve">K </w:t>
      </w:r>
      <w:r>
        <w:rPr>
          <w:rFonts w:ascii="Book Antiqua" w:hAnsi="Book Antiqua" w:cs="Book Antiqua" w:hint="eastAsia"/>
          <w:i/>
          <w:color w:val="000000"/>
          <w:lang w:eastAsia="zh-CN"/>
        </w:rPr>
        <w:t xml:space="preserve">et </w:t>
      </w:r>
      <w:r>
        <w:rPr>
          <w:rFonts w:ascii="Book Antiqua" w:hAnsi="Book Antiqua" w:cs="Book Antiqua" w:hint="eastAsia"/>
          <w:i/>
          <w:color w:val="000000"/>
          <w:lang w:eastAsia="zh-CN"/>
        </w:rPr>
        <w:t>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HPVG in a </w:t>
      </w:r>
      <w:r>
        <w:rPr>
          <w:rFonts w:ascii="Book Antiqua" w:hAnsi="Book Antiqua" w:cs="Book Antiqua"/>
          <w:color w:val="000000"/>
          <w:lang w:eastAsia="zh-CN"/>
        </w:rPr>
        <w:t>3</w:t>
      </w:r>
      <w:r>
        <w:rPr>
          <w:rFonts w:ascii="Book Antiqua" w:eastAsia="Book Antiqua" w:hAnsi="Book Antiqua" w:cs="Book Antiqua"/>
          <w:color w:val="000000"/>
        </w:rPr>
        <w:t xml:space="preserve">-day-old </w:t>
      </w:r>
      <w:r>
        <w:rPr>
          <w:rFonts w:ascii="Book Antiqua" w:hAnsi="Book Antiqua" w:cs="Book Antiqua" w:hint="eastAsia"/>
          <w:color w:val="000000"/>
          <w:lang w:eastAsia="zh-CN"/>
        </w:rPr>
        <w:t>f</w:t>
      </w:r>
      <w:r>
        <w:rPr>
          <w:rFonts w:ascii="Book Antiqua" w:eastAsia="Book Antiqua" w:hAnsi="Book Antiqua" w:cs="Book Antiqua"/>
          <w:color w:val="000000"/>
        </w:rPr>
        <w:t xml:space="preserve">ull-term </w:t>
      </w:r>
      <w:r>
        <w:rPr>
          <w:rFonts w:ascii="Book Antiqua" w:hAnsi="Book Antiqua" w:cs="Book Antiqua" w:hint="eastAsia"/>
          <w:color w:val="000000"/>
          <w:lang w:eastAsia="zh-CN"/>
        </w:rPr>
        <w:t>n</w:t>
      </w:r>
      <w:r>
        <w:rPr>
          <w:rFonts w:ascii="Book Antiqua" w:eastAsia="Book Antiqua" w:hAnsi="Book Antiqua" w:cs="Book Antiqua"/>
          <w:color w:val="000000"/>
        </w:rPr>
        <w:t>eonate</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color w:val="000000"/>
        </w:rPr>
        <w:t>Ke Yuan, Qing</w:t>
      </w:r>
      <w:r>
        <w:rPr>
          <w:rFonts w:ascii="Book Antiqua" w:hAnsi="Book Antiqua" w:cs="Book Antiqua" w:hint="eastAsia"/>
          <w:color w:val="000000"/>
          <w:lang w:eastAsia="zh-CN"/>
        </w:rPr>
        <w:t>-Q</w:t>
      </w:r>
      <w:r>
        <w:rPr>
          <w:rFonts w:ascii="Book Antiqua" w:eastAsia="Book Antiqua" w:hAnsi="Book Antiqua" w:cs="Book Antiqua"/>
          <w:color w:val="000000"/>
        </w:rPr>
        <w:t>ing Chen, Yi</w:t>
      </w:r>
      <w:r>
        <w:rPr>
          <w:rFonts w:ascii="Book Antiqua" w:hAnsi="Book Antiqua" w:cs="Book Antiqua" w:hint="eastAsia"/>
          <w:color w:val="000000"/>
          <w:lang w:eastAsia="zh-CN"/>
        </w:rPr>
        <w:t>-L</w:t>
      </w:r>
      <w:r>
        <w:rPr>
          <w:rFonts w:ascii="Book Antiqua" w:eastAsia="Book Antiqua" w:hAnsi="Book Antiqua" w:cs="Book Antiqua"/>
          <w:color w:val="000000"/>
        </w:rPr>
        <w:t>in Zhu, Fang Luo</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Ke Yuan, Qing</w:t>
      </w:r>
      <w:r>
        <w:rPr>
          <w:rFonts w:ascii="Book Antiqua" w:hAnsi="Book Antiqua" w:cs="Book Antiqua" w:hint="eastAsia"/>
          <w:b/>
          <w:bCs/>
          <w:color w:val="000000"/>
          <w:lang w:eastAsia="zh-CN"/>
        </w:rPr>
        <w:t>-Q</w:t>
      </w:r>
      <w:r>
        <w:rPr>
          <w:rFonts w:ascii="Book Antiqua" w:eastAsia="Book Antiqua" w:hAnsi="Book Antiqua" w:cs="Book Antiqua"/>
          <w:b/>
          <w:bCs/>
          <w:color w:val="000000"/>
        </w:rPr>
        <w:t>ing Chen, Yi</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Zhu, Fang Luo, </w:t>
      </w:r>
      <w:r>
        <w:rPr>
          <w:rFonts w:ascii="Book Antiqua" w:eastAsia="Book Antiqua" w:hAnsi="Book Antiqua" w:cs="Book Antiqua"/>
          <w:color w:val="000000"/>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Pediatrics, The First Affiliated Hospital, Zhejiang University School of Medicine, Hangzhou 310003, Zheji</w:t>
      </w:r>
      <w:r>
        <w:rPr>
          <w:rFonts w:ascii="Book Antiqua" w:eastAsia="Book Antiqua" w:hAnsi="Book Antiqua" w:cs="Book Antiqua"/>
          <w:color w:val="000000"/>
        </w:rPr>
        <w:t>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Yuan K and Luo F conceived and designed the study; Yuan K, Chen QQ, and Zhu YL provided clinical research; Yuan K wrote the paper; </w:t>
      </w:r>
      <w:r>
        <w:rPr>
          <w:rFonts w:ascii="Book Antiqua" w:hAnsi="Book Antiqua" w:cs="Book Antiqua" w:hint="eastAsia"/>
          <w:color w:val="000000"/>
          <w:lang w:eastAsia="zh-CN"/>
        </w:rPr>
        <w:t xml:space="preserve">all authors </w:t>
      </w:r>
      <w:r>
        <w:rPr>
          <w:rFonts w:ascii="Book Antiqua" w:eastAsia="Book Antiqua" w:hAnsi="Book Antiqua" w:cs="Book Antiqua"/>
          <w:color w:val="000000"/>
        </w:rPr>
        <w:t>reviewed</w:t>
      </w:r>
      <w:r>
        <w:rPr>
          <w:rFonts w:ascii="Book Antiqua" w:hAnsi="Book Antiqua" w:cs="Book Antiqua"/>
          <w:color w:val="000000"/>
          <w:lang w:eastAsia="zh-CN"/>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edited the manuscript</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and </w:t>
      </w:r>
      <w:r>
        <w:rPr>
          <w:rFonts w:ascii="Book Antiqua" w:eastAsia="Book Antiqua" w:hAnsi="Book Antiqua" w:cs="Book Antiqua"/>
          <w:color w:val="000000"/>
        </w:rPr>
        <w:t xml:space="preserve">read and approved the </w:t>
      </w:r>
      <w:r>
        <w:rPr>
          <w:rFonts w:ascii="Book Antiqua" w:hAnsi="Book Antiqua" w:cs="Book Antiqua" w:hint="eastAsia"/>
          <w:color w:val="000000"/>
          <w:lang w:eastAsia="zh-CN"/>
        </w:rPr>
        <w:t xml:space="preserve">final </w:t>
      </w:r>
      <w:r>
        <w:rPr>
          <w:rFonts w:ascii="Book Antiqua" w:eastAsia="Book Antiqua" w:hAnsi="Book Antiqua" w:cs="Book Antiqua"/>
          <w:color w:val="000000"/>
        </w:rPr>
        <w:t>manuscript.</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Corresponding author: Fang Luo, MD, Chief Doctor, </w:t>
      </w:r>
      <w:r>
        <w:rPr>
          <w:rFonts w:ascii="Book Antiqua" w:eastAsia="Book Antiqua" w:hAnsi="Book Antiqua" w:cs="Book Antiqua"/>
          <w:color w:val="000000"/>
        </w:rPr>
        <w:t>Department of Pediatrics, The First Affiliated Hospital, Zhejiang University School of Medicine,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79 Qingchun Road, Hangzhou 310003,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6305005@zju.edu.cn</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w:t>
      </w:r>
      <w:r>
        <w:rPr>
          <w:rFonts w:ascii="Book Antiqua" w:eastAsia="Book Antiqua" w:hAnsi="Book Antiqua" w:cs="Book Antiqua"/>
          <w:color w:val="000000"/>
        </w:rPr>
        <w:t>ay 28, 2021</w:t>
      </w:r>
    </w:p>
    <w:p w:rsidR="00942074" w:rsidRDefault="008B18C2">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June 20, 2021</w:t>
      </w: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33"/>
      <w:bookmarkStart w:id="1" w:name="OLE_LINK15"/>
      <w:bookmarkStart w:id="2" w:name="OLE_LINK48"/>
      <w:r>
        <w:rPr>
          <w:rFonts w:ascii="Book Antiqua" w:eastAsia="宋体" w:hAnsi="Book Antiqua" w:hint="eastAsia"/>
          <w:color w:val="000000" w:themeColor="text1"/>
        </w:rPr>
        <w:t>Au</w:t>
      </w:r>
      <w:r>
        <w:rPr>
          <w:rFonts w:ascii="Book Antiqua" w:eastAsia="宋体" w:hAnsi="Book Antiqua"/>
          <w:color w:val="000000" w:themeColor="text1"/>
        </w:rPr>
        <w:t>gust 30, 2021</w:t>
      </w:r>
      <w:bookmarkEnd w:id="0"/>
      <w:bookmarkEnd w:id="1"/>
      <w:bookmarkEnd w:id="2"/>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October 26</w:t>
      </w:r>
      <w:r>
        <w:rPr>
          <w:rFonts w:ascii="Book Antiqua" w:eastAsia="宋体" w:hAnsi="Book Antiqua" w:cs="Book Antiqua" w:hint="eastAsia"/>
          <w:color w:val="000000"/>
          <w:lang w:eastAsia="zh-CN"/>
        </w:rPr>
        <w:t>, 2021</w:t>
      </w:r>
    </w:p>
    <w:p w:rsidR="00942074" w:rsidRDefault="00942074">
      <w:pPr>
        <w:spacing w:line="360" w:lineRule="auto"/>
        <w:jc w:val="both"/>
        <w:rPr>
          <w:rFonts w:ascii="Book Antiqua" w:hAnsi="Book Antiqua"/>
        </w:rPr>
        <w:sectPr w:rsidR="00942074">
          <w:footerReference w:type="default" r:id="rId8"/>
          <w:pgSz w:w="12240" w:h="15840"/>
          <w:pgMar w:top="1440" w:right="1440" w:bottom="1440" w:left="1440" w:header="720" w:footer="720" w:gutter="0"/>
          <w:cols w:space="720"/>
          <w:docGrid w:linePitch="360"/>
        </w:sect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942074" w:rsidRDefault="008B18C2">
      <w:pPr>
        <w:spacing w:line="360" w:lineRule="auto"/>
        <w:jc w:val="both"/>
        <w:rPr>
          <w:rFonts w:ascii="Book Antiqua" w:hAnsi="Book Antiqua"/>
        </w:rPr>
      </w:pPr>
      <w:r>
        <w:rPr>
          <w:rFonts w:ascii="Book Antiqua" w:eastAsia="Book Antiqua" w:hAnsi="Book Antiqua" w:cs="Book Antiqua"/>
          <w:color w:val="000000"/>
        </w:rPr>
        <w:t>BACKGROUND</w:t>
      </w:r>
    </w:p>
    <w:p w:rsidR="00942074" w:rsidRDefault="008B18C2">
      <w:pPr>
        <w:spacing w:line="360" w:lineRule="auto"/>
        <w:jc w:val="both"/>
        <w:rPr>
          <w:rFonts w:ascii="Book Antiqua" w:hAnsi="Book Antiqua"/>
        </w:rPr>
      </w:pPr>
      <w:r>
        <w:rPr>
          <w:rFonts w:ascii="Book Antiqua" w:eastAsia="Book Antiqua" w:hAnsi="Book Antiqua" w:cs="Book Antiqua"/>
          <w:color w:val="000000"/>
        </w:rPr>
        <w:t>Neonatal hepatic portal venous gas (HPVG) is associated with a high risk of necrotizing enterocolitis (NEC) and was previously believed to be associated with an increased risk of surgery.</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color w:val="000000"/>
        </w:rPr>
        <w:t>CASE SUMMARY</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A </w:t>
      </w:r>
      <w:r>
        <w:rPr>
          <w:rFonts w:ascii="Book Antiqua" w:hAnsi="Book Antiqua" w:cs="Book Antiqua"/>
          <w:color w:val="000000"/>
          <w:lang w:eastAsia="zh-CN"/>
        </w:rPr>
        <w:t>3</w:t>
      </w:r>
      <w:r>
        <w:rPr>
          <w:rFonts w:ascii="Book Antiqua" w:eastAsia="Book Antiqua" w:hAnsi="Book Antiqua" w:cs="Book Antiqua"/>
          <w:color w:val="000000"/>
        </w:rPr>
        <w:t>-day-old full-term male infant was admit</w:t>
      </w:r>
      <w:r>
        <w:rPr>
          <w:rFonts w:ascii="Book Antiqua" w:eastAsia="Book Antiqua" w:hAnsi="Book Antiqua" w:cs="Book Antiqua"/>
          <w:color w:val="000000"/>
        </w:rPr>
        <w:t>ted to the pediatrics department after presenting with “low blood glucose for 10 min”. Hypoglycemia was corrected by intravenous glucose administration and oral breast milk. On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after admission, an ultrasound examination showed gas accumulation in</w:t>
      </w:r>
      <w:r>
        <w:rPr>
          <w:rFonts w:ascii="Book Antiqua" w:eastAsia="Book Antiqua" w:hAnsi="Book Antiqua" w:cs="Book Antiqua"/>
          <w:color w:val="000000"/>
        </w:rPr>
        <w:t xml:space="preserve"> the hepatic portal vein; this increased on the next day. Abdominal vertical radiograph showed intestinal pneumatosis. Routine blood examination showed that the total number of white blood cells was normal, but neutrophilia was related to age. There was a </w:t>
      </w:r>
      <w:r>
        <w:rPr>
          <w:rFonts w:ascii="Book Antiqua" w:eastAsia="Book Antiqua" w:hAnsi="Book Antiqua" w:cs="Book Antiqua"/>
          <w:color w:val="000000"/>
        </w:rPr>
        <w:t>significant increase in C-reactive protein (CRP). The child was diagnosed with neonatal NEC (early-stage). With nil per os, rehydration, parenteral nutritional support, and anti-infection treatment with no sodium, his hepatic portal vein pneumatosis resolv</w:t>
      </w:r>
      <w:r>
        <w:rPr>
          <w:rFonts w:ascii="Book Antiqua" w:eastAsia="Book Antiqua" w:hAnsi="Book Antiqua" w:cs="Book Antiqua"/>
          <w:color w:val="000000"/>
        </w:rPr>
        <w:t>ed. In addition, routine blood examination and CRP examination showed significant improvement and his symptoms resolved. The patient was given timely refeeding and gradually transitioned to full milk feeding and was subsequently discharged. Follow-up exami</w:t>
      </w:r>
      <w:r>
        <w:rPr>
          <w:rFonts w:ascii="Book Antiqua" w:eastAsia="Book Antiqua" w:hAnsi="Book Antiqua" w:cs="Book Antiqua"/>
          <w:color w:val="000000"/>
        </w:rPr>
        <w:t>nation after discharge showed that the general condition of the patient was stable.</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color w:val="000000"/>
        </w:rPr>
        <w:t>CONCLUSION</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The presence of HPVG in neonates indicates early NEC. Early active anti-infective treatment is effective in treating NEC, minimizes the risk of severe NEC, and </w:t>
      </w:r>
      <w:r>
        <w:rPr>
          <w:rFonts w:ascii="Book Antiqua" w:eastAsia="Book Antiqua" w:hAnsi="Book Antiqua" w:cs="Book Antiqua"/>
          <w:color w:val="000000"/>
        </w:rPr>
        <w:t>reduces the need for surgery. The findings of this study imply that early examination of the liver by ultrasound in a sick neonate can help with the early diagnosis of conditions such as NEC.</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portal venous gas; Neonates; Clinic; Ultraso</w:t>
      </w:r>
      <w:r>
        <w:rPr>
          <w:rFonts w:ascii="Book Antiqua" w:eastAsia="Book Antiqua" w:hAnsi="Book Antiqua" w:cs="Book Antiqua"/>
          <w:color w:val="000000"/>
        </w:rPr>
        <w:t>und; Early diagnosis; Case report</w:t>
      </w:r>
    </w:p>
    <w:p w:rsidR="00A617C7" w:rsidRDefault="00A617C7" w:rsidP="00A617C7">
      <w:pPr>
        <w:spacing w:line="360" w:lineRule="auto"/>
        <w:jc w:val="both"/>
        <w:rPr>
          <w:lang w:eastAsia="zh-CN"/>
        </w:rPr>
      </w:pPr>
    </w:p>
    <w:p w:rsidR="00A617C7" w:rsidRPr="00026CB8" w:rsidRDefault="00A617C7" w:rsidP="00A617C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942074" w:rsidRDefault="00942074">
      <w:pPr>
        <w:spacing w:line="360" w:lineRule="auto"/>
        <w:jc w:val="both"/>
        <w:rPr>
          <w:rFonts w:ascii="Book Antiqua" w:hAnsi="Book Antiqua"/>
        </w:rPr>
      </w:pPr>
    </w:p>
    <w:p w:rsidR="009C2687" w:rsidRDefault="009C2687">
      <w:pPr>
        <w:spacing w:line="360" w:lineRule="auto"/>
        <w:jc w:val="both"/>
        <w:rPr>
          <w:rFonts w:ascii="Book Antiqua" w:hAnsi="Book Antiqua" w:cs="Book Antiqua" w:hint="eastAsia"/>
          <w:color w:val="000000"/>
          <w:lang w:eastAsia="zh-CN"/>
        </w:rPr>
      </w:pPr>
      <w:r w:rsidRPr="009C2687">
        <w:rPr>
          <w:rFonts w:ascii="Book Antiqua" w:hAnsi="Book Antiqua" w:cs="Book Antiqua" w:hint="eastAsia"/>
          <w:b/>
          <w:color w:val="000000"/>
          <w:lang w:eastAsia="zh-CN"/>
        </w:rPr>
        <w:t xml:space="preserve">Citation: </w:t>
      </w:r>
      <w:r w:rsidR="008B18C2">
        <w:rPr>
          <w:rFonts w:ascii="Book Antiqua" w:eastAsia="Book Antiqua" w:hAnsi="Book Antiqua" w:cs="Book Antiqua"/>
          <w:color w:val="000000"/>
        </w:rPr>
        <w:t>Yuan K, Chen Q</w:t>
      </w:r>
      <w:r w:rsidR="008B18C2">
        <w:rPr>
          <w:rFonts w:ascii="Book Antiqua" w:hAnsi="Book Antiqua" w:cs="Book Antiqua" w:hint="eastAsia"/>
          <w:color w:val="000000"/>
          <w:lang w:eastAsia="zh-CN"/>
        </w:rPr>
        <w:t>Q</w:t>
      </w:r>
      <w:r w:rsidR="008B18C2">
        <w:rPr>
          <w:rFonts w:ascii="Book Antiqua" w:eastAsia="Book Antiqua" w:hAnsi="Book Antiqua" w:cs="Book Antiqua"/>
          <w:color w:val="000000"/>
        </w:rPr>
        <w:t>, Zhu Y</w:t>
      </w:r>
      <w:r w:rsidR="008B18C2">
        <w:rPr>
          <w:rFonts w:ascii="Book Antiqua" w:hAnsi="Book Antiqua" w:cs="Book Antiqua" w:hint="eastAsia"/>
          <w:color w:val="000000"/>
          <w:lang w:eastAsia="zh-CN"/>
        </w:rPr>
        <w:t>L</w:t>
      </w:r>
      <w:r w:rsidR="008B18C2">
        <w:rPr>
          <w:rFonts w:ascii="Book Antiqua" w:eastAsia="Book Antiqua" w:hAnsi="Book Antiqua" w:cs="Book Antiqua"/>
          <w:color w:val="000000"/>
        </w:rPr>
        <w:t xml:space="preserve">, Luo F. Hepatic portal venous gas without definite clinical manifestations of necrotizing enterocolitis in a 3-day-old full-term neonate: A case report. </w:t>
      </w:r>
      <w:r w:rsidR="008B18C2">
        <w:rPr>
          <w:rFonts w:ascii="Book Antiqua" w:eastAsia="Book Antiqua" w:hAnsi="Book Antiqua" w:cs="Book Antiqua"/>
          <w:i/>
          <w:iCs/>
          <w:color w:val="000000"/>
        </w:rPr>
        <w:t>World J Clin Cases</w:t>
      </w:r>
      <w:r w:rsidR="008B18C2">
        <w:rPr>
          <w:rFonts w:ascii="Book Antiqua" w:eastAsia="Book Antiqua" w:hAnsi="Book Antiqua" w:cs="Book Antiqua"/>
          <w:color w:val="000000"/>
        </w:rPr>
        <w:t xml:space="preserve"> 2021; </w:t>
      </w:r>
      <w:r w:rsidR="008B18C2">
        <w:rPr>
          <w:rFonts w:ascii="Book Antiqua" w:eastAsia="Book Antiqua" w:hAnsi="Book Antiqua" w:cs="Book Antiqua" w:hint="eastAsia"/>
          <w:color w:val="000000"/>
        </w:rPr>
        <w:t xml:space="preserve">9(30): </w:t>
      </w:r>
      <w:r w:rsidRPr="009C2687">
        <w:rPr>
          <w:rFonts w:ascii="Book Antiqua" w:eastAsia="Book Antiqua" w:hAnsi="Book Antiqua" w:cs="Book Antiqua"/>
          <w:color w:val="000000"/>
        </w:rPr>
        <w:t>9269-9275</w:t>
      </w:r>
      <w:r w:rsidR="008B18C2">
        <w:rPr>
          <w:rFonts w:ascii="Book Antiqua" w:eastAsia="Book Antiqua" w:hAnsi="Book Antiqua" w:cs="Book Antiqua" w:hint="eastAsia"/>
          <w:color w:val="000000"/>
        </w:rPr>
        <w:t xml:space="preserve">  </w:t>
      </w:r>
    </w:p>
    <w:p w:rsidR="009C2687" w:rsidRDefault="008B18C2">
      <w:pPr>
        <w:spacing w:line="360" w:lineRule="auto"/>
        <w:jc w:val="both"/>
        <w:rPr>
          <w:rFonts w:ascii="Book Antiqua" w:hAnsi="Book Antiqua" w:cs="Book Antiqua" w:hint="eastAsia"/>
          <w:color w:val="000000"/>
          <w:lang w:eastAsia="zh-CN"/>
        </w:rPr>
      </w:pPr>
      <w:r w:rsidRPr="009C2687">
        <w:rPr>
          <w:rFonts w:ascii="Book Antiqua" w:eastAsia="Book Antiqua" w:hAnsi="Book Antiqua" w:cs="Book Antiqua" w:hint="eastAsia"/>
          <w:b/>
          <w:color w:val="000000"/>
        </w:rPr>
        <w:t>URL:</w:t>
      </w:r>
      <w:r>
        <w:rPr>
          <w:rFonts w:ascii="Book Antiqua" w:eastAsia="Book Antiqua" w:hAnsi="Book Antiqua" w:cs="Book Antiqua" w:hint="eastAsia"/>
          <w:color w:val="000000"/>
        </w:rPr>
        <w:t xml:space="preserve"> https://www.wjgnet.com/2307-8960/full/v9/i30/</w:t>
      </w:r>
      <w:r w:rsidR="009C2687" w:rsidRPr="009C2687">
        <w:rPr>
          <w:rFonts w:ascii="Book Antiqua" w:eastAsia="Book Antiqua" w:hAnsi="Book Antiqua" w:cs="Book Antiqua"/>
          <w:color w:val="000000"/>
        </w:rPr>
        <w:t>9269</w:t>
      </w:r>
      <w:r>
        <w:rPr>
          <w:rFonts w:ascii="Book Antiqua" w:eastAsia="Book Antiqua" w:hAnsi="Book Antiqua" w:cs="Book Antiqua" w:hint="eastAsia"/>
          <w:color w:val="000000"/>
        </w:rPr>
        <w:t xml:space="preserve">.htm  </w:t>
      </w:r>
    </w:p>
    <w:p w:rsidR="00942074" w:rsidRDefault="008B18C2">
      <w:pPr>
        <w:spacing w:line="360" w:lineRule="auto"/>
        <w:jc w:val="both"/>
        <w:rPr>
          <w:rFonts w:ascii="Book Antiqua" w:hAnsi="Book Antiqua"/>
        </w:rPr>
      </w:pPr>
      <w:r w:rsidRPr="009C2687">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https://dx.doi.org/10.12998/wjcc.v9.i30.</w:t>
      </w:r>
      <w:r w:rsidR="009C2687" w:rsidRPr="009C2687">
        <w:rPr>
          <w:rFonts w:ascii="Book Antiqua" w:eastAsia="Book Antiqua" w:hAnsi="Book Antiqua" w:cs="Book Antiqua"/>
          <w:color w:val="000000"/>
        </w:rPr>
        <w:t>9269</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manuscript reports a case of acute hepatic portal venous gas in a full-term infant and the results of a clinical analysis and lite</w:t>
      </w:r>
      <w:r>
        <w:rPr>
          <w:rFonts w:ascii="Book Antiqua" w:eastAsia="Book Antiqua" w:hAnsi="Book Antiqua" w:cs="Book Antiqua"/>
          <w:color w:val="000000"/>
        </w:rPr>
        <w:t>rature review of the case. The findings of the study show that liver ultrasound examination is important for the early diagnosis of neonatal necrotizing enterocolitis (NEC). Effective and timely treatment of NEC reduces the risk of severe NEC and surgery.</w:t>
      </w:r>
    </w:p>
    <w:p w:rsidR="00942074" w:rsidRDefault="00942074">
      <w:pPr>
        <w:spacing w:line="360" w:lineRule="auto"/>
        <w:jc w:val="both"/>
        <w:rPr>
          <w:rFonts w:ascii="Book Antiqua" w:hAnsi="Book Antiqua"/>
        </w:rPr>
      </w:pPr>
    </w:p>
    <w:p w:rsidR="00942074" w:rsidRDefault="008B18C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942074" w:rsidRDefault="008B18C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Hepatic portal venous gas (HPVG) was first reported by Wolf and Evans in 1955 in patients with neonatal necrotizing enterocolitis (NEC)</w:t>
      </w:r>
      <w:r>
        <w:rPr>
          <w:rFonts w:ascii="Book Antiqua" w:eastAsia="Book Antiqua" w:hAnsi="Book Antiqua" w:cs="Book Antiqua"/>
          <w:color w:val="000000"/>
          <w:vertAlign w:val="superscript"/>
        </w:rPr>
        <w:t>[1,2]</w:t>
      </w:r>
      <w:r>
        <w:rPr>
          <w:rFonts w:ascii="Book Antiqua" w:eastAsia="Book Antiqua" w:hAnsi="Book Antiqua" w:cs="Book Antiqua"/>
          <w:color w:val="000000"/>
        </w:rPr>
        <w:t>. HPVG is associated with various abdominal diseases, ranging from benign to life-threatening condit</w:t>
      </w:r>
      <w:r>
        <w:rPr>
          <w:rFonts w:ascii="Book Antiqua" w:eastAsia="Book Antiqua" w:hAnsi="Book Antiqua" w:cs="Book Antiqua"/>
          <w:color w:val="000000"/>
        </w:rPr>
        <w:t>ions, some of which could require surgical intervention</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diagnosis of HPVG is mainly through ultrasound, X-ray examination, or computed tomography. Advances in these detection methods have led to the detection of HPVG in several diseases with diff</w:t>
      </w:r>
      <w:r>
        <w:rPr>
          <w:rFonts w:ascii="Book Antiqua" w:eastAsia="Book Antiqua" w:hAnsi="Book Antiqua" w:cs="Book Antiqua"/>
          <w:color w:val="000000"/>
        </w:rPr>
        <w:t>ering severities. HPVG is often a transient change during the disease progression. Its duration is often short, and there is no significant correlation with the prognosis of the disease. This case report presents a rare case of simple HPVG in a full-term i</w:t>
      </w:r>
      <w:r>
        <w:rPr>
          <w:rFonts w:ascii="Book Antiqua" w:eastAsia="Book Antiqua" w:hAnsi="Book Antiqua" w:cs="Book Antiqua"/>
          <w:color w:val="000000"/>
        </w:rPr>
        <w:t>nfant without specific clinical manifestations. NEC was diagnosed through ultrasound examination and supportive blood tests, which allowed timely and effective intervention. After treatment, the patient's condition improved significantly, avoiding progress</w:t>
      </w:r>
      <w:r>
        <w:rPr>
          <w:rFonts w:ascii="Book Antiqua" w:eastAsia="Book Antiqua" w:hAnsi="Book Antiqua" w:cs="Book Antiqua"/>
          <w:color w:val="000000"/>
        </w:rPr>
        <w:t>ion to severe NEC and the need for surgery.</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942074" w:rsidRDefault="008B18C2">
      <w:pPr>
        <w:spacing w:line="360" w:lineRule="auto"/>
        <w:jc w:val="both"/>
        <w:rPr>
          <w:rFonts w:ascii="Book Antiqua" w:hAnsi="Book Antiqua"/>
        </w:rPr>
      </w:pPr>
      <w:r>
        <w:rPr>
          <w:rFonts w:ascii="Book Antiqua" w:eastAsia="Book Antiqua" w:hAnsi="Book Antiqua" w:cs="Book Antiqua"/>
          <w:b/>
          <w:i/>
          <w:color w:val="000000"/>
        </w:rPr>
        <w:t>Chief complaints</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A </w:t>
      </w:r>
      <w:r>
        <w:rPr>
          <w:rFonts w:ascii="Book Antiqua" w:hAnsi="Book Antiqua" w:cs="Book Antiqua"/>
          <w:color w:val="000000"/>
          <w:lang w:eastAsia="zh-CN"/>
        </w:rPr>
        <w:t>3</w:t>
      </w:r>
      <w:r>
        <w:rPr>
          <w:rFonts w:ascii="Book Antiqua" w:eastAsia="Book Antiqua" w:hAnsi="Book Antiqua" w:cs="Book Antiqua"/>
          <w:color w:val="000000"/>
        </w:rPr>
        <w:t>-day-old full-term male infant was admitted to the neonatal intensive care unit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within 10 min for monitoring and treatment because of the detection of blood glucose of 1.5 </w:t>
      </w:r>
      <w:r>
        <w:rPr>
          <w:rFonts w:ascii="Book Antiqua" w:eastAsia="Book Antiqua" w:hAnsi="Book Antiqua" w:cs="Book Antiqua"/>
          <w:color w:val="000000"/>
        </w:rPr>
        <w:t>mmol/L after full breastfeeding 2 h after birth. A fecal occult blood test was weakly positive on the third day after birth with no specific clinical manifestations.</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942074" w:rsidRDefault="008B18C2">
      <w:pPr>
        <w:spacing w:line="360" w:lineRule="auto"/>
        <w:jc w:val="both"/>
        <w:rPr>
          <w:rFonts w:ascii="Book Antiqua" w:hAnsi="Book Antiqua"/>
        </w:rPr>
      </w:pPr>
      <w:r>
        <w:rPr>
          <w:rFonts w:ascii="Book Antiqua" w:eastAsia="Book Antiqua" w:hAnsi="Book Antiqua" w:cs="Book Antiqua"/>
          <w:color w:val="000000"/>
        </w:rPr>
        <w:t>The patient was the second child of healthy Han parents. The p</w:t>
      </w:r>
      <w:r>
        <w:rPr>
          <w:rFonts w:ascii="Book Antiqua" w:eastAsia="Book Antiqua" w:hAnsi="Book Antiqua" w:cs="Book Antiqua"/>
          <w:color w:val="000000"/>
        </w:rPr>
        <w:t>atient was delivered through cesarean section at the 39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pregnancy, as the mother presented with a "thin scar uterine wall". The birth weight was 2720 g, and the Apgar score was 9-10-10/1-5-10 min. The patient was diagnosed with hypoglycemia becau</w:t>
      </w:r>
      <w:r>
        <w:rPr>
          <w:rFonts w:ascii="Book Antiqua" w:eastAsia="Book Antiqua" w:hAnsi="Book Antiqua" w:cs="Book Antiqua"/>
          <w:color w:val="000000"/>
        </w:rPr>
        <w:t>se of the detection of blood glucose of 1.5 mmol/L after full breastfeeding 2 h after birth in the maternal neonatal unit. Glucose was administered after hospitalization, and the patient’s blood glucose levels were restored to normal levels with breastfeed</w:t>
      </w:r>
      <w:r>
        <w:rPr>
          <w:rFonts w:ascii="Book Antiqua" w:eastAsia="Book Antiqua" w:hAnsi="Book Antiqua" w:cs="Book Antiqua"/>
          <w:color w:val="000000"/>
        </w:rPr>
        <w:t xml:space="preserve">ing. A fecal occult blood test was positive on the third day after birth. The baby did not present with abdominal distension, diarrhea, fever, chills, vomiting, or other positive signs. Abdominal ultrasound examination was conducted, which showed “hepatic </w:t>
      </w:r>
      <w:r>
        <w:rPr>
          <w:rFonts w:ascii="Book Antiqua" w:eastAsia="Book Antiqua" w:hAnsi="Book Antiqua" w:cs="Book Antiqua"/>
          <w:color w:val="000000"/>
        </w:rPr>
        <w:t>portal vein pneumatosis”.</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i/>
          <w:color w:val="000000"/>
        </w:rPr>
        <w:t>History of past illness</w:t>
      </w:r>
    </w:p>
    <w:p w:rsidR="00942074" w:rsidRDefault="008B18C2">
      <w:pPr>
        <w:spacing w:line="360" w:lineRule="auto"/>
        <w:jc w:val="both"/>
        <w:rPr>
          <w:rFonts w:ascii="Book Antiqua" w:hAnsi="Book Antiqua"/>
        </w:rPr>
      </w:pPr>
      <w:r>
        <w:rPr>
          <w:rFonts w:ascii="Book Antiqua" w:eastAsia="Book Antiqua" w:hAnsi="Book Antiqua" w:cs="Book Antiqua"/>
          <w:color w:val="000000"/>
        </w:rPr>
        <w:t>There was no significant abnormality in the patient’s previous history.</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The father and mother of the patient were in good health, and there was no reported history of genetic </w:t>
      </w:r>
      <w:r>
        <w:rPr>
          <w:rFonts w:ascii="Book Antiqua" w:eastAsia="Book Antiqua" w:hAnsi="Book Antiqua" w:cs="Book Antiqua"/>
          <w:color w:val="000000"/>
        </w:rPr>
        <w:t>metabolic diseases in the family.</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i/>
          <w:color w:val="000000"/>
        </w:rPr>
        <w:t>Physical examination</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The patient showed a moderate reaction, and cardiopulmonary examination showed no abnormal features; the abdomen was soft and reacted when touched under the ribs of the liver and spleen. In addition, </w:t>
      </w:r>
      <w:r>
        <w:rPr>
          <w:rFonts w:ascii="Book Antiqua" w:eastAsia="Book Antiqua" w:hAnsi="Book Antiqua" w:cs="Book Antiqua"/>
          <w:color w:val="000000"/>
        </w:rPr>
        <w:t>no blood or fluid was seeping from the umbilical stump. The patient showed fair limb movement and muscle tone, an original reflex leading out, and was slightly cool in extremities.</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i/>
          <w:color w:val="000000"/>
        </w:rPr>
        <w:t>Laboratory examinations</w:t>
      </w:r>
    </w:p>
    <w:p w:rsidR="00942074" w:rsidRDefault="008B18C2">
      <w:pPr>
        <w:spacing w:line="360" w:lineRule="auto"/>
        <w:jc w:val="both"/>
        <w:rPr>
          <w:rFonts w:ascii="Book Antiqua" w:hAnsi="Book Antiqua"/>
        </w:rPr>
      </w:pPr>
      <w:r>
        <w:rPr>
          <w:rFonts w:ascii="Book Antiqua" w:eastAsia="Book Antiqua" w:hAnsi="Book Antiqua" w:cs="Book Antiqua"/>
          <w:color w:val="000000"/>
        </w:rPr>
        <w:t>Analysis showed that the white blood cell (WBC) co</w:t>
      </w:r>
      <w:r>
        <w:rPr>
          <w:rFonts w:ascii="Book Antiqua" w:eastAsia="Book Antiqua" w:hAnsi="Book Antiqua" w:cs="Book Antiqua"/>
          <w:color w:val="000000"/>
        </w:rPr>
        <w:t>unt was 10.70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(15.0</w:t>
      </w:r>
      <w:r>
        <w:rPr>
          <w:rFonts w:ascii="Book Antiqua" w:hAnsi="Book Antiqua" w:cs="Book Antiqua" w:hint="eastAsia"/>
          <w:color w:val="000000"/>
          <w:lang w:eastAsia="zh-CN"/>
        </w:rPr>
        <w:t>-</w:t>
      </w:r>
      <w:r>
        <w:rPr>
          <w:rFonts w:ascii="Book Antiqua" w:eastAsia="Book Antiqua" w:hAnsi="Book Antiqua" w:cs="Book Antiqua"/>
          <w:color w:val="000000"/>
        </w:rPr>
        <w:t>20.0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proportion of neutrophils was 64.2%, the proportion of lymphocytes was 22.8%, and the red blood cell (RBC) count was 5.09</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/L (6.00</w:t>
      </w:r>
      <w:r>
        <w:rPr>
          <w:rFonts w:ascii="Book Antiqua" w:hAnsi="Book Antiqua" w:cs="Book Antiqua" w:hint="eastAsia"/>
          <w:color w:val="000000"/>
          <w:lang w:eastAsia="zh-CN"/>
        </w:rPr>
        <w:t>-</w:t>
      </w:r>
      <w:r>
        <w:rPr>
          <w:rFonts w:ascii="Book Antiqua" w:eastAsia="Book Antiqua" w:hAnsi="Book Antiqua" w:cs="Book Antiqua"/>
          <w:color w:val="000000"/>
        </w:rPr>
        <w:t>7.00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/L). The hemoglobin level was 202 g/L (170</w:t>
      </w:r>
      <w:r>
        <w:rPr>
          <w:rFonts w:ascii="Book Antiqua" w:hAnsi="Book Antiqua" w:cs="Book Antiqua" w:hint="eastAsia"/>
          <w:color w:val="000000"/>
          <w:lang w:eastAsia="zh-CN"/>
        </w:rPr>
        <w:t>-</w:t>
      </w:r>
      <w:r>
        <w:rPr>
          <w:rFonts w:ascii="Book Antiqua" w:eastAsia="Book Antiqua" w:hAnsi="Book Antiqua" w:cs="Book Antiqua"/>
          <w:color w:val="000000"/>
        </w:rPr>
        <w:t>200 g/L), platelet</w:t>
      </w:r>
      <w:r>
        <w:rPr>
          <w:rFonts w:ascii="Book Antiqua" w:eastAsia="Book Antiqua" w:hAnsi="Book Antiqua" w:cs="Book Antiqua"/>
          <w:color w:val="000000"/>
        </w:rPr>
        <w:t xml:space="preserve"> count was 261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(100</w:t>
      </w:r>
      <w:r>
        <w:rPr>
          <w:rFonts w:ascii="Book Antiqua" w:hAnsi="Book Antiqua" w:cs="Book Antiqua" w:hint="eastAsia"/>
          <w:color w:val="000000"/>
          <w:lang w:eastAsia="zh-CN"/>
        </w:rPr>
        <w:t>-</w:t>
      </w:r>
      <w:r>
        <w:rPr>
          <w:rFonts w:ascii="Book Antiqua" w:eastAsia="Book Antiqua" w:hAnsi="Book Antiqua" w:cs="Book Antiqua"/>
          <w:color w:val="000000"/>
        </w:rPr>
        <w:t>350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the C-reactive protein (CRP) level was 11.62 mg/L (0.0</w:t>
      </w:r>
      <w:r>
        <w:rPr>
          <w:rFonts w:ascii="Book Antiqua" w:hAnsi="Book Antiqua" w:cs="Book Antiqua" w:hint="eastAsia"/>
          <w:color w:val="000000"/>
          <w:lang w:eastAsia="zh-CN"/>
        </w:rPr>
        <w:t>-</w:t>
      </w:r>
      <w:r>
        <w:rPr>
          <w:rFonts w:ascii="Book Antiqua" w:eastAsia="Book Antiqua" w:hAnsi="Book Antiqua" w:cs="Book Antiqua"/>
          <w:color w:val="000000"/>
        </w:rPr>
        <w:t xml:space="preserve">8.0 mg/L). Stool examination showed the absence of WBCs, PLTs, and RBCs; however, the occult blood test was positive. TORCH screening was positive for </w:t>
      </w:r>
      <w:r>
        <w:rPr>
          <w:rFonts w:ascii="Book Antiqua" w:eastAsia="Book Antiqua" w:hAnsi="Book Antiqua" w:cs="Book Antiqua"/>
          <w:color w:val="000000"/>
        </w:rPr>
        <w:t>rubella virus IgG antibody, cytomegalovirus IgG antibody, and HSV-1 virus antibody IgG, whereas the rest was negative. Liver and kidney function, electrolyte, and myocardial enzyme spectrum levels, and urine routine analysis revealed no significant abnorma</w:t>
      </w:r>
      <w:r>
        <w:rPr>
          <w:rFonts w:ascii="Book Antiqua" w:eastAsia="Book Antiqua" w:hAnsi="Book Antiqua" w:cs="Book Antiqua"/>
          <w:color w:val="000000"/>
        </w:rPr>
        <w:t>lity.</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i/>
          <w:color w:val="000000"/>
        </w:rPr>
        <w:t>Imaging examinations</w:t>
      </w:r>
    </w:p>
    <w:p w:rsidR="00942074" w:rsidRDefault="008B18C2">
      <w:pPr>
        <w:spacing w:line="360" w:lineRule="auto"/>
        <w:jc w:val="both"/>
        <w:rPr>
          <w:rFonts w:ascii="Book Antiqua" w:hAnsi="Book Antiqua"/>
        </w:rPr>
      </w:pPr>
      <w:r>
        <w:rPr>
          <w:rFonts w:ascii="Book Antiqua" w:eastAsia="Book Antiqua" w:hAnsi="Book Antiqua" w:cs="Book Antiqua"/>
          <w:color w:val="000000"/>
        </w:rPr>
        <w:t>Abdominal ultrasound examination showed “hepatic portal vein pneumatosis” (Figure 1). Abdominal vertical X-ray showed the presence of intestinal pneumatosis, whereas no clear manifestation of intestinal wall pneumatosis was obse</w:t>
      </w:r>
      <w:r>
        <w:rPr>
          <w:rFonts w:ascii="Book Antiqua" w:eastAsia="Book Antiqua" w:hAnsi="Book Antiqua" w:cs="Book Antiqua"/>
          <w:color w:val="000000"/>
        </w:rPr>
        <w:t>rved (Figure 2).</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The diagnosis was NEC (early-stage) </w:t>
      </w:r>
      <w:r>
        <w:rPr>
          <w:rFonts w:ascii="Book Antiqua" w:hAnsi="Book Antiqua" w:cs="Book Antiqua" w:hint="eastAsia"/>
          <w:color w:val="000000"/>
          <w:lang w:eastAsia="zh-CN"/>
        </w:rPr>
        <w:t xml:space="preserve">and </w:t>
      </w:r>
      <w:r>
        <w:rPr>
          <w:rFonts w:ascii="Book Antiqua" w:hAnsi="Book Antiqua" w:cs="Book Antiqua"/>
          <w:color w:val="000000"/>
          <w:lang w:eastAsia="zh-CN"/>
        </w:rPr>
        <w:t>n</w:t>
      </w:r>
      <w:r>
        <w:rPr>
          <w:rFonts w:ascii="Book Antiqua" w:eastAsia="Book Antiqua" w:hAnsi="Book Antiqua" w:cs="Book Antiqua"/>
          <w:color w:val="000000"/>
        </w:rPr>
        <w:t>eonatal hypoglycemia.</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942074" w:rsidRDefault="008B18C2">
      <w:pPr>
        <w:spacing w:line="360" w:lineRule="auto"/>
        <w:jc w:val="both"/>
        <w:rPr>
          <w:rFonts w:ascii="Book Antiqua" w:hAnsi="Book Antiqua"/>
        </w:rPr>
      </w:pPr>
      <w:r>
        <w:rPr>
          <w:rFonts w:ascii="Book Antiqua" w:eastAsia="Book Antiqua" w:hAnsi="Book Antiqua" w:cs="Book Antiqua"/>
          <w:color w:val="000000"/>
        </w:rPr>
        <w:t>The patient underwent fasting, rehydration, and gastrointestinal decompression. The patient received anti-infective treatment with latamoxef sodium.</w:t>
      </w:r>
      <w:r>
        <w:rPr>
          <w:rFonts w:ascii="Book Antiqua" w:eastAsia="Book Antiqua" w:hAnsi="Book Antiqua" w:cs="Book Antiqua"/>
          <w:color w:val="000000"/>
        </w:rPr>
        <w:t xml:space="preserve"> After 3 d of treatment, routine blood and CRP examinations showed that the WBC count decreased to 10.19</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neutrophil count was 49.5%, the proportion of lymphocytes was 31.2%, the RBC count was 4.85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/L, the hemoglobin level was 182 g/L, th</w:t>
      </w:r>
      <w:r>
        <w:rPr>
          <w:rFonts w:ascii="Book Antiqua" w:eastAsia="Book Antiqua" w:hAnsi="Book Antiqua" w:cs="Book Antiqua"/>
          <w:color w:val="000000"/>
        </w:rPr>
        <w:t>e platelet count was 264 ×</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and the CRP level was 12.69 mg/L. Routine fecal analysis showed that occult blood was negative, and the thoracoabdominal film showed that the bowel inflation had improved (Figure 3). Thus, breastfeeding was resumed. After </w:t>
      </w:r>
      <w:r>
        <w:rPr>
          <w:rFonts w:ascii="Book Antiqua" w:eastAsia="Book Antiqua" w:hAnsi="Book Antiqua" w:cs="Book Antiqua"/>
          <w:color w:val="000000"/>
        </w:rPr>
        <w:t>7 d of treatment, the WBC count was 10.52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neutrophil count was 44.5%, the lymphocyte count was 33.9%, the RBC count was 4.41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/L, the hemoglobin level was 168 g/L, the platelet count was 344</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the CRP level was 3.87 mg/L (the sp</w:t>
      </w:r>
      <w:r>
        <w:rPr>
          <w:rFonts w:ascii="Book Antiqua" w:eastAsia="Book Antiqua" w:hAnsi="Book Antiqua" w:cs="Book Antiqua"/>
          <w:color w:val="000000"/>
        </w:rPr>
        <w:t>ecific laboratory test results are shown in Table 1. Reexamination of ultrasound of the liver, gallbladder, spleen, and pancreas showed that the gas was effectively cleared from the hepatic portal vein (Figure 4).</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942074" w:rsidRDefault="008B18C2">
      <w:pPr>
        <w:spacing w:line="360" w:lineRule="auto"/>
        <w:jc w:val="both"/>
        <w:rPr>
          <w:rFonts w:ascii="Book Antiqua" w:hAnsi="Book Antiqua"/>
        </w:rPr>
      </w:pPr>
      <w:r>
        <w:rPr>
          <w:rFonts w:ascii="Book Antiqua" w:eastAsia="Book Antiqua" w:hAnsi="Book Antiqua" w:cs="Book Antiqua"/>
          <w:color w:val="000000"/>
        </w:rPr>
        <w:t>The patient was sta</w:t>
      </w:r>
      <w:r>
        <w:rPr>
          <w:rFonts w:ascii="Book Antiqua" w:eastAsia="Book Antiqua" w:hAnsi="Book Antiqua" w:cs="Book Antiqua"/>
          <w:color w:val="000000"/>
        </w:rPr>
        <w:t>ble without complications and was discharged after 1 wk of treatment. Follow-up by telephone was carried out 1 wk and 1 mo after discharge. The baby’s condition remained stable with normal weight gain.</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942074" w:rsidRDefault="008B18C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HPVG was first reported by Wolf and Evans </w:t>
      </w:r>
      <w:r>
        <w:rPr>
          <w:rFonts w:ascii="Book Antiqua" w:eastAsia="Book Antiqua" w:hAnsi="Book Antiqua" w:cs="Book Antiqua"/>
          <w:color w:val="000000"/>
        </w:rPr>
        <w:t>in 1955 in association with NEC</w:t>
      </w:r>
      <w:r>
        <w:rPr>
          <w:rFonts w:ascii="Book Antiqua" w:eastAsia="Book Antiqua" w:hAnsi="Book Antiqua" w:cs="Book Antiqua"/>
          <w:color w:val="000000"/>
          <w:vertAlign w:val="superscript"/>
        </w:rPr>
        <w:t>[1]</w:t>
      </w:r>
      <w:r>
        <w:rPr>
          <w:rFonts w:ascii="Book Antiqua" w:eastAsia="Book Antiqua" w:hAnsi="Book Antiqua" w:cs="Book Antiqua"/>
          <w:color w:val="000000"/>
        </w:rPr>
        <w:t>. HPVG is mainly associated with several abdominal diseases, including benign conditions, conditions requiring surgical intervention, and life-threatening conditions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Studies have not fully explored the specific mechani</w:t>
      </w:r>
      <w:r>
        <w:rPr>
          <w:rFonts w:ascii="Book Antiqua" w:eastAsia="Book Antiqua" w:hAnsi="Book Antiqua" w:cs="Book Antiqua"/>
          <w:color w:val="000000"/>
        </w:rPr>
        <w:t xml:space="preserve">sm of HPVG development. According to the clinical research analysis results currently retrieved, HPVG can be attributed to two factors: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G</w:t>
      </w:r>
      <w:r>
        <w:rPr>
          <w:rFonts w:ascii="Book Antiqua" w:eastAsia="Book Antiqua" w:hAnsi="Book Antiqua" w:cs="Book Antiqua"/>
          <w:color w:val="000000"/>
        </w:rPr>
        <w:t>as produced by the gas-producing microorganisms in the intestinal cavity or infection focus that enters the liver t</w:t>
      </w:r>
      <w:r>
        <w:rPr>
          <w:rFonts w:ascii="Book Antiqua" w:eastAsia="Book Antiqua" w:hAnsi="Book Antiqua" w:cs="Book Antiqua"/>
          <w:color w:val="000000"/>
        </w:rPr>
        <w:t xml:space="preserve">hrough blood circulation; or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color w:val="000000"/>
          <w:lang w:eastAsia="zh-CN"/>
        </w:rPr>
        <w:t>g</w:t>
      </w:r>
      <w:r>
        <w:rPr>
          <w:rFonts w:ascii="Book Antiqua" w:eastAsia="Book Antiqua" w:hAnsi="Book Antiqua" w:cs="Book Antiqua"/>
          <w:color w:val="000000"/>
        </w:rPr>
        <w:t>as-producing microorganisms present in the portal vein system producing gas that enters the circulatory system</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Previous studies reported that HPVG in childhood should be considered from the following aspects: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HPVG is v</w:t>
      </w:r>
      <w:r>
        <w:rPr>
          <w:rFonts w:ascii="Book Antiqua" w:eastAsia="Book Antiqua" w:hAnsi="Book Antiqua" w:cs="Book Antiqua"/>
          <w:color w:val="000000"/>
        </w:rPr>
        <w:t>ery common in NEC. NEC is a gastrointestinal disease seen mainly in the neonatal period. Neonates may develop severe sequelae such as short bowel syndrome, intestinal stenosis, or nervous system dysplasia. More than 90% of NEC cases occur in premature infa</w:t>
      </w:r>
      <w:r>
        <w:rPr>
          <w:rFonts w:ascii="Book Antiqua" w:eastAsia="Book Antiqua" w:hAnsi="Book Antiqua" w:cs="Book Antiqua"/>
          <w:color w:val="000000"/>
        </w:rPr>
        <w:t>nts born before 37 wk of gestation. The other 10% of cases occur in full-term infants with insufficient mesenteric perfusion</w:t>
      </w:r>
      <w:r>
        <w:rPr>
          <w:rFonts w:ascii="Book Antiqua" w:eastAsia="Book Antiqua" w:hAnsi="Book Antiqua" w:cs="Book Antiqua"/>
          <w:color w:val="000000"/>
          <w:vertAlign w:val="superscript"/>
        </w:rPr>
        <w:t>[7]</w:t>
      </w:r>
      <w:r>
        <w:rPr>
          <w:rFonts w:ascii="Book Antiqua" w:eastAsia="Book Antiqua" w:hAnsi="Book Antiqua" w:cs="Book Antiqua"/>
          <w:color w:val="000000"/>
        </w:rPr>
        <w:t>. The incidence of NEC in the neonatal intensive care unit is 2%</w:t>
      </w:r>
      <w:r>
        <w:rPr>
          <w:rFonts w:ascii="Book Antiqua" w:hAnsi="Book Antiqua" w:cs="Book Antiqua" w:hint="eastAsia"/>
          <w:color w:val="000000"/>
          <w:lang w:eastAsia="zh-CN"/>
        </w:rPr>
        <w:t>-</w:t>
      </w:r>
      <w:r>
        <w:rPr>
          <w:rFonts w:ascii="Book Antiqua" w:eastAsia="Book Antiqua" w:hAnsi="Book Antiqua" w:cs="Book Antiqua"/>
          <w:color w:val="000000"/>
        </w:rPr>
        <w:t>5%, and the mortality is 20%</w:t>
      </w:r>
      <w:r>
        <w:rPr>
          <w:rFonts w:ascii="Book Antiqua" w:hAnsi="Book Antiqua" w:cs="Book Antiqua" w:hint="eastAsia"/>
          <w:color w:val="000000"/>
          <w:lang w:eastAsia="zh-CN"/>
        </w:rPr>
        <w:t>-</w:t>
      </w:r>
      <w:r>
        <w:rPr>
          <w:rFonts w:ascii="Book Antiqua" w:eastAsia="Book Antiqua" w:hAnsi="Book Antiqua" w:cs="Book Antiqua"/>
          <w:color w:val="000000"/>
        </w:rPr>
        <w:t xml:space="preserve">30%, whereas the incidence in very </w:t>
      </w:r>
      <w:r>
        <w:rPr>
          <w:rFonts w:ascii="Book Antiqua" w:eastAsia="Book Antiqua" w:hAnsi="Book Antiqua" w:cs="Book Antiqua"/>
          <w:color w:val="000000"/>
        </w:rPr>
        <w:t>low birth weight infants is 4.5%</w:t>
      </w:r>
      <w:r>
        <w:rPr>
          <w:rFonts w:ascii="Book Antiqua" w:hAnsi="Book Antiqua" w:cs="Book Antiqua" w:hint="eastAsia"/>
          <w:color w:val="000000"/>
          <w:lang w:eastAsia="zh-CN"/>
        </w:rPr>
        <w:t>-</w:t>
      </w:r>
      <w:r>
        <w:rPr>
          <w:rFonts w:ascii="Book Antiqua" w:eastAsia="Book Antiqua" w:hAnsi="Book Antiqua" w:cs="Book Antiqua"/>
          <w:color w:val="000000"/>
        </w:rPr>
        <w:t>8.7%, and the mortality of very low birth weight infants is approximately 30%</w:t>
      </w:r>
      <w:r>
        <w:rPr>
          <w:rFonts w:ascii="Book Antiqua" w:hAnsi="Book Antiqua" w:cs="Book Antiqua" w:hint="eastAsia"/>
          <w:color w:val="000000"/>
          <w:lang w:eastAsia="zh-CN"/>
        </w:rPr>
        <w:t>-</w:t>
      </w:r>
      <w:r>
        <w:rPr>
          <w:rFonts w:ascii="Book Antiqua" w:eastAsia="Book Antiqua" w:hAnsi="Book Antiqua" w:cs="Book Antiqua"/>
          <w:color w:val="000000"/>
        </w:rPr>
        <w:t>50.9%</w:t>
      </w:r>
      <w:r>
        <w:rPr>
          <w:rFonts w:ascii="Book Antiqua" w:eastAsia="Book Antiqua" w:hAnsi="Book Antiqua" w:cs="Book Antiqua"/>
          <w:color w:val="000000"/>
          <w:vertAlign w:val="superscript"/>
        </w:rPr>
        <w:t>[8-10]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Several abdominal infectious diseases, such as pyelonephritis, appendicitis, gangrene, cholecystitis or cholangitis, and abdominal t</w:t>
      </w:r>
      <w:r>
        <w:rPr>
          <w:rFonts w:ascii="Book Antiqua" w:eastAsia="Book Antiqua" w:hAnsi="Book Antiqua" w:cs="Book Antiqua"/>
          <w:color w:val="000000"/>
        </w:rPr>
        <w:t>uberculosis, are associated with HPVG</w:t>
      </w:r>
      <w:r>
        <w:rPr>
          <w:rFonts w:ascii="Book Antiqua" w:eastAsia="Book Antiqua" w:hAnsi="Book Antiqua" w:cs="Book Antiqua"/>
          <w:color w:val="000000"/>
          <w:vertAlign w:val="superscript"/>
        </w:rPr>
        <w:t>[11-14]</w:t>
      </w:r>
      <w:r>
        <w:rPr>
          <w:rFonts w:ascii="Book Antiqua" w:eastAsia="Book Antiqua" w:hAnsi="Book Antiqua" w:cs="Book Antiqua"/>
          <w:color w:val="000000"/>
        </w:rPr>
        <w:t>.</w:t>
      </w:r>
      <w:r>
        <w:rPr>
          <w:rFonts w:ascii="Book Antiqua" w:eastAsia="Book Antiqua" w:hAnsi="Book Antiqua" w:cs="Book Antiqua"/>
          <w:color w:val="000000"/>
        </w:rPr>
        <w:br/>
        <w:t>In addition, intestinal ischemia caused by insufficient blood flow can cause HPVG. Intestinal ischemia is mainly caused by intestinal obstruction, vasculitis, and abdominal trauma</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Thromboembolism, tumors, </w:t>
      </w:r>
      <w:r>
        <w:rPr>
          <w:rFonts w:ascii="Book Antiqua" w:eastAsia="Book Antiqua" w:hAnsi="Book Antiqua" w:cs="Book Antiqua"/>
          <w:color w:val="000000"/>
        </w:rPr>
        <w:t>and radiation are not common causes in infants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rsidR="00942074" w:rsidRDefault="008B18C2">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Other conditions, such as neonatal umbilical vein catheterization, inflammatory bowel disease, lung disease (asthma and bronchopneumonia), milk protein allergy, food allergy, hypertrophic pyloric </w:t>
      </w:r>
      <w:r>
        <w:rPr>
          <w:rFonts w:ascii="Book Antiqua" w:eastAsia="Book Antiqua" w:hAnsi="Book Antiqua" w:cs="Book Antiqua"/>
          <w:color w:val="000000"/>
        </w:rPr>
        <w:t>stenosis, enteritis, and convulsions, may cause HPVG. These manifestations are often transient and have no specific clinical significance</w:t>
      </w:r>
      <w:r>
        <w:rPr>
          <w:rFonts w:ascii="Book Antiqua" w:eastAsia="Book Antiqua" w:hAnsi="Book Antiqua" w:cs="Book Antiqua"/>
          <w:color w:val="000000"/>
          <w:vertAlign w:val="superscript"/>
        </w:rPr>
        <w:t>[17-20]</w:t>
      </w:r>
      <w:r>
        <w:rPr>
          <w:rFonts w:ascii="Book Antiqua" w:eastAsia="Book Antiqua" w:hAnsi="Book Antiqua" w:cs="Book Antiqua"/>
          <w:color w:val="000000"/>
        </w:rPr>
        <w:t>.</w:t>
      </w:r>
    </w:p>
    <w:p w:rsidR="00942074" w:rsidRDefault="008B18C2">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Abdominal ultrasound is highly sensitive and effective in the detection of HPVG; therefore, it can be used for</w:t>
      </w:r>
      <w:r>
        <w:rPr>
          <w:rFonts w:ascii="Book Antiqua" w:eastAsia="Book Antiqua" w:hAnsi="Book Antiqua" w:cs="Book Antiqua"/>
          <w:color w:val="000000"/>
        </w:rPr>
        <w:t xml:space="preserve"> early diagnosis, thus ensuring timely and effective intervention for NEC</w:t>
      </w:r>
      <w:r>
        <w:rPr>
          <w:rFonts w:ascii="Book Antiqua" w:eastAsia="Book Antiqua" w:hAnsi="Book Antiqua" w:cs="Book Antiqua"/>
          <w:color w:val="000000"/>
          <w:vertAlign w:val="superscript"/>
        </w:rPr>
        <w:t>[5]</w:t>
      </w:r>
      <w:r>
        <w:rPr>
          <w:rFonts w:ascii="Book Antiqua" w:eastAsia="Book Antiqua" w:hAnsi="Book Antiqua" w:cs="Book Antiqua"/>
          <w:color w:val="000000"/>
        </w:rPr>
        <w:t>. The main manifestations shown by ultrasound include hyperechoic granules flowing in the hepatic portal vein and hyperechoic plaques in the hepatic parenchyma. HPVG can also be de</w:t>
      </w:r>
      <w:r>
        <w:rPr>
          <w:rFonts w:ascii="Book Antiqua" w:eastAsia="Book Antiqua" w:hAnsi="Book Antiqua" w:cs="Book Antiqua"/>
          <w:color w:val="000000"/>
        </w:rPr>
        <w:t>tected by abdominal X-ray when the disease has progressed and the accumulation of gas is substantial. This phase is often transient. However, studies report that some patients may present with severe HPVG within 2 d</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rsidR="00942074" w:rsidRDefault="008B18C2">
      <w:pPr>
        <w:spacing w:line="360" w:lineRule="auto"/>
        <w:ind w:firstLineChars="100" w:firstLine="240"/>
        <w:jc w:val="both"/>
        <w:rPr>
          <w:rFonts w:ascii="Book Antiqua" w:hAnsi="Book Antiqua"/>
        </w:rPr>
      </w:pPr>
      <w:r>
        <w:rPr>
          <w:rFonts w:ascii="Book Antiqua" w:eastAsia="Book Antiqua" w:hAnsi="Book Antiqua" w:cs="Book Antiqua"/>
          <w:color w:val="000000"/>
        </w:rPr>
        <w:t>In this case, only HPVG appeared wi</w:t>
      </w:r>
      <w:r>
        <w:rPr>
          <w:rFonts w:ascii="Book Antiqua" w:eastAsia="Book Antiqua" w:hAnsi="Book Antiqua" w:cs="Book Antiqua"/>
          <w:color w:val="000000"/>
        </w:rPr>
        <w:t>thout any typical clinical manifestations of NEC. Clinical experience suggested the possibility of NEC. Based on the improvement of blood and imaging-related examinations in response to treatment, the diagnosis of early NEC was confirmed. After active trea</w:t>
      </w:r>
      <w:r>
        <w:rPr>
          <w:rFonts w:ascii="Book Antiqua" w:eastAsia="Book Antiqua" w:hAnsi="Book Antiqua" w:cs="Book Antiqua"/>
          <w:color w:val="000000"/>
        </w:rPr>
        <w:t>tment, the patient's condition improved. The main difficulty in this case was whether anti-infective treatment was needed since only HPVG was observed, and also what course of anti-infective treatment to choose. Through this case, we can enrich the methods</w:t>
      </w:r>
      <w:r>
        <w:rPr>
          <w:rFonts w:ascii="Book Antiqua" w:eastAsia="Book Antiqua" w:hAnsi="Book Antiqua" w:cs="Book Antiqua"/>
          <w:color w:val="000000"/>
        </w:rPr>
        <w:t xml:space="preserve"> of early diagnosis of NEC, achieve early treatment, and avoid the occurrence of severe NEC.</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942074" w:rsidRDefault="008B18C2">
      <w:pPr>
        <w:spacing w:line="360" w:lineRule="auto"/>
        <w:jc w:val="both"/>
        <w:rPr>
          <w:rFonts w:ascii="Book Antiqua" w:hAnsi="Book Antiqua"/>
        </w:rPr>
      </w:pPr>
      <w:r>
        <w:rPr>
          <w:rFonts w:ascii="Book Antiqua" w:eastAsia="Book Antiqua" w:hAnsi="Book Antiqua" w:cs="Book Antiqua"/>
          <w:color w:val="000000"/>
        </w:rPr>
        <w:t>A high degree of vigilance for early/timely detection of HPVG would allow timely diagnosis and treatment of the underlying conditions such as NEC in th</w:t>
      </w:r>
      <w:r>
        <w:rPr>
          <w:rFonts w:ascii="Book Antiqua" w:eastAsia="Book Antiqua" w:hAnsi="Book Antiqua" w:cs="Book Antiqua"/>
          <w:color w:val="000000"/>
        </w:rPr>
        <w:t>is case and thereby improve the outcome.</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942074" w:rsidRDefault="008B18C2">
      <w:pPr>
        <w:spacing w:line="360" w:lineRule="auto"/>
        <w:jc w:val="both"/>
        <w:rPr>
          <w:rFonts w:ascii="Book Antiqua" w:hAnsi="Book Antiqua"/>
        </w:rPr>
      </w:pPr>
      <w:r>
        <w:rPr>
          <w:rFonts w:ascii="Book Antiqua" w:eastAsia="Book Antiqua" w:hAnsi="Book Antiqua" w:cs="Book Antiqua"/>
          <w:color w:val="000000"/>
        </w:rPr>
        <w:t>The authors would like to thank the patient’s family for agreeing to participate in this research.</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t>REFERENCES</w:t>
      </w:r>
    </w:p>
    <w:p w:rsidR="00942074" w:rsidRDefault="008B18C2">
      <w:pPr>
        <w:spacing w:line="360" w:lineRule="auto"/>
        <w:jc w:val="both"/>
        <w:rPr>
          <w:rFonts w:ascii="Book Antiqua" w:hAnsi="Book Antiqua"/>
        </w:rPr>
      </w:pPr>
      <w:bookmarkStart w:id="3" w:name="OLE_LINK5"/>
      <w:r>
        <w:rPr>
          <w:rFonts w:ascii="Book Antiqua" w:eastAsia="Book Antiqua" w:hAnsi="Book Antiqua" w:cs="Book Antiqua"/>
          <w:color w:val="000000"/>
        </w:rPr>
        <w:t xml:space="preserve">1 </w:t>
      </w:r>
      <w:r>
        <w:rPr>
          <w:rFonts w:ascii="Book Antiqua" w:eastAsia="Book Antiqua" w:hAnsi="Book Antiqua" w:cs="Book Antiqua"/>
          <w:b/>
          <w:bCs/>
          <w:color w:val="000000"/>
        </w:rPr>
        <w:t>Thompson AM</w:t>
      </w:r>
      <w:r>
        <w:rPr>
          <w:rFonts w:ascii="Book Antiqua" w:eastAsia="Book Antiqua" w:hAnsi="Book Antiqua" w:cs="Book Antiqua"/>
          <w:color w:val="000000"/>
        </w:rPr>
        <w:t xml:space="preserve">, Bizzarro MJ. Necrotizing enterocolitis in newborns: pathogenesis, prevention and management.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1227-1238 [PMID: 18547133 DOI: 10.2165/00003495-200868090-00004]</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Merritt CR</w:t>
      </w:r>
      <w:r>
        <w:rPr>
          <w:rFonts w:ascii="Book Antiqua" w:eastAsia="Book Antiqua" w:hAnsi="Book Antiqua" w:cs="Book Antiqua"/>
          <w:color w:val="000000"/>
        </w:rPr>
        <w:t>, Goldsmith JP, Sharp MJ. Sonographic detection of portal venous gas</w:t>
      </w:r>
      <w:r>
        <w:rPr>
          <w:rFonts w:ascii="Book Antiqua" w:eastAsia="Book Antiqua" w:hAnsi="Book Antiqua" w:cs="Book Antiqua"/>
          <w:color w:val="000000"/>
        </w:rPr>
        <w:t xml:space="preserve"> in infants with necrotizing enterocolitis.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1984; </w:t>
      </w:r>
      <w:r>
        <w:rPr>
          <w:rFonts w:ascii="Book Antiqua" w:eastAsia="Book Antiqua" w:hAnsi="Book Antiqua" w:cs="Book Antiqua"/>
          <w:b/>
          <w:bCs/>
          <w:color w:val="000000"/>
        </w:rPr>
        <w:t>143</w:t>
      </w:r>
      <w:r>
        <w:rPr>
          <w:rFonts w:ascii="Book Antiqua" w:eastAsia="Book Antiqua" w:hAnsi="Book Antiqua" w:cs="Book Antiqua"/>
          <w:color w:val="000000"/>
        </w:rPr>
        <w:t>: 1059-1062 [PMID: 6385670 DOI: 10.2214/ajr.143.5.1059]</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Hussain A</w:t>
      </w:r>
      <w:r>
        <w:rPr>
          <w:rFonts w:ascii="Book Antiqua" w:eastAsia="Book Antiqua" w:hAnsi="Book Antiqua" w:cs="Book Antiqua"/>
          <w:color w:val="000000"/>
        </w:rPr>
        <w:t xml:space="preserve">, Mahmood H, El-Hasani S. Portal vein gas in emergency surgery. </w:t>
      </w:r>
      <w:r>
        <w:rPr>
          <w:rFonts w:ascii="Book Antiqua" w:eastAsia="Book Antiqua" w:hAnsi="Book Antiqua" w:cs="Book Antiqua"/>
          <w:i/>
          <w:iCs/>
          <w:color w:val="000000"/>
        </w:rPr>
        <w:t>World J Emerg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xml:space="preserve">: 21 [PMID: 18637169 DOI: </w:t>
      </w:r>
      <w:r>
        <w:rPr>
          <w:rFonts w:ascii="Book Antiqua" w:eastAsia="Book Antiqua" w:hAnsi="Book Antiqua" w:cs="Book Antiqua"/>
          <w:color w:val="000000"/>
        </w:rPr>
        <w:t>10.1186/1749-7922-3-21]</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Salyers WJ Jr</w:t>
      </w:r>
      <w:r>
        <w:rPr>
          <w:rFonts w:ascii="Book Antiqua" w:eastAsia="Book Antiqua" w:hAnsi="Book Antiqua" w:cs="Book Antiqua"/>
          <w:color w:val="000000"/>
        </w:rPr>
        <w:t xml:space="preserve">, Hanrahan JK. Hepatic portal venous gas.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2007; </w:t>
      </w:r>
      <w:r>
        <w:rPr>
          <w:rFonts w:ascii="Book Antiqua" w:eastAsia="Book Antiqua" w:hAnsi="Book Antiqua" w:cs="Book Antiqua"/>
          <w:b/>
          <w:bCs/>
          <w:color w:val="000000"/>
        </w:rPr>
        <w:t>37</w:t>
      </w:r>
      <w:r>
        <w:rPr>
          <w:rFonts w:ascii="Book Antiqua" w:eastAsia="Book Antiqua" w:hAnsi="Book Antiqua" w:cs="Book Antiqua"/>
          <w:color w:val="000000"/>
        </w:rPr>
        <w:t>: 730-731 [PMID: 17894772 DOI: 10.1111/j.1445-5994.2007.01493.x]</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Abboud B</w:t>
      </w:r>
      <w:r>
        <w:rPr>
          <w:rFonts w:ascii="Book Antiqua" w:eastAsia="Book Antiqua" w:hAnsi="Book Antiqua" w:cs="Book Antiqua"/>
          <w:color w:val="000000"/>
        </w:rPr>
        <w:t>, El Hachem J, Yazbeck T, Doumit C. Hepatic portal venous gas: physiopathology,</w:t>
      </w:r>
      <w:r>
        <w:rPr>
          <w:rFonts w:ascii="Book Antiqua" w:eastAsia="Book Antiqua" w:hAnsi="Book Antiqua" w:cs="Book Antiqua"/>
          <w:color w:val="000000"/>
        </w:rPr>
        <w:t xml:space="preserve"> etiology, prognosis and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3585-3590 [PMID: 19653334 DOI: 10.3748/wjg.15.3585]</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Liebman PR</w:t>
      </w:r>
      <w:r>
        <w:rPr>
          <w:rFonts w:ascii="Book Antiqua" w:eastAsia="Book Antiqua" w:hAnsi="Book Antiqua" w:cs="Book Antiqua"/>
          <w:color w:val="000000"/>
        </w:rPr>
        <w:t>, Patten MT, Manny J, Benfield JR, Hechtman HB. Hepatic--portal venous gas in adults: etiology, pathophysiology and clinical</w:t>
      </w:r>
      <w:r>
        <w:rPr>
          <w:rFonts w:ascii="Book Antiqua" w:eastAsia="Book Antiqua" w:hAnsi="Book Antiqua" w:cs="Book Antiqua"/>
          <w:color w:val="000000"/>
        </w:rPr>
        <w:t xml:space="preserve"> significance.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1978; </w:t>
      </w:r>
      <w:r>
        <w:rPr>
          <w:rFonts w:ascii="Book Antiqua" w:eastAsia="Book Antiqua" w:hAnsi="Book Antiqua" w:cs="Book Antiqua"/>
          <w:b/>
          <w:bCs/>
          <w:color w:val="000000"/>
        </w:rPr>
        <w:t>187</w:t>
      </w:r>
      <w:r>
        <w:rPr>
          <w:rFonts w:ascii="Book Antiqua" w:eastAsia="Book Antiqua" w:hAnsi="Book Antiqua" w:cs="Book Antiqua"/>
          <w:color w:val="000000"/>
        </w:rPr>
        <w:t>: 281-287 [PMID: 637584 DOI: 10.1097/00000658-197803000-00012]</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Hunter CJ</w:t>
      </w:r>
      <w:r>
        <w:rPr>
          <w:rFonts w:ascii="Book Antiqua" w:eastAsia="Book Antiqua" w:hAnsi="Book Antiqua" w:cs="Book Antiqua"/>
          <w:color w:val="000000"/>
        </w:rPr>
        <w:t xml:space="preserve">, Chokshi N, Ford HR. Evidence </w:t>
      </w:r>
      <w:r>
        <w:rPr>
          <w:rFonts w:ascii="Book Antiqua" w:eastAsia="Book Antiqua" w:hAnsi="Book Antiqua" w:cs="Book Antiqua"/>
          <w:i/>
          <w:iCs/>
          <w:color w:val="000000"/>
        </w:rPr>
        <w:t>vs</w:t>
      </w:r>
      <w:r>
        <w:rPr>
          <w:rFonts w:ascii="Book Antiqua" w:eastAsia="Book Antiqua" w:hAnsi="Book Antiqua" w:cs="Book Antiqua"/>
          <w:color w:val="000000"/>
        </w:rPr>
        <w:t xml:space="preserve"> experience in the surgical management of necrotizing enterocolitis and focal intestinal perforation. </w:t>
      </w:r>
      <w:r>
        <w:rPr>
          <w:rFonts w:ascii="Book Antiqua" w:eastAsia="Book Antiqua" w:hAnsi="Book Antiqua" w:cs="Book Antiqua"/>
          <w:i/>
          <w:iCs/>
          <w:color w:val="000000"/>
        </w:rPr>
        <w:t>J Perinatol</w:t>
      </w:r>
      <w:r>
        <w:rPr>
          <w:rFonts w:ascii="Book Antiqua" w:eastAsia="Book Antiqua" w:hAnsi="Book Antiqua" w:cs="Book Antiqua"/>
          <w:color w:val="000000"/>
        </w:rPr>
        <w:t xml:space="preserve"> 20</w:t>
      </w:r>
      <w:r>
        <w:rPr>
          <w:rFonts w:ascii="Book Antiqua" w:eastAsia="Book Antiqua" w:hAnsi="Book Antiqua" w:cs="Book Antiqua"/>
          <w:color w:val="000000"/>
        </w:rPr>
        <w:t xml:space="preserve">08; </w:t>
      </w:r>
      <w:r>
        <w:rPr>
          <w:rFonts w:ascii="Book Antiqua" w:eastAsia="Book Antiqua" w:hAnsi="Book Antiqua" w:cs="Book Antiqua"/>
          <w:b/>
          <w:bCs/>
          <w:color w:val="000000"/>
        </w:rPr>
        <w:t>28 Suppl 1</w:t>
      </w:r>
      <w:r>
        <w:rPr>
          <w:rFonts w:ascii="Book Antiqua" w:eastAsia="Book Antiqua" w:hAnsi="Book Antiqua" w:cs="Book Antiqua"/>
          <w:color w:val="000000"/>
        </w:rPr>
        <w:t>: S14-S17 [PMID: 18446170 DOI: 10.1038/jp.2008.44]</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Jiang S</w:t>
      </w:r>
      <w:r>
        <w:rPr>
          <w:rFonts w:ascii="Book Antiqua" w:eastAsia="Book Antiqua" w:hAnsi="Book Antiqua" w:cs="Book Antiqua"/>
          <w:color w:val="000000"/>
        </w:rPr>
        <w:t xml:space="preserve">, Yan W, Li S, Zhang L, Zhang Y, Shah PS, Shah V, Lee SK, Yang Y, Cao Y. Mortality and Morbidity in Infants &lt;34 Weeks' Gestation in 25 NICUs in China: A Prospective Cohort Study. </w:t>
      </w:r>
      <w:r>
        <w:rPr>
          <w:rFonts w:ascii="Book Antiqua" w:eastAsia="Book Antiqua" w:hAnsi="Book Antiqua" w:cs="Book Antiqua"/>
          <w:i/>
          <w:iCs/>
          <w:color w:val="000000"/>
        </w:rPr>
        <w:t>Fro</w:t>
      </w:r>
      <w:r>
        <w:rPr>
          <w:rFonts w:ascii="Book Antiqua" w:eastAsia="Book Antiqua" w:hAnsi="Book Antiqua" w:cs="Book Antiqua"/>
          <w:i/>
          <w:iCs/>
          <w:color w:val="000000"/>
        </w:rPr>
        <w:t>nt Pediatr</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33 [PMID: 32117838 DOI: 10.3389/fped.2020.00033]</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Eaton S</w:t>
      </w:r>
      <w:r>
        <w:rPr>
          <w:rFonts w:ascii="Book Antiqua" w:eastAsia="Book Antiqua" w:hAnsi="Book Antiqua" w:cs="Book Antiqua"/>
          <w:color w:val="000000"/>
        </w:rPr>
        <w:t xml:space="preserve">, Rees CM, Hall NJ. Current Research on the Epidemiology, Pathogenesis, and Management of Necrotizing Enterocolitis. </w:t>
      </w:r>
      <w:r>
        <w:rPr>
          <w:rFonts w:ascii="Book Antiqua" w:eastAsia="Book Antiqua" w:hAnsi="Book Antiqua" w:cs="Book Antiqua"/>
          <w:i/>
          <w:iCs/>
          <w:color w:val="000000"/>
        </w:rPr>
        <w:t>Neonatology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111</w:t>
      </w:r>
      <w:r>
        <w:rPr>
          <w:rFonts w:ascii="Book Antiqua" w:eastAsia="Book Antiqua" w:hAnsi="Book Antiqua" w:cs="Book Antiqua"/>
          <w:color w:val="000000"/>
        </w:rPr>
        <w:t xml:space="preserve">: 423-430 [PMID: 28538238 DOI: </w:t>
      </w:r>
      <w:r>
        <w:rPr>
          <w:rFonts w:ascii="Book Antiqua" w:eastAsia="Book Antiqua" w:hAnsi="Book Antiqua" w:cs="Book Antiqua"/>
          <w:color w:val="000000"/>
        </w:rPr>
        <w:t>10.1159/000458462]</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Jones IH</w:t>
      </w:r>
      <w:r>
        <w:rPr>
          <w:rFonts w:ascii="Book Antiqua" w:eastAsia="Book Antiqua" w:hAnsi="Book Antiqua" w:cs="Book Antiqua"/>
          <w:color w:val="000000"/>
        </w:rPr>
        <w:t xml:space="preserve">, Hall NJ. Contemporary Outcomes for Infants with Necrotizing Enterocolitis-A Systematic Review.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2020; </w:t>
      </w:r>
      <w:r>
        <w:rPr>
          <w:rFonts w:ascii="Book Antiqua" w:eastAsia="Book Antiqua" w:hAnsi="Book Antiqua" w:cs="Book Antiqua"/>
          <w:b/>
          <w:bCs/>
          <w:color w:val="000000"/>
        </w:rPr>
        <w:t>220</w:t>
      </w:r>
      <w:r>
        <w:rPr>
          <w:rFonts w:ascii="Book Antiqua" w:eastAsia="Book Antiqua" w:hAnsi="Book Antiqua" w:cs="Book Antiqua"/>
          <w:color w:val="000000"/>
        </w:rPr>
        <w:t>: 86-92.e3 [PMID: 31982088 DOI: 10.1016/j.jpeds.2019.11.011]</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Rana AA</w:t>
      </w:r>
      <w:r>
        <w:rPr>
          <w:rFonts w:ascii="Book Antiqua" w:eastAsia="Book Antiqua" w:hAnsi="Book Antiqua" w:cs="Book Antiqua"/>
          <w:color w:val="000000"/>
        </w:rPr>
        <w:t xml:space="preserve">, Sylla P, Woodland DC, Feingold DL. A </w:t>
      </w:r>
      <w:r>
        <w:rPr>
          <w:rFonts w:ascii="Book Antiqua" w:eastAsia="Book Antiqua" w:hAnsi="Book Antiqua" w:cs="Book Antiqua"/>
          <w:color w:val="000000"/>
        </w:rPr>
        <w:t xml:space="preserve">case of portal venous gas after extracorporeal shockwave lithotripsy and obstructive pyelonephritis.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71</w:t>
      </w:r>
      <w:r>
        <w:rPr>
          <w:rFonts w:ascii="Book Antiqua" w:eastAsia="Book Antiqua" w:hAnsi="Book Antiqua" w:cs="Book Antiqua"/>
          <w:color w:val="000000"/>
        </w:rPr>
        <w:t>: 546.e5-546.e7 [PMID: 18342210 DOI: 10.1016/j.urology.2007.10.067]</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Kouzu K</w:t>
      </w:r>
      <w:r>
        <w:rPr>
          <w:rFonts w:ascii="Book Antiqua" w:eastAsia="Book Antiqua" w:hAnsi="Book Antiqua" w:cs="Book Antiqua"/>
          <w:color w:val="000000"/>
        </w:rPr>
        <w:t>, Kajiwara Y, Aosasa S, Ishibashi Y, Yonemura K, Okamoto K, S</w:t>
      </w:r>
      <w:r>
        <w:rPr>
          <w:rFonts w:ascii="Book Antiqua" w:eastAsia="Book Antiqua" w:hAnsi="Book Antiqua" w:cs="Book Antiqua"/>
          <w:color w:val="000000"/>
        </w:rPr>
        <w:t xml:space="preserve">hinto E, Tsujimoto H, Hase K, Ueno H. Hepatic portal venous gas related to appendicitis.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rjy333 [PMID: 30619544 DOI: 10.1093/jscr/rjy333]</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Wang M</w:t>
      </w:r>
      <w:r>
        <w:rPr>
          <w:rFonts w:ascii="Book Antiqua" w:eastAsia="Book Antiqua" w:hAnsi="Book Antiqua" w:cs="Book Antiqua"/>
          <w:color w:val="000000"/>
        </w:rPr>
        <w:t xml:space="preserve">, Song J, Gong S, Yu Y, Hu W, Wang Y. Hepatic portal venous gas with pneumatosis </w:t>
      </w:r>
      <w:r>
        <w:rPr>
          <w:rFonts w:ascii="Book Antiqua" w:eastAsia="Book Antiqua" w:hAnsi="Book Antiqua" w:cs="Book Antiqua"/>
          <w:color w:val="000000"/>
        </w:rPr>
        <w:t xml:space="preserve">intestinalis secondary to mesenteric ischemia in elderly patients: Two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e19810 [PMID: 32332623 DOI: 10.1097/MD.0000000000019810]</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Dibra R</w:t>
      </w:r>
      <w:r>
        <w:rPr>
          <w:rFonts w:ascii="Book Antiqua" w:eastAsia="Book Antiqua" w:hAnsi="Book Antiqua" w:cs="Book Antiqua"/>
          <w:color w:val="000000"/>
        </w:rPr>
        <w:t xml:space="preserve">, Picciariello A, Trigiante G, Labellarte G, Tota G, Papagni V, Martines </w:t>
      </w:r>
      <w:r>
        <w:rPr>
          <w:rFonts w:ascii="Book Antiqua" w:eastAsia="Book Antiqua" w:hAnsi="Book Antiqua" w:cs="Book Antiqua"/>
          <w:color w:val="000000"/>
        </w:rPr>
        <w:t xml:space="preserve">G, Altomare DF. Pneumatosis Intestinalis and Hepatic Portal Venous Gas: Watch and Wait or Emergency Surgery? A Case Report and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e923831 [PMID: 32653891 DOI: 10.12659/AJCR.923831]</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Angelelli G</w:t>
      </w:r>
      <w:r>
        <w:rPr>
          <w:rFonts w:ascii="Book Antiqua" w:eastAsia="Book Antiqua" w:hAnsi="Book Antiqua" w:cs="Book Antiqua"/>
          <w:color w:val="000000"/>
        </w:rPr>
        <w:t>, Scardapane A, Memeo</w:t>
      </w:r>
      <w:r>
        <w:rPr>
          <w:rFonts w:ascii="Book Antiqua" w:eastAsia="Book Antiqua" w:hAnsi="Book Antiqua" w:cs="Book Antiqua"/>
          <w:color w:val="000000"/>
        </w:rPr>
        <w:t xml:space="preserve"> M, Stabile Ianora AA, Rotondo A. Acute bowel ischemia: CT findings.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37-47 [PMID: 15093234 DOI: 10.1016/j.ejrad.2003.11.013]</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Barczuk-Falęcka M</w:t>
      </w:r>
      <w:r>
        <w:rPr>
          <w:rFonts w:ascii="Book Antiqua" w:eastAsia="Book Antiqua" w:hAnsi="Book Antiqua" w:cs="Book Antiqua"/>
          <w:color w:val="000000"/>
        </w:rPr>
        <w:t>, Bombiński P, Majkowska Z, Brzewski M, Warchoł S. Hepatic Portal Venous Gas in Children</w:t>
      </w:r>
      <w:r>
        <w:rPr>
          <w:rFonts w:ascii="Book Antiqua" w:eastAsia="Book Antiqua" w:hAnsi="Book Antiqua" w:cs="Book Antiqua"/>
          <w:color w:val="000000"/>
        </w:rPr>
        <w:t xml:space="preserve"> Younger Than 2 Years Old - Radiological and Clinical Characteristics in Diseases Other Than Necrotizing Enterocolitis. </w:t>
      </w:r>
      <w:r>
        <w:rPr>
          <w:rFonts w:ascii="Book Antiqua" w:eastAsia="Book Antiqua" w:hAnsi="Book Antiqua" w:cs="Book Antiqua"/>
          <w:i/>
          <w:iCs/>
          <w:color w:val="000000"/>
        </w:rPr>
        <w:t>Pol J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82</w:t>
      </w:r>
      <w:r>
        <w:rPr>
          <w:rFonts w:ascii="Book Antiqua" w:eastAsia="Book Antiqua" w:hAnsi="Book Antiqua" w:cs="Book Antiqua"/>
          <w:color w:val="000000"/>
        </w:rPr>
        <w:t>: 275-278 [PMID: 28607625 DOI: 10.12659/PJR.899995]</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Allaparthi SB</w:t>
      </w:r>
      <w:r>
        <w:rPr>
          <w:rFonts w:ascii="Book Antiqua" w:eastAsia="Book Antiqua" w:hAnsi="Book Antiqua" w:cs="Book Antiqua"/>
          <w:color w:val="000000"/>
        </w:rPr>
        <w:t xml:space="preserve">, Anand CP. Acute gastric dilatation: a transient cause of hepatic portal venous gas-case report and review of the literature. </w:t>
      </w:r>
      <w:r>
        <w:rPr>
          <w:rFonts w:ascii="Book Antiqua" w:eastAsia="Book Antiqua" w:hAnsi="Book Antiqua" w:cs="Book Antiqua"/>
          <w:i/>
          <w:iCs/>
          <w:color w:val="000000"/>
        </w:rPr>
        <w:t>Case Rep Gastrointest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723160 [PMID: 23819076 DOI: 10.1155/2013/723160]</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Saksena M</w:t>
      </w:r>
      <w:r>
        <w:rPr>
          <w:rFonts w:ascii="Book Antiqua" w:eastAsia="Book Antiqua" w:hAnsi="Book Antiqua" w:cs="Book Antiqua"/>
          <w:color w:val="000000"/>
        </w:rPr>
        <w:t xml:space="preserve">, Harisinghani MG, Wittenberg </w:t>
      </w:r>
      <w:r>
        <w:rPr>
          <w:rFonts w:ascii="Book Antiqua" w:eastAsia="Book Antiqua" w:hAnsi="Book Antiqua" w:cs="Book Antiqua"/>
          <w:color w:val="000000"/>
        </w:rPr>
        <w:t xml:space="preserve">J, Mueller PR. Case report. Hepatic portal venous gas: transient radiographic finding associated with colchicine toxicity.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76</w:t>
      </w:r>
      <w:r>
        <w:rPr>
          <w:rFonts w:ascii="Book Antiqua" w:eastAsia="Book Antiqua" w:hAnsi="Book Antiqua" w:cs="Book Antiqua"/>
          <w:color w:val="000000"/>
        </w:rPr>
        <w:t>: 835-837 [PMID: 14623787 DOI: 10.1259/bjr/13712140]</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Siddique Z</w:t>
      </w:r>
      <w:r>
        <w:rPr>
          <w:rFonts w:ascii="Book Antiqua" w:eastAsia="Book Antiqua" w:hAnsi="Book Antiqua" w:cs="Book Antiqua"/>
          <w:color w:val="000000"/>
        </w:rPr>
        <w:t>, Thibodeau R, Jafroodifar A, Hanumaiah R. Pedi</w:t>
      </w:r>
      <w:r>
        <w:rPr>
          <w:rFonts w:ascii="Book Antiqua" w:eastAsia="Book Antiqua" w:hAnsi="Book Antiqua" w:cs="Book Antiqua"/>
          <w:color w:val="000000"/>
        </w:rPr>
        <w:t xml:space="preserve">atric milk protein allergy causing hepatic portal venous gas: Case report. </w:t>
      </w:r>
      <w:r>
        <w:rPr>
          <w:rFonts w:ascii="Book Antiqua" w:eastAsia="Book Antiqua" w:hAnsi="Book Antiqua" w:cs="Book Antiqua"/>
          <w:i/>
          <w:iCs/>
          <w:color w:val="000000"/>
        </w:rPr>
        <w:t>Radiol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246-249 [PMID: 33304435 DOI: 10.1016/j.radcr.2020.11.002]</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Iguchi S</w:t>
      </w:r>
      <w:r>
        <w:rPr>
          <w:rFonts w:ascii="Book Antiqua" w:eastAsia="Book Antiqua" w:hAnsi="Book Antiqua" w:cs="Book Antiqua"/>
          <w:color w:val="000000"/>
        </w:rPr>
        <w:t xml:space="preserve">, Alchi B, Safar F, Kasai A, Suzuki K, Kihara H, Hirota M, Nishi S, Gejyo F, Ohno Y. Hepatic portal venous gas associated with nonocclusive mesenteric ischemia in a hemodialysis patient.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63</w:t>
      </w:r>
      <w:r>
        <w:rPr>
          <w:rFonts w:ascii="Book Antiqua" w:eastAsia="Book Antiqua" w:hAnsi="Book Antiqua" w:cs="Book Antiqua"/>
          <w:color w:val="000000"/>
        </w:rPr>
        <w:t>: 310-312 [PMID: 15847260 DOI: 10.5414/cnp63310]</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Sharma R</w:t>
      </w:r>
      <w:r>
        <w:rPr>
          <w:rFonts w:ascii="Book Antiqua" w:eastAsia="Book Antiqua" w:hAnsi="Book Antiqua" w:cs="Book Antiqua"/>
          <w:color w:val="000000"/>
        </w:rPr>
        <w:t xml:space="preserve">, Tepas JJ 3rd, Hudak ML, Wludyka PS, Mollitt DL, Garrison RD, Bradshaw JA, Sharma M. Portal venous gas and surgical outcome of neonatal necrotizing enterocolitis.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371-376 [PMID: 15750931 DOI: 10.1016/j.jpedsurg.2004.10</w:t>
      </w:r>
      <w:r>
        <w:rPr>
          <w:rFonts w:ascii="Book Antiqua" w:eastAsia="Book Antiqua" w:hAnsi="Book Antiqua" w:cs="Book Antiqua"/>
          <w:color w:val="000000"/>
        </w:rPr>
        <w:t>.022]</w:t>
      </w:r>
    </w:p>
    <w:bookmarkEnd w:id="3"/>
    <w:p w:rsidR="00942074" w:rsidRDefault="00942074">
      <w:pPr>
        <w:spacing w:line="360" w:lineRule="auto"/>
        <w:jc w:val="both"/>
        <w:rPr>
          <w:rFonts w:ascii="Book Antiqua" w:hAnsi="Book Antiqua"/>
        </w:rPr>
        <w:sectPr w:rsidR="00942074">
          <w:pgSz w:w="12240" w:h="15840"/>
          <w:pgMar w:top="1440" w:right="1440" w:bottom="1440" w:left="1440" w:header="720" w:footer="720" w:gutter="0"/>
          <w:cols w:space="720"/>
          <w:docGrid w:linePitch="360"/>
        </w:sect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t>Footnotes</w:t>
      </w: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parents for publication of this report and any accompanying images.</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Pr>
          <w:rFonts w:ascii="Book Antiqua" w:eastAsia="Book Antiqua" w:hAnsi="Book Antiqua" w:cs="Book Antiqua"/>
          <w:color w:val="000000"/>
        </w:rPr>
        <w:t>s of interest related to this manuscript.</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w:t>
      </w:r>
      <w:r>
        <w:rPr>
          <w:rFonts w:ascii="Book Antiqua" w:eastAsia="Book Antiqua" w:hAnsi="Book Antiqua" w:cs="Book Antiqua"/>
          <w:color w:val="000000"/>
        </w:rPr>
        <w:t>ticle that was selected by an in-house editor and fully peer-reviewed by external reviewers. It is distributed in accordance with the Creative Commons Attribution NonCommercial (CC BY-NC 4.0) license, which permits others to distribute, remix, adapt, build</w:t>
      </w:r>
      <w:r>
        <w:rPr>
          <w:rFonts w:ascii="Book Antiqua" w:eastAsia="Book Antiqua" w:hAnsi="Book Antiqua" w:cs="Book Antiqua"/>
          <w:color w:val="000000"/>
        </w:rPr>
        <w:t xml:space="preserve"> upon this work non-commercially, and license their derivative works on different terms, provided the original work is properly cited and the use is non-commercial. See: http://creativecommons.org/Licenses/by-nc/4.0/</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w:t>
      </w:r>
      <w:r>
        <w:rPr>
          <w:rFonts w:ascii="Book Antiqua" w:eastAsia="Book Antiqua" w:hAnsi="Book Antiqua" w:cs="Book Antiqua"/>
          <w:color w:val="000000"/>
        </w:rPr>
        <w:t>ipt</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2021</w:t>
      </w: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宋体" w:hAnsi="Book Antiqua" w:hint="eastAsia"/>
          <w:color w:val="000000" w:themeColor="text1"/>
        </w:rPr>
        <w:t>Au</w:t>
      </w:r>
      <w:r>
        <w:rPr>
          <w:rFonts w:ascii="Book Antiqua" w:eastAsia="宋体" w:hAnsi="Book Antiqua"/>
          <w:color w:val="000000" w:themeColor="text1"/>
        </w:rPr>
        <w:t>gust 30, 2021</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942074" w:rsidRDefault="008B18C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42074" w:rsidRDefault="008B18C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942074" w:rsidRDefault="008B18C2">
      <w:pPr>
        <w:spacing w:line="360" w:lineRule="auto"/>
        <w:jc w:val="both"/>
        <w:rPr>
          <w:rFonts w:ascii="Book Antiqua" w:hAnsi="Book Antiqua"/>
        </w:rPr>
      </w:pPr>
      <w:r>
        <w:rPr>
          <w:rFonts w:ascii="Book Antiqua" w:eastAsia="Book Antiqua" w:hAnsi="Book Antiqua" w:cs="Book Antiqua"/>
          <w:color w:val="000000"/>
        </w:rPr>
        <w:t xml:space="preserve">Grade A </w:t>
      </w:r>
      <w:r>
        <w:rPr>
          <w:rFonts w:ascii="Book Antiqua" w:eastAsia="Book Antiqua" w:hAnsi="Book Antiqua" w:cs="Book Antiqua"/>
          <w:color w:val="000000"/>
        </w:rPr>
        <w:t>(Excellent): 0</w:t>
      </w:r>
    </w:p>
    <w:p w:rsidR="00942074" w:rsidRDefault="008B18C2">
      <w:pPr>
        <w:spacing w:line="360" w:lineRule="auto"/>
        <w:jc w:val="both"/>
        <w:rPr>
          <w:rFonts w:ascii="Book Antiqua" w:hAnsi="Book Antiqua"/>
          <w:lang w:eastAsia="zh-CN"/>
        </w:rPr>
      </w:pPr>
      <w:r>
        <w:rPr>
          <w:rFonts w:ascii="Book Antiqua" w:eastAsia="Book Antiqua" w:hAnsi="Book Antiqua" w:cs="Book Antiqua"/>
          <w:color w:val="000000"/>
        </w:rPr>
        <w:t xml:space="preserve">Grade B (Very good): </w:t>
      </w:r>
      <w:r>
        <w:rPr>
          <w:rFonts w:ascii="Book Antiqua" w:hAnsi="Book Antiqua" w:cs="Book Antiqua"/>
          <w:color w:val="000000"/>
          <w:lang w:eastAsia="zh-CN"/>
        </w:rPr>
        <w:t>B</w:t>
      </w:r>
    </w:p>
    <w:p w:rsidR="00942074" w:rsidRDefault="008B18C2">
      <w:pPr>
        <w:spacing w:line="360" w:lineRule="auto"/>
        <w:jc w:val="both"/>
        <w:rPr>
          <w:rFonts w:ascii="Book Antiqua" w:hAnsi="Book Antiqua"/>
        </w:rPr>
      </w:pPr>
      <w:r>
        <w:rPr>
          <w:rFonts w:ascii="Book Antiqua" w:eastAsia="Book Antiqua" w:hAnsi="Book Antiqua" w:cs="Book Antiqua"/>
          <w:color w:val="000000"/>
        </w:rPr>
        <w:t>Grade C (Good): C, C, C</w:t>
      </w:r>
    </w:p>
    <w:p w:rsidR="00942074" w:rsidRDefault="008B18C2">
      <w:pPr>
        <w:spacing w:line="360" w:lineRule="auto"/>
        <w:jc w:val="both"/>
        <w:rPr>
          <w:rFonts w:ascii="Book Antiqua" w:hAnsi="Book Antiqua"/>
        </w:rPr>
      </w:pPr>
      <w:r>
        <w:rPr>
          <w:rFonts w:ascii="Book Antiqua" w:eastAsia="Book Antiqua" w:hAnsi="Book Antiqua" w:cs="Book Antiqua"/>
          <w:color w:val="000000"/>
        </w:rPr>
        <w:t>Grade D (Fair): 0</w:t>
      </w:r>
    </w:p>
    <w:p w:rsidR="00942074" w:rsidRDefault="008B18C2">
      <w:pPr>
        <w:spacing w:line="360" w:lineRule="auto"/>
        <w:jc w:val="both"/>
        <w:rPr>
          <w:rFonts w:ascii="Book Antiqua" w:hAnsi="Book Antiqua"/>
        </w:rPr>
      </w:pPr>
      <w:r>
        <w:rPr>
          <w:rFonts w:ascii="Book Antiqua" w:eastAsia="Book Antiqua" w:hAnsi="Book Antiqua" w:cs="Book Antiqua"/>
          <w:color w:val="000000"/>
        </w:rPr>
        <w:t>Grade E (Poor): 0</w:t>
      </w:r>
    </w:p>
    <w:p w:rsidR="00942074" w:rsidRDefault="00942074">
      <w:pPr>
        <w:spacing w:line="360" w:lineRule="auto"/>
        <w:jc w:val="both"/>
        <w:rPr>
          <w:rFonts w:ascii="Book Antiqua" w:hAnsi="Book Antiqua"/>
        </w:rPr>
      </w:pPr>
    </w:p>
    <w:p w:rsidR="00942074" w:rsidRDefault="008B18C2">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color w:val="000000"/>
        </w:rPr>
        <w:t>Abubakar MS, Strainiene S, Teragawa H</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Guo X</w:t>
      </w:r>
    </w:p>
    <w:p w:rsidR="00942074" w:rsidRDefault="00942074">
      <w:pPr>
        <w:spacing w:line="360" w:lineRule="auto"/>
        <w:jc w:val="both"/>
        <w:rPr>
          <w:rFonts w:ascii="Book Antiqua" w:eastAsia="Book Antiqua" w:hAnsi="Book Antiqua" w:cs="Book Antiqua"/>
          <w:b/>
          <w:color w:val="000000"/>
        </w:rPr>
      </w:pPr>
    </w:p>
    <w:p w:rsidR="00942074" w:rsidRDefault="00942074">
      <w:pPr>
        <w:spacing w:line="360" w:lineRule="auto"/>
        <w:jc w:val="both"/>
        <w:rPr>
          <w:rFonts w:ascii="Book Antiqua" w:eastAsia="Book Antiqua" w:hAnsi="Book Antiqua" w:cs="Book Antiqua"/>
          <w:b/>
          <w:color w:val="000000"/>
        </w:rPr>
        <w:sectPr w:rsidR="00942074">
          <w:pgSz w:w="12240" w:h="15840"/>
          <w:pgMar w:top="1440" w:right="1440" w:bottom="1440" w:left="1440" w:header="720" w:footer="720" w:gutter="0"/>
          <w:cols w:space="720"/>
          <w:docGrid w:linePitch="360"/>
        </w:sectPr>
      </w:pPr>
    </w:p>
    <w:p w:rsidR="00942074" w:rsidRDefault="008B18C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rsidR="00942074" w:rsidRDefault="008B18C2">
      <w:pPr>
        <w:spacing w:line="360" w:lineRule="auto"/>
        <w:jc w:val="both"/>
        <w:rPr>
          <w:rFonts w:ascii="Book Antiqua" w:hAnsi="Book Antiqua"/>
          <w:lang w:eastAsia="zh-CN"/>
        </w:rPr>
      </w:pPr>
      <w:r>
        <w:rPr>
          <w:rFonts w:ascii="Book Antiqua" w:hAnsi="Book Antiqua"/>
          <w:noProof/>
          <w:lang w:eastAsia="zh-CN"/>
        </w:rPr>
        <w:drawing>
          <wp:inline distT="0" distB="0" distL="0" distR="0">
            <wp:extent cx="5943600" cy="2406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406650"/>
                    </a:xfrm>
                    <a:prstGeom prst="rect">
                      <a:avLst/>
                    </a:prstGeom>
                  </pic:spPr>
                </pic:pic>
              </a:graphicData>
            </a:graphic>
          </wp:inline>
        </w:drawing>
      </w:r>
    </w:p>
    <w:p w:rsidR="00942074" w:rsidRDefault="008B18C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1 On the 3</w:t>
      </w:r>
      <w:r>
        <w:rPr>
          <w:rFonts w:ascii="Book Antiqua" w:eastAsia="Book Antiqua" w:hAnsi="Book Antiqua" w:cs="Book Antiqua"/>
          <w:b/>
          <w:bCs/>
          <w:color w:val="000000"/>
          <w:vertAlign w:val="superscript"/>
        </w:rPr>
        <w:t>rd</w:t>
      </w:r>
      <w:r>
        <w:rPr>
          <w:rFonts w:ascii="Book Antiqua" w:eastAsia="Book Antiqua" w:hAnsi="Book Antiqua" w:cs="Book Antiqua"/>
          <w:b/>
          <w:bCs/>
          <w:color w:val="000000"/>
        </w:rPr>
        <w:t xml:space="preserve"> day after birth, hepatic portal venous gas</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was found by ultrasound</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A: E</w:t>
      </w:r>
      <w:r>
        <w:rPr>
          <w:rFonts w:ascii="Book Antiqua" w:eastAsia="Book Antiqua" w:hAnsi="Book Antiqua" w:cs="Book Antiqua"/>
          <w:color w:val="000000"/>
        </w:rPr>
        <w:t>xtensive pneumatosis in the portal vein was found by B-ultrasound</w:t>
      </w:r>
      <w:r>
        <w:rPr>
          <w:rFonts w:ascii="Book Antiqua" w:hAnsi="Book Antiqua" w:cs="Book Antiqua" w:hint="eastAsia"/>
          <w:color w:val="000000"/>
          <w:lang w:eastAsia="zh-CN"/>
        </w:rPr>
        <w:t>; B: B</w:t>
      </w:r>
      <w:r>
        <w:rPr>
          <w:rFonts w:ascii="Book Antiqua" w:eastAsia="Book Antiqua" w:hAnsi="Book Antiqua" w:cs="Book Antiqua"/>
          <w:color w:val="000000"/>
        </w:rPr>
        <w:t>ubble rising in hepatic portal vein was found by B-ultrasound</w:t>
      </w:r>
      <w:r>
        <w:rPr>
          <w:rFonts w:ascii="Book Antiqua" w:hAnsi="Book Antiqua" w:cs="Book Antiqua" w:hint="eastAsia"/>
          <w:color w:val="000000"/>
          <w:lang w:eastAsia="zh-CN"/>
        </w:rPr>
        <w:t>.</w:t>
      </w:r>
    </w:p>
    <w:p w:rsidR="00942074" w:rsidRDefault="008B18C2">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3268980" cy="3482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69263" cy="3482642"/>
                    </a:xfrm>
                    <a:prstGeom prst="rect">
                      <a:avLst/>
                    </a:prstGeom>
                  </pic:spPr>
                </pic:pic>
              </a:graphicData>
            </a:graphic>
          </wp:inline>
        </w:drawing>
      </w:r>
    </w:p>
    <w:p w:rsidR="00942074" w:rsidRDefault="008B18C2">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2</w:t>
      </w:r>
      <w:r>
        <w:rPr>
          <w:rFonts w:ascii="Book Antiqua" w:eastAsia="Book Antiqua" w:hAnsi="Book Antiqua" w:cs="Book Antiqua"/>
          <w:b/>
          <w:color w:val="000000"/>
        </w:rPr>
        <w:t xml:space="preserve"> On the 3</w:t>
      </w:r>
      <w:r>
        <w:rPr>
          <w:rFonts w:ascii="Book Antiqua" w:eastAsia="Book Antiqua" w:hAnsi="Book Antiqua" w:cs="Book Antiqua"/>
          <w:b/>
          <w:color w:val="000000"/>
          <w:vertAlign w:val="superscript"/>
        </w:rPr>
        <w:t>rd</w:t>
      </w:r>
      <w:r>
        <w:rPr>
          <w:rFonts w:ascii="Book Antiqua" w:eastAsia="Book Antiqua" w:hAnsi="Book Antiqua" w:cs="Book Antiqua"/>
          <w:b/>
          <w:color w:val="000000"/>
        </w:rPr>
        <w:t xml:space="preserve"> day after birth, abdominal X-ray showed that the intestinal tube was inflated, there was no obvious sign of gas separation downstream of the diaphragm, and there was no obvious gas-liquid level.</w:t>
      </w:r>
    </w:p>
    <w:p w:rsidR="00942074" w:rsidRDefault="008B18C2">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3223260" cy="3413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23539" cy="3414056"/>
                    </a:xfrm>
                    <a:prstGeom prst="rect">
                      <a:avLst/>
                    </a:prstGeom>
                  </pic:spPr>
                </pic:pic>
              </a:graphicData>
            </a:graphic>
          </wp:inline>
        </w:drawing>
      </w:r>
    </w:p>
    <w:p w:rsidR="00942074" w:rsidRDefault="008B18C2">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3</w:t>
      </w:r>
      <w:r>
        <w:rPr>
          <w:rFonts w:ascii="Book Antiqua" w:eastAsia="Book Antiqua" w:hAnsi="Book Antiqua" w:cs="Book Antiqua"/>
          <w:b/>
          <w:color w:val="000000"/>
        </w:rPr>
        <w:t xml:space="preserve"> After 3 d of treatment, chest abdominal X-ray sh</w:t>
      </w:r>
      <w:r>
        <w:rPr>
          <w:rFonts w:ascii="Book Antiqua" w:eastAsia="Book Antiqua" w:hAnsi="Book Antiqua" w:cs="Book Antiqua"/>
          <w:b/>
          <w:color w:val="000000"/>
        </w:rPr>
        <w:t>owed that the intestinal inflation was slightly improved.</w:t>
      </w:r>
    </w:p>
    <w:p w:rsidR="00942074" w:rsidRDefault="008B18C2">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extent cx="4130040" cy="3390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30398" cy="3391194"/>
                    </a:xfrm>
                    <a:prstGeom prst="rect">
                      <a:avLst/>
                    </a:prstGeom>
                  </pic:spPr>
                </pic:pic>
              </a:graphicData>
            </a:graphic>
          </wp:inline>
        </w:drawing>
      </w:r>
    </w:p>
    <w:p w:rsidR="00942074" w:rsidRDefault="008B18C2">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4</w:t>
      </w:r>
      <w:r>
        <w:rPr>
          <w:rFonts w:ascii="Book Antiqua" w:eastAsia="Book Antiqua" w:hAnsi="Book Antiqua" w:cs="Book Antiqua"/>
          <w:b/>
          <w:color w:val="000000"/>
        </w:rPr>
        <w:t xml:space="preserve"> After 4 d of treatment, liver ultrasound showed that hepatic portal venous gas disappeared completely.</w:t>
      </w:r>
    </w:p>
    <w:p w:rsidR="00942074" w:rsidRDefault="008B18C2">
      <w:pPr>
        <w:spacing w:line="360" w:lineRule="auto"/>
        <w:jc w:val="both"/>
        <w:rPr>
          <w:rFonts w:ascii="Book Antiqua" w:eastAsia="等线" w:hAnsi="Book Antiqua"/>
          <w:b/>
          <w:kern w:val="2"/>
          <w:lang w:eastAsia="zh-CN"/>
        </w:rPr>
      </w:pPr>
      <w:r>
        <w:rPr>
          <w:rFonts w:ascii="Book Antiqua" w:eastAsia="Book Antiqua" w:hAnsi="Book Antiqua" w:cs="Book Antiqua"/>
          <w:color w:val="000000"/>
        </w:rPr>
        <w:br w:type="page"/>
      </w:r>
      <w:r>
        <w:rPr>
          <w:rFonts w:ascii="Book Antiqua" w:eastAsia="等线" w:hAnsi="Book Antiqua"/>
          <w:b/>
          <w:kern w:val="2"/>
          <w:lang w:eastAsia="zh-CN"/>
        </w:rPr>
        <w:t>Table</w:t>
      </w:r>
      <w:r>
        <w:rPr>
          <w:rFonts w:ascii="Book Antiqua" w:eastAsia="等线" w:hAnsi="Book Antiqua" w:hint="eastAsia"/>
          <w:b/>
          <w:kern w:val="2"/>
          <w:lang w:eastAsia="zh-CN"/>
        </w:rPr>
        <w:t xml:space="preserve"> </w:t>
      </w:r>
      <w:r>
        <w:rPr>
          <w:rFonts w:ascii="Book Antiqua" w:eastAsia="等线" w:hAnsi="Book Antiqua"/>
          <w:b/>
          <w:kern w:val="2"/>
          <w:lang w:eastAsia="zh-CN"/>
        </w:rPr>
        <w:t>1 Laboratory results during treatment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943"/>
        <w:gridCol w:w="1658"/>
        <w:gridCol w:w="1659"/>
        <w:gridCol w:w="1659"/>
        <w:gridCol w:w="1657"/>
      </w:tblGrid>
      <w:tr w:rsidR="00942074">
        <w:trPr>
          <w:trHeight w:val="354"/>
        </w:trPr>
        <w:tc>
          <w:tcPr>
            <w:tcW w:w="1537" w:type="pct"/>
            <w:tcBorders>
              <w:bottom w:val="single" w:sz="4" w:space="0" w:color="auto"/>
            </w:tcBorders>
          </w:tcPr>
          <w:p w:rsidR="00942074" w:rsidRDefault="00942074">
            <w:pPr>
              <w:widowControl w:val="0"/>
              <w:spacing w:line="360" w:lineRule="auto"/>
              <w:jc w:val="both"/>
              <w:rPr>
                <w:rFonts w:ascii="Book Antiqua" w:eastAsia="等线" w:hAnsi="Book Antiqua"/>
                <w:b/>
                <w:bCs/>
                <w:kern w:val="2"/>
                <w:lang w:eastAsia="zh-CN"/>
              </w:rPr>
            </w:pPr>
          </w:p>
        </w:tc>
        <w:tc>
          <w:tcPr>
            <w:tcW w:w="866" w:type="pct"/>
            <w:tcBorders>
              <w:bottom w:val="single" w:sz="4" w:space="0" w:color="auto"/>
            </w:tcBorders>
          </w:tcPr>
          <w:p w:rsidR="00942074" w:rsidRDefault="008B18C2">
            <w:pPr>
              <w:widowControl w:val="0"/>
              <w:spacing w:line="360" w:lineRule="auto"/>
              <w:jc w:val="both"/>
              <w:rPr>
                <w:rFonts w:ascii="Book Antiqua" w:eastAsia="等线" w:hAnsi="Book Antiqua"/>
                <w:b/>
                <w:bCs/>
                <w:kern w:val="2"/>
                <w:lang w:eastAsia="zh-CN"/>
              </w:rPr>
            </w:pPr>
            <w:r>
              <w:rPr>
                <w:rFonts w:ascii="Book Antiqua" w:eastAsia="等线" w:hAnsi="Book Antiqua"/>
                <w:b/>
                <w:bCs/>
                <w:kern w:val="2"/>
                <w:lang w:eastAsia="zh-CN"/>
              </w:rPr>
              <w:t>Day 1</w:t>
            </w:r>
          </w:p>
        </w:tc>
        <w:tc>
          <w:tcPr>
            <w:tcW w:w="866" w:type="pct"/>
            <w:tcBorders>
              <w:bottom w:val="single" w:sz="4" w:space="0" w:color="auto"/>
            </w:tcBorders>
          </w:tcPr>
          <w:p w:rsidR="00942074" w:rsidRDefault="008B18C2">
            <w:pPr>
              <w:widowControl w:val="0"/>
              <w:spacing w:line="360" w:lineRule="auto"/>
              <w:jc w:val="both"/>
              <w:rPr>
                <w:rFonts w:ascii="Book Antiqua" w:eastAsia="等线" w:hAnsi="Book Antiqua"/>
                <w:b/>
                <w:bCs/>
                <w:kern w:val="2"/>
                <w:lang w:eastAsia="zh-CN"/>
              </w:rPr>
            </w:pPr>
            <w:r>
              <w:rPr>
                <w:rFonts w:ascii="Book Antiqua" w:eastAsia="等线" w:hAnsi="Book Antiqua"/>
                <w:b/>
                <w:bCs/>
                <w:kern w:val="2"/>
                <w:lang w:eastAsia="zh-CN"/>
              </w:rPr>
              <w:t>Day 3</w:t>
            </w:r>
          </w:p>
        </w:tc>
        <w:tc>
          <w:tcPr>
            <w:tcW w:w="866" w:type="pct"/>
            <w:tcBorders>
              <w:bottom w:val="single" w:sz="4" w:space="0" w:color="auto"/>
            </w:tcBorders>
          </w:tcPr>
          <w:p w:rsidR="00942074" w:rsidRDefault="008B18C2">
            <w:pPr>
              <w:widowControl w:val="0"/>
              <w:spacing w:line="360" w:lineRule="auto"/>
              <w:jc w:val="both"/>
              <w:rPr>
                <w:rFonts w:ascii="Book Antiqua" w:eastAsia="等线" w:hAnsi="Book Antiqua"/>
                <w:b/>
                <w:bCs/>
                <w:kern w:val="2"/>
                <w:lang w:eastAsia="zh-CN"/>
              </w:rPr>
            </w:pPr>
            <w:r>
              <w:rPr>
                <w:rFonts w:ascii="Book Antiqua" w:eastAsia="等线" w:hAnsi="Book Antiqua"/>
                <w:b/>
                <w:bCs/>
                <w:kern w:val="2"/>
                <w:lang w:eastAsia="zh-CN"/>
              </w:rPr>
              <w:t>Day 7</w:t>
            </w:r>
          </w:p>
        </w:tc>
        <w:tc>
          <w:tcPr>
            <w:tcW w:w="865" w:type="pct"/>
            <w:tcBorders>
              <w:bottom w:val="single" w:sz="4" w:space="0" w:color="auto"/>
            </w:tcBorders>
          </w:tcPr>
          <w:p w:rsidR="00942074" w:rsidRDefault="008B18C2">
            <w:pPr>
              <w:widowControl w:val="0"/>
              <w:spacing w:line="360" w:lineRule="auto"/>
              <w:jc w:val="both"/>
              <w:rPr>
                <w:rFonts w:ascii="Book Antiqua" w:eastAsia="等线" w:hAnsi="Book Antiqua"/>
                <w:b/>
                <w:bCs/>
                <w:kern w:val="2"/>
                <w:lang w:eastAsia="zh-CN"/>
              </w:rPr>
            </w:pPr>
            <w:r>
              <w:rPr>
                <w:rFonts w:ascii="Book Antiqua" w:eastAsia="等线" w:hAnsi="Book Antiqua"/>
                <w:b/>
                <w:bCs/>
                <w:kern w:val="2"/>
                <w:lang w:eastAsia="zh-CN"/>
              </w:rPr>
              <w:t>Day 10</w:t>
            </w:r>
          </w:p>
        </w:tc>
      </w:tr>
      <w:tr w:rsidR="00942074">
        <w:trPr>
          <w:trHeight w:val="354"/>
        </w:trPr>
        <w:tc>
          <w:tcPr>
            <w:tcW w:w="1537" w:type="pct"/>
            <w:tcBorders>
              <w:top w:val="single" w:sz="4" w:space="0" w:color="auto"/>
            </w:tcBorders>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WBCs (10</w:t>
            </w:r>
            <w:r>
              <w:rPr>
                <w:rFonts w:ascii="Book Antiqua" w:eastAsia="等线" w:hAnsi="Book Antiqua"/>
                <w:bCs/>
                <w:kern w:val="2"/>
                <w:vertAlign w:val="superscript"/>
                <w:lang w:eastAsia="zh-CN"/>
              </w:rPr>
              <w:t>9</w:t>
            </w:r>
            <w:r>
              <w:rPr>
                <w:rFonts w:ascii="Book Antiqua" w:eastAsia="等线" w:hAnsi="Book Antiqua"/>
                <w:bCs/>
                <w:kern w:val="2"/>
                <w:lang w:eastAsia="zh-CN"/>
              </w:rPr>
              <w:t>/L)</w:t>
            </w:r>
          </w:p>
        </w:tc>
        <w:tc>
          <w:tcPr>
            <w:tcW w:w="866" w:type="pct"/>
            <w:tcBorders>
              <w:top w:val="single" w:sz="4" w:space="0" w:color="auto"/>
            </w:tcBorders>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10.70</w:t>
            </w:r>
          </w:p>
        </w:tc>
        <w:tc>
          <w:tcPr>
            <w:tcW w:w="866" w:type="pct"/>
            <w:tcBorders>
              <w:top w:val="single" w:sz="4" w:space="0" w:color="auto"/>
            </w:tcBorders>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10.19</w:t>
            </w:r>
          </w:p>
        </w:tc>
        <w:tc>
          <w:tcPr>
            <w:tcW w:w="866" w:type="pct"/>
            <w:tcBorders>
              <w:top w:val="single" w:sz="4" w:space="0" w:color="auto"/>
            </w:tcBorders>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10.52</w:t>
            </w:r>
          </w:p>
        </w:tc>
        <w:tc>
          <w:tcPr>
            <w:tcW w:w="865" w:type="pct"/>
            <w:tcBorders>
              <w:top w:val="single" w:sz="4" w:space="0" w:color="auto"/>
            </w:tcBorders>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9.82</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Neutrophils (%)</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64.2</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49.5</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44.2</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39.6</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Lymphocytes (%)</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22.8</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31.2</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33.9</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43.3</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RBCs (10</w:t>
            </w:r>
            <w:r>
              <w:rPr>
                <w:rFonts w:ascii="Book Antiqua" w:eastAsia="等线" w:hAnsi="Book Antiqua"/>
                <w:bCs/>
                <w:kern w:val="2"/>
                <w:vertAlign w:val="superscript"/>
                <w:lang w:eastAsia="zh-CN"/>
              </w:rPr>
              <w:t>12</w:t>
            </w:r>
            <w:r>
              <w:rPr>
                <w:rFonts w:ascii="Book Antiqua" w:eastAsia="等线" w:hAnsi="Book Antiqua"/>
                <w:bCs/>
                <w:kern w:val="2"/>
                <w:lang w:eastAsia="zh-CN"/>
              </w:rPr>
              <w:t>/L)</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5.09</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4.85</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4.41</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4.31</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Hemoglobin (g/L)</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202</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182</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168</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160</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PLT (10</w:t>
            </w:r>
            <w:r>
              <w:rPr>
                <w:rFonts w:ascii="Book Antiqua" w:eastAsia="等线" w:hAnsi="Book Antiqua"/>
                <w:bCs/>
                <w:kern w:val="2"/>
                <w:vertAlign w:val="superscript"/>
                <w:lang w:eastAsia="zh-CN"/>
              </w:rPr>
              <w:t>9</w:t>
            </w:r>
            <w:r>
              <w:rPr>
                <w:rFonts w:ascii="Book Antiqua" w:eastAsia="等线" w:hAnsi="Book Antiqua"/>
                <w:bCs/>
                <w:kern w:val="2"/>
                <w:lang w:eastAsia="zh-CN"/>
              </w:rPr>
              <w:t>/L)</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261</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264</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344</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485</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CRP (mg/L)</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11.62</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12.69</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3.87</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&lt;</w:t>
            </w:r>
            <w:r>
              <w:rPr>
                <w:rFonts w:ascii="Book Antiqua" w:eastAsia="等线" w:hAnsi="Book Antiqua" w:hint="eastAsia"/>
                <w:bCs/>
                <w:kern w:val="2"/>
                <w:lang w:eastAsia="zh-CN"/>
              </w:rPr>
              <w:t xml:space="preserve"> </w:t>
            </w:r>
            <w:r>
              <w:rPr>
                <w:rFonts w:ascii="Book Antiqua" w:eastAsia="等线" w:hAnsi="Book Antiqua"/>
                <w:bCs/>
                <w:kern w:val="2"/>
                <w:lang w:eastAsia="zh-CN"/>
              </w:rPr>
              <w:t>0.5</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FOBT</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Positive</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Negative</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Negative</w:t>
            </w:r>
          </w:p>
        </w:tc>
        <w:tc>
          <w:tcPr>
            <w:tcW w:w="865"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Negative</w:t>
            </w:r>
          </w:p>
        </w:tc>
      </w:tr>
      <w:tr w:rsidR="00942074">
        <w:trPr>
          <w:trHeight w:val="354"/>
        </w:trPr>
        <w:tc>
          <w:tcPr>
            <w:tcW w:w="1537"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HPVG</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Positive</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Negative</w:t>
            </w:r>
          </w:p>
        </w:tc>
        <w:tc>
          <w:tcPr>
            <w:tcW w:w="866" w:type="pct"/>
          </w:tcPr>
          <w:p w:rsidR="00942074"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Negative</w:t>
            </w:r>
          </w:p>
        </w:tc>
        <w:tc>
          <w:tcPr>
            <w:tcW w:w="865" w:type="pct"/>
          </w:tcPr>
          <w:p w:rsidR="00942074" w:rsidRDefault="008B18C2">
            <w:pPr>
              <w:widowControl w:val="0"/>
              <w:spacing w:line="360" w:lineRule="auto"/>
              <w:jc w:val="both"/>
              <w:rPr>
                <w:rFonts w:ascii="Book Antiqua" w:eastAsia="等线" w:hAnsi="Book Antiqua"/>
                <w:b/>
                <w:bCs/>
                <w:kern w:val="2"/>
                <w:lang w:eastAsia="zh-CN"/>
              </w:rPr>
            </w:pPr>
            <w:r>
              <w:rPr>
                <w:rFonts w:ascii="Book Antiqua" w:eastAsia="等线" w:hAnsi="Book Antiqua"/>
                <w:bCs/>
                <w:kern w:val="2"/>
                <w:lang w:eastAsia="zh-CN"/>
              </w:rPr>
              <w:t>Negative</w:t>
            </w:r>
          </w:p>
        </w:tc>
      </w:tr>
    </w:tbl>
    <w:p w:rsidR="00A617C7" w:rsidRDefault="008B18C2">
      <w:pPr>
        <w:widowControl w:val="0"/>
        <w:spacing w:line="360" w:lineRule="auto"/>
        <w:jc w:val="both"/>
        <w:rPr>
          <w:rFonts w:ascii="Book Antiqua" w:eastAsia="等线" w:hAnsi="Book Antiqua"/>
          <w:bCs/>
          <w:kern w:val="2"/>
          <w:lang w:eastAsia="zh-CN"/>
        </w:rPr>
      </w:pPr>
      <w:r>
        <w:rPr>
          <w:rFonts w:ascii="Book Antiqua" w:eastAsia="等线" w:hAnsi="Book Antiqua"/>
          <w:bCs/>
          <w:kern w:val="2"/>
          <w:lang w:eastAsia="zh-CN"/>
        </w:rPr>
        <w:t>CRP</w:t>
      </w:r>
      <w:r>
        <w:rPr>
          <w:rFonts w:ascii="Book Antiqua" w:eastAsia="等线" w:hAnsi="Book Antiqua" w:hint="eastAsia"/>
          <w:bCs/>
          <w:kern w:val="2"/>
          <w:lang w:eastAsia="zh-CN"/>
        </w:rPr>
        <w:t>:</w:t>
      </w:r>
      <w:r>
        <w:rPr>
          <w:rFonts w:ascii="Book Antiqua" w:eastAsia="等线" w:hAnsi="Book Antiqua"/>
          <w:bCs/>
          <w:kern w:val="2"/>
          <w:lang w:eastAsia="zh-CN"/>
        </w:rPr>
        <w:t xml:space="preserve"> </w:t>
      </w:r>
      <w:r>
        <w:rPr>
          <w:rFonts w:ascii="Book Antiqua" w:eastAsia="Book Antiqua" w:hAnsi="Book Antiqua" w:cs="Book Antiqua"/>
          <w:color w:val="000000"/>
        </w:rPr>
        <w:t>C-reactive protein</w:t>
      </w:r>
      <w:r>
        <w:rPr>
          <w:rFonts w:ascii="Book Antiqua" w:hAnsi="Book Antiqua" w:cs="Book Antiqua" w:hint="eastAsia"/>
          <w:color w:val="000000"/>
          <w:lang w:eastAsia="zh-CN"/>
        </w:rPr>
        <w:t>;</w:t>
      </w:r>
      <w:r>
        <w:rPr>
          <w:rFonts w:ascii="Book Antiqua" w:eastAsia="等线" w:hAnsi="Book Antiqua"/>
          <w:bCs/>
          <w:kern w:val="2"/>
          <w:lang w:eastAsia="zh-CN"/>
        </w:rPr>
        <w:t xml:space="preserve"> FOBT</w:t>
      </w:r>
      <w:r>
        <w:rPr>
          <w:rFonts w:ascii="Book Antiqua" w:eastAsia="等线" w:hAnsi="Book Antiqua" w:hint="eastAsia"/>
          <w:bCs/>
          <w:kern w:val="2"/>
          <w:lang w:eastAsia="zh-CN"/>
        </w:rPr>
        <w:t>:</w:t>
      </w:r>
      <w:r>
        <w:rPr>
          <w:rFonts w:ascii="Book Antiqua" w:eastAsia="等线" w:hAnsi="Book Antiqua"/>
          <w:bCs/>
          <w:kern w:val="2"/>
          <w:lang w:eastAsia="zh-CN"/>
        </w:rPr>
        <w:t xml:space="preserve"> Fecal occult blood test; HPVG</w:t>
      </w:r>
      <w:r>
        <w:rPr>
          <w:rFonts w:ascii="Book Antiqua" w:eastAsia="等线" w:hAnsi="Book Antiqua" w:hint="eastAsia"/>
          <w:bCs/>
          <w:kern w:val="2"/>
          <w:lang w:eastAsia="zh-CN"/>
        </w:rPr>
        <w:t>:</w:t>
      </w:r>
      <w:r>
        <w:rPr>
          <w:rFonts w:ascii="Book Antiqua" w:eastAsia="等线" w:hAnsi="Book Antiqua"/>
          <w:bCs/>
          <w:kern w:val="2"/>
          <w:lang w:eastAsia="zh-CN"/>
        </w:rPr>
        <w:t xml:space="preserve"> Hepatic portal venous gas; RBC:</w:t>
      </w:r>
      <w:r>
        <w:rPr>
          <w:rFonts w:ascii="Arial" w:hAnsi="Arial" w:cs="Arial"/>
          <w:color w:val="333333"/>
          <w:sz w:val="21"/>
          <w:szCs w:val="21"/>
          <w:shd w:val="clear" w:color="auto" w:fill="FFFFFF"/>
        </w:rPr>
        <w:t xml:space="preserve"> </w:t>
      </w:r>
      <w:r>
        <w:rPr>
          <w:rFonts w:ascii="Book Antiqua" w:eastAsia="等线" w:hAnsi="Book Antiqua"/>
          <w:bCs/>
          <w:kern w:val="2"/>
          <w:lang w:eastAsia="zh-CN"/>
        </w:rPr>
        <w:t xml:space="preserve">Red blood cells; WBC: White blood cells. </w:t>
      </w:r>
    </w:p>
    <w:p w:rsidR="00A617C7" w:rsidRDefault="00A617C7">
      <w:pPr>
        <w:rPr>
          <w:rFonts w:ascii="Book Antiqua" w:eastAsia="等线" w:hAnsi="Book Antiqua"/>
          <w:bCs/>
          <w:kern w:val="2"/>
          <w:lang w:eastAsia="zh-CN"/>
        </w:rPr>
      </w:pPr>
      <w:r>
        <w:rPr>
          <w:rFonts w:ascii="Book Antiqua" w:eastAsia="等线" w:hAnsi="Book Antiqua"/>
          <w:bCs/>
          <w:kern w:val="2"/>
          <w:lang w:eastAsia="zh-CN"/>
        </w:rPr>
        <w:br w:type="page"/>
      </w:r>
    </w:p>
    <w:p w:rsidR="00A617C7" w:rsidRDefault="00A617C7" w:rsidP="00A617C7">
      <w:pPr>
        <w:jc w:val="center"/>
        <w:rPr>
          <w:rFonts w:ascii="Book Antiqua" w:hAnsi="Book Antiqua"/>
          <w:lang w:eastAsia="zh-CN"/>
        </w:rPr>
      </w:pPr>
      <w:bookmarkStart w:id="4" w:name="OLE_LINK1"/>
      <w:bookmarkStart w:id="5" w:name="OLE_LINK2"/>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r>
        <w:rPr>
          <w:rFonts w:ascii="Book Antiqua" w:hAnsi="Book Antiqua"/>
          <w:noProof/>
          <w:lang w:eastAsia="zh-CN"/>
        </w:rPr>
        <w:drawing>
          <wp:inline distT="0" distB="0" distL="0" distR="0" wp14:anchorId="5801C371" wp14:editId="56B3B5F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617C7" w:rsidRDefault="00A617C7" w:rsidP="00A617C7">
      <w:pPr>
        <w:jc w:val="center"/>
        <w:rPr>
          <w:rFonts w:ascii="Book Antiqua" w:hAnsi="Book Antiqua"/>
          <w:lang w:eastAsia="zh-CN"/>
        </w:rPr>
      </w:pPr>
    </w:p>
    <w:p w:rsidR="00A617C7" w:rsidRPr="00763D22" w:rsidRDefault="00A617C7" w:rsidP="00A617C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A617C7" w:rsidRPr="00763D22" w:rsidRDefault="00A617C7" w:rsidP="00A617C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A617C7" w:rsidRPr="00763D22" w:rsidRDefault="00A617C7" w:rsidP="00A617C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A617C7" w:rsidRPr="00763D22" w:rsidRDefault="00A617C7" w:rsidP="00A617C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A617C7" w:rsidRPr="00763D22" w:rsidRDefault="00A617C7" w:rsidP="00A617C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A617C7" w:rsidRPr="00763D22" w:rsidRDefault="00A617C7" w:rsidP="00A617C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r>
        <w:rPr>
          <w:rFonts w:ascii="Book Antiqua" w:hAnsi="Book Antiqua"/>
          <w:noProof/>
          <w:lang w:eastAsia="zh-CN"/>
        </w:rPr>
        <w:drawing>
          <wp:inline distT="0" distB="0" distL="0" distR="0" wp14:anchorId="4759C4D0" wp14:editId="59E03CD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Default="00A617C7" w:rsidP="00A617C7">
      <w:pPr>
        <w:jc w:val="center"/>
        <w:rPr>
          <w:rFonts w:ascii="Book Antiqua" w:hAnsi="Book Antiqua"/>
          <w:lang w:eastAsia="zh-CN"/>
        </w:rPr>
      </w:pPr>
    </w:p>
    <w:p w:rsidR="00A617C7" w:rsidRPr="00763D22" w:rsidRDefault="00A617C7" w:rsidP="00A617C7">
      <w:pPr>
        <w:jc w:val="right"/>
        <w:rPr>
          <w:rFonts w:ascii="Book Antiqua" w:hAnsi="Book Antiqua"/>
          <w:color w:val="000000" w:themeColor="text1"/>
          <w:lang w:eastAsia="zh-CN"/>
        </w:rPr>
      </w:pPr>
    </w:p>
    <w:p w:rsidR="00A617C7" w:rsidRPr="00763D22" w:rsidRDefault="00A617C7" w:rsidP="00A617C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rsidR="00942074" w:rsidRDefault="00942074">
      <w:pPr>
        <w:widowControl w:val="0"/>
        <w:spacing w:line="360" w:lineRule="auto"/>
        <w:jc w:val="both"/>
        <w:rPr>
          <w:rFonts w:ascii="Book Antiqua" w:hAnsi="Book Antiqua"/>
        </w:rPr>
      </w:pPr>
      <w:bookmarkStart w:id="6" w:name="_GoBack"/>
      <w:bookmarkEnd w:id="6"/>
    </w:p>
    <w:sectPr w:rsidR="009420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8C2" w:rsidRDefault="008B18C2">
      <w:r>
        <w:separator/>
      </w:r>
    </w:p>
  </w:endnote>
  <w:endnote w:type="continuationSeparator" w:id="0">
    <w:p w:rsidR="008B18C2" w:rsidRDefault="008B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74" w:rsidRDefault="008B18C2">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8C2" w:rsidRDefault="008B18C2">
      <w:r>
        <w:separator/>
      </w:r>
    </w:p>
  </w:footnote>
  <w:footnote w:type="continuationSeparator" w:id="0">
    <w:p w:rsidR="008B18C2" w:rsidRDefault="008B18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D62"/>
    <w:rsid w:val="00050A3A"/>
    <w:rsid w:val="00080163"/>
    <w:rsid w:val="00234ECA"/>
    <w:rsid w:val="002C7B71"/>
    <w:rsid w:val="00363421"/>
    <w:rsid w:val="00381359"/>
    <w:rsid w:val="003A795F"/>
    <w:rsid w:val="003E406D"/>
    <w:rsid w:val="00484757"/>
    <w:rsid w:val="004B7CBC"/>
    <w:rsid w:val="004F2F3C"/>
    <w:rsid w:val="00550ACF"/>
    <w:rsid w:val="00596FF2"/>
    <w:rsid w:val="007D0C7A"/>
    <w:rsid w:val="00827F31"/>
    <w:rsid w:val="0088561B"/>
    <w:rsid w:val="008B18C2"/>
    <w:rsid w:val="00942074"/>
    <w:rsid w:val="009C2687"/>
    <w:rsid w:val="009E5754"/>
    <w:rsid w:val="00A026A9"/>
    <w:rsid w:val="00A617C7"/>
    <w:rsid w:val="00A67A3A"/>
    <w:rsid w:val="00A77B3E"/>
    <w:rsid w:val="00A93E65"/>
    <w:rsid w:val="00AE2A7B"/>
    <w:rsid w:val="00B73498"/>
    <w:rsid w:val="00BE2AEA"/>
    <w:rsid w:val="00CA2A55"/>
    <w:rsid w:val="00D41E8E"/>
    <w:rsid w:val="00D90FB7"/>
    <w:rsid w:val="00E336DD"/>
    <w:rsid w:val="00E57AAE"/>
    <w:rsid w:val="00EF6651"/>
    <w:rsid w:val="00F9486B"/>
    <w:rsid w:val="00F94F44"/>
    <w:rsid w:val="18817BB4"/>
    <w:rsid w:val="30705FEF"/>
    <w:rsid w:val="5E1D5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rPr>
      <w:sz w:val="18"/>
      <w:szCs w:val="18"/>
    </w:rPr>
  </w:style>
  <w:style w:type="paragraph" w:customStyle="1" w:styleId="1">
    <w:name w:val="修订1"/>
    <w:hidden/>
    <w:uiPriority w:val="99"/>
    <w:semiHidden/>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rPr>
      <w:sz w:val="18"/>
      <w:szCs w:val="18"/>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3125</Words>
  <Characters>17816</Characters>
  <Application>Microsoft Office Word</Application>
  <DocSecurity>0</DocSecurity>
  <Lines>148</Lines>
  <Paragraphs>41</Paragraphs>
  <ScaleCrop>false</ScaleCrop>
  <Company>HP</Company>
  <LinksUpToDate>false</LinksUpToDate>
  <CharactersWithSpaces>20900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袁珂</dc:creator>
  <cp:lastModifiedBy>liujihong2008@qq.con</cp:lastModifiedBy>
  <cp:revision>5</cp:revision>
  <dcterms:created xsi:type="dcterms:W3CDTF">2021-09-15T08:22:00Z</dcterms:created>
  <dcterms:modified xsi:type="dcterms:W3CDTF">2021-10-19T03:12:00Z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30133ED39BE84376B6CB263194C7768F</vt:lpwstr>
  </property>
</Properties>
</file>