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74C7" w14:textId="45B50E3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3535C006" w14:textId="134F233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68624</w:t>
      </w:r>
    </w:p>
    <w:p w14:paraId="6A1475D4" w14:textId="5AA7081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2DF92314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C380AB" w14:textId="544EF26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imaging</w:t>
      </w:r>
    </w:p>
    <w:p w14:paraId="6C2C081F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406B98" w14:textId="430BC9ED" w:rsidR="00A77B3E" w:rsidRPr="00185A78" w:rsidRDefault="003F307C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ai</w:t>
      </w:r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YW</w:t>
      </w:r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i/>
          <w:iCs/>
          <w:color w:val="000000" w:themeColor="text1"/>
          <w:lang w:eastAsia="zh-CN"/>
        </w:rPr>
        <w:t>et</w:t>
      </w:r>
      <w:r w:rsidR="00C2537A">
        <w:rPr>
          <w:rFonts w:ascii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i/>
          <w:iCs/>
          <w:color w:val="000000" w:themeColor="text1"/>
          <w:lang w:eastAsia="zh-CN"/>
        </w:rPr>
        <w:t>al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.</w:t>
      </w:r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lesions</w:t>
      </w:r>
    </w:p>
    <w:p w14:paraId="726C9A6E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6D63AC" w14:textId="166FD27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Yu-Wen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Fang-Fen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Yu-Heng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Li-Yuan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Yu-Shan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Jian-Hua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-Biao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</w:p>
    <w:p w14:paraId="3E95A51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C0508" w14:textId="3364BBE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Yu-Wen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Cai,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Li-Yuan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hen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3745" w:rsidRPr="00185A78">
        <w:rPr>
          <w:rFonts w:ascii="Book Antiqua" w:eastAsia="Book Antiqua" w:hAnsi="Book Antiqua" w:cs="Book Antiqua"/>
          <w:b/>
          <w:bCs/>
          <w:color w:val="000000" w:themeColor="text1"/>
        </w:rPr>
        <w:t>Ping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3745" w:rsidRPr="00185A78">
        <w:rPr>
          <w:rFonts w:ascii="Book Antiqua" w:eastAsia="Book Antiqua" w:hAnsi="Book Antiqua" w:cs="Book Antiqua"/>
          <w:b/>
          <w:bCs/>
          <w:color w:val="000000" w:themeColor="text1"/>
        </w:rPr>
        <w:t>Lin,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Yu-Shan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Xue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Department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3289BFE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94AD87" w14:textId="6059D6C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Fang-Fen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Dong,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Department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Engineering,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452656" w:rsidRP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</w:t>
      </w:r>
      <w:r w:rsidRPr="00185A78">
        <w:rPr>
          <w:rFonts w:ascii="Book Antiqua" w:eastAsia="Book Antiqua" w:hAnsi="Book Antiqua" w:cs="Book Antiqua"/>
          <w:color w:val="000000" w:themeColor="text1"/>
        </w:rPr>
        <w:t>na</w:t>
      </w:r>
    </w:p>
    <w:p w14:paraId="07D20A5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E417A2" w14:textId="60EA917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Yu-Heng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Shi,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Science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Engineering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College,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Alberta,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Edmonton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T6G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2R3,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Canada</w:t>
      </w:r>
    </w:p>
    <w:p w14:paraId="2D6D226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CE77AE" w14:textId="719067C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Jian-Hua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</w:t>
      </w:r>
      <w:r w:rsidRPr="00185A78">
        <w:rPr>
          <w:rFonts w:ascii="Book Antiqua" w:eastAsia="Book Antiqua" w:hAnsi="Book Antiqua" w:cs="Book Antiqua"/>
          <w:color w:val="000000" w:themeColor="text1"/>
        </w:rPr>
        <w:t>oscopy</w:t>
      </w:r>
      <w:r w:rsidR="00876FF7">
        <w:rPr>
          <w:rFonts w:ascii="Book Antiqua" w:eastAsia="Book Antiqua" w:hAnsi="Book Antiqua" w:cs="Book Antiqua"/>
          <w:color w:val="000000" w:themeColor="text1"/>
        </w:rPr>
        <w:t xml:space="preserve"> Center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61D21E0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D61DB9" w14:textId="44943E3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-Biao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Luo,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School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Information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Science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Xiamen,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Xiamen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361000,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6813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6813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353F2AB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5730AF" w14:textId="7157C4B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FF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majority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85A78">
        <w:rPr>
          <w:rFonts w:ascii="Book Antiqua" w:eastAsia="Book Antiqua" w:hAnsi="Book Antiqua" w:cs="Book Antiqua"/>
          <w:color w:val="000000" w:themeColor="text1"/>
        </w:rPr>
        <w:t>prepared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figures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tables,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contributed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equally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regarded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co-first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accusation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LY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P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JH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XB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designed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outline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coordinated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</w:t>
      </w:r>
      <w:r w:rsidRPr="00185A78">
        <w:rPr>
          <w:rFonts w:ascii="Book Antiqua" w:eastAsia="Book Antiqua" w:hAnsi="Book Antiqua" w:cs="Book Antiqua"/>
          <w:color w:val="000000" w:themeColor="text1"/>
        </w:rPr>
        <w:t>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paper.</w:t>
      </w:r>
    </w:p>
    <w:p w14:paraId="52F380D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A38F93" w14:textId="4F32F56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76FF7">
        <w:rPr>
          <w:rFonts w:ascii="Book Antiqua" w:eastAsia="Book Antiqua" w:hAnsi="Book Antiqua" w:cs="Book Antiqua"/>
          <w:b/>
          <w:bCs/>
          <w:color w:val="000000" w:themeColor="text1"/>
        </w:rPr>
        <w:t>M.D.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876FF7">
        <w:rPr>
          <w:rFonts w:ascii="Book Antiqua" w:eastAsia="Book Antiqua" w:hAnsi="Book Antiqua" w:cs="Book Antiqua"/>
          <w:color w:val="000000" w:themeColor="text1"/>
        </w:rPr>
        <w:t xml:space="preserve"> Center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</w:t>
      </w:r>
      <w:r w:rsidRPr="00185A78">
        <w:rPr>
          <w:rFonts w:ascii="Book Antiqua" w:eastAsia="Book Antiqua" w:hAnsi="Book Antiqua" w:cs="Book Antiqua"/>
          <w:color w:val="000000" w:themeColor="text1"/>
        </w:rPr>
        <w:t>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Fuma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Road,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Jin'an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D7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D7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endosuyuchen@163.com</w:t>
      </w:r>
    </w:p>
    <w:p w14:paraId="37C7ECD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D4F5C8" w14:textId="4CB7B59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03E5A3B2" w14:textId="69FCE4A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July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26,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1BC59352" w14:textId="5DCE979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2537A">
        <w:rPr>
          <w:rFonts w:ascii="Book Antiqua" w:eastAsia="宋体" w:hAnsi="Book Antiqua" w:hint="eastAsia"/>
          <w:color w:val="000000" w:themeColor="text1"/>
        </w:rPr>
        <w:t>Au</w:t>
      </w:r>
      <w:r w:rsidR="00C2537A">
        <w:rPr>
          <w:rFonts w:ascii="Book Antiqua" w:eastAsia="宋体" w:hAnsi="Book Antiqua"/>
          <w:color w:val="000000" w:themeColor="text1"/>
        </w:rPr>
        <w:t>gust</w:t>
      </w:r>
      <w:r w:rsidR="00C2537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2537A">
        <w:rPr>
          <w:rFonts w:ascii="Book Antiqua" w:eastAsia="宋体" w:hAnsi="Book Antiqua"/>
          <w:color w:val="000000" w:themeColor="text1"/>
        </w:rPr>
        <w:t>13</w:t>
      </w:r>
      <w:r w:rsidR="00C2537A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5B17859" w14:textId="346EAF5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462B3B8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85A7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554F6" w14:textId="7777777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0E94745" w14:textId="54F2F11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second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</w:t>
      </w:r>
      <w:r w:rsidRPr="00185A78">
        <w:rPr>
          <w:rFonts w:ascii="Book Antiqua" w:eastAsia="Book Antiqua" w:hAnsi="Book Antiqua" w:cs="Book Antiqua"/>
          <w:color w:val="000000" w:themeColor="text1"/>
        </w:rPr>
        <w:t>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5-year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survival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excreta,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</w:t>
      </w:r>
      <w:r w:rsidRPr="00185A78">
        <w:rPr>
          <w:rFonts w:ascii="Book Antiqua" w:eastAsia="Book Antiqua" w:hAnsi="Book Antiqua" w:cs="Book Antiqua"/>
          <w:color w:val="000000" w:themeColor="text1"/>
        </w:rPr>
        <w:t>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</w:t>
      </w:r>
      <w:r w:rsidRPr="00185A78">
        <w:rPr>
          <w:rFonts w:ascii="Book Antiqua" w:eastAsia="Book Antiqua" w:hAnsi="Book Antiqua" w:cs="Book Antiqua"/>
          <w:color w:val="000000" w:themeColor="text1"/>
        </w:rPr>
        <w:t>logy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</w:t>
      </w:r>
      <w:r w:rsidRPr="00185A78">
        <w:rPr>
          <w:rFonts w:ascii="Book Antiqua" w:eastAsia="Book Antiqua" w:hAnsi="Book Antiqua" w:cs="Book Antiqua"/>
          <w:color w:val="000000" w:themeColor="text1"/>
        </w:rPr>
        <w:t>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supplement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insights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05FFD1B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7DC2E3" w14:textId="760C89B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intelligence;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cancer</w:t>
      </w:r>
    </w:p>
    <w:p w14:paraId="7CAA3C47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D76A61" w14:textId="0B2129A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XB.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press</w:t>
      </w:r>
    </w:p>
    <w:p w14:paraId="4818C50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AB949" w14:textId="6608A49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</w:t>
      </w:r>
      <w:r w:rsidRPr="00185A78">
        <w:rPr>
          <w:rFonts w:ascii="Book Antiqua" w:eastAsia="Book Antiqua" w:hAnsi="Book Antiqua" w:cs="Book Antiqua"/>
          <w:color w:val="000000" w:themeColor="text1"/>
        </w:rPr>
        <w:t>puter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promoted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(AI)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conventional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difficult,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</w:t>
      </w:r>
      <w:r w:rsidRPr="00185A78">
        <w:rPr>
          <w:rFonts w:ascii="Book Antiqua" w:eastAsia="Book Antiqua" w:hAnsi="Book Antiqua" w:cs="Book Antiqua"/>
          <w:color w:val="000000" w:themeColor="text1"/>
        </w:rPr>
        <w:t>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follow-up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6D873E47" w14:textId="13D2F053" w:rsidR="00A77B3E" w:rsidRPr="00185A78" w:rsidRDefault="00AA3DB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hAnsi="Book Antiqua"/>
          <w:color w:val="000000" w:themeColor="text1"/>
        </w:rPr>
        <w:br w:type="page"/>
      </w:r>
      <w:r w:rsidR="007D5F9D" w:rsidRPr="00185A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F0BBA12" w14:textId="05C61D4C" w:rsidR="00F02168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(CRC)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cancers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fifth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female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respectively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</w:t>
      </w:r>
      <w:r w:rsidRPr="00185A78">
        <w:rPr>
          <w:rFonts w:ascii="Book Antiqua" w:eastAsia="Book Antiqua" w:hAnsi="Book Antiqua" w:cs="Book Antiqua"/>
          <w:color w:val="000000" w:themeColor="text1"/>
        </w:rPr>
        <w:t>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%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626E5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26E5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F626E5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approaches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excreta,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enteroscopy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evaluations.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(AI)</w:t>
      </w:r>
      <w:r w:rsidRPr="00185A78">
        <w:rPr>
          <w:rFonts w:ascii="Book Antiqua" w:eastAsia="Book Antiqua" w:hAnsi="Book Antiqua" w:cs="Book Antiqua"/>
          <w:color w:val="000000" w:themeColor="text1"/>
        </w:rPr>
        <w:t>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adopts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quickly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conditions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avoid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polypectomy.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rapid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approach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It is </w:t>
      </w:r>
      <w:r w:rsidRPr="00185A78">
        <w:rPr>
          <w:rFonts w:ascii="Book Antiqua" w:eastAsia="Book Antiqua" w:hAnsi="Book Antiqua" w:cs="Book Antiqua"/>
          <w:color w:val="000000" w:themeColor="text1"/>
        </w:rPr>
        <w:t>hope</w:t>
      </w:r>
      <w:r w:rsidR="00452656">
        <w:rPr>
          <w:rFonts w:ascii="Book Antiqua" w:eastAsia="Book Antiqua" w:hAnsi="Book Antiqua" w:cs="Book Antiqua"/>
          <w:color w:val="000000" w:themeColor="text1"/>
        </w:rPr>
        <w:t>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rapid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require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</w:p>
    <w:p w14:paraId="0F894675" w14:textId="1C5EA3D6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minireview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briefly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principles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shortcomings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directions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</w:t>
      </w:r>
      <w:r w:rsidRPr="00185A78">
        <w:rPr>
          <w:rFonts w:ascii="Book Antiqua" w:eastAsia="Book Antiqua" w:hAnsi="Book Antiqua" w:cs="Book Antiqua"/>
          <w:color w:val="000000" w:themeColor="text1"/>
        </w:rPr>
        <w:t>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2060B55F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1AC033" w14:textId="1E7FAE0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PRINCIPLES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DEEP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LEARNING</w:t>
      </w:r>
    </w:p>
    <w:p w14:paraId="524C3154" w14:textId="3B90CE9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learning</w:t>
      </w:r>
    </w:p>
    <w:p w14:paraId="500D4453" w14:textId="7F69C77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derived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low-level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superposition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higher-level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abstract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attribut</w:t>
      </w:r>
      <w:r w:rsidRPr="00185A78">
        <w:rPr>
          <w:rFonts w:ascii="Book Antiqua" w:eastAsia="Book Antiqua" w:hAnsi="Book Antiqua" w:cs="Book Antiqua"/>
          <w:color w:val="000000" w:themeColor="text1"/>
        </w:rPr>
        <w:t>es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perceptual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objects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mainly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transformations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shallow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abstract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calculated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stacking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nonlinear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mapping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of deep learning is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follows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: </w:t>
      </w:r>
      <w:r w:rsidRPr="00185A78">
        <w:rPr>
          <w:rFonts w:ascii="Book Antiqua" w:eastAsia="Book Antiqua" w:hAnsi="Book Antiqua" w:cs="Book Antiqua"/>
          <w:color w:val="000000" w:themeColor="text1"/>
        </w:rPr>
        <w:t>(1)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Hopfield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0B2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4260B2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theoretical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1982,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perceptron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solved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(2)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i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n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2006,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Hint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pointed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"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multihidden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ability”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formally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concept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(3)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i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n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</w:t>
      </w:r>
      <w:r w:rsidRPr="00185A78">
        <w:rPr>
          <w:rFonts w:ascii="Book Antiqua" w:eastAsia="Book Antiqua" w:hAnsi="Book Antiqua" w:cs="Book Antiqua"/>
          <w:color w:val="000000" w:themeColor="text1"/>
        </w:rPr>
        <w:t>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obtained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efficiently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models.</w:t>
      </w:r>
    </w:p>
    <w:p w14:paraId="1436515A" w14:textId="77777777" w:rsidR="00C335A7" w:rsidRPr="00185A78" w:rsidRDefault="00C335A7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02F1B4" w14:textId="5A1EBCE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networks</w:t>
      </w:r>
    </w:p>
    <w:p w14:paraId="1257850F" w14:textId="76DAD0C4" w:rsidR="00C44696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(CNNs)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(DCNNs)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Typically,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popularl</w:t>
      </w:r>
      <w:r w:rsidRPr="00185A78">
        <w:rPr>
          <w:rFonts w:ascii="Book Antiqua" w:eastAsia="Book Antiqua" w:hAnsi="Book Antiqua" w:cs="Book Antiqua"/>
          <w:color w:val="000000" w:themeColor="text1"/>
        </w:rPr>
        <w:t>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(RNN)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short-term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memory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(LSTM)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dependence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sequence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Bidirectional-LSTM,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mechanism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Kyunghyun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4417"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064417" w:rsidRPr="00185A78">
        <w:rPr>
          <w:rFonts w:ascii="Book Antiqua" w:eastAsia="Book Antiqua" w:hAnsi="Book Antiqua" w:cs="Book Antiqua"/>
          <w:color w:val="000000" w:themeColor="text1"/>
        </w:rPr>
        <w:t>colleagues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3210"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object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tracking,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249C71C" w14:textId="3AC7665F" w:rsidR="002A01E1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</w:t>
      </w:r>
      <w:r w:rsidRPr="00185A78">
        <w:rPr>
          <w:rFonts w:ascii="Book Antiqua" w:eastAsia="Book Antiqua" w:hAnsi="Book Antiqua" w:cs="Book Antiqua"/>
          <w:color w:val="000000" w:themeColor="text1"/>
        </w:rPr>
        <w:t>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in-depth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excellent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series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dimensionality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effectively,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recommendation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natural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language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Waibel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1987,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handwritten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44696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C44696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achievements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pattern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constructed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01E1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2A01E1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built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Microsoft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character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read</w:t>
      </w:r>
      <w:r w:rsidRPr="00185A78">
        <w:rPr>
          <w:rFonts w:ascii="Book Antiqua" w:eastAsia="Book Antiqua" w:hAnsi="Book Antiqua" w:cs="Book Antiqua"/>
          <w:color w:val="000000" w:themeColor="text1"/>
        </w:rPr>
        <w:t>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Garcia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CNN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01E1" w:rsidRPr="00185A78">
        <w:rPr>
          <w:rFonts w:ascii="Book Antiqua" w:eastAsia="Book Antiqua" w:hAnsi="Book Antiqua" w:cs="Book Antiqua"/>
          <w:color w:val="000000" w:themeColor="text1"/>
        </w:rPr>
        <w:t>Abdel-Hamid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="00C2537A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</w:t>
      </w:r>
      <w:r w:rsidRPr="00185A78">
        <w:rPr>
          <w:rFonts w:ascii="Book Antiqua" w:eastAsia="Book Antiqua" w:hAnsi="Book Antiqua" w:cs="Book Antiqua"/>
          <w:color w:val="000000" w:themeColor="text1"/>
        </w:rPr>
        <w:t>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21404F" w14:textId="297B9D89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While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reconstruction,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arriving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translating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generally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</w:t>
      </w:r>
      <w:r w:rsidRPr="00185A78">
        <w:rPr>
          <w:rFonts w:ascii="Book Antiqua" w:eastAsia="Book Antiqua" w:hAnsi="Book Antiqua" w:cs="Book Antiqua"/>
          <w:color w:val="000000" w:themeColor="text1"/>
        </w:rPr>
        <w:t>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employed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outcomes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4EACE48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8C47F" w14:textId="065749B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DEEP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LEARNING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DRIVEN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COLORECTAL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LESION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</w:p>
    <w:p w14:paraId="5487D681" w14:textId="6B2086F5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[24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25</w:t>
      </w:r>
      <w:r w:rsidR="0084787F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84787F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beha</w:t>
      </w:r>
      <w:r w:rsidRPr="00185A78">
        <w:rPr>
          <w:rFonts w:ascii="Book Antiqua" w:eastAsia="Book Antiqua" w:hAnsi="Book Antiqua" w:cs="Book Antiqua"/>
          <w:color w:val="000000" w:themeColor="text1"/>
        </w:rPr>
        <w:t>vior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construction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plays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ailments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85A78">
        <w:rPr>
          <w:rFonts w:ascii="Book Antiqua" w:eastAsia="Book Antiqua" w:hAnsi="Book Antiqua" w:cs="Book Antiqua"/>
          <w:color w:val="000000" w:themeColor="text1"/>
        </w:rPr>
        <w:t>heart,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cervical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84787F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benign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superior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changes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5-mm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smaller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successfully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captured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magnifying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25859DDB" w14:textId="1F9EFF33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high-resolution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fluorescence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</w:t>
      </w:r>
      <w:r w:rsidRPr="00185A78">
        <w:rPr>
          <w:rFonts w:ascii="Book Antiqua" w:eastAsia="Book Antiqua" w:hAnsi="Book Antiqua" w:cs="Book Antiqua"/>
          <w:color w:val="000000" w:themeColor="text1"/>
        </w:rPr>
        <w:t>doscopy</w:t>
      </w:r>
      <w:r w:rsidR="0084787F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available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exploit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technologies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34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doctors'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9C193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missed</w:t>
      </w:r>
      <w:r w:rsidR="009C193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cases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3E2E06E3" w14:textId="77777777" w:rsidR="000F07EE" w:rsidRPr="00185A78" w:rsidRDefault="000F07EE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12059A53" w14:textId="6C6F550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detection</w:t>
      </w:r>
    </w:p>
    <w:p w14:paraId="48697C07" w14:textId="76CF9BE1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become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number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inexperienced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balance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physicians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Corley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association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</w:t>
      </w:r>
      <w:r w:rsidRPr="00185A78">
        <w:rPr>
          <w:rFonts w:ascii="Book Antiqua" w:eastAsia="Book Antiqua" w:hAnsi="Book Antiqua" w:cs="Book Antiqua"/>
          <w:color w:val="000000" w:themeColor="text1"/>
        </w:rPr>
        <w:t>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cancer-related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concluded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negatively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</w:t>
      </w:r>
      <w:r w:rsidRPr="00185A78">
        <w:rPr>
          <w:rFonts w:ascii="Book Antiqua" w:eastAsia="Book Antiqua" w:hAnsi="Book Antiqua" w:cs="Book Antiqua"/>
          <w:color w:val="000000" w:themeColor="text1"/>
        </w:rPr>
        <w:t>stitial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interphase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interphase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advantages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examination.</w:t>
      </w:r>
    </w:p>
    <w:p w14:paraId="62AAFF11" w14:textId="1BD79357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investigate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have been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continuousl</w:t>
      </w:r>
      <w:r w:rsidRPr="00185A78">
        <w:rPr>
          <w:rFonts w:ascii="Book Antiqua" w:eastAsia="Book Antiqua" w:hAnsi="Book Antiqua" w:cs="Book Antiqua"/>
          <w:color w:val="000000" w:themeColor="text1"/>
        </w:rPr>
        <w:t>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numerous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literature.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Karkanis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wavelet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97%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breakthrough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Misawa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94%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false-positive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verifies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retrospective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confirmed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803D46" w14:textId="2DE9E506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Previous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group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8641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4088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unique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approximately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%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Japan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EndoBrain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vessels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structure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probability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instant,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dyes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membrane,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routine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Yamada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15933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4784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79.0%,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87.0%,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83.9%,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respectively.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effectiveness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demonstrated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randomized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compared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group,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blind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(5.68%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22.46%,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&lt;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0.001).</w:t>
      </w:r>
    </w:p>
    <w:p w14:paraId="6FAFBB6E" w14:textId="1681ABD0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continuous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condition.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shortcomings,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enough,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enough,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subject,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Therefore,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randomized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directly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surveillance-associated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surveillance-unassociated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lymphatic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aggregates).</w:t>
      </w:r>
    </w:p>
    <w:p w14:paraId="5FBDC0E6" w14:textId="77777777" w:rsidR="000F07EE" w:rsidRPr="00185A78" w:rsidRDefault="000F07EE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43B655E2" w14:textId="537A154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detection</w:t>
      </w:r>
    </w:p>
    <w:p w14:paraId="7E42BEB3" w14:textId="3B8C67F6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Among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mucosal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degree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ulcerative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colitis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ulcerative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colitis-related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intraepithelial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neoplasia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represented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principle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similar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microscopy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</w:t>
      </w:r>
      <w:r w:rsidRPr="00185A78">
        <w:rPr>
          <w:rFonts w:ascii="Book Antiqua" w:eastAsia="Book Antiqua" w:hAnsi="Book Antiqua" w:cs="Book Antiqua"/>
          <w:color w:val="000000" w:themeColor="text1"/>
        </w:rPr>
        <w:t>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professional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knowledge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operators.</w:t>
      </w:r>
    </w:p>
    <w:p w14:paraId="78859FA2" w14:textId="77FD04C9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Although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depends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professional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knowledge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mainly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sorting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sorting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</w:t>
      </w:r>
      <w:r w:rsidR="00A86B09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outputting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Although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outstanding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achievements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Tamaki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[47]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samp</w:t>
      </w:r>
      <w:r w:rsidRPr="00185A78">
        <w:rPr>
          <w:rFonts w:ascii="Book Antiqua" w:eastAsia="Book Antiqua" w:hAnsi="Book Antiqua" w:cs="Book Antiqua"/>
          <w:color w:val="000000" w:themeColor="text1"/>
        </w:rPr>
        <w:t>ling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56A9">
        <w:rPr>
          <w:rFonts w:ascii="Book Antiqua" w:eastAsia="Book Antiqua" w:hAnsi="Book Antiqua" w:cs="Book Antiqua"/>
          <w:color w:val="000000" w:themeColor="text1"/>
        </w:rPr>
        <w:t>narrow band imaging (</w:t>
      </w:r>
      <w:r w:rsidR="009A56A9"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9A56A9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achieve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10-fold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validation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908</w:t>
      </w:r>
      <w:r w:rsidR="009A56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actual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colonoscopies,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93%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separate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Japanese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scholars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relevant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c</w:t>
      </w:r>
      <w:r w:rsidR="00A86B09">
        <w:rPr>
          <w:rFonts w:ascii="Book Antiqua" w:eastAsia="Book Antiqua" w:hAnsi="Book Antiqua" w:cs="Book Antiqua"/>
          <w:color w:val="000000" w:themeColor="text1"/>
        </w:rPr>
        <w:t>T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1b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81.2%,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equivalent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judgment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skill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assistant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created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autonomous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autonomous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possible.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benign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80.8%.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correctly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92.0%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malignant-premalignant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93.0%.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implementations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classifier’s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Zachariah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demonstrated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C1936">
        <w:rPr>
          <w:rFonts w:ascii="Book Antiqua" w:eastAsia="Book Antiqua" w:hAnsi="Book Antiqua" w:cs="Book Antiqua"/>
          <w:i/>
          <w:color w:val="000000" w:themeColor="text1"/>
        </w:rPr>
        <w:t>in</w:t>
      </w:r>
      <w:r w:rsidR="00C2537A" w:rsidRPr="009C193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C1936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Their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PIVI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"resect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discard"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"diagnose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leave"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strategies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independent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Point-of-care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recommendations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benefits.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Shahidi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description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arbitration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discordant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occur.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577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(89.6%)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discordant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(90.3%)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those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mucosa,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(90.9%)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</w:p>
    <w:p w14:paraId="3DB193BA" w14:textId="2C504FB6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</w:t>
      </w:r>
      <w:r w:rsidRPr="00185A78">
        <w:rPr>
          <w:rFonts w:ascii="Book Antiqua" w:eastAsia="Book Antiqua" w:hAnsi="Book Antiqua" w:cs="Book Antiqua"/>
          <w:color w:val="000000" w:themeColor="text1"/>
        </w:rPr>
        <w:t>veal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course,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limitations,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02F8">
        <w:rPr>
          <w:rFonts w:ascii="Book Antiqua" w:eastAsia="Book Antiqua" w:hAnsi="Book Antiqua" w:cs="Book Antiqua"/>
          <w:color w:val="000000" w:themeColor="text1"/>
        </w:rPr>
        <w:t>i</w:t>
      </w:r>
      <w:r w:rsidR="007802F8" w:rsidRPr="00185A78">
        <w:rPr>
          <w:rFonts w:ascii="Book Antiqua" w:eastAsia="Book Antiqua" w:hAnsi="Book Antiqua" w:cs="Book Antiqua"/>
          <w:color w:val="000000" w:themeColor="text1"/>
        </w:rPr>
        <w:t>nadequate</w:t>
      </w:r>
      <w:r w:rsidR="007802F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sizes,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color w:val="000000" w:themeColor="text1"/>
        </w:rPr>
        <w:t>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differences,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hardware,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</w:t>
      </w:r>
      <w:r w:rsidRPr="00185A78">
        <w:rPr>
          <w:rFonts w:ascii="Book Antiqua" w:eastAsia="Book Antiqua" w:hAnsi="Book Antiqua" w:cs="Book Antiqua"/>
          <w:color w:val="000000" w:themeColor="text1"/>
        </w:rPr>
        <w:t>thms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multicenter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cross-validations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joint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essential.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requires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lack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progress.</w:t>
      </w:r>
    </w:p>
    <w:p w14:paraId="607D1565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AAA0D4" w14:textId="7777777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EF17AF5" w14:textId="200EC9D1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science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workload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clinicians.</w:t>
      </w:r>
    </w:p>
    <w:p w14:paraId="77D70D82" w14:textId="49688F9E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benefit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stratification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prostate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ultrasound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relevant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advantages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determine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construct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three-dimensional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guide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CADx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estimation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Kubota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[55]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CADx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7802F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</w:t>
      </w:r>
      <w:r w:rsidRPr="00185A78">
        <w:rPr>
          <w:rFonts w:ascii="Book Antiqua" w:eastAsia="Book Antiqua" w:hAnsi="Book Antiqua" w:cs="Book Antiqua"/>
          <w:color w:val="000000" w:themeColor="text1"/>
        </w:rPr>
        <w:t>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determine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whether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lymph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metastasis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bronchoscope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>
        <w:rPr>
          <w:rFonts w:ascii="Book Antiqua" w:eastAsia="Book Antiqua" w:hAnsi="Book Antiqua" w:cs="Book Antiqua"/>
          <w:color w:val="000000" w:themeColor="text1"/>
        </w:rPr>
        <w:t xml:space="preserve">can be developed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</w:t>
      </w:r>
      <w:r w:rsidRPr="00185A78">
        <w:rPr>
          <w:rFonts w:ascii="Book Antiqua" w:eastAsia="Book Antiqua" w:hAnsi="Book Antiqua" w:cs="Book Antiqua"/>
          <w:color w:val="000000" w:themeColor="text1"/>
        </w:rPr>
        <w:t>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strategy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Stap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flexible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framework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concentration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colonoscope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[59]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Perhaps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similar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Vinci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example,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soft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replace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transanal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materials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materials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efficiency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follow-up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</w:t>
      </w:r>
      <w:r w:rsidRPr="00185A78">
        <w:rPr>
          <w:rFonts w:ascii="Book Antiqua" w:eastAsia="Book Antiqua" w:hAnsi="Book Antiqua" w:cs="Book Antiqua"/>
          <w:color w:val="000000" w:themeColor="text1"/>
        </w:rPr>
        <w:t>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[60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C2537A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4).</w:t>
      </w:r>
    </w:p>
    <w:p w14:paraId="09CA582F" w14:textId="099A7DE0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Visual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excellent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superiority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resolving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popularization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75A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4775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survival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rates.</w:t>
      </w:r>
    </w:p>
    <w:p w14:paraId="5556ABE3" w14:textId="77777777" w:rsidR="000F07EE" w:rsidRPr="00185A78" w:rsidRDefault="000F07E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032BCC" w14:textId="102E253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CB3F153" w14:textId="5B515A9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24"/>
      <w:r w:rsidRPr="00185A78">
        <w:rPr>
          <w:rFonts w:ascii="Book Antiqua" w:eastAsia="Book Antiqua" w:hAnsi="Book Antiqua" w:cs="Book Antiqua"/>
          <w:color w:val="000000" w:themeColor="text1"/>
        </w:rPr>
        <w:t>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Beilmann-Lehtonen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Böckelman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Mustonen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Koskensalo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Hagström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Haglund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tissue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TLR2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TLR4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Virchows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477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705-715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32424768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10.1007/s00428-020-02833-5]</w:t>
      </w:r>
    </w:p>
    <w:p w14:paraId="2E3DCA2E" w14:textId="6E3E24A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Jemal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statistics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115-132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26808342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10.3322/caac.21338]</w:t>
      </w:r>
    </w:p>
    <w:p w14:paraId="13821610" w14:textId="52F9929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Courtney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Paul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Carey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Sanson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-Fisher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Macrae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D'Este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Barker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Simmons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population-based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cross-sectional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first-degree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23305355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10.1186/1471-2407-13-13]</w:t>
      </w:r>
    </w:p>
    <w:p w14:paraId="00952501" w14:textId="4C598D4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Siegel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RL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Miller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Fedewa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Ahnen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Meester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RGS,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Barzi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Jemal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statistics,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177-193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28248415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10.3322/caac.21395]</w:t>
      </w:r>
    </w:p>
    <w:p w14:paraId="74B94BE3" w14:textId="0671996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="000F07EE" w:rsidRPr="00185A7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Fenzi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Yingxiangxue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83-86</w:t>
      </w:r>
    </w:p>
    <w:p w14:paraId="03A129F9" w14:textId="4766C36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Beam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Kohane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healthcare.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719-731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31015651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10.1038/s41551-018-0305-z]</w:t>
      </w:r>
    </w:p>
    <w:p w14:paraId="58D3E0B1" w14:textId="630A391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1B638E" w:rsidRPr="00185A78">
        <w:rPr>
          <w:rFonts w:ascii="Book Antiqua" w:eastAsia="Book Antiqua" w:hAnsi="Book Antiqua" w:cs="Book Antiqua"/>
          <w:b/>
          <w:bCs/>
          <w:color w:val="000000" w:themeColor="text1"/>
        </w:rPr>
        <w:t>zj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Jisuanji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Yingyong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Yanjiu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2806-2810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10.3969/j.issn.1001-3695.2012.08.002]</w:t>
      </w:r>
    </w:p>
    <w:p w14:paraId="535FB8B9" w14:textId="5841A0B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G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Discussion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Zhineng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Xitong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Xuebao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10.11992/tis.201808019]</w:t>
      </w:r>
    </w:p>
    <w:p w14:paraId="1A3E638E" w14:textId="6D7B170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Hopfield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JJ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physical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emergent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abilities.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Natl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U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79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2554-2558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6953413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10.1073/pnas.79.8.2554]</w:t>
      </w:r>
    </w:p>
    <w:p w14:paraId="667E09F6" w14:textId="575CD1D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Hinton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Osindero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YW.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belief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1527-1554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16764513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10.1162/neco.2006.18.7.1527]</w:t>
      </w:r>
    </w:p>
    <w:p w14:paraId="0C51183C" w14:textId="56B5323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JW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Tafe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Linnik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Vaickus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Tomita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Hassanpour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patterns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slides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3358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30833650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10.1038/s41598-019-40041-7]</w:t>
      </w:r>
    </w:p>
    <w:p w14:paraId="1E1B5E8F" w14:textId="0E05ED2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Nogues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Mollura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Characteristics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Transfer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1285-1298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26886976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10.1109/TMI.2016.2528162</w:t>
      </w:r>
      <w:r w:rsidRPr="00185A78">
        <w:rPr>
          <w:rFonts w:ascii="Book Antiqua" w:eastAsia="Book Antiqua" w:hAnsi="Book Antiqua" w:cs="Book Antiqua"/>
          <w:color w:val="000000" w:themeColor="text1"/>
        </w:rPr>
        <w:t>]</w:t>
      </w:r>
    </w:p>
    <w:p w14:paraId="1B076699" w14:textId="0EA383F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="00D11B4B" w:rsidRPr="00185A7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Pang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2033" w:rsidRPr="00185A78">
        <w:rPr>
          <w:rFonts w:ascii="Book Antiqua" w:eastAsia="Book Antiqua" w:hAnsi="Book Antiqua" w:cs="Book Antiqua"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LM,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W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Shengming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Kexue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Yiqi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47-56</w:t>
      </w:r>
    </w:p>
    <w:p w14:paraId="05F7BC79" w14:textId="24D4F0D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Waibel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Hanazawa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Hinton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Shikano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Phoneme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time-delay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Acoust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="009B2033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328-339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10.1109/29.21701]</w:t>
      </w:r>
    </w:p>
    <w:p w14:paraId="0C062CFA" w14:textId="464ACA7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Boser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Denker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Henderson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Hubbard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Backpropagation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handwritten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zip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4A27" w:rsidRPr="00185A78">
        <w:rPr>
          <w:rFonts w:ascii="Book Antiqua" w:eastAsia="Book Antiqua" w:hAnsi="Book Antiqua" w:cs="Book Antiqua"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F14A27"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541-551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10.1162/neco.1989.1.4.541]</w:t>
      </w:r>
    </w:p>
    <w:p w14:paraId="63F81D14" w14:textId="0E795C5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Bottou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Gradient-based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color w:val="000000" w:themeColor="text1"/>
        </w:rPr>
        <w:t>Proc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Inst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Electr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Electron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1998;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86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2278-2324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10.1109/5.726791]</w:t>
      </w:r>
    </w:p>
    <w:p w14:paraId="40807330" w14:textId="2E78CAE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Simard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Steinkraus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Platt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International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&amp;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 w:rsidRP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Computer</w:t>
      </w:r>
      <w:r w:rsidR="00C2537A" w:rsidRP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Society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10.1109/ICDAR.2003.1227801]</w:t>
      </w:r>
    </w:p>
    <w:p w14:paraId="1ACFD9FF" w14:textId="6429003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Garcia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Delakis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finder: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Pattern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Mach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Intell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1408-1423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15521490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10.1109/tpami.2004.97]</w:t>
      </w:r>
    </w:p>
    <w:p w14:paraId="32EAD225" w14:textId="7ED2662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Abdel-Hamid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Mohamed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IEEE/ACM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</w:t>
      </w:r>
      <w:r w:rsidR="00966940" w:rsidRPr="00185A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Aud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="00757C1A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1533-1545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10.1109/TASLP.2014.2339736]</w:t>
      </w:r>
    </w:p>
    <w:p w14:paraId="758CAC5B" w14:textId="72F552E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Yasaka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Akai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Kunimatsu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Kiryu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257-272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29498017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10.1007/s11604-018-0726-3]</w:t>
      </w:r>
    </w:p>
    <w:p w14:paraId="30BD13E0" w14:textId="17B5EFB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Moradzadeh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Chapman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Larson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Langlotz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Amrhein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Lungren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MP.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Free-Text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Reports.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286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845-852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29135365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10.1148/radiol.2017171115]</w:t>
      </w:r>
    </w:p>
    <w:p w14:paraId="60B032BE" w14:textId="3F65169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Yamashita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Nishio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RKG,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Togashi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Insights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611-629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29934920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10.1007/s13244-018-0639-9]</w:t>
      </w:r>
    </w:p>
    <w:p w14:paraId="62978FF8" w14:textId="6878BC8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Mustaqeem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Kwon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Audio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Emotion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31905692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10.3390/s20010183]</w:t>
      </w:r>
    </w:p>
    <w:p w14:paraId="6B7AFAFA" w14:textId="0F1DE8D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YX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SR-CNN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30513898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10.3390/s18124237]</w:t>
      </w:r>
    </w:p>
    <w:p w14:paraId="67FB3983" w14:textId="0CF2602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25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Qiu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FQ.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C2D-CNN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Decision-Level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Fusion.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29958478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10.3390/s18072080]</w:t>
      </w:r>
    </w:p>
    <w:p w14:paraId="2BDA37A0" w14:textId="3990546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Kankanhalli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attention-based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hybrid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CNN-RNN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sEMG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gesture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e0206049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30376567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10.1371/journal.pone.0206049]</w:t>
      </w:r>
    </w:p>
    <w:p w14:paraId="6D94B137" w14:textId="1D401F4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Laukamp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Thiele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Shakirin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Zopfs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Faymonville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Timmer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Maintz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Perkuhn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Borggrefe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meningiomas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routine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multiparametric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MRI.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124-132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29943184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10.1007/s00330-018-5595-8]</w:t>
      </w:r>
    </w:p>
    <w:p w14:paraId="7C5F7EBE" w14:textId="4F53411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Spuhler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Serrano-Sosa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Moriarty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radiomic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Magn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Reson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786-795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30957936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10.1002/mrm.27758]</w:t>
      </w:r>
    </w:p>
    <w:p w14:paraId="768E3149" w14:textId="3031853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Azuaje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oncology: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beyond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stratification.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NPJ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Precis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</w:t>
      </w:r>
      <w:r w:rsidR="0061730D" w:rsidRPr="00185A78">
        <w:rPr>
          <w:rFonts w:ascii="Book Antiqua" w:eastAsia="Book Antiqua" w:hAnsi="Book Antiqua" w:cs="Book Antiqua"/>
          <w:color w:val="000000" w:themeColor="text1"/>
        </w:rPr>
        <w:t>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730D" w:rsidRPr="00185A78">
        <w:rPr>
          <w:rFonts w:ascii="Book Antiqua" w:eastAsia="Book Antiqua" w:hAnsi="Book Antiqua" w:cs="Book Antiqua"/>
          <w:color w:val="000000" w:themeColor="text1"/>
        </w:rPr>
        <w:t>30820462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10.1038/s41698-019-0078-1]</w:t>
      </w:r>
    </w:p>
    <w:p w14:paraId="4805BDDF" w14:textId="68A9ABB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Sánchez-González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García-Zapirain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Sierra-Sosa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Elmaghraby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contour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region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100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152-164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30015012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10.1016/j.compbiomed.2018.07.002]</w:t>
      </w:r>
    </w:p>
    <w:p w14:paraId="1F51F3B3" w14:textId="202E0CF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Haygood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Galvan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Bassett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Murphy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Matamoros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Marom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response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pulmonary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nodules.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20130767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24697724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10.1259/bjr.20130767]</w:t>
      </w:r>
    </w:p>
    <w:p w14:paraId="25FECBC8" w14:textId="17C9EC4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Committee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Dayyeh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Konda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Wallace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Rex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Chauhan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Komanduri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Manfredi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Murad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Siddiqui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Banerjee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Committee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meta-analysis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PIVI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adopting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diminutive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502.e1-502.e16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25597420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10.1016/j.gie.2014.12.022]</w:t>
      </w:r>
    </w:p>
    <w:p w14:paraId="3ADC8283" w14:textId="7437FF7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Tajbakhsh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Gurudu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Comprehensive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Inf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Process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327-338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26221684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10.1007/978-3-319-19992-4_25]</w:t>
      </w:r>
    </w:p>
    <w:p w14:paraId="3887A0AD" w14:textId="62D6DD0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HF.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high-resolution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micro-endoscopy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1869-1876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26855546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10.3748/wjg.v22.i5.1869]</w:t>
      </w:r>
    </w:p>
    <w:p w14:paraId="462BD275" w14:textId="22B8910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Mizrahi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Wexner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fluorescence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-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Expert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Devices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75-82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27899040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10.1080/17434440.2017.1265444]</w:t>
      </w:r>
    </w:p>
    <w:p w14:paraId="1A35A288" w14:textId="41C430F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Uedo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Aso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Shimizu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Saito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Image-enhanced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Evidences.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295-306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29210900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10.1097/MCG.0000000000000960]</w:t>
      </w:r>
    </w:p>
    <w:p w14:paraId="16A8EE96" w14:textId="461E04D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Song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Weichagn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552-556</w:t>
      </w:r>
    </w:p>
    <w:p w14:paraId="69D5A64A" w14:textId="616B062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RM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CTC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interpretation: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245-257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20451814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10.1016/j.giec.2010.02.004]</w:t>
      </w:r>
    </w:p>
    <w:p w14:paraId="44594EC2" w14:textId="7B162DA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Corley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Doubeni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370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24963577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10.1056/NEJMc1405329]</w:t>
      </w:r>
    </w:p>
    <w:p w14:paraId="312F3534" w14:textId="44ABE1B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Karkanis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Iakovidis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Maroulis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Karras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Tzivras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wavelet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Inf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Technol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141-152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14518727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10.1109/titb.2003.813794]</w:t>
      </w:r>
    </w:p>
    <w:p w14:paraId="7B18E5BA" w14:textId="050EB93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Misawa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Kataoka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Yamauchi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Ogawa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Takeda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Ichimasa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Nakamura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Yagawa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Toyoshima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Ogata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Hisayuki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Hayashi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Wakamura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Baba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Itoh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Initial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Experience.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2027-2029.e3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29653147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10.1053/j.gastro.2018.04.003]</w:t>
      </w:r>
    </w:p>
    <w:p w14:paraId="0532089C" w14:textId="231804B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Urban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Tripathi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Alkayali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Mittal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Jalali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Karnes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Baldi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Localizes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1069-1078.e8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29928897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10.1053/j.gastro.2018.06.037]</w:t>
      </w:r>
    </w:p>
    <w:p w14:paraId="6B80FBD8" w14:textId="4A5C0E0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endocytoscope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Dig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52-53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29658647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10.1111/den.13005]</w:t>
      </w:r>
    </w:p>
    <w:p w14:paraId="4E4A8FFE" w14:textId="09D0E62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Yamada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Niikura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Otani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Aoki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Koike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neoplasia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wireless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capsule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32947623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10.1055/a-1266-1066]</w:t>
      </w:r>
    </w:p>
    <w:p w14:paraId="1D82ED4D" w14:textId="657E35E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WISENSE,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monitoring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blind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spots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esophagogastroduodenoscopy.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2161-2169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30858305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10.1136/gutjnl-2018-317366]</w:t>
      </w:r>
    </w:p>
    <w:p w14:paraId="42D65746" w14:textId="77B9B4E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46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Li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Y</w:t>
      </w:r>
      <w:r w:rsidR="00BE0A93" w:rsidRPr="00185A7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Q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biopsy.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In: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2012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China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Academic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Conference;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2012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Sep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20;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Shanghai,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China.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Beijing: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Chinese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Association,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2012: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E0A93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40-41</w:t>
      </w:r>
    </w:p>
    <w:p w14:paraId="33DEEA07" w14:textId="58474BD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Tamaki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Yoshimuta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Kawakami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Raytchev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Kaneda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Yoshida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Takemura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Onji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Miyaki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Tanaka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78-100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23085199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10.1016/j.media.2012.08.003]</w:t>
      </w:r>
    </w:p>
    <w:p w14:paraId="09C4E0F8" w14:textId="7AA968C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Ito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Kawahira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Nakashima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Uesato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Miyauchi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Matsubara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cT1b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44-50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30130758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10.1159/000491636]</w:t>
      </w:r>
    </w:p>
    <w:p w14:paraId="60F73613" w14:textId="315076E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49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Dunham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McWhorter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Adkins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Airway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Laryngoscope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32343434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10.1002/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lary</w:t>
      </w:r>
      <w:r w:rsidRPr="00185A78">
        <w:rPr>
          <w:rFonts w:ascii="Book Antiqua" w:eastAsia="Book Antiqua" w:hAnsi="Book Antiqua" w:cs="Book Antiqua"/>
          <w:color w:val="000000" w:themeColor="text1"/>
        </w:rPr>
        <w:t>.28708]</w:t>
      </w:r>
    </w:p>
    <w:p w14:paraId="06E268A6" w14:textId="6025A57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Zachariah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Samarasena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Luba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Requa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Ninh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Karnes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"Resect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Discard"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115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138-144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31651444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10.14309/ajg.0000000000000429]</w:t>
      </w:r>
    </w:p>
    <w:p w14:paraId="36D55171" w14:textId="6A1ECBA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Shahidi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Rex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Kaltenbach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Rastogi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Ghalehjegh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Byrne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MF.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Impression,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Interpretation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Resolve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Discrepancies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Diminutive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783-785.e1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31863741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10.1053/j.gastro.2019.10.024]</w:t>
      </w:r>
    </w:p>
    <w:p w14:paraId="30A22B2D" w14:textId="62D8985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Seeruttun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RH.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upper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case-control,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1645-1654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31591062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10.1016/S1470-2045(19)30637-0]</w:t>
      </w:r>
    </w:p>
    <w:p w14:paraId="585F2FFE" w14:textId="049D791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Robertson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Azizpour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Smith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Hartman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Digital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pathology-from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194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19-35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29175265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10.1016/j.trsl.2017.10.010]</w:t>
      </w:r>
    </w:p>
    <w:p w14:paraId="56C10A86" w14:textId="04ABA2E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b/>
          <w:bCs/>
          <w:color w:val="000000" w:themeColor="text1"/>
        </w:rPr>
        <w:t>Yoon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Kim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Kim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color w:val="000000" w:themeColor="text1"/>
        </w:rPr>
        <w:t>Keum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Cha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</w:t>
      </w:r>
      <w:r w:rsidRPr="00185A78">
        <w:rPr>
          <w:rFonts w:ascii="Book Antiqua" w:eastAsia="Book Antiqua" w:hAnsi="Book Antiqua" w:cs="Book Antiqua"/>
          <w:color w:val="000000" w:themeColor="text1"/>
        </w:rPr>
        <w:t>H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DH,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Park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color w:val="000000" w:themeColor="text1"/>
        </w:rPr>
        <w:t>Youn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YH,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Park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H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Sa1235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preliminary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AB176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10.1016/j.gie.2018.04.273]</w:t>
      </w:r>
    </w:p>
    <w:p w14:paraId="46BD9C0F" w14:textId="419AF6A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Kubota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Kuroda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Yoshida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Ohta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Kitajima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1485</w:t>
      </w:r>
      <w:r w:rsidR="00C2537A">
        <w:rPr>
          <w:rFonts w:ascii="Book Antiqua" w:eastAsia="Book Antiqua" w:hAnsi="Book Antiqua" w:cs="Book Antiqua"/>
          <w:color w:val="000000" w:themeColor="text1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</w:rPr>
        <w:t>1389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10.1007/s00464-011-2036-z]</w:t>
      </w:r>
    </w:p>
    <w:p w14:paraId="7318BC12" w14:textId="43A151D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b/>
          <w:bCs/>
          <w:color w:val="000000" w:themeColor="text1"/>
        </w:rPr>
        <w:t>Ichimasa</w:t>
      </w:r>
      <w:proofErr w:type="spellEnd"/>
      <w:r w:rsidR="00C2537A">
        <w:rPr>
          <w:rFonts w:ascii="Book Antiqua" w:hAnsi="Book Antiqua"/>
          <w:b/>
          <w:bCs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b/>
          <w:bCs/>
          <w:color w:val="000000" w:themeColor="text1"/>
        </w:rPr>
        <w:t>K</w:t>
      </w:r>
      <w:r w:rsidR="00B97E9E" w:rsidRPr="00185A78">
        <w:rPr>
          <w:rFonts w:ascii="Book Antiqua" w:hAnsi="Book Antiqua"/>
          <w:color w:val="000000" w:themeColor="text1"/>
        </w:rPr>
        <w:t>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Kudo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SE,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Mori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Misawa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Matsudaira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Kouyama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Baba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Hidaka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E,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Wakamura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Hayashi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Kudo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Ishigaki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Yagawa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Nakamura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Takeda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Haji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lastRenderedPageBreak/>
        <w:t>A,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Hamatani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Mori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Ishida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F,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Miyachi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H.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Artificial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intelligence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may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help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in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predicting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the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need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for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additional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surgery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after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endoscopic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resection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of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T1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colorectal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cancer.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i/>
          <w:iCs/>
          <w:color w:val="000000" w:themeColor="text1"/>
        </w:rPr>
        <w:t>Endoscopy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2018;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b/>
          <w:bCs/>
          <w:color w:val="000000" w:themeColor="text1"/>
        </w:rPr>
        <w:t>50</w:t>
      </w:r>
      <w:r w:rsidR="00B97E9E" w:rsidRPr="00185A78">
        <w:rPr>
          <w:rFonts w:ascii="Book Antiqua" w:hAnsi="Book Antiqua"/>
          <w:color w:val="000000" w:themeColor="text1"/>
        </w:rPr>
        <w:t>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230-240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[PMID: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29272905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DOI: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10.1055/s-0043-122385]</w:t>
      </w:r>
    </w:p>
    <w:p w14:paraId="16F3E977" w14:textId="09B8E97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57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Luo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X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Kitasaka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Bronchoscopy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beyond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Electromagnetic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Tracking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Systems: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Novel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Bronchoscope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Tracking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Prototype.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In: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proofErr w:type="spellStart"/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Fichtinger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G.,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Martel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A.,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Peters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editors.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Computing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Computer-Assisted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Intervention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–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MICCAI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2011.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MICCAI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2011.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Lecture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Notes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Science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Heidelberg: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Springer</w:t>
      </w:r>
      <w:r w:rsidR="00B97E9E"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2011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  <w:highlight w:val="yellow"/>
        </w:rPr>
        <w:t>10.1007/978-3-642-23623-5_25]</w:t>
      </w:r>
    </w:p>
    <w:p w14:paraId="26503580" w14:textId="1CB99D0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Stap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Rozeboom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Pullens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Heijden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Broeders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centralization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Assist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457-465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26450108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10.1007/s11548-015-1301-3]</w:t>
      </w:r>
    </w:p>
    <w:p w14:paraId="6E213CF9" w14:textId="249EA65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Pullens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Stap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Rozeboom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Schwartz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Heijden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Oijen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Siersema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Broeders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lumen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centralization: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286-290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26126158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10.1055/s-0034-1392550]</w:t>
      </w:r>
    </w:p>
    <w:p w14:paraId="0C2D159F" w14:textId="4F2DEAC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60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Mishra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108-109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26896278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10.1016/j.ihj.2016.01.009]</w:t>
      </w:r>
    </w:p>
    <w:p w14:paraId="38A31D4C" w14:textId="16B8435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61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medicine-how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next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generation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wireless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reconstruct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healthcare?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Precis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205-208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31886033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pcmedi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/pbz020]</w:t>
      </w:r>
    </w:p>
    <w:bookmarkEnd w:id="3"/>
    <w:p w14:paraId="1DAA2C5D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27E7200" w14:textId="77777777" w:rsidR="00C2537A" w:rsidRDefault="00C2537A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  <w:sectPr w:rsidR="00C25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EC9BC" w14:textId="1EF180F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D8DEF31" w14:textId="1F9E19F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declare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conflicts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regarding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paper.</w:t>
      </w:r>
    </w:p>
    <w:p w14:paraId="191DDFA1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18D923" w14:textId="23624C2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open-access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in-house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editor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peer-reviewed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external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reviewers.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distributed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Creative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Attribution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BY-NC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4.0)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license,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permits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distribute,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remix,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adapt,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build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upon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license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their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derivative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original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properly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cited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non-commercial.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See: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164EEFA8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4CAEA2" w14:textId="0A24061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Unsolicited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31D47C4E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B19520" w14:textId="7C5002A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1AB2CFD5" w14:textId="5E9980C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58DBE4BC" w14:textId="0FB712A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6E2EFA5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103D45" w14:textId="0F08459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Oncology</w:t>
      </w:r>
    </w:p>
    <w:p w14:paraId="490B5FF9" w14:textId="691F408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546DC07A" w14:textId="0D4C3B9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17DED2D" w14:textId="4959CD0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(Excellent):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27009D8F" w14:textId="658FD98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5DA931FE" w14:textId="4FE4353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(Good):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</w:t>
      </w:r>
    </w:p>
    <w:p w14:paraId="3EEFBC35" w14:textId="5E1A28B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(Fair):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</w:p>
    <w:p w14:paraId="0E141C6B" w14:textId="557C6A1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(Poor):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3492DC36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8EC4DF" w14:textId="3AD78C7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Muneer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Shafqat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W</w:t>
      </w:r>
      <w:r w:rsidR="00185A78" w:rsidRPr="00185A78">
        <w:rPr>
          <w:rFonts w:ascii="Book Antiqua" w:eastAsia="宋体" w:hAnsi="Book Antiqua" w:cs="宋体"/>
          <w:color w:val="000000" w:themeColor="text1"/>
          <w:lang w:eastAsia="zh-CN"/>
        </w:rPr>
        <w:t>ang</w:t>
      </w:r>
      <w:r w:rsidR="00C2537A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185A78" w:rsidRPr="00185A78">
        <w:rPr>
          <w:rFonts w:ascii="Book Antiqua" w:eastAsia="宋体" w:hAnsi="Book Antiqua" w:cs="宋体"/>
          <w:color w:val="000000" w:themeColor="text1"/>
          <w:lang w:eastAsia="zh-CN"/>
        </w:rPr>
        <w:t>JL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L-Edit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267BE" w:rsidRPr="009C1936">
        <w:rPr>
          <w:rFonts w:ascii="Book Antiqua" w:eastAsia="Book Antiqua" w:hAnsi="Book Antiqua" w:cs="Book Antiqua"/>
          <w:color w:val="000000" w:themeColor="text1"/>
        </w:rPr>
        <w:t>Wang TQ</w:t>
      </w:r>
      <w:r w:rsidR="000267B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P-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Editor: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07631C8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18EAD77" w14:textId="560DAEC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0CED7DB0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15DAD1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114300" distR="114300" wp14:anchorId="38448BFE" wp14:editId="38BB6E49">
            <wp:extent cx="5186045" cy="1792605"/>
            <wp:effectExtent l="0" t="0" r="20955" b="10795"/>
            <wp:docPr id="7" name="图片 7" descr="屏幕快照 2020-07-02 下午12.54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屏幕快照 2020-07-02 下午12.54.4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1585" b="14012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8C7E" w14:textId="45B3D0C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Phase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description.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810B4BB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5581D2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0" distR="0" wp14:anchorId="175FC0AE" wp14:editId="4F6F814B">
            <wp:extent cx="5248910" cy="30302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7900C" w14:textId="6479103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network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0DF5ECFB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6E43D4D9" w14:textId="583EC940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114300" distR="114300" wp14:anchorId="7BBB91BC" wp14:editId="65D2D24E">
            <wp:extent cx="5273675" cy="1746885"/>
            <wp:effectExtent l="0" t="0" r="9525" b="5715"/>
            <wp:docPr id="2" name="图片 2" descr="屏幕快照 2020-07-08 下午1.31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快照 2020-07-08 下午1.31.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E0C5" w14:textId="6ED6F9F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lesions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0BAB5798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FDEF6F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114300" distR="114300" wp14:anchorId="3FAC31F7" wp14:editId="4C059763">
            <wp:extent cx="5267960" cy="1704975"/>
            <wp:effectExtent l="0" t="0" r="15240" b="22225"/>
            <wp:docPr id="5" name="图片 5" descr="屏幕快照 2020-07-02 下午1.00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屏幕快照 2020-07-02 下午1.00.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9645" b="735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1985" w14:textId="77E855D2" w:rsid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directions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26C0013A" w14:textId="77777777" w:rsidR="00C2537A" w:rsidRDefault="00C2537A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C25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21254" w14:textId="1B9B44B5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1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Summary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important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studies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c</w:t>
      </w:r>
      <w:bookmarkStart w:id="4" w:name="_GoBack"/>
      <w:r w:rsidRPr="00185A78">
        <w:rPr>
          <w:rFonts w:ascii="Book Antiqua" w:eastAsia="宋体" w:hAnsi="Book Antiqua"/>
          <w:b/>
          <w:bCs/>
          <w:color w:val="000000" w:themeColor="text1"/>
        </w:rPr>
        <w:t>omputer-aided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endoscopic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colorectal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lesion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detection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686"/>
        <w:gridCol w:w="2054"/>
        <w:gridCol w:w="2817"/>
      </w:tblGrid>
      <w:tr w:rsidR="00185A78" w:rsidRPr="00185A78" w14:paraId="71D00E55" w14:textId="77777777" w:rsidTr="007D5F9D"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66480052" w14:textId="474521E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Ref.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</w:tcPr>
          <w:p w14:paraId="734126D9" w14:textId="270A2BBD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Methods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data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257C439A" w14:textId="4F69AC6F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Important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14:paraId="2B3A2CA9" w14:textId="6C46E13F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Limitation</w:t>
            </w:r>
            <w:r w:rsidR="00C2537A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drawback</w:t>
            </w:r>
          </w:p>
        </w:tc>
      </w:tr>
      <w:tr w:rsidR="00185A78" w:rsidRPr="00185A78" w14:paraId="135B2F07" w14:textId="77777777" w:rsidTr="007D5F9D">
        <w:trPr>
          <w:trHeight w:val="567"/>
        </w:trPr>
        <w:tc>
          <w:tcPr>
            <w:tcW w:w="963" w:type="pct"/>
            <w:tcBorders>
              <w:top w:val="single" w:sz="4" w:space="0" w:color="auto"/>
            </w:tcBorders>
          </w:tcPr>
          <w:p w14:paraId="2BBBBA50" w14:textId="3AEDA145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Karkanis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[40]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2003</w:t>
            </w:r>
          </w:p>
        </w:tc>
        <w:tc>
          <w:tcPr>
            <w:tcW w:w="1435" w:type="pct"/>
            <w:tcBorders>
              <w:top w:val="single" w:sz="4" w:space="0" w:color="auto"/>
            </w:tcBorders>
          </w:tcPr>
          <w:p w14:paraId="5BE750D9" w14:textId="7A33D00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tumor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wavelet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covariance,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support</w:t>
            </w:r>
            <w:r w:rsidR="000267BE">
              <w:rPr>
                <w:rFonts w:ascii="Book Antiqua" w:eastAsia="宋体" w:hAnsi="Book Antiqua" w:cs="Times New Roman" w:hint="default"/>
                <w:color w:val="000000" w:themeColor="text1"/>
              </w:rPr>
              <w:t>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linear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discriminant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66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patients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  <w:tc>
          <w:tcPr>
            <w:tcW w:w="1097" w:type="pct"/>
            <w:tcBorders>
              <w:top w:val="single" w:sz="4" w:space="0" w:color="auto"/>
            </w:tcBorders>
          </w:tcPr>
          <w:p w14:paraId="5415811A" w14:textId="596F4E0B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5806AE57" w14:textId="1C45A4A2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enough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stable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classify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different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types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</w:tr>
      <w:tr w:rsidR="00185A78" w:rsidRPr="00185A78" w14:paraId="1BF750DD" w14:textId="77777777" w:rsidTr="007D5F9D">
        <w:trPr>
          <w:trHeight w:val="1385"/>
        </w:trPr>
        <w:tc>
          <w:tcPr>
            <w:tcW w:w="963" w:type="pct"/>
          </w:tcPr>
          <w:p w14:paraId="0F69D1E5" w14:textId="1F54C0A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Misawa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[41]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69A60539" w14:textId="497789B5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AI-assisted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CADe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155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polyp-positive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391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polyp-negative</w:t>
            </w:r>
          </w:p>
        </w:tc>
        <w:tc>
          <w:tcPr>
            <w:tcW w:w="1097" w:type="pct"/>
          </w:tcPr>
          <w:p w14:paraId="21233D0B" w14:textId="7E9F2223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63.3%,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76.5%</w:t>
            </w:r>
          </w:p>
        </w:tc>
        <w:tc>
          <w:tcPr>
            <w:tcW w:w="1505" w:type="pct"/>
          </w:tcPr>
          <w:p w14:paraId="5FE98099" w14:textId="15A7C89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Further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machine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evaluation</w:t>
            </w:r>
            <w:r w:rsidR="000267BE">
              <w:rPr>
                <w:rFonts w:ascii="Book Antiqua" w:eastAsia="宋体" w:hAnsi="Book Antiqua" w:cs="Times New Roman" w:hint="default"/>
                <w:color w:val="000000" w:themeColor="text1"/>
              </w:rPr>
              <w:t>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are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mandatory</w:t>
            </w:r>
          </w:p>
        </w:tc>
      </w:tr>
      <w:tr w:rsidR="00185A78" w:rsidRPr="00185A78" w14:paraId="6E9E30D0" w14:textId="77777777" w:rsidTr="007D5F9D">
        <w:trPr>
          <w:trHeight w:val="567"/>
        </w:trPr>
        <w:tc>
          <w:tcPr>
            <w:tcW w:w="963" w:type="pct"/>
          </w:tcPr>
          <w:p w14:paraId="06F27AE6" w14:textId="6C1A5498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Urban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[42]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1F617A56" w14:textId="66798E0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CNNs;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8641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hand-labeled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4088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unique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  <w:tc>
          <w:tcPr>
            <w:tcW w:w="1097" w:type="pct"/>
          </w:tcPr>
          <w:p w14:paraId="61BFBC17" w14:textId="4CA91602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0.991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96.4%</w:t>
            </w:r>
          </w:p>
        </w:tc>
        <w:tc>
          <w:tcPr>
            <w:tcW w:w="1505" w:type="pct"/>
          </w:tcPr>
          <w:p w14:paraId="139FA589" w14:textId="1B360FA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Unknown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effects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inspection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behavior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colonoscopists</w:t>
            </w:r>
            <w:proofErr w:type="spellEnd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anonymous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unidentified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natural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videos</w:t>
            </w:r>
          </w:p>
        </w:tc>
      </w:tr>
      <w:tr w:rsidR="00185A78" w:rsidRPr="00185A78" w14:paraId="6512FEF8" w14:textId="77777777" w:rsidTr="007D5F9D">
        <w:trPr>
          <w:trHeight w:val="567"/>
        </w:trPr>
        <w:tc>
          <w:tcPr>
            <w:tcW w:w="963" w:type="pct"/>
          </w:tcPr>
          <w:p w14:paraId="7B7808BE" w14:textId="1CA0058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Mori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[43]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46F44D12" w14:textId="6BD5CB1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analysis: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machine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144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diminutive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(≤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mm)</w:t>
            </w:r>
          </w:p>
        </w:tc>
        <w:tc>
          <w:tcPr>
            <w:tcW w:w="1097" w:type="pct"/>
          </w:tcPr>
          <w:p w14:paraId="253D82AF" w14:textId="5BC36408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98%,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71%,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81%,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positive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67%,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negative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98%</w:t>
            </w:r>
          </w:p>
        </w:tc>
        <w:tc>
          <w:tcPr>
            <w:tcW w:w="1505" w:type="pct"/>
          </w:tcPr>
          <w:p w14:paraId="43CB3091" w14:textId="6308E0B9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Insufficient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</w:p>
        </w:tc>
      </w:tr>
      <w:tr w:rsidR="00185A78" w:rsidRPr="00185A78" w14:paraId="365C4BED" w14:textId="77777777" w:rsidTr="007D5F9D">
        <w:trPr>
          <w:trHeight w:val="567"/>
        </w:trPr>
        <w:tc>
          <w:tcPr>
            <w:tcW w:w="963" w:type="pct"/>
          </w:tcPr>
          <w:p w14:paraId="1FD0432D" w14:textId="07596AE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Yamada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[44]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435" w:type="pct"/>
          </w:tcPr>
          <w:p w14:paraId="13ADD929" w14:textId="163AFD71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analysis: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driven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Single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Shot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Multibox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capsule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15933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training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4784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</w:p>
        </w:tc>
        <w:tc>
          <w:tcPr>
            <w:tcW w:w="1097" w:type="pct"/>
          </w:tcPr>
          <w:p w14:paraId="0F70BC22" w14:textId="67C86D1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0.902,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79.0%,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87.0%,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83.9%,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probability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cutoff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0.348</w:t>
            </w:r>
          </w:p>
        </w:tc>
        <w:tc>
          <w:tcPr>
            <w:tcW w:w="1505" w:type="pct"/>
          </w:tcPr>
          <w:p w14:paraId="72EE2DB4" w14:textId="0FD6441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study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only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selected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while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also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consider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clinical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utility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model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been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evaluated</w:t>
            </w:r>
          </w:p>
        </w:tc>
      </w:tr>
    </w:tbl>
    <w:p w14:paraId="6E3E8DB0" w14:textId="570E274E" w:rsidR="00185A78" w:rsidRPr="007D5F9D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CNN: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宋体" w:hAnsi="Book Antiqua"/>
          <w:color w:val="000000" w:themeColor="text1"/>
        </w:rPr>
        <w:t>AUC</w:t>
      </w:r>
      <w:r w:rsidR="007D5F9D">
        <w:rPr>
          <w:rFonts w:ascii="Book Antiqua" w:eastAsia="宋体" w:hAnsi="Book Antiqua"/>
          <w:color w:val="000000" w:themeColor="text1"/>
        </w:rPr>
        <w:t>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Area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under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the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 w:rsidRPr="007D5F9D">
        <w:rPr>
          <w:rFonts w:ascii="Book Antiqua" w:eastAsia="宋体" w:hAnsi="Book Antiqua"/>
          <w:color w:val="000000" w:themeColor="text1"/>
        </w:rPr>
        <w:t>curve</w:t>
      </w:r>
      <w:r w:rsidR="007D5F9D">
        <w:rPr>
          <w:rFonts w:ascii="Book Antiqua" w:eastAsia="宋体" w:hAnsi="Book Antiqua"/>
          <w:color w:val="000000" w:themeColor="text1"/>
        </w:rPr>
        <w:t>.</w:t>
      </w:r>
    </w:p>
    <w:p w14:paraId="17DE7A92" w14:textId="77777777" w:rsidR="007D5F9D" w:rsidRDefault="007D5F9D" w:rsidP="007D5F9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</w:p>
    <w:p w14:paraId="70CE8A4D" w14:textId="65070625" w:rsidR="00185A78" w:rsidRPr="007D5F9D" w:rsidRDefault="007D5F9D" w:rsidP="007D5F9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宋体" w:hAnsi="Book Antiqua"/>
          <w:color w:val="000000" w:themeColor="text1"/>
        </w:rPr>
        <w:br w:type="page"/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2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Important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studies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computer-aided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pathological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prediction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colorectal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lesions</w:t>
      </w:r>
    </w:p>
    <w:tbl>
      <w:tblPr>
        <w:tblStyle w:val="a6"/>
        <w:tblpPr w:leftFromText="180" w:rightFromText="180" w:vertAnchor="text" w:horzAnchor="margin" w:tblpY="9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2552"/>
        <w:gridCol w:w="2553"/>
        <w:gridCol w:w="2920"/>
      </w:tblGrid>
      <w:tr w:rsidR="006B3BF9" w:rsidRPr="00185A78" w14:paraId="691BB874" w14:textId="77777777" w:rsidTr="006B3BF9"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1A8357BD" w14:textId="4762052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Ref.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14:paraId="3BC99AEB" w14:textId="7243007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Methods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data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</w:tcPr>
          <w:p w14:paraId="4048F81F" w14:textId="4F9C9436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Important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14:paraId="4A63936E" w14:textId="7A9FAAD8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Limitation</w:t>
            </w:r>
            <w:r w:rsidR="00C2537A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drawback</w:t>
            </w:r>
          </w:p>
        </w:tc>
      </w:tr>
      <w:tr w:rsidR="006B3BF9" w:rsidRPr="00185A78" w14:paraId="08BC7F4F" w14:textId="77777777" w:rsidTr="006B3BF9">
        <w:trPr>
          <w:trHeight w:val="567"/>
        </w:trPr>
        <w:tc>
          <w:tcPr>
            <w:tcW w:w="713" w:type="pct"/>
            <w:tcBorders>
              <w:top w:val="single" w:sz="4" w:space="0" w:color="auto"/>
            </w:tcBorders>
          </w:tcPr>
          <w:p w14:paraId="38FE252C" w14:textId="541B3597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Tamaki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[47]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2013</w:t>
            </w: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08E4E7D9" w14:textId="75FABF56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new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combination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local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features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sampling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908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NBI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</w:p>
        </w:tc>
        <w:tc>
          <w:tcPr>
            <w:tcW w:w="1364" w:type="pct"/>
            <w:tcBorders>
              <w:top w:val="single" w:sz="4" w:space="0" w:color="auto"/>
            </w:tcBorders>
          </w:tcPr>
          <w:p w14:paraId="509F21A9" w14:textId="59B226F2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recognition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96%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10-fold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cross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validation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93%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separate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</w:p>
        </w:tc>
        <w:tc>
          <w:tcPr>
            <w:tcW w:w="1560" w:type="pct"/>
            <w:tcBorders>
              <w:top w:val="single" w:sz="4" w:space="0" w:color="auto"/>
            </w:tcBorders>
          </w:tcPr>
          <w:p w14:paraId="03DB2238" w14:textId="7BC9ACF4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Without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investigation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robustness,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blur,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focus,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window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size,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bleeding,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="00AD424E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and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highlight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areas</w:t>
            </w:r>
          </w:p>
        </w:tc>
      </w:tr>
      <w:tr w:rsidR="006B3BF9" w:rsidRPr="00185A78" w14:paraId="2765E18F" w14:textId="77777777" w:rsidTr="006B3BF9">
        <w:trPr>
          <w:trHeight w:val="567"/>
        </w:trPr>
        <w:tc>
          <w:tcPr>
            <w:tcW w:w="713" w:type="pct"/>
          </w:tcPr>
          <w:p w14:paraId="61026913" w14:textId="4D1942F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Ito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[48]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363" w:type="pct"/>
          </w:tcPr>
          <w:p w14:paraId="3485E933" w14:textId="0F960D73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AlexNet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 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cT1b,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190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from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cases</w:t>
            </w:r>
          </w:p>
        </w:tc>
        <w:tc>
          <w:tcPr>
            <w:tcW w:w="1364" w:type="pct"/>
          </w:tcPr>
          <w:p w14:paraId="10502791" w14:textId="70BBBFC0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67.5%,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89.0%,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81.2%,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0.871</w:t>
            </w:r>
          </w:p>
        </w:tc>
        <w:tc>
          <w:tcPr>
            <w:tcW w:w="1560" w:type="pct"/>
          </w:tcPr>
          <w:p w14:paraId="6E0A9793" w14:textId="5E396939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Insufficient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build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</w:p>
        </w:tc>
      </w:tr>
      <w:tr w:rsidR="006B3BF9" w:rsidRPr="00185A78" w14:paraId="18B499DF" w14:textId="77777777" w:rsidTr="006B3BF9">
        <w:trPr>
          <w:trHeight w:val="567"/>
        </w:trPr>
        <w:tc>
          <w:tcPr>
            <w:tcW w:w="713" w:type="pct"/>
          </w:tcPr>
          <w:p w14:paraId="0DEDFCFA" w14:textId="36D9E052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Zachariah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[50]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363" w:type="pct"/>
          </w:tcPr>
          <w:p w14:paraId="7E0EC7AD" w14:textId="32CB64FA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model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TensorFlow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ImageNet,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6223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train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20%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processing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77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frames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second</w:t>
            </w:r>
          </w:p>
        </w:tc>
        <w:tc>
          <w:tcPr>
            <w:tcW w:w="1364" w:type="pct"/>
          </w:tcPr>
          <w:p w14:paraId="180F3548" w14:textId="3FD64B88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Negative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among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diminutive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rectum/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rectosigmoid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surveillance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interval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93%.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fresh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validation,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NPV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surveillance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interval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94%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</w:p>
        </w:tc>
        <w:tc>
          <w:tcPr>
            <w:tcW w:w="1560" w:type="pct"/>
          </w:tcPr>
          <w:p w14:paraId="1A7BC155" w14:textId="03A99459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study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offline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</w:p>
        </w:tc>
      </w:tr>
      <w:tr w:rsidR="006B3BF9" w:rsidRPr="00185A78" w14:paraId="071F1FEE" w14:textId="77777777" w:rsidTr="006B3BF9">
        <w:trPr>
          <w:trHeight w:val="567"/>
        </w:trPr>
        <w:tc>
          <w:tcPr>
            <w:tcW w:w="713" w:type="pct"/>
          </w:tcPr>
          <w:p w14:paraId="35C7CC11" w14:textId="6D19188A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Shahidi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[51]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363" w:type="pct"/>
          </w:tcPr>
          <w:p w14:paraId="4CEC683D" w14:textId="03AB8083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established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real-time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clinical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decision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support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solution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resolve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discrepancies,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644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≤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mm</w:t>
            </w:r>
          </w:p>
        </w:tc>
        <w:tc>
          <w:tcPr>
            <w:tcW w:w="1364" w:type="pct"/>
          </w:tcPr>
          <w:p w14:paraId="2467D19D" w14:textId="231F2640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CDSS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consistent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diagnosis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577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(89.6%)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</w:p>
        </w:tc>
        <w:tc>
          <w:tcPr>
            <w:tcW w:w="1560" w:type="pct"/>
          </w:tcPr>
          <w:p w14:paraId="3DE14BA0" w14:textId="7538AAD7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Inevitable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CDSS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optimization,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given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increasingly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development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current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platforms,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manifesting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AI’s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ability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adapt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increasing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exposure</w:t>
            </w:r>
          </w:p>
        </w:tc>
      </w:tr>
    </w:tbl>
    <w:p w14:paraId="5C2EEDA7" w14:textId="5A2CD255" w:rsidR="006B3BF9" w:rsidRPr="007D5F9D" w:rsidRDefault="006B3BF9" w:rsidP="006B3BF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CNN: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color w:val="000000" w:themeColor="text1"/>
        </w:rPr>
        <w:t>AUC</w:t>
      </w:r>
      <w:r>
        <w:rPr>
          <w:rFonts w:ascii="Book Antiqua" w:eastAsia="宋体" w:hAnsi="Book Antiqua"/>
          <w:color w:val="000000" w:themeColor="text1"/>
        </w:rPr>
        <w:t>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Area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under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the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7D5F9D">
        <w:rPr>
          <w:rFonts w:ascii="Book Antiqua" w:eastAsia="宋体" w:hAnsi="Book Antiqua"/>
          <w:color w:val="000000" w:themeColor="text1"/>
        </w:rPr>
        <w:t>curve</w:t>
      </w:r>
      <w:r>
        <w:rPr>
          <w:rFonts w:ascii="Book Antiqua" w:eastAsia="宋体" w:hAnsi="Book Antiqua"/>
          <w:color w:val="000000" w:themeColor="text1"/>
        </w:rPr>
        <w:t>;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CDSS: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Clinical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decision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support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system</w:t>
      </w:r>
      <w:r>
        <w:rPr>
          <w:rFonts w:ascii="Book Antiqua" w:eastAsia="宋体" w:hAnsi="Book Antiqua"/>
          <w:color w:val="000000" w:themeColor="text1"/>
        </w:rPr>
        <w:t>.</w:t>
      </w:r>
    </w:p>
    <w:bookmarkEnd w:id="4"/>
    <w:p w14:paraId="32398FCE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sectPr w:rsidR="00185A78" w:rsidRPr="0018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BA0CA" w14:textId="77777777" w:rsidR="00510B78" w:rsidRDefault="00510B78" w:rsidP="003F307C">
      <w:r>
        <w:separator/>
      </w:r>
    </w:p>
  </w:endnote>
  <w:endnote w:type="continuationSeparator" w:id="0">
    <w:p w14:paraId="5C586D12" w14:textId="77777777" w:rsidR="00510B78" w:rsidRDefault="00510B78" w:rsidP="003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15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E21692" w14:textId="4CD83711" w:rsidR="00405736" w:rsidRDefault="0040573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36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36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78B1C" w14:textId="77777777" w:rsidR="00405736" w:rsidRDefault="00405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948B" w14:textId="77777777" w:rsidR="00510B78" w:rsidRDefault="00510B78" w:rsidP="003F307C">
      <w:r>
        <w:separator/>
      </w:r>
    </w:p>
  </w:footnote>
  <w:footnote w:type="continuationSeparator" w:id="0">
    <w:p w14:paraId="71EACBEB" w14:textId="77777777" w:rsidR="00510B78" w:rsidRDefault="00510B78" w:rsidP="003F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67BE"/>
    <w:rsid w:val="00053F1A"/>
    <w:rsid w:val="00064417"/>
    <w:rsid w:val="000B6E92"/>
    <w:rsid w:val="000F07EE"/>
    <w:rsid w:val="00145A08"/>
    <w:rsid w:val="00185A78"/>
    <w:rsid w:val="0018722C"/>
    <w:rsid w:val="001B638E"/>
    <w:rsid w:val="00246F64"/>
    <w:rsid w:val="002A01E1"/>
    <w:rsid w:val="002A3210"/>
    <w:rsid w:val="003C5BD7"/>
    <w:rsid w:val="003F307C"/>
    <w:rsid w:val="00405736"/>
    <w:rsid w:val="004260B2"/>
    <w:rsid w:val="00452656"/>
    <w:rsid w:val="00466813"/>
    <w:rsid w:val="004775A6"/>
    <w:rsid w:val="00510B78"/>
    <w:rsid w:val="006002F5"/>
    <w:rsid w:val="0061730D"/>
    <w:rsid w:val="00645D86"/>
    <w:rsid w:val="006B3BF9"/>
    <w:rsid w:val="006F6E7F"/>
    <w:rsid w:val="007463FD"/>
    <w:rsid w:val="00757C1A"/>
    <w:rsid w:val="007802F8"/>
    <w:rsid w:val="007A3745"/>
    <w:rsid w:val="007D5F9D"/>
    <w:rsid w:val="007F6BC7"/>
    <w:rsid w:val="00810C35"/>
    <w:rsid w:val="00822A59"/>
    <w:rsid w:val="00847809"/>
    <w:rsid w:val="0084787F"/>
    <w:rsid w:val="00876FF7"/>
    <w:rsid w:val="00966940"/>
    <w:rsid w:val="009A56A9"/>
    <w:rsid w:val="009B2033"/>
    <w:rsid w:val="009C1936"/>
    <w:rsid w:val="00A56E46"/>
    <w:rsid w:val="00A658CD"/>
    <w:rsid w:val="00A77B3E"/>
    <w:rsid w:val="00A86B09"/>
    <w:rsid w:val="00AA3DBD"/>
    <w:rsid w:val="00AD424E"/>
    <w:rsid w:val="00B97E9E"/>
    <w:rsid w:val="00BE0A93"/>
    <w:rsid w:val="00BF5769"/>
    <w:rsid w:val="00C2537A"/>
    <w:rsid w:val="00C335A7"/>
    <w:rsid w:val="00C44696"/>
    <w:rsid w:val="00CA2A55"/>
    <w:rsid w:val="00D11B4B"/>
    <w:rsid w:val="00D52A05"/>
    <w:rsid w:val="00DE60E2"/>
    <w:rsid w:val="00E061C5"/>
    <w:rsid w:val="00EC544A"/>
    <w:rsid w:val="00EF58D4"/>
    <w:rsid w:val="00F02168"/>
    <w:rsid w:val="00F14A27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700E2"/>
  <w15:docId w15:val="{82B4D42F-B2CA-4048-BD79-3D7B49C8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7C"/>
    <w:rPr>
      <w:sz w:val="18"/>
      <w:szCs w:val="18"/>
    </w:rPr>
  </w:style>
  <w:style w:type="character" w:styleId="a5">
    <w:name w:val="Strong"/>
    <w:basedOn w:val="a0"/>
    <w:uiPriority w:val="22"/>
    <w:qFormat/>
    <w:rsid w:val="00B97E9E"/>
    <w:rPr>
      <w:b/>
      <w:bCs/>
    </w:rPr>
  </w:style>
  <w:style w:type="table" w:styleId="a6">
    <w:name w:val="Table Grid"/>
    <w:basedOn w:val="a1"/>
    <w:rsid w:val="00185A78"/>
    <w:rPr>
      <w:rFonts w:ascii="等线" w:eastAsia="等线" w:hAnsi="等线" w:cstheme="minorBidi" w:hint="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9C193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C1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2021-08-23T03:29:00Z</dcterms:created>
  <dcterms:modified xsi:type="dcterms:W3CDTF">2021-08-23T03:35:00Z</dcterms:modified>
</cp:coreProperties>
</file>