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3453" w14:textId="235DABDE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7D65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7D65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7D65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59044F09" w14:textId="7539197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68661</w:t>
      </w:r>
    </w:p>
    <w:p w14:paraId="1558E1EA" w14:textId="68120EDB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ORIGINAL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ARTICLE</w:t>
      </w:r>
    </w:p>
    <w:p w14:paraId="0DDF9917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00BAFB" w14:textId="1CF931E0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Trials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75120ECA" w14:textId="0DD5D06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lobaplatin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b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cancer</w:t>
      </w:r>
    </w:p>
    <w:p w14:paraId="50CE52E5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4EEA3E" w14:textId="13DA2D3F" w:rsidR="00A77B3E" w:rsidRPr="007416CE" w:rsidRDefault="008C7E11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Y</w:t>
      </w:r>
      <w:r w:rsidRPr="007416CE">
        <w:rPr>
          <w:rFonts w:ascii="Book Antiqua" w:eastAsia="宋体" w:hAnsi="Book Antiqua" w:cs="宋体"/>
          <w:color w:val="000000" w:themeColor="text1"/>
          <w:lang w:eastAsia="zh-CN"/>
        </w:rPr>
        <w:t>an</w:t>
      </w:r>
      <w:r w:rsidR="007D651C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 w:cs="宋体"/>
          <w:color w:val="000000" w:themeColor="text1"/>
          <w:lang w:eastAsia="zh-CN"/>
        </w:rPr>
        <w:t>MH</w:t>
      </w:r>
      <w:r w:rsidR="007D651C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et</w:t>
      </w:r>
      <w:r w:rsidR="007D651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al</w:t>
      </w:r>
      <w:r w:rsidRPr="007416CE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7D651C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cancer</w:t>
      </w:r>
    </w:p>
    <w:p w14:paraId="6C7D1833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1647E7" w14:textId="6A7B105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Mao-Hui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Bao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-Lin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Qu,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Bo-Ning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Xiang-Kun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</w:p>
    <w:p w14:paraId="489774C6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67AFFC" w14:textId="657AFD96" w:rsidR="00A77B3E" w:rsidRPr="007416CE" w:rsidRDefault="00CE494D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Mao-Hui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Yan,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Fang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Bao</w:t>
      </w:r>
      <w:proofErr w:type="spellEnd"/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-Lin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Qu,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C7E11" w:rsidRPr="007416CE">
        <w:rPr>
          <w:rFonts w:ascii="Book Antiqua" w:eastAsia="Book Antiqua" w:hAnsi="Book Antiqua" w:cs="Book Antiqua"/>
          <w:b/>
          <w:bCs/>
          <w:color w:val="000000" w:themeColor="text1"/>
        </w:rPr>
        <w:t>Bo-Ning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8C7E11" w:rsidRPr="007416CE">
        <w:rPr>
          <w:rFonts w:ascii="Book Antiqua" w:eastAsia="Book Antiqua" w:hAnsi="Book Antiqua" w:cs="Book Antiqua"/>
          <w:b/>
          <w:bCs/>
          <w:color w:val="000000" w:themeColor="text1"/>
        </w:rPr>
        <w:t>Cai</w:t>
      </w:r>
      <w:proofErr w:type="spellEnd"/>
      <w:r w:rsidR="008C7E11" w:rsidRPr="007416CE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Yu,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Xiang-Kun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Dai,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Department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Radiotherapy,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7E11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Medical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People's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Liberation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Army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(PLA)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General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Hospital,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Beijing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100853,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China</w:t>
      </w:r>
    </w:p>
    <w:p w14:paraId="6D8E6843" w14:textId="3DD944B9" w:rsidR="008C7E11" w:rsidRPr="007416CE" w:rsidRDefault="008C7E11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6D0690C" w14:textId="2684119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Qu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491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contributed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equally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</w:t>
      </w:r>
      <w:r w:rsidRPr="007416CE">
        <w:rPr>
          <w:rFonts w:ascii="Book Antiqua" w:eastAsia="Book Antiqua" w:hAnsi="Book Antiqua" w:cs="Book Antiqua"/>
          <w:color w:val="000000" w:themeColor="text1"/>
        </w:rPr>
        <w:t>k;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designed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Qu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research;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contributed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tools;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Qu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wrote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manuscript;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authors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</w:t>
      </w:r>
      <w:r w:rsidR="00D737F1">
        <w:rPr>
          <w:rFonts w:ascii="Book Antiqua" w:eastAsia="Book Antiqua" w:hAnsi="Book Antiqua" w:cs="Book Antiqua"/>
          <w:color w:val="000000" w:themeColor="text1"/>
        </w:rPr>
        <w:t>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fin</w:t>
      </w:r>
      <w:r w:rsidRPr="007416CE">
        <w:rPr>
          <w:rFonts w:ascii="Book Antiqua" w:eastAsia="Book Antiqua" w:hAnsi="Book Antiqua" w:cs="Book Antiqua"/>
          <w:color w:val="000000" w:themeColor="text1"/>
        </w:rPr>
        <w:t>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145ACDD3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96D0AB" w14:textId="3AC5A36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Fang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Department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People's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Liberation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Army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(PLA)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Hospital,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50FE" w:rsidRPr="007416CE">
        <w:rPr>
          <w:rFonts w:ascii="Book Antiqua" w:eastAsia="Book Antiqua" w:hAnsi="Book Antiqua" w:cs="Book Antiqua"/>
          <w:color w:val="000000" w:themeColor="text1"/>
        </w:rPr>
        <w:t>No.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28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Fuxing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Road,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Haidian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District,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Beijing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100853,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China.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liufangfsq@163.com</w:t>
      </w:r>
    </w:p>
    <w:p w14:paraId="06D03918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2B02B1" w14:textId="5ED1DE9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June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2021</w:t>
      </w:r>
    </w:p>
    <w:p w14:paraId="76132A3F" w14:textId="25106F1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Revised: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50FE" w:rsidRPr="007416CE">
        <w:rPr>
          <w:rFonts w:ascii="Book Antiqua" w:eastAsia="Book Antiqua" w:hAnsi="Book Antiqua" w:cs="Book Antiqua"/>
          <w:color w:val="000000" w:themeColor="text1"/>
        </w:rPr>
        <w:t>July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50FE" w:rsidRPr="007416CE">
        <w:rPr>
          <w:rFonts w:ascii="Book Antiqua" w:eastAsia="Book Antiqua" w:hAnsi="Book Antiqua" w:cs="Book Antiqua"/>
          <w:color w:val="000000" w:themeColor="text1"/>
        </w:rPr>
        <w:t>18,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50FE" w:rsidRPr="007416CE">
        <w:rPr>
          <w:rFonts w:ascii="Book Antiqua" w:eastAsia="Book Antiqua" w:hAnsi="Book Antiqua" w:cs="Book Antiqua"/>
          <w:color w:val="000000" w:themeColor="text1"/>
        </w:rPr>
        <w:t>2021</w:t>
      </w:r>
    </w:p>
    <w:p w14:paraId="5848AD18" w14:textId="45A2C72B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33"/>
      <w:bookmarkStart w:id="1" w:name="OLE_LINK48"/>
      <w:r w:rsidR="007D651C">
        <w:rPr>
          <w:rFonts w:ascii="Book Antiqua" w:eastAsia="宋体" w:hAnsi="Book Antiqua" w:hint="eastAsia"/>
          <w:color w:val="000000" w:themeColor="text1"/>
        </w:rPr>
        <w:t>Au</w:t>
      </w:r>
      <w:r w:rsidR="007D651C">
        <w:rPr>
          <w:rFonts w:ascii="Book Antiqua" w:eastAsia="宋体" w:hAnsi="Book Antiqua"/>
          <w:color w:val="000000" w:themeColor="text1"/>
        </w:rPr>
        <w:t>gust</w:t>
      </w:r>
      <w:r w:rsidR="007D651C" w:rsidRPr="00F06907">
        <w:rPr>
          <w:rFonts w:ascii="Book Antiqua" w:eastAsia="宋体" w:hAnsi="Book Antiqua"/>
          <w:color w:val="000000" w:themeColor="text1"/>
        </w:rPr>
        <w:t xml:space="preserve"> </w:t>
      </w:r>
      <w:r w:rsidR="007D651C">
        <w:rPr>
          <w:rFonts w:ascii="Book Antiqua" w:eastAsia="宋体" w:hAnsi="Book Antiqua"/>
          <w:color w:val="000000" w:themeColor="text1"/>
        </w:rPr>
        <w:t>23</w:t>
      </w:r>
      <w:r w:rsidR="007D651C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</w:p>
    <w:p w14:paraId="77255572" w14:textId="24C19C80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5DA3197" w14:textId="77777777" w:rsidR="005650FE" w:rsidRPr="007416CE" w:rsidRDefault="005650FE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7179B2F" w14:textId="77777777" w:rsidR="005650FE" w:rsidRPr="007416CE" w:rsidRDefault="005650FE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1E50CDE" w14:textId="0EAD3D5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7B2B87F9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A9956F0" w14:textId="06935160" w:rsidR="00022D15" w:rsidRPr="007416CE" w:rsidRDefault="00022D1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(ABP)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second-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higher-line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demonstrated.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55D7" w:rsidRPr="007416CE">
        <w:rPr>
          <w:rFonts w:ascii="Book Antiqua" w:eastAsia="Book Antiqua" w:hAnsi="Book Antiqua" w:cs="Book Antiqua"/>
          <w:color w:val="000000" w:themeColor="text1"/>
        </w:rPr>
        <w:t>Lobaplatin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55D7" w:rsidRPr="007416CE">
        <w:rPr>
          <w:rFonts w:ascii="Book Antiqua" w:eastAsia="Book Antiqua" w:hAnsi="Book Antiqua" w:cs="Book Antiqua"/>
          <w:color w:val="000000" w:themeColor="text1"/>
        </w:rPr>
        <w:t>(LBP)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third-generation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antitumor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lower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breast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small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chronic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granulocytic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leukemia.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role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warrants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investigations.</w:t>
      </w:r>
    </w:p>
    <w:p w14:paraId="022E564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B0F64D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AIM</w:t>
      </w:r>
    </w:p>
    <w:p w14:paraId="0DE5C244" w14:textId="6B3FAF4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55D7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(RCT)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25A7076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993CD4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METHODS</w:t>
      </w:r>
    </w:p>
    <w:p w14:paraId="6BBF624F" w14:textId="0136CF6E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pathologically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carcinoma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(ES</w:t>
      </w:r>
      <w:r w:rsidRPr="007416CE">
        <w:rPr>
          <w:rFonts w:ascii="Book Antiqua" w:eastAsia="Book Antiqua" w:hAnsi="Book Antiqua" w:cs="Book Antiqua"/>
          <w:color w:val="000000" w:themeColor="text1"/>
        </w:rPr>
        <w:t>CC)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7416CE">
        <w:rPr>
          <w:rFonts w:ascii="Book Antiqua" w:eastAsia="Book Antiqua" w:hAnsi="Book Antiqua" w:cs="Book Antiqua"/>
          <w:color w:val="000000" w:themeColor="text1"/>
        </w:rPr>
        <w:t>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hospital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enrolled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FE1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250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mg/m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ivgtt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d1,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LBP,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mg/m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ivgtt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</w:t>
      </w:r>
      <w:r w:rsidRPr="007416CE">
        <w:rPr>
          <w:rFonts w:ascii="Book Antiqua" w:eastAsia="Book Antiqua" w:hAnsi="Book Antiqua" w:cs="Book Antiqua"/>
          <w:color w:val="000000" w:themeColor="text1"/>
          <w:u w:color="000000"/>
        </w:rPr>
        <w:t>1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3 </w:t>
      </w:r>
      <w:r w:rsidRPr="007416CE">
        <w:rPr>
          <w:rFonts w:ascii="Book Antiqua" w:eastAsia="Book Antiqua" w:hAnsi="Book Antiqua" w:cs="Book Antiqua"/>
          <w:color w:val="000000" w:themeColor="text1"/>
        </w:rPr>
        <w:t>wk.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four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scheduled.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dose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56</w:t>
      </w:r>
      <w:r w:rsidR="001E5851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60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/28</w:t>
      </w:r>
      <w:r w:rsidR="001E5851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1D2E">
        <w:rPr>
          <w:rFonts w:ascii="Book Antiqua" w:eastAsia="Book Antiqua" w:hAnsi="Book Antiqua" w:cs="Book Antiqua"/>
          <w:color w:val="000000" w:themeColor="text1"/>
        </w:rPr>
        <w:t>f</w:t>
      </w:r>
      <w:r w:rsidR="007D1D2E">
        <w:rPr>
          <w:rFonts w:ascii="Book Antiqua" w:eastAsia="Book Antiqua" w:hAnsi="Book Antiqua" w:cs="Book Antiqua"/>
          <w:color w:val="000000" w:themeColor="text1"/>
        </w:rPr>
        <w:t>ractions</w:t>
      </w:r>
      <w:r w:rsidRPr="007D1D2E">
        <w:rPr>
          <w:rFonts w:ascii="Book Antiqua" w:eastAsia="Book Antiqua" w:hAnsi="Book Antiqua" w:cs="Book Antiqua"/>
          <w:color w:val="000000" w:themeColor="text1"/>
        </w:rPr>
        <w:t>,</w:t>
      </w:r>
      <w:r w:rsidR="007D651C" w:rsidRP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1D2E">
        <w:rPr>
          <w:rFonts w:ascii="Book Antiqua" w:eastAsia="Book Antiqua" w:hAnsi="Book Antiqua" w:cs="Book Antiqua"/>
          <w:color w:val="000000" w:themeColor="text1"/>
        </w:rPr>
        <w:t>1.8-2.0</w:t>
      </w:r>
      <w:r w:rsidR="007D651C" w:rsidRP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D1D2E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Pr="007D1D2E">
        <w:rPr>
          <w:rFonts w:ascii="Book Antiqua" w:eastAsia="Book Antiqua" w:hAnsi="Book Antiqua" w:cs="Book Antiqua"/>
          <w:color w:val="000000" w:themeColor="text1"/>
        </w:rPr>
        <w:t>/f</w:t>
      </w:r>
      <w:r w:rsidR="007D1D2E">
        <w:rPr>
          <w:rFonts w:ascii="Book Antiqua" w:eastAsia="Book Antiqua" w:hAnsi="Book Antiqua" w:cs="Book Antiqua"/>
          <w:color w:val="000000" w:themeColor="text1"/>
        </w:rPr>
        <w:t>raction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fractions/wk.</w:t>
      </w:r>
    </w:p>
    <w:p w14:paraId="282B73F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0CFA4A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RESULTS</w:t>
      </w:r>
    </w:p>
    <w:p w14:paraId="5AEAB2C3" w14:textId="5D413B62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objective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(ORR)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61.54%,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(DCR)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(PD)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11.54%;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76.92%,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DCR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11.54%.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2782" w:rsidRPr="007416CE">
        <w:rPr>
          <w:rFonts w:ascii="Book Antiqua" w:eastAsia="Book Antiqua" w:hAnsi="Book Antiqua" w:cs="Book Antiqua"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2782"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2B92"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2B92"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15.83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</w:t>
      </w:r>
      <w:r w:rsidRPr="007416CE">
        <w:rPr>
          <w:rFonts w:ascii="Book Antiqua" w:eastAsia="Book Antiqua" w:hAnsi="Book Antiqua" w:cs="Book Antiqua"/>
          <w:color w:val="000000" w:themeColor="text1"/>
        </w:rPr>
        <w:t>ysis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revealed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0.0024</w:t>
      </w:r>
      <w:r w:rsidRPr="007416CE">
        <w:rPr>
          <w:rFonts w:ascii="Book Antiqua" w:eastAsia="Book Antiqua" w:hAnsi="Book Antiqua" w:cs="Book Antiqua"/>
          <w:color w:val="000000" w:themeColor="text1"/>
        </w:rPr>
        <w:t>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tolerable,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(13.79%).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neutropenia,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8D8C06C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5AEA6B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0DFD606" w14:textId="08A73783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FE1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worthy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promotion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application.</w:t>
      </w:r>
    </w:p>
    <w:p w14:paraId="56228523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5A6B5B" w14:textId="57AEED8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carcinoma;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Esophagus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Radiotherapy</w:t>
      </w:r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474D12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4D12" w:rsidRPr="007416CE">
        <w:rPr>
          <w:rFonts w:ascii="Book Antiqua" w:eastAsia="Book Antiqua" w:hAnsi="Book Antiqua" w:cs="Book Antiqua"/>
          <w:bCs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74D12" w:rsidRPr="007416CE">
        <w:rPr>
          <w:rFonts w:ascii="Book Antiqua" w:eastAsia="Book Antiqua" w:hAnsi="Book Antiqua" w:cs="Book Antiqua"/>
          <w:bCs/>
          <w:color w:val="000000" w:themeColor="text1"/>
        </w:rPr>
        <w:t>paclitaxel;</w:t>
      </w:r>
      <w:r w:rsidR="007D651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74D12" w:rsidRPr="007416CE">
        <w:rPr>
          <w:rFonts w:ascii="Book Antiqua" w:eastAsia="Book Antiqua" w:hAnsi="Book Antiqua" w:cs="Book Antiqua"/>
          <w:bCs/>
          <w:color w:val="000000" w:themeColor="text1"/>
        </w:rPr>
        <w:t>Lobaplatin</w:t>
      </w:r>
    </w:p>
    <w:p w14:paraId="78D53B27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4B30BE" w14:textId="19D9C15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Qu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XK.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lobaplatin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2021;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press</w:t>
      </w:r>
    </w:p>
    <w:p w14:paraId="0A99C052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73AE5B" w14:textId="703F2890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ip: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737F1" w:rsidRPr="007416CE">
        <w:rPr>
          <w:rFonts w:ascii="Book Antiqua" w:eastAsia="Book Antiqua" w:hAnsi="Book Antiqua" w:cs="Book Antiqua"/>
          <w:color w:val="000000" w:themeColor="text1"/>
        </w:rPr>
        <w:t>T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his study aimed to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(ABP)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lobaplatin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(RCT)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lobaplatin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57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57"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57"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57" w:rsidRPr="007416CE">
        <w:rPr>
          <w:rFonts w:ascii="Book Antiqua" w:eastAsia="Book Antiqua" w:hAnsi="Book Antiqua" w:cs="Book Antiqua"/>
          <w:color w:val="000000" w:themeColor="text1"/>
        </w:rPr>
        <w:t>carcinoma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worthy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promotion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application.</w:t>
      </w:r>
    </w:p>
    <w:p w14:paraId="3BF4A51D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8C4927" w14:textId="77777777" w:rsidR="00F92557" w:rsidRPr="007416CE" w:rsidRDefault="00F92557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</w:p>
    <w:p w14:paraId="336F0B06" w14:textId="3785F17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11008B63" w14:textId="770DE4F9" w:rsidR="006C4DA8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forms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worldwide,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estimated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572000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509000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deaths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2018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[1,2]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type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carcinoma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(ESCC),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accounts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89%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</w:t>
      </w:r>
      <w:r w:rsidRPr="007416CE">
        <w:rPr>
          <w:rFonts w:ascii="Book Antiqua" w:eastAsia="Book Antiqua" w:hAnsi="Book Antiqua" w:cs="Book Antiqua"/>
          <w:color w:val="000000" w:themeColor="text1"/>
        </w:rPr>
        <w:t>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</w:t>
      </w:r>
      <w:r w:rsidRPr="007416CE">
        <w:rPr>
          <w:rFonts w:ascii="Book Antiqua" w:eastAsia="Book Antiqua" w:hAnsi="Book Antiqua" w:cs="Book Antiqua"/>
          <w:color w:val="000000" w:themeColor="text1"/>
        </w:rPr>
        <w:t>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</w:t>
      </w:r>
      <w:r w:rsidR="00C97AA1" w:rsidRPr="007416CE">
        <w:rPr>
          <w:rFonts w:ascii="Book Antiqua" w:eastAsia="Book Antiqua" w:hAnsi="Book Antiqua" w:cs="Book Antiqua"/>
          <w:color w:val="000000" w:themeColor="text1"/>
        </w:rPr>
        <w:t>%-</w:t>
      </w:r>
      <w:r w:rsidRPr="007416CE">
        <w:rPr>
          <w:rFonts w:ascii="Book Antiqua" w:eastAsia="Book Antiqua" w:hAnsi="Book Antiqua" w:cs="Book Antiqua"/>
          <w:color w:val="000000" w:themeColor="text1"/>
        </w:rPr>
        <w:t>30%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preferred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eligible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diagnosis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5,6]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chemoradiotherapy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yield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better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radiotherapy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7–9]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(RCT)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remains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mainstay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controversial.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explored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evaluated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multidisciplinary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still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standardized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COSMOS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</w:t>
      </w:r>
      <w:r w:rsidRPr="007416CE">
        <w:rPr>
          <w:rFonts w:ascii="Book Antiqua" w:eastAsia="Book Antiqua" w:hAnsi="Book Antiqua" w:cs="Book Antiqua"/>
          <w:color w:val="000000" w:themeColor="text1"/>
        </w:rPr>
        <w:t>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by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docetaxel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cisplatin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5-fluorouracil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(DCF)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67.9%,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randomized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JCOG1510</w:t>
      </w:r>
      <w:r w:rsidR="007D1D2E">
        <w:rPr>
          <w:rFonts w:ascii="Book Antiqua" w:eastAsia="Book Antiqua" w:hAnsi="Book Antiqua" w:cs="Book Antiqua"/>
          <w:color w:val="000000" w:themeColor="text1"/>
        </w:rPr>
        <w:t>)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</w:t>
      </w:r>
      <w:r w:rsidRPr="007416CE">
        <w:rPr>
          <w:rFonts w:ascii="Book Antiqua" w:eastAsia="Book Antiqua" w:hAnsi="Book Antiqua" w:cs="Book Antiqua"/>
          <w:color w:val="000000" w:themeColor="text1"/>
        </w:rPr>
        <w:t>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superior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terms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(OS)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carboplatin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standard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recommended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guidelines,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limited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taxanes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Nanoparticle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(nab)-paclitaxel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provide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benefits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currently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breast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pancreatic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melanoma.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years,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(ABP)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second-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higher-line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demonstrated.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Lobaplatin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96427" w:rsidRPr="007416CE">
        <w:rPr>
          <w:rFonts w:ascii="Book Antiqua" w:eastAsia="Book Antiqua" w:hAnsi="Book Antiqua" w:cs="Book Antiqua"/>
          <w:color w:val="000000" w:themeColor="text1"/>
        </w:rPr>
        <w:t>(LBP)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third-generation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antitumor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lower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breast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small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chronic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granulocytic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leukemia.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role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warrants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investigations.</w:t>
      </w:r>
    </w:p>
    <w:p w14:paraId="0A70C4C9" w14:textId="1B291BD9" w:rsidR="00A77B3E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conducted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prospective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96427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</w:p>
    <w:p w14:paraId="233A1A94" w14:textId="77777777" w:rsidR="00A77B3E" w:rsidRPr="007416CE" w:rsidRDefault="00A77B3E" w:rsidP="007416CE">
      <w:pPr>
        <w:adjustRightInd w:val="0"/>
        <w:snapToGrid w:val="0"/>
        <w:spacing w:line="360" w:lineRule="auto"/>
        <w:ind w:firstLine="420"/>
        <w:jc w:val="both"/>
        <w:rPr>
          <w:rFonts w:ascii="Book Antiqua" w:hAnsi="Book Antiqua"/>
          <w:color w:val="000000" w:themeColor="text1"/>
        </w:rPr>
      </w:pPr>
    </w:p>
    <w:p w14:paraId="071A6527" w14:textId="688BF70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7D65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7D65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1AA7444A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0C39F69A" w14:textId="3562399A" w:rsidR="003466F5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attending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hospital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according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criteri</w:t>
      </w:r>
      <w:r w:rsidRPr="007416CE">
        <w:rPr>
          <w:rFonts w:ascii="Book Antiqua" w:eastAsia="Book Antiqua" w:hAnsi="Book Antiqua" w:cs="Book Antiqua"/>
          <w:color w:val="000000" w:themeColor="text1"/>
        </w:rPr>
        <w:t>a: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698D" w:rsidRPr="007416CE">
        <w:rPr>
          <w:rFonts w:ascii="Book Antiqua" w:eastAsia="Book Antiqua" w:hAnsi="Book Antiqua" w:cs="Book Antiqua"/>
          <w:color w:val="000000" w:themeColor="text1"/>
        </w:rPr>
        <w:t>(1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atients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voluntarily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participated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good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compliance,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cooperate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requirements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observation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periods,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an </w:t>
      </w:r>
      <w:r w:rsidRPr="007416CE">
        <w:rPr>
          <w:rFonts w:ascii="Book Antiqua" w:eastAsia="Book Antiqua" w:hAnsi="Book Antiqua" w:cs="Book Antiqua"/>
          <w:color w:val="000000" w:themeColor="text1"/>
        </w:rPr>
        <w:t>informed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form;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698D" w:rsidRPr="007416CE">
        <w:rPr>
          <w:rFonts w:ascii="Book Antiqua" w:eastAsia="Book Antiqua" w:hAnsi="Book Antiqua" w:cs="Book Antiqua"/>
          <w:color w:val="000000" w:themeColor="text1"/>
        </w:rPr>
        <w:t>(2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histopathologically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III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IVA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anti-tumor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drugs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drug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specialized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anti-tumor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(3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[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computed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tomography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CT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imaging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modes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]</w:t>
      </w:r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(4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Eastern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Cooperative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Oncology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Group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indications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(5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who 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los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t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weight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(6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females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18</w:t>
      </w:r>
      <w:r w:rsidR="00026D65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76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years;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(7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laboratory-confirmed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marrow,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kidney</w:t>
      </w:r>
      <w:r w:rsidR="007D1D2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heart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functions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before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dose: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W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hite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blood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3000/µL,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absolute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neutrophil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1500/µL,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platelet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100000/µL,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hemoglobin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9.0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g/d</w:t>
      </w:r>
      <w:r w:rsidRPr="007416CE">
        <w:rPr>
          <w:rFonts w:ascii="Book Antiqua" w:eastAsia="Book Antiqua" w:hAnsi="Book Antiqua" w:cs="Book Antiqua"/>
          <w:color w:val="000000" w:themeColor="text1"/>
        </w:rPr>
        <w:t>L;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aspartate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aminotransferase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alanine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aminotransferase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upper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limit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normal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(ULN),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alkaline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phosphatase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</w:t>
      </w:r>
      <w:r w:rsidRPr="007416CE">
        <w:rPr>
          <w:rFonts w:ascii="Book Antiqua" w:eastAsia="Book Antiqua" w:hAnsi="Book Antiqua" w:cs="Book Antiqua"/>
          <w:color w:val="000000" w:themeColor="text1"/>
        </w:rPr>
        <w:t>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bil</w:t>
      </w:r>
      <w:r w:rsidRPr="007416CE">
        <w:rPr>
          <w:rFonts w:ascii="Book Antiqua" w:eastAsia="Book Antiqua" w:hAnsi="Book Antiqua" w:cs="Book Antiqua"/>
          <w:color w:val="000000" w:themeColor="text1"/>
        </w:rPr>
        <w:t>irubin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serum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creatinine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blood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urea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nitrogen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prothrombin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and/or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international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normalized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ratio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partial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thromboplastin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left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ventricular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ejection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fraction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assessed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Doppler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ultrasound,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electrocardiographic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findings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basically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normal;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5A76" w:rsidRPr="007416CE">
        <w:rPr>
          <w:rFonts w:ascii="Book Antiqua" w:eastAsia="Book Antiqua" w:hAnsi="Book Antiqua" w:cs="Book Antiqua"/>
          <w:color w:val="000000" w:themeColor="text1"/>
        </w:rPr>
        <w:t>(8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females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contraception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should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pregnant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lactating;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take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birth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3122C46" w14:textId="7517EF37" w:rsidR="00A77B3E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exclusion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criteri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(1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acute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infection,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purulent/chronic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infection,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protracted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healing;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(2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perforation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existing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possible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tracheoesophageal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fistula),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obvious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symptoms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multiple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(3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who had </w:t>
      </w:r>
      <w:r w:rsidRPr="007416CE">
        <w:rPr>
          <w:rFonts w:ascii="Book Antiqua" w:eastAsia="Book Antiqua" w:hAnsi="Book Antiqua" w:cs="Book Antiqua"/>
          <w:color w:val="000000" w:themeColor="text1"/>
        </w:rPr>
        <w:t>abnormal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coagulation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and/or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bleeding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tendency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peptic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ulcers)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ere </w:t>
      </w:r>
      <w:r w:rsidRPr="007416CE">
        <w:rPr>
          <w:rFonts w:ascii="Book Antiqua" w:eastAsia="Book Antiqua" w:hAnsi="Book Antiqua" w:cs="Book Antiqua"/>
          <w:color w:val="000000" w:themeColor="text1"/>
        </w:rPr>
        <w:t>receiving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thrombolytic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anticoagulant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(4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pre-existing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cardiac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C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ongestive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heart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failure,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uncontrollable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high-risk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arrhythmia,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unstable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angina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pectoris,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myocardial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infarction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6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heart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valve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hypertension;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(5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uncontrollable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neurological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psychiatric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mental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disorders;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poor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compliance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describe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their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(6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cirrhosis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and/or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insufficiency.</w:t>
      </w:r>
    </w:p>
    <w:p w14:paraId="2703CDF3" w14:textId="77777777" w:rsidR="003466F5" w:rsidRPr="007416CE" w:rsidRDefault="003466F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394782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Treatments</w:t>
      </w:r>
    </w:p>
    <w:p w14:paraId="2F79040B" w14:textId="55BDD538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</w:t>
      </w:r>
      <w:r w:rsidRPr="007416CE">
        <w:rPr>
          <w:rFonts w:ascii="Book Antiqua" w:eastAsia="Book Antiqua" w:hAnsi="Book Antiqua" w:cs="Book Antiqua"/>
          <w:color w:val="000000" w:themeColor="text1"/>
        </w:rPr>
        <w:t>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Keaili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CSPC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Ouyi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Pharmaceutical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Co.,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Ltd)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250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mg/m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D73FC0" w:rsidRPr="007416CE">
        <w:rPr>
          <w:rFonts w:ascii="Book Antiqua" w:hAnsi="Book Antiqua" w:cs="Book Antiqua"/>
          <w:color w:val="000000" w:themeColor="text1"/>
          <w:lang w:eastAsia="zh-CN"/>
        </w:rPr>
        <w:t>,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ivgtt</w:t>
      </w:r>
      <w:proofErr w:type="spellEnd"/>
      <w:r w:rsidR="00D73FC0" w:rsidRPr="007416CE">
        <w:rPr>
          <w:rFonts w:ascii="Book Antiqua" w:hAnsi="Book Antiqua" w:cs="Book Antiqua"/>
          <w:color w:val="000000" w:themeColor="text1"/>
          <w:lang w:eastAsia="zh-CN"/>
        </w:rPr>
        <w:t>,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min</w:t>
      </w:r>
      <w:r w:rsidR="00D73FC0" w:rsidRPr="007416CE">
        <w:rPr>
          <w:rFonts w:ascii="Book Antiqua" w:hAnsi="Book Antiqua" w:cs="Book Antiqua"/>
          <w:color w:val="000000" w:themeColor="text1"/>
          <w:lang w:eastAsia="zh-CN"/>
        </w:rPr>
        <w:t>,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d1</w:t>
      </w:r>
      <w:r w:rsidR="00D73FC0" w:rsidRPr="007416CE">
        <w:rPr>
          <w:rFonts w:ascii="Book Antiqua" w:hAnsi="Book Antiqua" w:cs="Book Antiqua"/>
          <w:color w:val="000000" w:themeColor="text1"/>
          <w:lang w:eastAsia="zh-CN"/>
        </w:rPr>
        <w:t>,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mg/m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ivgtt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d1,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3 </w:t>
      </w:r>
      <w:r w:rsidRPr="007416CE">
        <w:rPr>
          <w:rFonts w:ascii="Book Antiqua" w:eastAsia="Book Antiqua" w:hAnsi="Book Antiqua" w:cs="Book Antiqua"/>
          <w:color w:val="000000" w:themeColor="text1"/>
        </w:rPr>
        <w:t>wk.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47CA"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given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Intensity-modulated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(56</w:t>
      </w:r>
      <w:r w:rsidR="00B24F01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60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/28-30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</w:t>
      </w:r>
      <w:r w:rsidR="007D1D2E">
        <w:rPr>
          <w:rFonts w:ascii="Book Antiqua" w:eastAsia="Book Antiqua" w:hAnsi="Book Antiqua" w:cs="Book Antiqua"/>
          <w:color w:val="000000" w:themeColor="text1"/>
        </w:rPr>
        <w:t>ractions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1.8</w:t>
      </w:r>
      <w:r w:rsidR="00B24F01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2.0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/f</w:t>
      </w:r>
      <w:r w:rsidR="007D1D2E">
        <w:rPr>
          <w:rFonts w:ascii="Book Antiqua" w:eastAsia="Book Antiqua" w:hAnsi="Book Antiqua" w:cs="Book Antiqua"/>
          <w:color w:val="000000" w:themeColor="text1"/>
        </w:rPr>
        <w:t>raction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5</w:t>
      </w:r>
      <w:proofErr w:type="gram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fractions/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days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</w:t>
      </w:r>
      <w:r w:rsidRPr="007416CE">
        <w:rPr>
          <w:rFonts w:ascii="Book Antiqua" w:eastAsia="Book Antiqua" w:hAnsi="Book Antiqua" w:cs="Book Antiqua"/>
          <w:color w:val="000000" w:themeColor="text1"/>
        </w:rPr>
        <w:t>men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</w:t>
      </w:r>
      <w:r w:rsidRPr="007416CE">
        <w:rPr>
          <w:rFonts w:ascii="Book Antiqua" w:eastAsia="Book Antiqua" w:hAnsi="Book Antiqua" w:cs="Book Antiqua"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chemotherapy.</w:t>
      </w:r>
    </w:p>
    <w:p w14:paraId="25632EFA" w14:textId="77777777" w:rsidR="00A35E52" w:rsidRPr="007416CE" w:rsidRDefault="00A35E52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9CEE37" w14:textId="7B7AC92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Evaluat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ion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D1D2E"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efficac</w:t>
      </w:r>
      <w:r w:rsidR="007D1D2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y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ad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verse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2EBAF6A2" w14:textId="4EA67D70" w:rsidR="00031017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Chest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magnetic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resonance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imaging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positron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emission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tomography</w:t>
      </w:r>
      <w:r w:rsidRPr="007416CE">
        <w:rPr>
          <w:rFonts w:ascii="Book Antiqua" w:eastAsia="Book Antiqua" w:hAnsi="Book Antiqua" w:cs="Book Antiqua"/>
          <w:color w:val="000000" w:themeColor="text1"/>
        </w:rPr>
        <w:t>-CT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(if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necessary)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each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</w:t>
      </w:r>
      <w:r w:rsidRPr="007416CE">
        <w:rPr>
          <w:rFonts w:ascii="Book Antiqua" w:eastAsia="Book Antiqua" w:hAnsi="Book Antiqua" w:cs="Book Antiqua"/>
          <w:color w:val="000000" w:themeColor="text1"/>
        </w:rPr>
        <w:t>-up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visit.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efficac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y 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7416CE">
        <w:rPr>
          <w:rFonts w:ascii="Book Antiqua" w:eastAsia="Book Antiqua" w:hAnsi="Book Antiqua" w:cs="Book Antiqua"/>
          <w:color w:val="000000" w:themeColor="text1"/>
        </w:rPr>
        <w:t>evaluated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benchmarks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Evaluation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Criteria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Solid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Tumors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version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1.1,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(CR),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partial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(PR),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(SD),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(PD);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objective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remission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(ORR)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calculated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formula: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(CR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PR)/total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×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100%.</w:t>
      </w:r>
    </w:p>
    <w:p w14:paraId="18FD488F" w14:textId="5F46B1F7" w:rsidR="00031017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according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NCI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Terminology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Criteria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version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3.0.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period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recorded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continuously.</w:t>
      </w:r>
    </w:p>
    <w:p w14:paraId="11C3AF93" w14:textId="4C088826" w:rsidR="00A77B3E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</w:t>
      </w:r>
      <w:r w:rsidRPr="007416CE">
        <w:rPr>
          <w:rFonts w:ascii="Book Antiqua" w:eastAsia="Book Antiqua" w:hAnsi="Book Antiqua" w:cs="Book Antiqua"/>
          <w:color w:val="000000" w:themeColor="text1"/>
        </w:rPr>
        <w:t>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telephone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outpatient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visits.</w:t>
      </w:r>
    </w:p>
    <w:p w14:paraId="23B79F7E" w14:textId="77777777" w:rsidR="00AF2782" w:rsidRPr="007416CE" w:rsidRDefault="00AF2782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1B3361BD" w14:textId="3BA7050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secondary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measures</w:t>
      </w:r>
    </w:p>
    <w:p w14:paraId="1D394024" w14:textId="1D67ED8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primary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outcome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(PFS).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secondary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outcome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correlations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factors,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events.</w:t>
      </w:r>
    </w:p>
    <w:p w14:paraId="2BE3D1D7" w14:textId="77777777" w:rsidR="00AF2782" w:rsidRPr="007416CE" w:rsidRDefault="00AF2782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5E6C8F" w14:textId="1DDDD053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19778EBB" w14:textId="6C4CFE6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Examination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indicators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baseline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des</w:t>
      </w:r>
      <w:r w:rsidRPr="007416CE">
        <w:rPr>
          <w:rFonts w:ascii="Book Antiqua" w:eastAsia="Book Antiqua" w:hAnsi="Book Antiqua" w:cs="Book Antiqua"/>
          <w:color w:val="000000" w:themeColor="text1"/>
        </w:rPr>
        <w:t>cribed.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7416CE">
        <w:rPr>
          <w:rFonts w:ascii="Book Antiqua" w:eastAsia="Book Antiqua" w:hAnsi="Book Antiqua" w:cs="Book Antiqua"/>
          <w:color w:val="000000" w:themeColor="text1"/>
        </w:rPr>
        <w:t>presented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number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percentage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measurement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standard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deviation,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maximum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minimum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values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calculated.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indicators,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presented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number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percentage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7416CE">
        <w:rPr>
          <w:rFonts w:ascii="Book Antiqua" w:eastAsia="Book Antiqua" w:hAnsi="Book Antiqua" w:cs="Book Antiqua"/>
          <w:color w:val="000000" w:themeColor="text1"/>
        </w:rPr>
        <w:t>described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Kaplan-Meier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curves;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interval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(CI)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calculated,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factors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affecting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explored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regression,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hazard ratio 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1D2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</w:t>
      </w:r>
      <w:r w:rsidR="007D1D2E">
        <w:rPr>
          <w:rFonts w:ascii="Book Antiqua" w:eastAsia="Book Antiqua" w:hAnsi="Book Antiqua" w:cs="Book Antiqua"/>
          <w:color w:val="000000" w:themeColor="text1"/>
        </w:rPr>
        <w:t>CI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listed.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types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</w:t>
      </w:r>
      <w:r w:rsidRPr="007416CE">
        <w:rPr>
          <w:rFonts w:ascii="Book Antiqua" w:eastAsia="Book Antiqua" w:hAnsi="Book Antiqua" w:cs="Book Antiqua"/>
          <w:color w:val="000000" w:themeColor="text1"/>
        </w:rPr>
        <w:t>rial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described,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calculated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(presented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number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percentage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statistical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SPSS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19.0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software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package.</w:t>
      </w:r>
    </w:p>
    <w:p w14:paraId="1AAB5B2D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D58C83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2D7C5C27" w14:textId="30EBDCE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completion</w:t>
      </w:r>
    </w:p>
    <w:p w14:paraId="16E8007D" w14:textId="41666839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between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April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2019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October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2020,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baseline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</w:t>
      </w:r>
      <w:r w:rsidRPr="007416CE">
        <w:rPr>
          <w:rFonts w:ascii="Book Antiqua" w:eastAsia="Book Antiqua" w:hAnsi="Book Antiqua" w:cs="Book Antiqua"/>
          <w:color w:val="000000" w:themeColor="text1"/>
        </w:rPr>
        <w:t>atients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withdr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ew </w:t>
      </w:r>
      <w:r w:rsidRPr="007416CE">
        <w:rPr>
          <w:rFonts w:ascii="Book Antiqua" w:eastAsia="Book Antiqua" w:hAnsi="Book Antiqua" w:cs="Book Antiqua"/>
          <w:color w:val="000000" w:themeColor="text1"/>
        </w:rPr>
        <w:t>from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because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enrollment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without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loss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(100%)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entire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65.38%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17).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(19.23%)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underwent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one </w:t>
      </w:r>
      <w:r w:rsidRPr="007416CE">
        <w:rPr>
          <w:rFonts w:ascii="Book Antiqua" w:eastAsia="Book Antiqua" w:hAnsi="Book Antiqua" w:cs="Book Antiqua"/>
          <w:color w:val="000000" w:themeColor="text1"/>
        </w:rPr>
        <w:t>cycle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reasons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entire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III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III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myelosuppression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two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(13.79%)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7416CE">
        <w:rPr>
          <w:rFonts w:ascii="Book Antiqua" w:eastAsia="Book Antiqua" w:hAnsi="Book Antiqua" w:cs="Book Antiqua"/>
          <w:color w:val="000000" w:themeColor="text1"/>
        </w:rPr>
        <w:t>underwent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experienced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</w:t>
      </w:r>
      <w:r w:rsidRPr="007416CE">
        <w:rPr>
          <w:rFonts w:ascii="Book Antiqua" w:eastAsia="Book Antiqua" w:hAnsi="Book Antiqua" w:cs="Book Antiqua"/>
          <w:color w:val="000000" w:themeColor="text1"/>
        </w:rPr>
        <w:t>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</w:t>
      </w:r>
      <w:r w:rsidRPr="007416CE">
        <w:rPr>
          <w:rFonts w:ascii="Book Antiqua" w:eastAsia="Book Antiqua" w:hAnsi="Book Antiqua" w:cs="Book Antiqua"/>
          <w:color w:val="000000" w:themeColor="text1"/>
        </w:rPr>
        <w:t>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refused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radiotherapy.</w:t>
      </w:r>
    </w:p>
    <w:p w14:paraId="2AC9EC44" w14:textId="77777777" w:rsidR="008C188A" w:rsidRPr="007416CE" w:rsidRDefault="008C188A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67775A" w14:textId="10B92BD6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Short-term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6A4B4B"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efficac</w:t>
      </w:r>
      <w:r w:rsidR="006A4B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y</w:t>
      </w:r>
    </w:p>
    <w:p w14:paraId="655A9D85" w14:textId="29DE70D0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61.54</w:t>
      </w:r>
      <w:r w:rsidR="00B2496C" w:rsidRPr="007416CE">
        <w:rPr>
          <w:rFonts w:ascii="Book Antiqua" w:hAnsi="Book Antiqua" w:cs="Book Antiqua"/>
          <w:color w:val="000000" w:themeColor="text1"/>
          <w:lang w:eastAsia="zh-CN"/>
        </w:rPr>
        <w:t>%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16);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(DCR)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23),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achieved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(61.54</w:t>
      </w:r>
      <w:r w:rsidR="00B2496C" w:rsidRPr="007416CE">
        <w:rPr>
          <w:rFonts w:ascii="Book Antiqua" w:hAnsi="Book Antiqua" w:cs="Book Antiqua"/>
          <w:color w:val="000000" w:themeColor="text1"/>
          <w:lang w:eastAsia="zh-CN"/>
        </w:rPr>
        <w:t>%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(26.92%);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(11.54%)</w:t>
      </w:r>
      <w:r w:rsidR="005963F1" w:rsidRP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733FF">
        <w:rPr>
          <w:rFonts w:ascii="Book Antiqua" w:eastAsia="Book Antiqua" w:hAnsi="Book Antiqua" w:cs="Book Antiqua"/>
          <w:i/>
          <w:color w:val="000000" w:themeColor="text1"/>
        </w:rPr>
        <w:t>in</w:t>
      </w:r>
      <w:r w:rsidR="007D651C" w:rsidRPr="004733F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733FF">
        <w:rPr>
          <w:rFonts w:ascii="Book Antiqua" w:eastAsia="Book Antiqua" w:hAnsi="Book Antiqua" w:cs="Book Antiqua"/>
          <w:i/>
          <w:color w:val="000000" w:themeColor="text1"/>
        </w:rPr>
        <w:t>situ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mediastinal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lymph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esophagotracheal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fistula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evaluated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76.92</w:t>
      </w:r>
      <w:r w:rsidR="00FA7372" w:rsidRPr="007416CE">
        <w:rPr>
          <w:rFonts w:ascii="Book Antiqua" w:hAnsi="Book Antiqua" w:cs="Book Antiqua"/>
          <w:color w:val="000000" w:themeColor="text1"/>
          <w:lang w:eastAsia="zh-CN"/>
        </w:rPr>
        <w:t>%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DCR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23),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achieved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(76.92</w:t>
      </w:r>
      <w:r w:rsidR="00FA7372" w:rsidRPr="007416CE">
        <w:rPr>
          <w:rFonts w:ascii="Book Antiqua" w:hAnsi="Book Antiqua" w:cs="Book Antiqua"/>
          <w:color w:val="000000" w:themeColor="text1"/>
          <w:lang w:eastAsia="zh-CN"/>
        </w:rPr>
        <w:t>%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(11.54%);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(11.54%)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="00291AC7">
        <w:rPr>
          <w:rFonts w:ascii="Book Antiqua" w:eastAsia="Book Antiqua" w:hAnsi="Book Antiqua" w:cs="Book Antiqua"/>
          <w:color w:val="000000" w:themeColor="text1"/>
        </w:rPr>
        <w:t>(Table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1AC7">
        <w:rPr>
          <w:rFonts w:ascii="Book Antiqua" w:eastAsia="Book Antiqua" w:hAnsi="Book Antiqua" w:cs="Book Antiqua"/>
          <w:color w:val="000000" w:themeColor="text1"/>
        </w:rPr>
        <w:t>2)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</w:p>
    <w:p w14:paraId="131978BF" w14:textId="77777777" w:rsidR="00FA7372" w:rsidRPr="007416CE" w:rsidRDefault="00FA7372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59F1BF" w14:textId="5E823A81" w:rsidR="00A77B3E" w:rsidRPr="00291AC7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91A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Follow-up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91A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91A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long-term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91A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759C24F2" w14:textId="72193E5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October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2020,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</w:t>
      </w:r>
      <w:r w:rsidRPr="007416CE">
        <w:rPr>
          <w:rFonts w:ascii="Book Antiqua" w:eastAsia="Book Antiqua" w:hAnsi="Book Antiqua" w:cs="Book Antiqua"/>
          <w:color w:val="000000" w:themeColor="text1"/>
        </w:rPr>
        <w:t>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15.28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5C2B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="00235490" w:rsidRPr="007416CE">
        <w:rPr>
          <w:rFonts w:ascii="Book Antiqua" w:eastAsia="Book Antiqua" w:hAnsi="Book Antiqua" w:cs="Book Antiqua"/>
          <w:color w:val="000000" w:themeColor="text1"/>
        </w:rPr>
        <w:t>5</w:t>
      </w:r>
      <w:r w:rsidR="00D45C2B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="00235490" w:rsidRPr="007416CE">
        <w:rPr>
          <w:rFonts w:ascii="Book Antiqua" w:eastAsia="Book Antiqua" w:hAnsi="Book Antiqua" w:cs="Book Antiqua"/>
          <w:color w:val="000000" w:themeColor="text1"/>
        </w:rPr>
        <w:t>28</w:t>
      </w:r>
      <w:r w:rsidR="00D45C2B"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4B79" w:rsidRPr="007416CE">
        <w:rPr>
          <w:rFonts w:ascii="Book Antiqua" w:eastAsia="Book Antiqua" w:hAnsi="Book Antiqua" w:cs="Book Antiqua"/>
          <w:color w:val="000000" w:themeColor="text1"/>
        </w:rPr>
        <w:t>mo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14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(48.28%)</w:t>
      </w:r>
      <w:r w:rsidR="005963F1" w:rsidRP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four </w:t>
      </w:r>
      <w:r w:rsidRPr="007416CE">
        <w:rPr>
          <w:rFonts w:ascii="Book Antiqua" w:eastAsia="Book Antiqua" w:hAnsi="Book Antiqua" w:cs="Book Antiqua"/>
          <w:color w:val="000000" w:themeColor="text1"/>
        </w:rPr>
        <w:t>(17.24%)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4733FF">
        <w:rPr>
          <w:rFonts w:ascii="Book Antiqua" w:eastAsia="Book Antiqua" w:hAnsi="Book Antiqua" w:cs="Book Antiqua"/>
          <w:i/>
          <w:color w:val="000000" w:themeColor="text1"/>
        </w:rPr>
        <w:t xml:space="preserve">in </w:t>
      </w:r>
      <w:r w:rsidRPr="004733FF">
        <w:rPr>
          <w:rFonts w:ascii="Book Antiqua" w:eastAsia="Book Antiqua" w:hAnsi="Book Antiqua" w:cs="Book Antiqua"/>
          <w:i/>
          <w:color w:val="000000" w:themeColor="text1"/>
        </w:rPr>
        <w:t>situ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(6.90%)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lymph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seven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(24.14%)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[including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(6.90%)</w:t>
      </w:r>
      <w:r w:rsidR="005963F1" w:rsidRP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(3.45%)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(10.34%)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(3.45%)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case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spleen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kidney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metastases].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Thirteen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</w:t>
      </w:r>
      <w:r w:rsidRPr="007416CE">
        <w:rPr>
          <w:rFonts w:ascii="Book Antiqua" w:eastAsia="Book Antiqua" w:hAnsi="Book Antiqua" w:cs="Book Antiqua"/>
          <w:color w:val="000000" w:themeColor="text1"/>
        </w:rPr>
        <w:t>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15.83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42%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(Figure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1).</w:t>
      </w:r>
    </w:p>
    <w:p w14:paraId="4005F0A3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ED7FAC" w14:textId="7F60B21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safety</w:t>
      </w:r>
    </w:p>
    <w:p w14:paraId="3847B6E3" w14:textId="1F178892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</w:t>
      </w:r>
      <w:r w:rsidRPr="007416CE">
        <w:rPr>
          <w:rFonts w:ascii="Book Antiqua" w:eastAsia="Book Antiqua" w:hAnsi="Book Antiqua" w:cs="Book Antiqua"/>
          <w:color w:val="000000" w:themeColor="text1"/>
        </w:rPr>
        <w:t>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post-treatment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anemia,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leukopenia,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neutropenia,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thrombocytopenia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7416CE">
        <w:rPr>
          <w:rFonts w:ascii="Book Antiqua" w:eastAsia="Book Antiqua" w:hAnsi="Book Antiqua" w:cs="Book Antiqua"/>
          <w:color w:val="000000" w:themeColor="text1"/>
        </w:rPr>
        <w:t>0%,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10.35%,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6.9%,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respectively.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decreased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appetite,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fatigue,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decreased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weight,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abnormal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function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7416CE">
        <w:rPr>
          <w:rFonts w:ascii="Book Antiqua" w:eastAsia="Book Antiqua" w:hAnsi="Book Antiqua" w:cs="Book Antiqua"/>
          <w:color w:val="000000" w:themeColor="text1"/>
        </w:rPr>
        <w:t>13.79%,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13.79%,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34.48%,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3.45%,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3.45%,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respectively.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3).</w:t>
      </w:r>
    </w:p>
    <w:p w14:paraId="58BA2AFD" w14:textId="77777777" w:rsidR="00B92ED6" w:rsidRPr="007416CE" w:rsidRDefault="00B92ED6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3FEE4B" w14:textId="3F57095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Results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7F6B73C9" w14:textId="1B24A507" w:rsidR="006B7693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number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statistically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factor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affecting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0.0024).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</w:t>
      </w:r>
      <w:r w:rsidRPr="007416CE">
        <w:rPr>
          <w:rFonts w:ascii="Book Antiqua" w:eastAsia="Book Antiqua" w:hAnsi="Book Antiqua" w:cs="Book Antiqua"/>
          <w:color w:val="000000" w:themeColor="text1"/>
        </w:rPr>
        <w:t>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three 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0.0555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0.0066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0.4668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four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0.0043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0.0002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0.0992)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lower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those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chemotherapy.</w:t>
      </w:r>
    </w:p>
    <w:p w14:paraId="02158336" w14:textId="67DBCD31" w:rsidR="00A77B3E" w:rsidRPr="007416CE" w:rsidRDefault="00944D2C" w:rsidP="004733F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impact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nutritional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statistically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0.0826);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initial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initial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0.0037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0.0001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0.2715),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0.0077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0.000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0.6176),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0.0131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0.0002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0.7049)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better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(Figure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7D7" w:rsidRPr="007416CE">
        <w:rPr>
          <w:rFonts w:ascii="Book Antiqua" w:eastAsia="Book Antiqua" w:hAnsi="Book Antiqua" w:cs="Book Antiqua"/>
          <w:color w:val="000000" w:themeColor="text1"/>
        </w:rPr>
        <w:t>2</w:t>
      </w:r>
      <w:r w:rsidRPr="007416CE">
        <w:rPr>
          <w:rFonts w:ascii="Book Antiqua" w:eastAsia="Book Antiqua" w:hAnsi="Book Antiqua" w:cs="Book Antiqua"/>
          <w:color w:val="000000" w:themeColor="text1"/>
        </w:rPr>
        <w:t>).</w:t>
      </w:r>
    </w:p>
    <w:p w14:paraId="0E575A61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32F1B7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DISCUSSION</w:t>
      </w:r>
    </w:p>
    <w:p w14:paraId="656FC5FB" w14:textId="42AEAA68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</w:t>
      </w:r>
      <w:r w:rsidRPr="007416CE">
        <w:rPr>
          <w:rFonts w:ascii="Book Antiqua" w:eastAsia="Book Antiqua" w:hAnsi="Book Antiqua" w:cs="Book Antiqua"/>
          <w:color w:val="000000" w:themeColor="text1"/>
        </w:rPr>
        <w:t>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years.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COSMOS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by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DCF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reached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67.9%.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randomized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JCOG1510</w:t>
      </w:r>
      <w:r w:rsidR="005963F1">
        <w:rPr>
          <w:rFonts w:ascii="Book Antiqua" w:eastAsia="Book Antiqua" w:hAnsi="Book Antiqua" w:cs="Book Antiqua"/>
          <w:color w:val="000000" w:themeColor="text1"/>
        </w:rPr>
        <w:t>)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superior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terms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7416CE">
        <w:rPr>
          <w:rFonts w:ascii="Book Antiqua" w:eastAsia="Book Antiqua" w:hAnsi="Book Antiqua" w:cs="Book Antiqua"/>
          <w:color w:val="000000" w:themeColor="text1"/>
        </w:rPr>
        <w:t>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</w:t>
      </w:r>
      <w:r w:rsidRPr="007416CE">
        <w:rPr>
          <w:rFonts w:ascii="Book Antiqua" w:eastAsia="Book Antiqua" w:hAnsi="Book Antiqua" w:cs="Book Antiqua"/>
          <w:color w:val="000000" w:themeColor="text1"/>
        </w:rPr>
        <w:t>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61.54%,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DCR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subjects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without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nausea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vomiting.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Twenty-two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65.38%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19.23%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</w:t>
      </w:r>
      <w:r w:rsidRPr="007416CE">
        <w:rPr>
          <w:rFonts w:ascii="Book Antiqua" w:eastAsia="Book Antiqua" w:hAnsi="Book Antiqua" w:cs="Book Antiqua"/>
          <w:color w:val="000000" w:themeColor="text1"/>
        </w:rPr>
        <w:t>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myelosuppression.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76.92%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those of </w:t>
      </w:r>
      <w:r w:rsidRPr="007416CE">
        <w:rPr>
          <w:rFonts w:ascii="Book Antiqua" w:eastAsia="Book Antiqua" w:hAnsi="Book Antiqua" w:cs="Book Antiqua"/>
          <w:color w:val="000000" w:themeColor="text1"/>
        </w:rPr>
        <w:t>previous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studies;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15.83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notably,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49.45%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64.96%.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</w:t>
      </w:r>
      <w:r w:rsidRPr="007416CE">
        <w:rPr>
          <w:rFonts w:ascii="Book Antiqua" w:eastAsia="Book Antiqua" w:hAnsi="Book Antiqua" w:cs="Book Antiqua"/>
          <w:color w:val="000000" w:themeColor="text1"/>
        </w:rPr>
        <w:t>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0.0024),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suggesting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efficacious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well-tolerated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fewer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enhances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tolerability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prolongs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survival.</w:t>
      </w:r>
    </w:p>
    <w:p w14:paraId="038CAA77" w14:textId="5105D907" w:rsidR="00FF34A0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Wang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demonstrated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weekly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nab-paclitaxel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cisplatin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well-tolerated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option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addition,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values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nanoparticle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cisplatin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(nab-TP)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solvent-based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cisplatin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sb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-TP)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that n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>ab</w:t>
      </w:r>
      <w:r w:rsidRPr="007416CE">
        <w:rPr>
          <w:rFonts w:ascii="Book Antiqua" w:eastAsia="Book Antiqua" w:hAnsi="Book Antiqua" w:cs="Book Antiqua"/>
          <w:color w:val="000000" w:themeColor="text1"/>
        </w:rPr>
        <w:t>-TP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demonstrated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higher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(50%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30%</w:t>
      </w:r>
      <w:r w:rsidR="00F220DE"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0.08</w:t>
      </w:r>
      <w:r w:rsidRPr="007416CE">
        <w:rPr>
          <w:rFonts w:ascii="Book Antiqua" w:eastAsia="Book Antiqua" w:hAnsi="Book Antiqua" w:cs="Book Antiqua"/>
          <w:color w:val="000000" w:themeColor="text1"/>
        </w:rPr>
        <w:t>2)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(81%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lastRenderedPageBreak/>
        <w:t>vs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65%</w:t>
      </w:r>
      <w:r w:rsidR="00F220DE"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0.124)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sb-TP,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(6.1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220DE"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5.3-6.9)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0.029).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contrast,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curre</w:t>
      </w:r>
      <w:r w:rsidRPr="007416CE">
        <w:rPr>
          <w:rFonts w:ascii="Book Antiqua" w:eastAsia="Book Antiqua" w:hAnsi="Book Antiqua" w:cs="Book Antiqua"/>
          <w:color w:val="000000" w:themeColor="text1"/>
        </w:rPr>
        <w:t>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805E2">
        <w:rPr>
          <w:rFonts w:ascii="Book Antiqua" w:eastAsia="Book Antiqua" w:hAnsi="Book Antiqua" w:cs="Book Antiqua"/>
          <w:color w:val="000000" w:themeColor="text1"/>
        </w:rPr>
        <w:t>new</w:t>
      </w:r>
      <w:r w:rsidR="00C805E2" w:rsidRPr="004733FF">
        <w:rPr>
          <w:rFonts w:ascii="Book Antiqua" w:eastAsia="宋体" w:hAnsi="Book Antiqua" w:cs="宋体"/>
          <w:color w:val="000000" w:themeColor="text1"/>
          <w:lang w:eastAsia="zh-CN"/>
        </w:rPr>
        <w:t>-</w:t>
      </w:r>
      <w:r w:rsidRPr="00C805E2">
        <w:rPr>
          <w:rFonts w:ascii="Book Antiqua" w:eastAsia="Book Antiqua" w:hAnsi="Book Antiqua" w:cs="Book Antiqua"/>
          <w:color w:val="000000" w:themeColor="text1"/>
        </w:rPr>
        <w:t>generatio</w:t>
      </w:r>
      <w:r w:rsidRPr="00C805E2">
        <w:rPr>
          <w:rFonts w:ascii="Book Antiqua" w:eastAsia="Book Antiqua" w:hAnsi="Book Antiqua" w:cs="Book Antiqua"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drug.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Many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therapeutic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effects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15-17]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leukopenia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neutropenia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10.35%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6.9%,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respectively.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decreased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appetite,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fatigue,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weight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loss,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abnormal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function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acceptable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achieve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good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long-term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either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regimen.</w:t>
      </w:r>
    </w:p>
    <w:p w14:paraId="20DD61B9" w14:textId="6B01EBD7" w:rsidR="00A77B3E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although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</w:t>
      </w:r>
      <w:r w:rsidRPr="007416CE">
        <w:rPr>
          <w:rFonts w:ascii="Book Antiqua" w:eastAsia="Book Antiqua" w:hAnsi="Book Antiqua" w:cs="Book Antiqua"/>
          <w:color w:val="000000" w:themeColor="text1"/>
        </w:rPr>
        <w:t>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II-III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refuse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contraindication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(stage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IVa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[18,19]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different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patterns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recurrence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still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Sudo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FA2134"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20</w:t>
      </w:r>
      <w:r w:rsidR="00FA2134" w:rsidRPr="007416CE">
        <w:rPr>
          <w:rFonts w:ascii="Book Antiqua" w:hAnsi="Book Antiqua" w:cs="Book Antiqua"/>
          <w:color w:val="000000" w:themeColor="text1"/>
          <w:vertAlign w:val="superscript"/>
          <w:lang w:eastAsia="zh-CN"/>
        </w:rPr>
        <w:t>]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reported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types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recurrence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chemoradiotherapy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T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>he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luminal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relapse,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relapse,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diagnosed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esophagogastroduodenoscopy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(NC-E),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NC-E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(NC-O)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7416CE">
        <w:rPr>
          <w:rFonts w:ascii="Book Antiqua" w:eastAsia="Book Antiqua" w:hAnsi="Book Antiqua" w:cs="Book Antiqua"/>
          <w:color w:val="000000" w:themeColor="text1"/>
        </w:rPr>
        <w:t>14%,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17%,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respectively.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14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(48.28%)</w:t>
      </w:r>
      <w:r w:rsidR="00C805E2" w:rsidRPr="00C805E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five </w:t>
      </w:r>
      <w:r w:rsidRPr="007416CE">
        <w:rPr>
          <w:rFonts w:ascii="Book Antiqua" w:eastAsia="Book Antiqua" w:hAnsi="Book Antiqua" w:cs="Book Antiqua"/>
          <w:color w:val="000000" w:themeColor="text1"/>
        </w:rPr>
        <w:t>(17.24%)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4733FF">
        <w:rPr>
          <w:rFonts w:ascii="Book Antiqua" w:eastAsia="Book Antiqua" w:hAnsi="Book Antiqua" w:cs="Book Antiqua"/>
          <w:i/>
          <w:color w:val="000000" w:themeColor="text1"/>
        </w:rPr>
        <w:t xml:space="preserve">in </w:t>
      </w:r>
      <w:r w:rsidRPr="004733FF">
        <w:rPr>
          <w:rFonts w:ascii="Book Antiqua" w:eastAsia="Book Antiqua" w:hAnsi="Book Antiqua" w:cs="Book Antiqua"/>
          <w:i/>
          <w:color w:val="000000" w:themeColor="text1"/>
        </w:rPr>
        <w:t>situ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(6.90%)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lymph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eight </w:t>
      </w:r>
      <w:r w:rsidRPr="007416CE">
        <w:rPr>
          <w:rFonts w:ascii="Book Antiqua" w:eastAsia="Book Antiqua" w:hAnsi="Book Antiqua" w:cs="Book Antiqua"/>
          <w:color w:val="000000" w:themeColor="text1"/>
        </w:rPr>
        <w:t>(27.59%)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[including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(6.90%)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(3.45%)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7416CE">
        <w:rPr>
          <w:rFonts w:ascii="Book Antiqua" w:eastAsia="Book Antiqua" w:hAnsi="Book Antiqua" w:cs="Book Antiqua"/>
          <w:color w:val="000000" w:themeColor="text1"/>
        </w:rPr>
        <w:t>(10.34%)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one </w:t>
      </w:r>
      <w:r w:rsidRPr="007416CE">
        <w:rPr>
          <w:rFonts w:ascii="Book Antiqua" w:eastAsia="Book Antiqua" w:hAnsi="Book Antiqua" w:cs="Book Antiqua"/>
          <w:color w:val="000000" w:themeColor="text1"/>
        </w:rPr>
        <w:t>(3.45%)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spleen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kidney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metastases].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results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also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suggested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nutritional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before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impac</w:t>
      </w:r>
      <w:r w:rsidRPr="007416CE">
        <w:rPr>
          <w:rFonts w:ascii="Book Antiqua" w:eastAsia="Book Antiqua" w:hAnsi="Book Antiqua" w:cs="Book Antiqua"/>
          <w:color w:val="000000" w:themeColor="text1"/>
        </w:rPr>
        <w:t>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needs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verified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larger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sample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sizes.</w:t>
      </w:r>
    </w:p>
    <w:p w14:paraId="67FAA81B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1012F7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1B44A94" w14:textId="43C1846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conclusion,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worthy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promotion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application.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interim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report,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limited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sh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ort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intervals,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patients’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an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tumor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recurrence/metastasis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need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be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investigated.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addition,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well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optimal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dose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fractionation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schedule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deserves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research.</w:t>
      </w:r>
    </w:p>
    <w:p w14:paraId="7C9DAFC2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6C94D2" w14:textId="01F98135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7D65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8962A10" w14:textId="0348E76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3D85F43" w14:textId="72022409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type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carcinoma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(ESCC),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accounts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89%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</w:t>
      </w:r>
      <w:r w:rsidR="006D5837" w:rsidRPr="007416CE">
        <w:rPr>
          <w:rFonts w:ascii="Book Antiqua" w:eastAsia="Book Antiqua" w:hAnsi="Book Antiqua" w:cs="Book Antiqua"/>
          <w:color w:val="000000" w:themeColor="text1"/>
        </w:rPr>
        <w:t>%-</w:t>
      </w:r>
      <w:r w:rsidRPr="007416CE">
        <w:rPr>
          <w:rFonts w:ascii="Book Antiqua" w:eastAsia="Book Antiqua" w:hAnsi="Book Antiqua" w:cs="Book Antiqua"/>
          <w:color w:val="000000" w:themeColor="text1"/>
        </w:rPr>
        <w:t>30%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preferred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eligible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diagnosis.</w:t>
      </w:r>
    </w:p>
    <w:p w14:paraId="1ECB50B4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E3C82D" w14:textId="323B6C3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55836ECB" w14:textId="399B399C" w:rsidR="00A77B3E" w:rsidRPr="007416CE" w:rsidRDefault="0075470A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We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conducted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present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prospective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(ABP)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lobaplatin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(LBP)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23332C"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332C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23332C"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cancer.</w:t>
      </w:r>
    </w:p>
    <w:p w14:paraId="2E3E32BF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2D8A6D" w14:textId="2F08F23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2524448D" w14:textId="4B9FAE27" w:rsidR="00A77B3E" w:rsidRPr="007416CE" w:rsidRDefault="002333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aimed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B669D9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B9089E" w14:textId="145DD595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178C6FFD" w14:textId="566BDC10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pathologically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enrolled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</w:t>
      </w:r>
      <w:r w:rsidRPr="007416CE">
        <w:rPr>
          <w:rFonts w:ascii="Book Antiqua" w:eastAsia="Book Antiqua" w:hAnsi="Book Antiqua" w:cs="Book Antiqua"/>
          <w:color w:val="000000" w:themeColor="text1"/>
        </w:rPr>
        <w:t>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four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scheduled.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B1078B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7B0FAC" w14:textId="1EB597B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F1531D3" w14:textId="021F54AB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revealed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67B5" w:rsidRPr="007416CE">
        <w:rPr>
          <w:rFonts w:ascii="Book Antiqua" w:eastAsia="Book Antiqua" w:hAnsi="Book Antiqua" w:cs="Book Antiqua"/>
          <w:color w:val="000000" w:themeColor="text1"/>
        </w:rPr>
        <w:t>progressive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67B5"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alone.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tolerable,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neutropenia,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B252B44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F9B1B6" w14:textId="79089A5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75235D12" w14:textId="4EA8839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worthy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promotion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application.</w:t>
      </w:r>
    </w:p>
    <w:p w14:paraId="68B66017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914991" w14:textId="1163783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5BC01924" w14:textId="06FFC41F" w:rsidR="00A77B3E" w:rsidRPr="007416CE" w:rsidRDefault="005C007A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interim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report,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limited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short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intervals,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patients’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su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rvival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tum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recurrence/metastasis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need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be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investigated.</w:t>
      </w:r>
    </w:p>
    <w:p w14:paraId="73914F45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9AF810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8514653" w14:textId="051B99CB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" w:name="OLE_LINK15"/>
      <w:r w:rsidRPr="007416CE">
        <w:rPr>
          <w:rFonts w:ascii="Book Antiqua" w:hAnsi="Book Antiqua"/>
          <w:color w:val="000000" w:themeColor="text1"/>
        </w:rPr>
        <w:t>1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Bray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F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Ferlay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Soerjomataram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Siegel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RL,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Torre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Jemal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Global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statistics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GLOBOCAN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estimates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incidence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mortality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worldwide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185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countries.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Clin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68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394-424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30207593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10.3322/caac.21492]</w:t>
      </w:r>
    </w:p>
    <w:p w14:paraId="2103AB2E" w14:textId="7671D22A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Siegel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RL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Miller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KD,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Jemal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statistics,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Clin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68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7-30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29313949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10.3322/caac.21442]</w:t>
      </w:r>
    </w:p>
    <w:p w14:paraId="24CAD310" w14:textId="4F9C0B2D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Zeng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H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Zheng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Zuo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Xia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Zou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statistics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China,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2011: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Estimates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based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177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registries.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Thorac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2016;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7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232-237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27042227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10.1111/1759-7714.12322]</w:t>
      </w:r>
    </w:p>
    <w:p w14:paraId="140FCE01" w14:textId="4CB80171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lastRenderedPageBreak/>
        <w:t>4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b/>
          <w:bCs/>
          <w:color w:val="000000" w:themeColor="text1"/>
        </w:rPr>
        <w:t>Allemani</w:t>
      </w:r>
      <w:proofErr w:type="spellEnd"/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Matsuda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Carlo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Harewood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Matz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Nikšić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Bonaventure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Valkov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Johnson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Estève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Ogunbiyi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Azevedo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Silva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WQ,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Eser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Engholm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Stiller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Monnereau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Woods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RR,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Visser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Lim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Aitken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Weir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Coleman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MP;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CONCORD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Working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Global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surveillance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trends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survival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2000-14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(CONCORD-3):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analysis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individual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records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37</w:t>
      </w:r>
      <w:r w:rsidRPr="007416CE">
        <w:rPr>
          <w:rFonts w:ascii="MS Gothic" w:eastAsia="MS Gothic" w:hAnsi="MS Gothic" w:cs="MS Gothic" w:hint="eastAsia"/>
          <w:color w:val="000000" w:themeColor="text1"/>
        </w:rPr>
        <w:t> </w:t>
      </w:r>
      <w:r w:rsidRPr="007416CE">
        <w:rPr>
          <w:rFonts w:ascii="Book Antiqua" w:hAnsi="Book Antiqua"/>
          <w:color w:val="000000" w:themeColor="text1"/>
        </w:rPr>
        <w:t>513</w:t>
      </w:r>
      <w:r w:rsidRPr="007416CE">
        <w:rPr>
          <w:rFonts w:ascii="MS Gothic" w:eastAsia="MS Gothic" w:hAnsi="MS Gothic" w:cs="MS Gothic" w:hint="eastAsia"/>
          <w:color w:val="000000" w:themeColor="text1"/>
        </w:rPr>
        <w:t> </w:t>
      </w:r>
      <w:r w:rsidRPr="007416CE">
        <w:rPr>
          <w:rFonts w:ascii="Book Antiqua" w:hAnsi="Book Antiqua"/>
          <w:color w:val="000000" w:themeColor="text1"/>
        </w:rPr>
        <w:t>025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diagnosed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from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322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population-based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registries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71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countries.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Lancet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391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1023-1075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29395269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10.1016/S0140-6736(17)33326-3]</w:t>
      </w:r>
    </w:p>
    <w:p w14:paraId="3D5EB0E3" w14:textId="36D7A921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Tu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CC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Hsu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PK.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frontline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treatment: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questions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asked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answered.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Ann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Med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6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83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29666806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10.21037/atm.2017.10.31]</w:t>
      </w:r>
    </w:p>
    <w:p w14:paraId="74B4DAF7" w14:textId="353032E3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Mariette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Markar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SR,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Dabakuyo-Yonli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Meunier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Pezet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Collet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D'Journo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XB,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Brigand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Perniceni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Carrère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Mabrut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Msika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Peschaud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Prudhomme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Bonnetain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Piessen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G;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Fédération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de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Recherche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Chirurgie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(FRENCH)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French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Eso</w:t>
      </w:r>
      <w:proofErr w:type="spellEnd"/>
      <w:r w:rsidRPr="007416CE">
        <w:rPr>
          <w:rFonts w:ascii="Book Antiqua" w:hAnsi="Book Antiqua"/>
          <w:color w:val="000000" w:themeColor="text1"/>
        </w:rPr>
        <w:t>-Gastric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Tumors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(FREGAT)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Working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Hybrid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Minimally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Invasive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Esophagectomy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Med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2019;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380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152-162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30625052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10.1056/NEJMoa1805101]</w:t>
      </w:r>
    </w:p>
    <w:p w14:paraId="59412227" w14:textId="0E019652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Gao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XS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Qiao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Meng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Komaki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JY.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Pathological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analysis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clinical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target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volume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margin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gastroesophageal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junction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Radiat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Biol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Phys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2007;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67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389-396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17236963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10.1016/j.ijrobp.2006.09.015]</w:t>
      </w:r>
    </w:p>
    <w:p w14:paraId="32C805B7" w14:textId="7A4FD6D3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Cooper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JS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Guo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MD,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Herskovic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Macdonald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Martenson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Jr,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Al-</w:t>
      </w:r>
      <w:proofErr w:type="spellStart"/>
      <w:r w:rsidRPr="007416CE">
        <w:rPr>
          <w:rFonts w:ascii="Book Antiqua" w:hAnsi="Book Antiqua"/>
          <w:color w:val="000000" w:themeColor="text1"/>
        </w:rPr>
        <w:t>Sarraf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Byhardt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Russell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Beitler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Spencer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Asbell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SO,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Graham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MV,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Leichman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LL.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Chemoradiotherapy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long-term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follow-up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prospective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randomized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trial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(RTOG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85-01).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Radiation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Oncology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JAMA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1999;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281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1623-1627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10235156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10.1001/jama.281.17.1623]</w:t>
      </w:r>
    </w:p>
    <w:p w14:paraId="3E900543" w14:textId="6F8BCAE6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Chun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SG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Skinner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HD,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Minsky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BD.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Radiation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Surg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Oncol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Clin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Am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2017;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26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257-276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28279468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10.1016/j.soc.2016.10.006]</w:t>
      </w:r>
    </w:p>
    <w:p w14:paraId="3626B5A1" w14:textId="775806EB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lastRenderedPageBreak/>
        <w:t>10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Park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R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Williamson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Kasi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Saeed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Immune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Therapeutics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Treatment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Gastric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Anticancer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Res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38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5569-5580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30275174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10.21873/anticanres.12891]</w:t>
      </w:r>
    </w:p>
    <w:p w14:paraId="0612B69C" w14:textId="55D9BE88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11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Yokota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T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Hamamoto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Tsubosa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Ogawa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Hara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Ura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Kojima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Hironaka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Kii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Kojima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Akutsu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Matsushita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Kawakami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Mori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Nagai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Asami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Kitagawa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Phase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study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chemoselection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docetaxel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cisplatin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5-fluorouracil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induction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chemotherapy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subsequent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conversion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surgery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unresectable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oesophageal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Br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2016;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115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1328-1334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27811857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10.1038/bjc.2016.350]</w:t>
      </w:r>
    </w:p>
    <w:p w14:paraId="16F43F56" w14:textId="7CF86620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Terada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M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Hara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Daiko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Mizusawa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Kadota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Hori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Ogawa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Ogata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Sakanaka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Sakamoto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Kitagawa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Phase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III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study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tri-modality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combination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induction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docetaxel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cisplatin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5-fluorouracil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versus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definitive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chemoradiotherapy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unresectable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squamous-cell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thoracic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(JCOG1510: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TRIANgLE</w:t>
      </w:r>
      <w:proofErr w:type="spellEnd"/>
      <w:r w:rsidRPr="007416CE">
        <w:rPr>
          <w:rFonts w:ascii="Book Antiqua" w:hAnsi="Book Antiqua"/>
          <w:color w:val="000000" w:themeColor="text1"/>
        </w:rPr>
        <w:t>).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2019;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49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1055-1060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31411696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10.1093/</w:t>
      </w:r>
      <w:proofErr w:type="spellStart"/>
      <w:r w:rsidRPr="007416CE">
        <w:rPr>
          <w:rFonts w:ascii="Book Antiqua" w:hAnsi="Book Antiqua"/>
          <w:color w:val="000000" w:themeColor="text1"/>
        </w:rPr>
        <w:t>jjco</w:t>
      </w:r>
      <w:proofErr w:type="spellEnd"/>
      <w:r w:rsidRPr="007416CE">
        <w:rPr>
          <w:rFonts w:ascii="Book Antiqua" w:hAnsi="Book Antiqua"/>
          <w:color w:val="000000" w:themeColor="text1"/>
        </w:rPr>
        <w:t>/hyz112]</w:t>
      </w:r>
    </w:p>
    <w:p w14:paraId="332E96B7" w14:textId="3042568A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Wang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D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Qian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Guan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Q.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Efficacy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safety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weekly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nab-paclitaxel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cisplatin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concurrent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intensity-modulated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inoperable,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pilot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trial.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Targets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11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6333-6338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30319273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10.2147/OTT.S168275]</w:t>
      </w:r>
    </w:p>
    <w:p w14:paraId="1D58C778" w14:textId="42D85290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Wang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HY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XS,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SN,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Liu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YY.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Weekly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nanoparticle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albumin-bound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combination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cisplatin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versus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weekly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solvent-based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cisplatin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first-line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Chinese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Targets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2016;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9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5663-5669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27713635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10.2147/OTT.S108580]</w:t>
      </w:r>
    </w:p>
    <w:p w14:paraId="71E90A07" w14:textId="4BD9DA8B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Jia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XJ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Huang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JZ.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Clinical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Study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Lobaplatin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5-Fu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Concurrent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Treating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Inoperable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Asian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Pac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Prev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2015;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16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6595-6597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26434880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10.7314/apjcp.2015.16.15.6595]</w:t>
      </w:r>
    </w:p>
    <w:p w14:paraId="14329AAB" w14:textId="2D839855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Chen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MQ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BH.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efficacy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toxicities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lobaplatin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first-line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chemotherapy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lastRenderedPageBreak/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Thorac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Dis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2015;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7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1749-1755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26623097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10.3978/j.issn.2072-1439.2015.10.23]</w:t>
      </w:r>
    </w:p>
    <w:p w14:paraId="746449CA" w14:textId="47F2A16A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Chen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J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Intensity-modulated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platinum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treatment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regimens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20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411-419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28779422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10.1007/s12094-017-1734-y]</w:t>
      </w:r>
    </w:p>
    <w:p w14:paraId="466FC903" w14:textId="323E8C72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Kitagawa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Y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Uno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Oyama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Kawakubo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Kawamura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Kusano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Kuwano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Takeuchi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Toh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Doki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Naomoto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Nemoto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Booka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Matsubara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Miyazaki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Muto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Yanagisawa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Yoshida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practice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guidelines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edited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Japan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Society: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part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Esophagus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2019;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16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1-24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30171413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10.1007/s10388-018-0641-9]</w:t>
      </w:r>
    </w:p>
    <w:p w14:paraId="497F5108" w14:textId="3B04AD14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Ishida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K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Yamamoto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Ide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Shinoda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Phase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study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cisplatin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5-fluorouracil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concurrent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esophagus: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Japan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Oncology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(JEOG)/Japan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Clinical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Oncology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trial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(JCOG9516).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2004;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34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615-619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15591460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10.1093/</w:t>
      </w:r>
      <w:proofErr w:type="spellStart"/>
      <w:r w:rsidRPr="007416CE">
        <w:rPr>
          <w:rFonts w:ascii="Book Antiqua" w:hAnsi="Book Antiqua"/>
          <w:color w:val="000000" w:themeColor="text1"/>
        </w:rPr>
        <w:t>jjco</w:t>
      </w:r>
      <w:proofErr w:type="spellEnd"/>
      <w:r w:rsidRPr="007416CE">
        <w:rPr>
          <w:rFonts w:ascii="Book Antiqua" w:hAnsi="Book Antiqua"/>
          <w:color w:val="000000" w:themeColor="text1"/>
        </w:rPr>
        <w:t>/hyh107]</w:t>
      </w:r>
    </w:p>
    <w:p w14:paraId="34546AB0" w14:textId="24405592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20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b/>
          <w:bCs/>
          <w:color w:val="000000" w:themeColor="text1"/>
        </w:rPr>
        <w:t>Sudo</w:t>
      </w:r>
      <w:proofErr w:type="spellEnd"/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K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Kuwabara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Sasaki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Takahashi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Shoji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Iwasa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Honma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Okita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Takashima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Hamaguchi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Yamada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Itami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Fukuda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Tobinai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Boku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Patterns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Relapse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after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Definitive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Chemoradiotherapy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Stage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II/III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(Non-T4)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Oncology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94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47-54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29080886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10.1159/000480515]</w:t>
      </w:r>
    </w:p>
    <w:bookmarkEnd w:id="2"/>
    <w:p w14:paraId="03BA63D2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34F1DB67" w14:textId="11479F63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026D65" w:rsidRPr="007416C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7ABD22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8B69C77" w14:textId="6910C63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reviewed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People's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Liberation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Army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(PLA)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Hospital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Institutional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Review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Board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(Approval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S2016-099-02).</w:t>
      </w:r>
    </w:p>
    <w:p w14:paraId="009D5647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2937DA" w14:textId="11E916E7" w:rsidR="0043797D" w:rsidRPr="007416CE" w:rsidRDefault="0043797D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</w:rPr>
      </w:pPr>
      <w:r w:rsidRPr="007416CE">
        <w:rPr>
          <w:rFonts w:ascii="Book Antiqua" w:hAnsi="Book Antiqua"/>
          <w:b/>
          <w:color w:val="000000" w:themeColor="text1"/>
        </w:rPr>
        <w:t>Clinical</w:t>
      </w:r>
      <w:r w:rsidR="007D651C">
        <w:rPr>
          <w:rFonts w:ascii="Book Antiqua" w:hAnsi="Book Antiqua"/>
          <w:b/>
          <w:color w:val="000000" w:themeColor="text1"/>
        </w:rPr>
        <w:t xml:space="preserve"> </w:t>
      </w:r>
      <w:r w:rsidRPr="007416CE">
        <w:rPr>
          <w:rFonts w:ascii="Book Antiqua" w:hAnsi="Book Antiqua"/>
          <w:b/>
          <w:color w:val="000000" w:themeColor="text1"/>
        </w:rPr>
        <w:t>trial</w:t>
      </w:r>
      <w:r w:rsidR="007D651C">
        <w:rPr>
          <w:rFonts w:ascii="Book Antiqua" w:hAnsi="Book Antiqua"/>
          <w:b/>
          <w:color w:val="000000" w:themeColor="text1"/>
        </w:rPr>
        <w:t xml:space="preserve"> </w:t>
      </w:r>
      <w:r w:rsidRPr="007416CE">
        <w:rPr>
          <w:rFonts w:ascii="Book Antiqua" w:hAnsi="Book Antiqua"/>
          <w:b/>
          <w:color w:val="000000" w:themeColor="text1"/>
        </w:rPr>
        <w:t>registration</w:t>
      </w:r>
      <w:r w:rsidR="007D651C">
        <w:rPr>
          <w:rFonts w:ascii="Book Antiqua" w:hAnsi="Book Antiqua"/>
          <w:b/>
          <w:color w:val="000000" w:themeColor="text1"/>
        </w:rPr>
        <w:t xml:space="preserve"> </w:t>
      </w:r>
      <w:r w:rsidRPr="007416CE">
        <w:rPr>
          <w:rFonts w:ascii="Book Antiqua" w:hAnsi="Book Antiqua"/>
          <w:b/>
          <w:color w:val="000000" w:themeColor="text1"/>
        </w:rPr>
        <w:t>statement</w:t>
      </w:r>
      <w:r w:rsidRPr="007416CE">
        <w:rPr>
          <w:rFonts w:ascii="Book Antiqua" w:hAnsi="Book Antiqua"/>
          <w:b/>
          <w:bCs/>
          <w:iCs/>
          <w:color w:val="000000" w:themeColor="text1"/>
        </w:rPr>
        <w:t>:</w:t>
      </w:r>
      <w:r w:rsidR="007D651C">
        <w:rPr>
          <w:rFonts w:ascii="Book Antiqua" w:hAnsi="Book Antiqua"/>
          <w:b/>
          <w:bCs/>
          <w:iCs/>
          <w:color w:val="000000" w:themeColor="text1"/>
        </w:rPr>
        <w:t xml:space="preserve"> </w:t>
      </w:r>
      <w:r w:rsidRPr="007416CE">
        <w:rPr>
          <w:rFonts w:ascii="Book Antiqua" w:hAnsi="Book Antiqua"/>
        </w:rPr>
        <w:t>This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study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is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registered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at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Chinese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Clinical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Trial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Registry.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The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registration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identification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number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is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  <w:iCs/>
          <w:color w:val="000000" w:themeColor="text1"/>
        </w:rPr>
        <w:t>ChiCTR1900025080</w:t>
      </w:r>
      <w:r w:rsidRPr="007416CE">
        <w:rPr>
          <w:rFonts w:ascii="Book Antiqua" w:hAnsi="Book Antiqua"/>
        </w:rPr>
        <w:t>.</w:t>
      </w:r>
    </w:p>
    <w:p w14:paraId="3A661106" w14:textId="77777777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/>
        </w:rPr>
      </w:pPr>
    </w:p>
    <w:p w14:paraId="032BB890" w14:textId="6D345FE6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416CE">
        <w:rPr>
          <w:rFonts w:ascii="Book Antiqua" w:hAnsi="Book Antiqua"/>
          <w:b/>
          <w:bCs/>
          <w:iCs/>
          <w:color w:val="000000"/>
        </w:rPr>
        <w:t>Informed</w:t>
      </w:r>
      <w:r w:rsidR="007D651C">
        <w:rPr>
          <w:rFonts w:ascii="Book Antiqua" w:hAnsi="Book Antiqua"/>
          <w:b/>
          <w:bCs/>
          <w:iCs/>
          <w:color w:val="000000"/>
        </w:rPr>
        <w:t xml:space="preserve"> </w:t>
      </w:r>
      <w:r w:rsidRPr="007416CE">
        <w:rPr>
          <w:rFonts w:ascii="Book Antiqua" w:hAnsi="Book Antiqua"/>
          <w:b/>
          <w:bCs/>
          <w:iCs/>
          <w:color w:val="000000"/>
        </w:rPr>
        <w:t>consent</w:t>
      </w:r>
      <w:r w:rsidR="007D651C">
        <w:rPr>
          <w:rFonts w:ascii="Book Antiqua" w:hAnsi="Book Antiqua"/>
          <w:b/>
          <w:bCs/>
          <w:iCs/>
          <w:color w:val="000000"/>
        </w:rPr>
        <w:t xml:space="preserve"> </w:t>
      </w:r>
      <w:r w:rsidRPr="007416CE">
        <w:rPr>
          <w:rFonts w:ascii="Book Antiqua" w:hAnsi="Book Antiqua"/>
          <w:b/>
          <w:bCs/>
          <w:iCs/>
          <w:color w:val="000000"/>
        </w:rPr>
        <w:t>statement</w:t>
      </w:r>
      <w:r w:rsidRPr="007416CE">
        <w:rPr>
          <w:rFonts w:ascii="Book Antiqua" w:hAnsi="Book Antiqua"/>
          <w:b/>
          <w:bCs/>
          <w:iCs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hAnsi="Book Antiqua"/>
        </w:rPr>
        <w:t>All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study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participants,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or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their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legal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guardian,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provided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informed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written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consent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prior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to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study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enrollment.</w:t>
      </w:r>
    </w:p>
    <w:p w14:paraId="4D47D26D" w14:textId="77777777" w:rsidR="006103F5" w:rsidRPr="007416CE" w:rsidRDefault="006103F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70DF02" w14:textId="09DE635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stateme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nt: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E77B6"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C805E2">
        <w:rPr>
          <w:rFonts w:ascii="Book Antiqua" w:eastAsia="Book Antiqua" w:hAnsi="Book Antiqua" w:cs="Book Antiqua"/>
          <w:color w:val="000000" w:themeColor="text1"/>
        </w:rPr>
        <w:t>ne</w:t>
      </w:r>
      <w:r w:rsidR="005E77B6" w:rsidRPr="007416CE">
        <w:rPr>
          <w:rFonts w:ascii="Book Antiqua" w:eastAsia="Book Antiqua" w:hAnsi="Book Antiqua" w:cs="Book Antiqua"/>
          <w:color w:val="000000" w:themeColor="text1"/>
        </w:rPr>
        <w:t>.</w:t>
      </w:r>
    </w:p>
    <w:p w14:paraId="5D28117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334AE3" w14:textId="0F067DA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Technical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appendix,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statistical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code,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dataset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available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from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corresponding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author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email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address.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Participants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gave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informed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consent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sharing.</w:t>
      </w:r>
    </w:p>
    <w:p w14:paraId="62556230" w14:textId="77777777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E09D4C" w14:textId="383D9D50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416CE">
        <w:rPr>
          <w:rFonts w:ascii="Book Antiqua" w:hAnsi="Book Antiqua"/>
          <w:b/>
        </w:rPr>
        <w:t>CONSORT</w:t>
      </w:r>
      <w:r w:rsidR="007D651C">
        <w:rPr>
          <w:rFonts w:ascii="Book Antiqua" w:hAnsi="Book Antiqua"/>
          <w:b/>
        </w:rPr>
        <w:t xml:space="preserve"> </w:t>
      </w:r>
      <w:r w:rsidRPr="007416CE">
        <w:rPr>
          <w:rFonts w:ascii="Book Antiqua" w:hAnsi="Book Antiqua"/>
          <w:b/>
        </w:rPr>
        <w:t>2010</w:t>
      </w:r>
      <w:r w:rsidR="007D651C">
        <w:rPr>
          <w:rFonts w:ascii="Book Antiqua" w:hAnsi="Book Antiqua"/>
          <w:b/>
        </w:rPr>
        <w:t xml:space="preserve"> </w:t>
      </w:r>
      <w:r w:rsidRPr="007416CE">
        <w:rPr>
          <w:rFonts w:ascii="Book Antiqua" w:hAnsi="Book Antiqua"/>
          <w:b/>
        </w:rPr>
        <w:t>statement:</w:t>
      </w:r>
      <w:r w:rsidR="007D651C">
        <w:rPr>
          <w:rFonts w:ascii="Book Antiqua" w:hAnsi="Book Antiqua"/>
          <w:b/>
          <w:lang w:eastAsia="zh-CN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The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authors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have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read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the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CONSORT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2010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statement,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and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the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manuscript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was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prepared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and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revised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according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to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the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CONSORT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2010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statement.</w:t>
      </w:r>
    </w:p>
    <w:p w14:paraId="66A93CA6" w14:textId="77777777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B78654B" w14:textId="3B2BE0B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article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open-access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article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selected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in-house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editor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peer-reviewed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external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reviewers.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distributed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accordance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Creative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Attribution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BY-NC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4.0)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license,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permits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distribute,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remix,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adapt,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non-commercially,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license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their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derivative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works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different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terms,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provided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original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properly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cited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non-commercial.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See: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54D2F3D8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E17A37" w14:textId="12964E29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Unsolicited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7B6" w:rsidRPr="007416CE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541A542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1BB457" w14:textId="41767A09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lastRenderedPageBreak/>
        <w:t>Peer-review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June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2021</w:t>
      </w:r>
    </w:p>
    <w:p w14:paraId="6EE2225A" w14:textId="56C7E353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July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16,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2021</w:t>
      </w:r>
    </w:p>
    <w:p w14:paraId="744CD219" w14:textId="72CB931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2250F94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D37C68" w14:textId="18B4B915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Oncology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6585AE1" w14:textId="62603228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China</w:t>
      </w:r>
    </w:p>
    <w:p w14:paraId="26A32CF3" w14:textId="40457AD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5D003D7E" w14:textId="1A35579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(Excellent):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</w:p>
    <w:p w14:paraId="6D43F518" w14:textId="5C43DCF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good):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</w:t>
      </w:r>
    </w:p>
    <w:p w14:paraId="631E9041" w14:textId="55F68A8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(Good):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</w:t>
      </w:r>
    </w:p>
    <w:p w14:paraId="2690F53E" w14:textId="3DE9A095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(Fair):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</w:t>
      </w:r>
    </w:p>
    <w:p w14:paraId="221D0705" w14:textId="08B466C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(Poor):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</w:t>
      </w:r>
    </w:p>
    <w:p w14:paraId="4EA306D5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4A062C" w14:textId="7CE6933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Gurland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Werdana</w:t>
      </w:r>
      <w:proofErr w:type="spellEnd"/>
      <w:proofErr w:type="gram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VAP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JL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L-Ed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itor: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805E2" w:rsidRPr="004733FF">
        <w:rPr>
          <w:rFonts w:ascii="Book Antiqua" w:eastAsia="Book Antiqua" w:hAnsi="Book Antiqua" w:cs="Book Antiqua"/>
          <w:color w:val="000000" w:themeColor="text1"/>
        </w:rPr>
        <w:t>Wang TQ</w:t>
      </w:r>
      <w:r w:rsidR="00C805E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0F4B72E" w14:textId="77245A24" w:rsidR="00FF6FB5" w:rsidRPr="007416CE" w:rsidRDefault="00FF6FB5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2FFDACA" w14:textId="77777777" w:rsidR="00C96750" w:rsidRPr="007416CE" w:rsidRDefault="00C96750" w:rsidP="007416C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1217A45B" w14:textId="011FA5C0" w:rsidR="00FF6FB5" w:rsidRPr="007416CE" w:rsidRDefault="00C96750" w:rsidP="007416C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7416CE"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  <w:r w:rsidR="00FF6FB5" w:rsidRPr="007416CE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</w:t>
      </w:r>
      <w:r w:rsidR="007D651C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FF6FB5" w:rsidRPr="007416CE">
        <w:rPr>
          <w:rFonts w:ascii="Book Antiqua" w:hAnsi="Book Antiqua" w:cs="Book Antiqua"/>
          <w:b/>
          <w:color w:val="000000" w:themeColor="text1"/>
          <w:lang w:eastAsia="zh-CN"/>
        </w:rPr>
        <w:t>Legends</w:t>
      </w:r>
    </w:p>
    <w:p w14:paraId="1C3AFB80" w14:textId="44C2A48A" w:rsidR="00C96750" w:rsidRPr="007416CE" w:rsidRDefault="00C96750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7416CE">
        <w:rPr>
          <w:rFonts w:ascii="Book Antiqua" w:hAnsi="Book Antiqua"/>
          <w:noProof/>
          <w:lang w:eastAsia="zh-CN"/>
        </w:rPr>
        <w:drawing>
          <wp:inline distT="0" distB="0" distL="0" distR="0" wp14:anchorId="7A2F1347" wp14:editId="787192A0">
            <wp:extent cx="5349922" cy="357918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5049" cy="358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481C" w14:textId="70BCF651" w:rsidR="00C96750" w:rsidRPr="007416CE" w:rsidRDefault="00C96750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7416CE">
        <w:rPr>
          <w:rFonts w:ascii="Book Antiqua" w:hAnsi="Book Antiqua"/>
          <w:noProof/>
          <w:lang w:eastAsia="zh-CN"/>
        </w:rPr>
        <w:drawing>
          <wp:inline distT="0" distB="0" distL="0" distR="0" wp14:anchorId="1C427797" wp14:editId="4E1E226A">
            <wp:extent cx="5404513" cy="329929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4730" cy="33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2A5B" w14:textId="4F715E27" w:rsidR="00C96750" w:rsidRPr="007416CE" w:rsidRDefault="00C96750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Figure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1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Cumulative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survival.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hAnsi="Book Antiqua"/>
        </w:rPr>
        <w:t>1-year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PFS: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survival;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OS: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survival.</w:t>
      </w:r>
    </w:p>
    <w:p w14:paraId="33FD7F29" w14:textId="6CBFA6EC" w:rsidR="007E16BB" w:rsidRPr="007416CE" w:rsidRDefault="007E16BB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0F739084" w14:textId="018B65D6" w:rsidR="007E16BB" w:rsidRPr="007416CE" w:rsidRDefault="007E16BB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7416CE">
        <w:rPr>
          <w:rFonts w:ascii="Book Antiqua" w:hAnsi="Book Antiqua"/>
          <w:b/>
          <w:bCs/>
          <w:noProof/>
          <w:color w:val="000000" w:themeColor="text1"/>
          <w:lang w:eastAsia="zh-CN"/>
        </w:rPr>
        <w:drawing>
          <wp:inline distT="0" distB="0" distL="0" distR="0" wp14:anchorId="031E58AA" wp14:editId="5BDE805E">
            <wp:extent cx="5943600" cy="222313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7684" w14:textId="242FC3C4" w:rsidR="007E16BB" w:rsidRPr="007416CE" w:rsidRDefault="007E16BB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Figure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2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Multivariate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Cox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analysis.</w:t>
      </w:r>
    </w:p>
    <w:p w14:paraId="06BB733E" w14:textId="77777777" w:rsidR="007416CE" w:rsidRPr="007416CE" w:rsidRDefault="007416C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p w14:paraId="0063FA9F" w14:textId="6403E33C" w:rsidR="007416CE" w:rsidRPr="007D651C" w:rsidRDefault="007416C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7D651C">
        <w:rPr>
          <w:rFonts w:ascii="Book Antiqua" w:hAnsi="Book Antiqua"/>
          <w:b/>
          <w:color w:val="000000"/>
        </w:rPr>
        <w:t>Table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1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Basel</w:t>
      </w:r>
      <w:bookmarkStart w:id="3" w:name="_GoBack"/>
      <w:r w:rsidRPr="007D651C">
        <w:rPr>
          <w:rFonts w:ascii="Book Antiqua" w:hAnsi="Book Antiqua"/>
          <w:b/>
          <w:color w:val="000000"/>
        </w:rPr>
        <w:t>ine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characteristics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of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patients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1947"/>
      </w:tblGrid>
      <w:tr w:rsidR="007416CE" w:rsidRPr="007416CE" w14:paraId="46E472E3" w14:textId="77777777" w:rsidTr="001C7E2D">
        <w:trPr>
          <w:trHeight w:val="286"/>
        </w:trPr>
        <w:tc>
          <w:tcPr>
            <w:tcW w:w="39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D30" w14:textId="339637BB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b/>
                <w:bCs/>
                <w:color w:val="000000"/>
              </w:rPr>
            </w:pPr>
            <w:bookmarkStart w:id="4" w:name="OLE_LINK65"/>
            <w:bookmarkStart w:id="5" w:name="OLE_LINK66"/>
            <w:bookmarkStart w:id="6" w:name="OLE_LINK155"/>
            <w:r w:rsidRPr="007416CE">
              <w:rPr>
                <w:rFonts w:ascii="Book Antiqua" w:hAnsi="Book Antiqua"/>
                <w:b/>
                <w:bCs/>
                <w:color w:val="000000"/>
              </w:rPr>
              <w:t>Feature</w:t>
            </w:r>
          </w:p>
        </w:tc>
        <w:tc>
          <w:tcPr>
            <w:tcW w:w="10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F302" w14:textId="77627E2E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b/>
                <w:bCs/>
                <w:color w:val="000000"/>
              </w:rPr>
            </w:pPr>
            <w:proofErr w:type="gramStart"/>
            <w:r w:rsidRPr="007416CE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proofErr w:type="gramEnd"/>
            <w:r w:rsidR="007D651C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</w:tr>
      <w:tr w:rsidR="007416CE" w:rsidRPr="007416CE" w14:paraId="32E9E5D4" w14:textId="77777777" w:rsidTr="001C7E2D">
        <w:trPr>
          <w:trHeight w:val="286"/>
        </w:trPr>
        <w:tc>
          <w:tcPr>
            <w:tcW w:w="396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183C2A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Gender</w:t>
            </w:r>
          </w:p>
        </w:tc>
        <w:tc>
          <w:tcPr>
            <w:tcW w:w="104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C8FEF5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416CE" w:rsidRPr="007416CE" w14:paraId="4C3DD65F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5222D446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ind w:leftChars="100" w:left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D366E9A" w14:textId="5804A28E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29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(100)</w:t>
            </w:r>
          </w:p>
        </w:tc>
      </w:tr>
      <w:tr w:rsidR="007416CE" w:rsidRPr="007416CE" w14:paraId="09A6A262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7B55DED6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ind w:leftChars="100" w:left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Female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852C043" w14:textId="6B840354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(0)</w:t>
            </w:r>
          </w:p>
        </w:tc>
      </w:tr>
      <w:tr w:rsidR="007416CE" w:rsidRPr="007416CE" w14:paraId="6174DBA1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58B04D7C" w14:textId="3FF84294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Age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[</w:t>
            </w:r>
            <w:proofErr w:type="spellStart"/>
            <w:r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7416CE">
              <w:rPr>
                <w:rFonts w:ascii="Book Antiqua" w:hAnsi="Book Antiqua"/>
                <w:color w:val="000000"/>
              </w:rPr>
              <w:t>;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median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</w:t>
            </w:r>
            <w:r w:rsidRPr="007416CE">
              <w:rPr>
                <w:rFonts w:ascii="Book Antiqua" w:hAnsi="Book Antiqua"/>
                <w:color w:val="000000"/>
              </w:rPr>
              <w:t>range</w:t>
            </w:r>
            <w:r>
              <w:rPr>
                <w:rFonts w:ascii="Book Antiqua" w:hAnsi="Book Antiqua"/>
                <w:color w:val="000000"/>
              </w:rPr>
              <w:t>)</w:t>
            </w:r>
            <w:r w:rsidRPr="007416CE">
              <w:rPr>
                <w:rFonts w:ascii="Book Antiqua" w:hAnsi="Book Antiqua"/>
                <w:color w:val="000000"/>
              </w:rPr>
              <w:t>]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997D9D" w14:textId="1CDDD385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62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(56,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65)</w:t>
            </w:r>
          </w:p>
        </w:tc>
      </w:tr>
      <w:tr w:rsidR="007416CE" w:rsidRPr="007416CE" w14:paraId="6C726D07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5B1AA965" w14:textId="2B9DD13F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Clinical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stage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8E175D6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416CE" w:rsidRPr="007416CE" w14:paraId="67D6A3CD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7CCDA105" w14:textId="7A423441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7A74A34" w14:textId="3EC7326B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15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(51.7)</w:t>
            </w:r>
          </w:p>
        </w:tc>
      </w:tr>
      <w:tr w:rsidR="007416CE" w:rsidRPr="007416CE" w14:paraId="34B0EDD1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3056D381" w14:textId="7C06EA3D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IV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DFCC226" w14:textId="5AEFB933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14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(48.3)</w:t>
            </w:r>
          </w:p>
        </w:tc>
      </w:tr>
      <w:tr w:rsidR="007416CE" w:rsidRPr="007416CE" w14:paraId="743E9F58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02A045BE" w14:textId="6713578A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Tumor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location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9A04331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416CE" w:rsidRPr="007416CE" w14:paraId="6B15F0AC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2173DD12" w14:textId="6AA6162F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Upper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bottom"/>
          </w:tcPr>
          <w:p w14:paraId="74F4B6CE" w14:textId="2F7E7C4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(20.7)</w:t>
            </w:r>
          </w:p>
        </w:tc>
      </w:tr>
      <w:tr w:rsidR="007416CE" w:rsidRPr="007416CE" w14:paraId="5EE8FEFD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43BEEFCB" w14:textId="437EB5AF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Upper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part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o</w:t>
            </w:r>
            <w:r w:rsidRPr="007416CE">
              <w:rPr>
                <w:rFonts w:ascii="Book Antiqua" w:hAnsi="Book Antiqua"/>
                <w:color w:val="000000"/>
                <w:lang w:eastAsia="zh-CN"/>
              </w:rPr>
              <w:t>f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middle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bottom"/>
          </w:tcPr>
          <w:p w14:paraId="0F021B96" w14:textId="5B040F41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(10.3)</w:t>
            </w:r>
          </w:p>
        </w:tc>
      </w:tr>
      <w:tr w:rsidR="007416CE" w:rsidRPr="007416CE" w14:paraId="2FD061EB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2B8B2446" w14:textId="6922CBF5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Middle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3FB6EA5" w14:textId="0C709899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(20.7)</w:t>
            </w:r>
          </w:p>
        </w:tc>
      </w:tr>
      <w:tr w:rsidR="007416CE" w:rsidRPr="007416CE" w14:paraId="462580A2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68495421" w14:textId="27F4736E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Lower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part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of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middle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02D5512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8(27.6</w:t>
            </w:r>
            <w:r w:rsidRPr="007416CE">
              <w:rPr>
                <w:rFonts w:ascii="Book Antiqua" w:hAnsi="Book Antiqua"/>
                <w:color w:val="000000"/>
              </w:rPr>
              <w:t>）</w:t>
            </w:r>
          </w:p>
        </w:tc>
      </w:tr>
      <w:tr w:rsidR="007416CE" w:rsidRPr="007416CE" w14:paraId="74EBAA9A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27C4B2AD" w14:textId="74ABF530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Lower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00758EF" w14:textId="484CCA6E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(20.7)</w:t>
            </w:r>
          </w:p>
        </w:tc>
      </w:tr>
      <w:bookmarkEnd w:id="4"/>
      <w:bookmarkEnd w:id="5"/>
      <w:bookmarkEnd w:id="6"/>
    </w:tbl>
    <w:p w14:paraId="0FFCD7B9" w14:textId="77777777" w:rsidR="007416CE" w:rsidRPr="007416CE" w:rsidRDefault="007416C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EC9EC2" w14:textId="77777777" w:rsidR="007416CE" w:rsidRPr="007416CE" w:rsidRDefault="007416C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766F00" w14:textId="1EBB5D22" w:rsidR="007416CE" w:rsidRPr="001C7E2D" w:rsidRDefault="007416CE" w:rsidP="001C7E2D">
      <w:pPr>
        <w:pStyle w:val="A5"/>
        <w:adjustRightInd w:val="0"/>
        <w:snapToGrid w:val="0"/>
        <w:spacing w:line="360" w:lineRule="auto"/>
        <w:rPr>
          <w:rFonts w:ascii="Book Antiqua" w:eastAsia="宋体" w:hAnsi="Book Antiqua" w:cs="Times New Roman" w:hint="default"/>
          <w:b/>
          <w:color w:val="auto"/>
          <w:sz w:val="24"/>
          <w:szCs w:val="24"/>
          <w:lang w:eastAsia="zh-CN"/>
        </w:rPr>
      </w:pPr>
      <w:r w:rsidRPr="001C7E2D">
        <w:rPr>
          <w:rFonts w:ascii="Book Antiqua" w:hAnsi="Book Antiqua" w:cs="Times New Roman" w:hint="default"/>
          <w:b/>
          <w:sz w:val="24"/>
          <w:szCs w:val="24"/>
        </w:rPr>
        <w:lastRenderedPageBreak/>
        <w:t>Table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Pr="001C7E2D">
        <w:rPr>
          <w:rFonts w:ascii="Book Antiqua" w:hAnsi="Book Antiqua" w:cs="Times New Roman" w:hint="default"/>
          <w:b/>
          <w:sz w:val="24"/>
          <w:szCs w:val="24"/>
          <w:lang w:eastAsia="zh-CN"/>
        </w:rPr>
        <w:t>2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Pr="001C7E2D">
        <w:rPr>
          <w:rFonts w:ascii="Book Antiqua" w:hAnsi="Book Antiqua" w:cs="Times New Roman" w:hint="default"/>
          <w:b/>
          <w:sz w:val="24"/>
          <w:szCs w:val="24"/>
        </w:rPr>
        <w:t>Short-term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="00C805E2" w:rsidRPr="001C7E2D">
        <w:rPr>
          <w:rFonts w:ascii="Book Antiqua" w:hAnsi="Book Antiqua" w:cs="Times New Roman" w:hint="default"/>
          <w:b/>
          <w:sz w:val="24"/>
          <w:szCs w:val="24"/>
        </w:rPr>
        <w:t>efficac</w:t>
      </w:r>
      <w:r w:rsidR="00C805E2">
        <w:rPr>
          <w:rFonts w:ascii="Book Antiqua" w:hAnsi="Book Antiqua" w:cs="Times New Roman" w:hint="default"/>
          <w:b/>
          <w:sz w:val="24"/>
          <w:szCs w:val="24"/>
        </w:rPr>
        <w:t>y</w:t>
      </w:r>
      <w:r w:rsidR="001C7E2D">
        <w:rPr>
          <w:rFonts w:ascii="Book Antiqua" w:hAnsi="Book Antiqua" w:cs="Times New Roman" w:hint="default"/>
          <w:b/>
          <w:sz w:val="24"/>
          <w:szCs w:val="24"/>
        </w:rPr>
        <w:t>,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="001C7E2D" w:rsidRPr="001C7E2D">
        <w:rPr>
          <w:rFonts w:ascii="Book Antiqua" w:hAnsi="Book Antiqua" w:cs="Times New Roman" w:hint="default"/>
          <w:b/>
          <w:i/>
          <w:iCs/>
          <w:sz w:val="24"/>
          <w:szCs w:val="24"/>
        </w:rPr>
        <w:t>n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="001C7E2D">
        <w:rPr>
          <w:rFonts w:ascii="Book Antiqua" w:hAnsi="Book Antiqua" w:cs="Times New Roman" w:hint="default"/>
          <w:b/>
          <w:sz w:val="24"/>
          <w:szCs w:val="24"/>
        </w:rPr>
        <w:t>(%)</w:t>
      </w:r>
    </w:p>
    <w:tbl>
      <w:tblPr>
        <w:tblStyle w:val="a6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4002"/>
        <w:gridCol w:w="4000"/>
      </w:tblGrid>
      <w:tr w:rsidR="007416CE" w:rsidRPr="007416CE" w14:paraId="1EDDCFF9" w14:textId="77777777" w:rsidTr="001C3164">
        <w:trPr>
          <w:jc w:val="center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528D359B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bookmarkStart w:id="7" w:name="OLE_LINK156"/>
            <w:bookmarkStart w:id="8" w:name="OLE_LINK157"/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</w:tcPr>
          <w:p w14:paraId="6E5EE1E3" w14:textId="1B00E52E" w:rsidR="007416CE" w:rsidRPr="00B21E8D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</w:pP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After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induction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chemotherapy</w:t>
            </w:r>
          </w:p>
        </w:tc>
        <w:tc>
          <w:tcPr>
            <w:tcW w:w="2137" w:type="pct"/>
            <w:tcBorders>
              <w:top w:val="single" w:sz="4" w:space="0" w:color="auto"/>
              <w:bottom w:val="single" w:sz="4" w:space="0" w:color="auto"/>
            </w:tcBorders>
          </w:tcPr>
          <w:p w14:paraId="0882D97A" w14:textId="074B7484" w:rsidR="007416CE" w:rsidRPr="00B21E8D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</w:pP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After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induction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chemotherapy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+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concurrent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radiochemotherapy</w:t>
            </w:r>
            <w:proofErr w:type="spellEnd"/>
          </w:p>
        </w:tc>
      </w:tr>
      <w:tr w:rsidR="007416CE" w:rsidRPr="007416CE" w14:paraId="6904982F" w14:textId="77777777" w:rsidTr="001C3164">
        <w:trPr>
          <w:jc w:val="center"/>
        </w:trPr>
        <w:tc>
          <w:tcPr>
            <w:tcW w:w="725" w:type="pct"/>
            <w:tcBorders>
              <w:top w:val="single" w:sz="4" w:space="0" w:color="auto"/>
            </w:tcBorders>
          </w:tcPr>
          <w:p w14:paraId="3E805534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  <w:t>ORR</w:t>
            </w:r>
          </w:p>
        </w:tc>
        <w:tc>
          <w:tcPr>
            <w:tcW w:w="2138" w:type="pct"/>
            <w:tcBorders>
              <w:top w:val="single" w:sz="4" w:space="0" w:color="auto"/>
            </w:tcBorders>
          </w:tcPr>
          <w:p w14:paraId="5C518C3F" w14:textId="43BA88E0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16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="001C7E2D"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="001C7E2D" w:rsidRPr="007416CE">
              <w:rPr>
                <w:rFonts w:ascii="Book Antiqua" w:hAnsi="Book Antiqua" w:cs="Times New Roman" w:hint="default"/>
                <w:sz w:val="24"/>
                <w:szCs w:val="24"/>
              </w:rPr>
              <w:t>61.54</w:t>
            </w:r>
            <w:r w:rsidR="001C7E2D"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  <w:tc>
          <w:tcPr>
            <w:tcW w:w="2137" w:type="pct"/>
            <w:tcBorders>
              <w:top w:val="single" w:sz="4" w:space="0" w:color="auto"/>
            </w:tcBorders>
            <w:vAlign w:val="center"/>
          </w:tcPr>
          <w:p w14:paraId="3F7E3D5B" w14:textId="3815D4A8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20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="006C0025"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="006C0025" w:rsidRPr="007416CE">
              <w:rPr>
                <w:rFonts w:ascii="Book Antiqua" w:hAnsi="Book Antiqua" w:cs="Times New Roman" w:hint="default"/>
                <w:sz w:val="24"/>
                <w:szCs w:val="24"/>
              </w:rPr>
              <w:t>76.92</w:t>
            </w:r>
            <w:r w:rsidR="006C0025"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</w:tr>
      <w:tr w:rsidR="007416CE" w:rsidRPr="007416CE" w14:paraId="3EAB14B0" w14:textId="77777777" w:rsidTr="001C3164">
        <w:trPr>
          <w:jc w:val="center"/>
        </w:trPr>
        <w:tc>
          <w:tcPr>
            <w:tcW w:w="725" w:type="pct"/>
          </w:tcPr>
          <w:p w14:paraId="704F31E4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  <w:t>PR</w:t>
            </w:r>
          </w:p>
        </w:tc>
        <w:tc>
          <w:tcPr>
            <w:tcW w:w="2138" w:type="pct"/>
          </w:tcPr>
          <w:p w14:paraId="2939EA78" w14:textId="6F05A4A1" w:rsidR="007416CE" w:rsidRPr="007416CE" w:rsidRDefault="001C7E2D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16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61.54</w:t>
            </w:r>
            <w:r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  <w:tc>
          <w:tcPr>
            <w:tcW w:w="2137" w:type="pct"/>
            <w:vAlign w:val="center"/>
          </w:tcPr>
          <w:p w14:paraId="2DE4D423" w14:textId="2B7E40B4" w:rsidR="007416CE" w:rsidRPr="007416CE" w:rsidRDefault="006C0025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20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76.92</w:t>
            </w:r>
            <w:r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</w:tr>
      <w:tr w:rsidR="007416CE" w:rsidRPr="007416CE" w14:paraId="134B6AE3" w14:textId="77777777" w:rsidTr="001C3164">
        <w:trPr>
          <w:jc w:val="center"/>
        </w:trPr>
        <w:tc>
          <w:tcPr>
            <w:tcW w:w="725" w:type="pct"/>
          </w:tcPr>
          <w:p w14:paraId="444572D6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  <w:t>SD</w:t>
            </w:r>
          </w:p>
        </w:tc>
        <w:tc>
          <w:tcPr>
            <w:tcW w:w="2138" w:type="pct"/>
          </w:tcPr>
          <w:p w14:paraId="37535FD9" w14:textId="7D762DA5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7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="001C7E2D"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="001C7E2D" w:rsidRPr="007416CE">
              <w:rPr>
                <w:rFonts w:ascii="Book Antiqua" w:hAnsi="Book Antiqua" w:cs="Times New Roman" w:hint="default"/>
                <w:sz w:val="24"/>
                <w:szCs w:val="24"/>
              </w:rPr>
              <w:t>26.92</w:t>
            </w:r>
            <w:r w:rsidR="001C7E2D"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  <w:tc>
          <w:tcPr>
            <w:tcW w:w="2137" w:type="pct"/>
            <w:vAlign w:val="center"/>
          </w:tcPr>
          <w:p w14:paraId="1490D516" w14:textId="6517A79A" w:rsidR="007416CE" w:rsidRPr="007416CE" w:rsidRDefault="006C0025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3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(11.54)</w:t>
            </w:r>
          </w:p>
        </w:tc>
      </w:tr>
      <w:tr w:rsidR="007416CE" w:rsidRPr="007416CE" w14:paraId="590348F5" w14:textId="77777777" w:rsidTr="001C3164">
        <w:trPr>
          <w:jc w:val="center"/>
        </w:trPr>
        <w:tc>
          <w:tcPr>
            <w:tcW w:w="725" w:type="pct"/>
          </w:tcPr>
          <w:p w14:paraId="4F503B4A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  <w:t>PD</w:t>
            </w:r>
          </w:p>
        </w:tc>
        <w:tc>
          <w:tcPr>
            <w:tcW w:w="2138" w:type="pct"/>
          </w:tcPr>
          <w:p w14:paraId="53FF61E5" w14:textId="405F0DD9" w:rsidR="007416CE" w:rsidRPr="007416CE" w:rsidRDefault="001C7E2D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3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="007416CE" w:rsidRPr="007416CE"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11.54</w:t>
            </w:r>
            <w:r w:rsidR="007416CE" w:rsidRPr="007416CE"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  <w:tc>
          <w:tcPr>
            <w:tcW w:w="2137" w:type="pct"/>
            <w:vAlign w:val="center"/>
          </w:tcPr>
          <w:p w14:paraId="075B6A22" w14:textId="2173CBC9" w:rsidR="007416CE" w:rsidRPr="007416CE" w:rsidRDefault="006C0025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3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(11.54)</w:t>
            </w:r>
          </w:p>
        </w:tc>
      </w:tr>
    </w:tbl>
    <w:tbl>
      <w:tblPr>
        <w:tblpPr w:leftFromText="180" w:rightFromText="180" w:vertAnchor="page" w:horzAnchor="margin" w:tblpY="6524"/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771"/>
        <w:gridCol w:w="3480"/>
      </w:tblGrid>
      <w:tr w:rsidR="001C3164" w:rsidRPr="007416CE" w14:paraId="5D51947D" w14:textId="77777777" w:rsidTr="00291AC7">
        <w:trPr>
          <w:trHeight w:val="286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</w:tcPr>
          <w:p w14:paraId="530393BB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bookmarkStart w:id="9" w:name="OLE_LINK158"/>
            <w:bookmarkStart w:id="10" w:name="OLE_LINK159"/>
            <w:bookmarkStart w:id="11" w:name="OLE_LINK162"/>
            <w:bookmarkEnd w:id="7"/>
            <w:bookmarkEnd w:id="8"/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743ED" w14:textId="5E89CDAA" w:rsidR="001C3164" w:rsidRPr="00291AC7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b/>
                <w:bCs/>
                <w:color w:val="000000"/>
              </w:rPr>
            </w:pPr>
            <w:r w:rsidRPr="00291AC7">
              <w:rPr>
                <w:rFonts w:ascii="Book Antiqua" w:hAnsi="Book Antiqua"/>
                <w:b/>
                <w:bCs/>
                <w:color w:val="000000"/>
              </w:rPr>
              <w:t>Grade</w:t>
            </w:r>
            <w:r w:rsidR="007D651C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1</w:t>
            </w:r>
            <w:r w:rsidR="007D651C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or</w:t>
            </w:r>
            <w:r w:rsidR="007D651C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2</w:t>
            </w:r>
            <w:r w:rsidR="007D651C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5B085" w14:textId="3B499BBB" w:rsidR="001C3164" w:rsidRPr="00291AC7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b/>
                <w:bCs/>
                <w:color w:val="000000"/>
              </w:rPr>
            </w:pPr>
            <w:r w:rsidRPr="00291AC7">
              <w:rPr>
                <w:rFonts w:ascii="Book Antiqua" w:hAnsi="Book Antiqua"/>
                <w:b/>
                <w:bCs/>
                <w:color w:val="000000"/>
              </w:rPr>
              <w:t>Grade</w:t>
            </w:r>
            <w:r w:rsidR="007D651C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3</w:t>
            </w:r>
            <w:r w:rsidR="007D651C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</w:tr>
      <w:tr w:rsidR="001C3164" w:rsidRPr="007416CE" w14:paraId="37134BB7" w14:textId="77777777" w:rsidTr="00291AC7">
        <w:trPr>
          <w:trHeight w:val="286"/>
        </w:trPr>
        <w:tc>
          <w:tcPr>
            <w:tcW w:w="1661" w:type="pct"/>
            <w:vAlign w:val="center"/>
          </w:tcPr>
          <w:p w14:paraId="1DBA65C4" w14:textId="14C7230D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Hematologic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toxicities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12DEC854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</w:p>
        </w:tc>
        <w:tc>
          <w:tcPr>
            <w:tcW w:w="1859" w:type="pct"/>
            <w:shd w:val="clear" w:color="auto" w:fill="auto"/>
            <w:vAlign w:val="center"/>
          </w:tcPr>
          <w:p w14:paraId="07B7F3DE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</w:p>
        </w:tc>
      </w:tr>
      <w:tr w:rsidR="001C3164" w:rsidRPr="007416CE" w14:paraId="2300EDB0" w14:textId="77777777" w:rsidTr="00291AC7">
        <w:trPr>
          <w:trHeight w:val="286"/>
        </w:trPr>
        <w:tc>
          <w:tcPr>
            <w:tcW w:w="1661" w:type="pct"/>
            <w:vAlign w:val="center"/>
          </w:tcPr>
          <w:p w14:paraId="7A4C6A91" w14:textId="632AF835" w:rsidR="001C3164" w:rsidRPr="007416CE" w:rsidRDefault="007D651C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  <w:lang w:eastAsia="zh-CN"/>
              </w:rPr>
              <w:t>A</w:t>
            </w:r>
            <w:r w:rsidR="001C3164" w:rsidRPr="007416CE">
              <w:rPr>
                <w:rFonts w:ascii="Book Antiqua" w:hAnsi="Book Antiqua"/>
                <w:color w:val="000000"/>
              </w:rPr>
              <w:t>nemia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60A13AA1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3.85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2453195E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1C3164" w:rsidRPr="007416CE" w14:paraId="65EB483B" w14:textId="77777777" w:rsidTr="00291AC7">
        <w:trPr>
          <w:trHeight w:val="286"/>
        </w:trPr>
        <w:tc>
          <w:tcPr>
            <w:tcW w:w="1661" w:type="pct"/>
          </w:tcPr>
          <w:p w14:paraId="75AB37CD" w14:textId="496F4CA9" w:rsidR="001C3164" w:rsidRPr="007416CE" w:rsidRDefault="007D651C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</w:rPr>
              <w:t>Leukopenia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44889C86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69.23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47E98DA2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10.35</w:t>
            </w:r>
          </w:p>
        </w:tc>
      </w:tr>
      <w:tr w:rsidR="001C3164" w:rsidRPr="007416CE" w14:paraId="24CABA3A" w14:textId="77777777" w:rsidTr="00291AC7">
        <w:trPr>
          <w:trHeight w:val="286"/>
        </w:trPr>
        <w:tc>
          <w:tcPr>
            <w:tcW w:w="1661" w:type="pct"/>
          </w:tcPr>
          <w:p w14:paraId="0E3EEB1C" w14:textId="204AA52D" w:rsidR="001C3164" w:rsidRPr="007416CE" w:rsidRDefault="007D651C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</w:rPr>
              <w:t>Neutropenia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1ECE4553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61.54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6A4644CF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6.9</w:t>
            </w:r>
          </w:p>
        </w:tc>
      </w:tr>
      <w:tr w:rsidR="001C3164" w:rsidRPr="007416CE" w14:paraId="0BB75DED" w14:textId="77777777" w:rsidTr="00291AC7">
        <w:trPr>
          <w:trHeight w:val="286"/>
        </w:trPr>
        <w:tc>
          <w:tcPr>
            <w:tcW w:w="1661" w:type="pct"/>
          </w:tcPr>
          <w:p w14:paraId="105714AC" w14:textId="73D5178F" w:rsidR="001C3164" w:rsidRPr="007416CE" w:rsidRDefault="007D651C" w:rsidP="001C3164">
            <w:pPr>
              <w:adjustRightInd w:val="0"/>
              <w:snapToGrid w:val="0"/>
              <w:spacing w:line="360" w:lineRule="auto"/>
              <w:ind w:left="120" w:hangingChars="50" w:hanging="12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</w:rPr>
              <w:t>Thrombocytopenia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77C0B68A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15.4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3727C4D8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1C3164" w:rsidRPr="007416CE" w14:paraId="1E65FD59" w14:textId="77777777" w:rsidTr="00291AC7">
        <w:trPr>
          <w:trHeight w:val="286"/>
        </w:trPr>
        <w:tc>
          <w:tcPr>
            <w:tcW w:w="1661" w:type="pct"/>
          </w:tcPr>
          <w:p w14:paraId="149AFD34" w14:textId="7EF39D31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Non-hematologic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toxicities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18F07EE6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</w:p>
        </w:tc>
        <w:tc>
          <w:tcPr>
            <w:tcW w:w="1859" w:type="pct"/>
            <w:shd w:val="clear" w:color="auto" w:fill="auto"/>
            <w:vAlign w:val="center"/>
          </w:tcPr>
          <w:p w14:paraId="5D40EA36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</w:p>
        </w:tc>
      </w:tr>
      <w:tr w:rsidR="001C3164" w:rsidRPr="007416CE" w14:paraId="029330EE" w14:textId="77777777" w:rsidTr="00291AC7">
        <w:trPr>
          <w:trHeight w:val="286"/>
        </w:trPr>
        <w:tc>
          <w:tcPr>
            <w:tcW w:w="1661" w:type="pct"/>
          </w:tcPr>
          <w:p w14:paraId="49B5101B" w14:textId="6822245D" w:rsidR="001C3164" w:rsidRPr="007416CE" w:rsidRDefault="007D651C" w:rsidP="001C3164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</w:rPr>
              <w:t>Decreased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="001C3164" w:rsidRPr="007416CE">
              <w:rPr>
                <w:rFonts w:ascii="Book Antiqua" w:hAnsi="Book Antiqua"/>
                <w:color w:val="000000"/>
              </w:rPr>
              <w:t>appetite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4237AE4E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13.79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6D26BFA6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1C3164" w:rsidRPr="007416CE" w14:paraId="76E5DED1" w14:textId="77777777" w:rsidTr="00291AC7">
        <w:trPr>
          <w:trHeight w:val="286"/>
        </w:trPr>
        <w:tc>
          <w:tcPr>
            <w:tcW w:w="1661" w:type="pct"/>
          </w:tcPr>
          <w:p w14:paraId="63C8C40B" w14:textId="32458FEC" w:rsidR="001C3164" w:rsidRPr="007416CE" w:rsidRDefault="007D651C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</w:rPr>
              <w:t>Fatigue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2815D2EF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13.79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6849EBBF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1C3164" w:rsidRPr="007416CE" w14:paraId="6412E82C" w14:textId="77777777" w:rsidTr="00291AC7">
        <w:trPr>
          <w:trHeight w:val="286"/>
        </w:trPr>
        <w:tc>
          <w:tcPr>
            <w:tcW w:w="1661" w:type="pct"/>
          </w:tcPr>
          <w:p w14:paraId="6BA1EF5C" w14:textId="5E71DC0D" w:rsidR="001C3164" w:rsidRPr="007416CE" w:rsidRDefault="007D651C" w:rsidP="001C3164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</w:rPr>
              <w:t>Radiation-induced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="001C3164" w:rsidRPr="007416CE">
              <w:rPr>
                <w:rFonts w:ascii="Book Antiqua" w:hAnsi="Book Antiqua"/>
                <w:color w:val="000000"/>
              </w:rPr>
              <w:t>esophagitis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3E688AF1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34.48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4BA71664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13.79</w:t>
            </w:r>
          </w:p>
        </w:tc>
      </w:tr>
      <w:tr w:rsidR="001C3164" w:rsidRPr="007416CE" w14:paraId="73B17266" w14:textId="77777777" w:rsidTr="00291AC7">
        <w:trPr>
          <w:trHeight w:val="286"/>
        </w:trPr>
        <w:tc>
          <w:tcPr>
            <w:tcW w:w="1661" w:type="pct"/>
          </w:tcPr>
          <w:p w14:paraId="4461C4C3" w14:textId="0676E2E3" w:rsidR="001C3164" w:rsidRPr="007416CE" w:rsidRDefault="007D651C" w:rsidP="001C3164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</w:rPr>
              <w:t>Decreased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="001C3164" w:rsidRPr="007416CE">
              <w:rPr>
                <w:rFonts w:ascii="Book Antiqua" w:hAnsi="Book Antiqua"/>
                <w:color w:val="000000"/>
              </w:rPr>
              <w:t>body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="001C3164" w:rsidRPr="007416CE">
              <w:rPr>
                <w:rFonts w:ascii="Book Antiqua" w:hAnsi="Book Antiqua"/>
                <w:color w:val="000000"/>
              </w:rPr>
              <w:t>weight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75C65271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3.45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54559E94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1C3164" w:rsidRPr="007416CE" w14:paraId="04EDB283" w14:textId="77777777" w:rsidTr="00291AC7">
        <w:trPr>
          <w:trHeight w:val="286"/>
        </w:trPr>
        <w:tc>
          <w:tcPr>
            <w:tcW w:w="1661" w:type="pct"/>
          </w:tcPr>
          <w:p w14:paraId="797E9CB3" w14:textId="0374F273" w:rsidR="001C3164" w:rsidRPr="007416CE" w:rsidRDefault="007D651C" w:rsidP="001C3164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="001C3164" w:rsidRPr="007416CE">
              <w:rPr>
                <w:rFonts w:ascii="Book Antiqua" w:hAnsi="Book Antiqua"/>
                <w:color w:val="000000"/>
              </w:rPr>
              <w:t>Abnormal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="001C3164" w:rsidRPr="007416CE">
              <w:rPr>
                <w:rFonts w:ascii="Book Antiqua" w:hAnsi="Book Antiqua"/>
                <w:color w:val="000000"/>
              </w:rPr>
              <w:t>liver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="001C3164" w:rsidRPr="007416CE">
              <w:rPr>
                <w:rFonts w:ascii="Book Antiqua" w:hAnsi="Book Antiqua"/>
                <w:color w:val="000000"/>
              </w:rPr>
              <w:t>function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94E83BB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3.45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2420446C" w14:textId="77777777" w:rsidR="001C3164" w:rsidRPr="007416CE" w:rsidRDefault="001C3164" w:rsidP="001C3164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</w:tbl>
    <w:bookmarkEnd w:id="9"/>
    <w:bookmarkEnd w:id="10"/>
    <w:bookmarkEnd w:id="11"/>
    <w:p w14:paraId="54F5471F" w14:textId="547C41F9" w:rsidR="00893753" w:rsidRDefault="00893753" w:rsidP="008937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416CE">
        <w:rPr>
          <w:rFonts w:ascii="Book Antiqua" w:eastAsia="宋体" w:hAnsi="Book Antiqua"/>
          <w:lang w:eastAsia="zh-CN"/>
        </w:rPr>
        <w:t>ORR</w:t>
      </w:r>
      <w:r>
        <w:rPr>
          <w:rFonts w:ascii="Book Antiqua" w:eastAsia="宋体" w:hAnsi="Book Antiqua"/>
          <w:lang w:eastAsia="zh-CN"/>
        </w:rPr>
        <w:t>:</w:t>
      </w:r>
      <w:r w:rsidR="007D651C">
        <w:rPr>
          <w:rFonts w:ascii="Book Antiqua" w:eastAsia="宋体" w:hAnsi="Book Antiqua"/>
          <w:lang w:eastAsia="zh-CN"/>
        </w:rPr>
        <w:t xml:space="preserve"> </w:t>
      </w:r>
      <w:r w:rsidRPr="00893753">
        <w:rPr>
          <w:rFonts w:ascii="Book Antiqua" w:hAnsi="Book Antiqua"/>
        </w:rPr>
        <w:t>Objective</w:t>
      </w:r>
      <w:r w:rsidR="007D651C">
        <w:rPr>
          <w:rFonts w:ascii="Book Antiqua" w:hAnsi="Book Antiqua"/>
        </w:rPr>
        <w:t xml:space="preserve"> </w:t>
      </w:r>
      <w:r w:rsidRPr="00893753">
        <w:rPr>
          <w:rFonts w:ascii="Book Antiqua" w:hAnsi="Book Antiqua"/>
        </w:rPr>
        <w:t>response</w:t>
      </w:r>
      <w:r w:rsidR="007D651C">
        <w:rPr>
          <w:rFonts w:ascii="Book Antiqua" w:hAnsi="Book Antiqua"/>
        </w:rPr>
        <w:t xml:space="preserve"> </w:t>
      </w:r>
      <w:r w:rsidRPr="00893753">
        <w:rPr>
          <w:rFonts w:ascii="Book Antiqua" w:hAnsi="Book Antiqua"/>
        </w:rPr>
        <w:t>rate</w:t>
      </w:r>
      <w:r>
        <w:rPr>
          <w:rFonts w:ascii="Book Antiqua" w:hAnsi="Book Antiqua"/>
        </w:rPr>
        <w:t>;</w:t>
      </w:r>
      <w:r w:rsidR="007D651C">
        <w:rPr>
          <w:rFonts w:ascii="Book Antiqua" w:hAnsi="Book Antiqua" w:hint="eastAsia"/>
          <w:lang w:eastAsia="zh-CN"/>
        </w:rPr>
        <w:t xml:space="preserve"> </w:t>
      </w:r>
      <w:r w:rsidRPr="007416CE">
        <w:rPr>
          <w:rFonts w:ascii="Book Antiqua" w:eastAsia="宋体" w:hAnsi="Book Antiqua"/>
          <w:lang w:eastAsia="zh-CN"/>
        </w:rPr>
        <w:t>PR</w:t>
      </w:r>
      <w:r>
        <w:rPr>
          <w:rFonts w:ascii="Book Antiqua" w:eastAsia="宋体" w:hAnsi="Book Antiqua"/>
          <w:lang w:eastAsia="zh-CN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Partial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/>
          <w:lang w:eastAsia="zh-CN"/>
        </w:rPr>
        <w:t>SD</w:t>
      </w:r>
      <w:r>
        <w:rPr>
          <w:rFonts w:ascii="Book Antiqua" w:eastAsia="宋体" w:hAnsi="Book Antiqua"/>
          <w:lang w:eastAsia="zh-CN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/>
          <w:lang w:eastAsia="zh-CN"/>
        </w:rPr>
        <w:t>PD</w:t>
      </w:r>
      <w:r>
        <w:rPr>
          <w:rFonts w:ascii="Book Antiqua" w:eastAsia="宋体" w:hAnsi="Book Antiqua"/>
          <w:lang w:eastAsia="zh-CN"/>
        </w:rPr>
        <w:t>:</w:t>
      </w:r>
      <w:r w:rsidR="007D651C">
        <w:rPr>
          <w:rFonts w:ascii="Book Antiqua" w:hAnsi="Book Antiqua"/>
        </w:rPr>
        <w:t xml:space="preserve"> </w:t>
      </w:r>
      <w:r w:rsidRPr="00893753">
        <w:rPr>
          <w:rFonts w:ascii="Book Antiqua" w:hAnsi="Book Antiqua"/>
        </w:rPr>
        <w:t>Progressive</w:t>
      </w:r>
      <w:r w:rsidR="007D651C">
        <w:rPr>
          <w:rFonts w:ascii="Book Antiqua" w:hAnsi="Book Antiqua"/>
        </w:rPr>
        <w:t xml:space="preserve"> </w:t>
      </w:r>
      <w:r w:rsidRPr="00893753">
        <w:rPr>
          <w:rFonts w:ascii="Book Antiqua" w:hAnsi="Book Antiqua"/>
        </w:rPr>
        <w:t>disease</w:t>
      </w:r>
      <w:r>
        <w:rPr>
          <w:rFonts w:ascii="Book Antiqua" w:hAnsi="Book Antiqua"/>
        </w:rPr>
        <w:t>.</w:t>
      </w:r>
    </w:p>
    <w:p w14:paraId="5EF07AE1" w14:textId="77777777" w:rsidR="001C3164" w:rsidRDefault="001C3164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</w:p>
    <w:p w14:paraId="3602AA10" w14:textId="4559C97C" w:rsidR="00D42E93" w:rsidRPr="001C3164" w:rsidRDefault="001C3164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1C3164">
        <w:rPr>
          <w:rFonts w:ascii="Book Antiqua" w:hAnsi="Book Antiqua"/>
          <w:b/>
          <w:color w:val="000000"/>
          <w:lang w:eastAsia="zh-CN"/>
        </w:rPr>
        <w:t>Table</w:t>
      </w:r>
      <w:r w:rsidR="007D651C"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3</w:t>
      </w:r>
      <w:r w:rsidR="007D651C"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Adverse</w:t>
      </w:r>
      <w:r w:rsidR="007D651C"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events</w:t>
      </w:r>
      <w:r w:rsidR="007D651C"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(</w:t>
      </w:r>
      <w:r w:rsidRPr="001C3164">
        <w:rPr>
          <w:rFonts w:ascii="Book Antiqua" w:hAnsi="Book Antiqua"/>
          <w:b/>
          <w:i/>
          <w:iCs/>
          <w:color w:val="000000"/>
          <w:lang w:eastAsia="zh-CN"/>
        </w:rPr>
        <w:t>n</w:t>
      </w:r>
      <w:r w:rsidR="007D651C"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=</w:t>
      </w:r>
      <w:r w:rsidR="007D651C"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29</w:t>
      </w:r>
      <w:r w:rsidRPr="001C3164">
        <w:rPr>
          <w:rFonts w:ascii="Book Antiqua" w:hAnsi="Book Antiqua" w:hint="eastAsia"/>
          <w:b/>
          <w:color w:val="000000"/>
          <w:lang w:eastAsia="zh-CN"/>
        </w:rPr>
        <w:t>)</w:t>
      </w:r>
    </w:p>
    <w:bookmarkEnd w:id="3"/>
    <w:p w14:paraId="1396929F" w14:textId="77777777" w:rsidR="001C3164" w:rsidRPr="007416CE" w:rsidRDefault="001C3164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sectPr w:rsidR="001C3164" w:rsidRPr="0074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27C8" w14:textId="77777777" w:rsidR="00086471" w:rsidRDefault="00086471" w:rsidP="005650FE">
      <w:r>
        <w:separator/>
      </w:r>
    </w:p>
  </w:endnote>
  <w:endnote w:type="continuationSeparator" w:id="0">
    <w:p w14:paraId="603D31BC" w14:textId="77777777" w:rsidR="00086471" w:rsidRDefault="00086471" w:rsidP="005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53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77A77" w14:textId="7C884081" w:rsidR="005963F1" w:rsidRDefault="005963F1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3FF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3FF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85832" w14:textId="77777777" w:rsidR="005963F1" w:rsidRDefault="005963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13E22" w14:textId="77777777" w:rsidR="00086471" w:rsidRDefault="00086471" w:rsidP="005650FE">
      <w:r>
        <w:separator/>
      </w:r>
    </w:p>
  </w:footnote>
  <w:footnote w:type="continuationSeparator" w:id="0">
    <w:p w14:paraId="65D021BF" w14:textId="77777777" w:rsidR="00086471" w:rsidRDefault="00086471" w:rsidP="0056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F7B"/>
    <w:rsid w:val="00022D15"/>
    <w:rsid w:val="00026D65"/>
    <w:rsid w:val="00031017"/>
    <w:rsid w:val="00086471"/>
    <w:rsid w:val="00095C6D"/>
    <w:rsid w:val="000A44C4"/>
    <w:rsid w:val="000A6339"/>
    <w:rsid w:val="000E1979"/>
    <w:rsid w:val="000F043B"/>
    <w:rsid w:val="00104B79"/>
    <w:rsid w:val="00141259"/>
    <w:rsid w:val="00142B92"/>
    <w:rsid w:val="001C3164"/>
    <w:rsid w:val="001C3F7F"/>
    <w:rsid w:val="001C7E2D"/>
    <w:rsid w:val="001D135E"/>
    <w:rsid w:val="001D7684"/>
    <w:rsid w:val="001E5851"/>
    <w:rsid w:val="001E5A76"/>
    <w:rsid w:val="001F2CA7"/>
    <w:rsid w:val="001F47F3"/>
    <w:rsid w:val="0023332C"/>
    <w:rsid w:val="00235490"/>
    <w:rsid w:val="002567B5"/>
    <w:rsid w:val="00291AC7"/>
    <w:rsid w:val="002B3C1B"/>
    <w:rsid w:val="00322E6E"/>
    <w:rsid w:val="0034433B"/>
    <w:rsid w:val="003466F5"/>
    <w:rsid w:val="0035033F"/>
    <w:rsid w:val="003642DE"/>
    <w:rsid w:val="0037108F"/>
    <w:rsid w:val="00382C41"/>
    <w:rsid w:val="003C54F8"/>
    <w:rsid w:val="0043797D"/>
    <w:rsid w:val="00460E90"/>
    <w:rsid w:val="004733FF"/>
    <w:rsid w:val="00474D12"/>
    <w:rsid w:val="00481D80"/>
    <w:rsid w:val="004D1C63"/>
    <w:rsid w:val="004F0A30"/>
    <w:rsid w:val="00510F56"/>
    <w:rsid w:val="0052036A"/>
    <w:rsid w:val="00524DF6"/>
    <w:rsid w:val="0055116B"/>
    <w:rsid w:val="005650FE"/>
    <w:rsid w:val="00582CDB"/>
    <w:rsid w:val="005956C1"/>
    <w:rsid w:val="005963F1"/>
    <w:rsid w:val="005C007A"/>
    <w:rsid w:val="005C1A4E"/>
    <w:rsid w:val="005E77B6"/>
    <w:rsid w:val="006103F5"/>
    <w:rsid w:val="006A4B4B"/>
    <w:rsid w:val="006B2B1D"/>
    <w:rsid w:val="006B7693"/>
    <w:rsid w:val="006C0025"/>
    <w:rsid w:val="006C4DA8"/>
    <w:rsid w:val="006D5837"/>
    <w:rsid w:val="007115AA"/>
    <w:rsid w:val="007277D7"/>
    <w:rsid w:val="007416CE"/>
    <w:rsid w:val="0075470A"/>
    <w:rsid w:val="00762EF3"/>
    <w:rsid w:val="007A4491"/>
    <w:rsid w:val="007C16B5"/>
    <w:rsid w:val="007D1D2E"/>
    <w:rsid w:val="007D651C"/>
    <w:rsid w:val="007E16BB"/>
    <w:rsid w:val="008374CB"/>
    <w:rsid w:val="00872068"/>
    <w:rsid w:val="00893753"/>
    <w:rsid w:val="008A6A61"/>
    <w:rsid w:val="008B2081"/>
    <w:rsid w:val="008C188A"/>
    <w:rsid w:val="008C7E11"/>
    <w:rsid w:val="008E2EDF"/>
    <w:rsid w:val="008F26A5"/>
    <w:rsid w:val="009126BA"/>
    <w:rsid w:val="00944D2C"/>
    <w:rsid w:val="00991307"/>
    <w:rsid w:val="009D1A7F"/>
    <w:rsid w:val="009D60D4"/>
    <w:rsid w:val="009E6380"/>
    <w:rsid w:val="00A06B2E"/>
    <w:rsid w:val="00A35E52"/>
    <w:rsid w:val="00A51DA6"/>
    <w:rsid w:val="00A77B3E"/>
    <w:rsid w:val="00AA0E66"/>
    <w:rsid w:val="00AE249F"/>
    <w:rsid w:val="00AF2782"/>
    <w:rsid w:val="00B1197F"/>
    <w:rsid w:val="00B21E8D"/>
    <w:rsid w:val="00B2496C"/>
    <w:rsid w:val="00B24F01"/>
    <w:rsid w:val="00B36482"/>
    <w:rsid w:val="00B5574E"/>
    <w:rsid w:val="00B618D1"/>
    <w:rsid w:val="00B92ED6"/>
    <w:rsid w:val="00BB32F7"/>
    <w:rsid w:val="00BB5F96"/>
    <w:rsid w:val="00BC63D3"/>
    <w:rsid w:val="00BE741E"/>
    <w:rsid w:val="00BF361F"/>
    <w:rsid w:val="00C35FE1"/>
    <w:rsid w:val="00C6753A"/>
    <w:rsid w:val="00C805E2"/>
    <w:rsid w:val="00C96427"/>
    <w:rsid w:val="00C96750"/>
    <w:rsid w:val="00C97AA1"/>
    <w:rsid w:val="00CA2A55"/>
    <w:rsid w:val="00CE494D"/>
    <w:rsid w:val="00D03546"/>
    <w:rsid w:val="00D04E51"/>
    <w:rsid w:val="00D255D7"/>
    <w:rsid w:val="00D42E93"/>
    <w:rsid w:val="00D45C2B"/>
    <w:rsid w:val="00D737F1"/>
    <w:rsid w:val="00D73FC0"/>
    <w:rsid w:val="00D81022"/>
    <w:rsid w:val="00DA578F"/>
    <w:rsid w:val="00E01918"/>
    <w:rsid w:val="00E405E0"/>
    <w:rsid w:val="00E9698D"/>
    <w:rsid w:val="00EE316D"/>
    <w:rsid w:val="00F220DE"/>
    <w:rsid w:val="00F3301F"/>
    <w:rsid w:val="00F92557"/>
    <w:rsid w:val="00F94484"/>
    <w:rsid w:val="00F947CA"/>
    <w:rsid w:val="00FA2134"/>
    <w:rsid w:val="00FA7372"/>
    <w:rsid w:val="00FF34A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3822E"/>
  <w15:docId w15:val="{9A267F68-7C60-4AA2-B49F-19AF2F8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</w:style>
  <w:style w:type="paragraph" w:styleId="a3">
    <w:name w:val="header"/>
    <w:basedOn w:val="a"/>
    <w:link w:val="Char"/>
    <w:unhideWhenUsed/>
    <w:rsid w:val="0056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0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0FE"/>
    <w:rPr>
      <w:sz w:val="18"/>
      <w:szCs w:val="18"/>
    </w:rPr>
  </w:style>
  <w:style w:type="paragraph" w:customStyle="1" w:styleId="A5">
    <w:name w:val="正文 A"/>
    <w:qFormat/>
    <w:rsid w:val="007416CE"/>
    <w:pP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lang w:eastAsia="ja-JP"/>
    </w:rPr>
  </w:style>
  <w:style w:type="table" w:styleId="a6">
    <w:name w:val="Table Grid"/>
    <w:basedOn w:val="a1"/>
    <w:qFormat/>
    <w:rsid w:val="007416CE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D04E51"/>
    <w:rPr>
      <w:sz w:val="18"/>
      <w:szCs w:val="18"/>
    </w:rPr>
  </w:style>
  <w:style w:type="character" w:customStyle="1" w:styleId="Char1">
    <w:name w:val="批注框文本 Char"/>
    <w:basedOn w:val="a0"/>
    <w:link w:val="a7"/>
    <w:rsid w:val="00D04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2021-09-11T02:17:00Z</dcterms:created>
  <dcterms:modified xsi:type="dcterms:W3CDTF">2021-09-11T02:22:00Z</dcterms:modified>
</cp:coreProperties>
</file>