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Transplantation</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68714</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pPr>
    </w:p>
    <w:p>
      <w:pPr>
        <w:spacing w:line="360" w:lineRule="auto"/>
        <w:jc w:val="both"/>
      </w:pPr>
      <w:r>
        <w:rPr>
          <w:rFonts w:ascii="Book Antiqua" w:hAnsi="Book Antiqua" w:eastAsia="Book Antiqua" w:cs="Book Antiqua"/>
          <w:b/>
          <w:bCs/>
          <w:color w:val="000000"/>
        </w:rPr>
        <w:t xml:space="preserve">Potential importance of early treatment of </w:t>
      </w:r>
      <w:r>
        <w:rPr>
          <w:rFonts w:ascii="Book Antiqua" w:hAnsi="Book Antiqua" w:eastAsia="Book Antiqua" w:cs="Book Antiqua"/>
          <w:b/>
          <w:color w:val="000000"/>
        </w:rPr>
        <w:t>SARS-CoV-2</w:t>
      </w:r>
      <w:r>
        <w:rPr>
          <w:rFonts w:ascii="Book Antiqua" w:hAnsi="Book Antiqua" w:eastAsia="Book Antiqua" w:cs="Book Antiqua"/>
          <w:b/>
          <w:bCs/>
          <w:color w:val="000000"/>
        </w:rPr>
        <w:t xml:space="preserve"> infection in intestinal transplant patient: </w:t>
      </w:r>
      <w:r>
        <w:rPr>
          <w:rFonts w:hint="eastAsia" w:ascii="Book Antiqua" w:hAnsi="Book Antiqua" w:cs="Book Antiqua"/>
          <w:b/>
          <w:bCs/>
          <w:color w:val="000000"/>
          <w:lang w:eastAsia="zh-CN"/>
        </w:rPr>
        <w:t>A</w:t>
      </w:r>
      <w:r>
        <w:rPr>
          <w:rFonts w:ascii="Book Antiqua" w:hAnsi="Book Antiqua" w:eastAsia="Book Antiqua" w:cs="Book Antiqua"/>
          <w:b/>
          <w:bCs/>
          <w:color w:val="000000"/>
        </w:rPr>
        <w:t xml:space="preserve"> case report </w:t>
      </w:r>
    </w:p>
    <w:p>
      <w:pPr>
        <w:spacing w:line="360" w:lineRule="auto"/>
        <w:jc w:val="both"/>
      </w:pPr>
    </w:p>
    <w:p>
      <w:pPr>
        <w:spacing w:line="360" w:lineRule="auto"/>
        <w:jc w:val="both"/>
      </w:pPr>
      <w:r>
        <w:rPr>
          <w:rFonts w:ascii="Book Antiqua" w:hAnsi="Book Antiqua" w:eastAsia="Book Antiqua" w:cs="Book Antiqua"/>
          <w:color w:val="000000"/>
        </w:rPr>
        <w:t xml:space="preserve">Clarysse </w:t>
      </w:r>
      <w:r>
        <w:rPr>
          <w:rFonts w:hint="eastAsia" w:ascii="Book Antiqua" w:hAnsi="Book Antiqua" w:cs="Book Antiqua"/>
          <w:color w:val="000000"/>
          <w:lang w:eastAsia="zh-CN"/>
        </w:rPr>
        <w:t xml:space="preserve">M </w:t>
      </w:r>
      <w:r>
        <w:rPr>
          <w:rFonts w:hint="eastAsia" w:ascii="Book Antiqua" w:hAnsi="Book Antiqua" w:cs="Book Antiqua"/>
          <w:i/>
          <w:color w:val="000000"/>
          <w:lang w:eastAsia="zh-CN"/>
        </w:rPr>
        <w:t>et al</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SARS-CoV-2 infection in intestinal transplant </w:t>
      </w:r>
    </w:p>
    <w:p>
      <w:pPr>
        <w:spacing w:line="360" w:lineRule="auto"/>
        <w:jc w:val="both"/>
      </w:pPr>
    </w:p>
    <w:p>
      <w:pPr>
        <w:spacing w:line="360" w:lineRule="auto"/>
        <w:jc w:val="both"/>
      </w:pPr>
      <w:r>
        <w:rPr>
          <w:rFonts w:ascii="Book Antiqua" w:hAnsi="Book Antiqua" w:eastAsia="Book Antiqua" w:cs="Book Antiqua"/>
          <w:color w:val="000000"/>
        </w:rPr>
        <w:t>Mathias Clarysse, Laurens J Ceulemans, Lucas Wauters, Nicholas Gilbo, Viktor Capiau, Gert De Hertogh, Wim Laleman, Chris Verslype, Diethard Monbaliu, Jacques Pirenne, Tim Vanuytsel</w:t>
      </w:r>
    </w:p>
    <w:p>
      <w:pPr>
        <w:spacing w:line="360" w:lineRule="auto"/>
        <w:jc w:val="both"/>
      </w:pPr>
    </w:p>
    <w:p>
      <w:pPr>
        <w:spacing w:line="360" w:lineRule="auto"/>
        <w:jc w:val="both"/>
      </w:pPr>
      <w:r>
        <w:rPr>
          <w:rFonts w:ascii="Book Antiqua" w:hAnsi="Book Antiqua" w:eastAsia="Book Antiqua" w:cs="Book Antiqua"/>
          <w:b/>
          <w:bCs/>
          <w:color w:val="000000"/>
        </w:rPr>
        <w:t xml:space="preserve">Mathias Clarysse, Nicholas Gilbo, Diethard Monbaliu, Jacques Pirenne, </w:t>
      </w:r>
      <w:r>
        <w:rPr>
          <w:rFonts w:ascii="Book Antiqua" w:hAnsi="Book Antiqua" w:eastAsia="Book Antiqua" w:cs="Book Antiqua"/>
          <w:color w:val="000000"/>
        </w:rPr>
        <w:t>Department of Abdominal Transplant Surgery &amp; Transplant Coordination, University Hospitals Leuven, Leuven 3000, Vlaams-Brabant, Belgium</w:t>
      </w:r>
    </w:p>
    <w:p>
      <w:pPr>
        <w:spacing w:line="360" w:lineRule="auto"/>
        <w:jc w:val="both"/>
      </w:pPr>
    </w:p>
    <w:p>
      <w:pPr>
        <w:spacing w:line="360" w:lineRule="auto"/>
        <w:jc w:val="both"/>
      </w:pPr>
      <w:r>
        <w:rPr>
          <w:rFonts w:ascii="Book Antiqua" w:hAnsi="Book Antiqua" w:eastAsia="Book Antiqua" w:cs="Book Antiqua"/>
          <w:b/>
          <w:bCs/>
          <w:color w:val="000000"/>
        </w:rPr>
        <w:t xml:space="preserve">Mathias Clarysse, Laurens J Ceulemans, Lucas Wauters, Nicholas Gilbo, Diethard </w:t>
      </w:r>
      <w:r>
        <w:rPr>
          <w:rFonts w:ascii="Book Antiqua" w:hAnsi="Book Antiqua" w:eastAsia="Book Antiqua" w:cs="Book Antiqua"/>
          <w:b/>
          <w:bCs/>
          <w:color w:val="000000"/>
          <w:highlight w:val="none"/>
        </w:rPr>
        <w:t xml:space="preserve">Monbaliu, Jacques Pirenne, Tim Vanuytsel, </w:t>
      </w:r>
      <w:r>
        <w:rPr>
          <w:rFonts w:ascii="Book Antiqua" w:hAnsi="Book Antiqua" w:eastAsia="Book Antiqua" w:cs="Book Antiqua"/>
          <w:color w:val="000000"/>
          <w:highlight w:val="none"/>
        </w:rPr>
        <w:t>Leuven Intestinal Failure and Transplantation Center, University Hospitals Leuven, Leuven 3000, Vlaams-Brabant, Belgium</w:t>
      </w:r>
    </w:p>
    <w:p>
      <w:pPr>
        <w:spacing w:line="360" w:lineRule="auto"/>
        <w:jc w:val="both"/>
      </w:pPr>
    </w:p>
    <w:p>
      <w:pPr>
        <w:spacing w:line="360" w:lineRule="auto"/>
        <w:jc w:val="both"/>
      </w:pPr>
      <w:r>
        <w:rPr>
          <w:rFonts w:ascii="Book Antiqua" w:hAnsi="Book Antiqua" w:eastAsia="Book Antiqua" w:cs="Book Antiqua"/>
          <w:b/>
          <w:bCs/>
          <w:color w:val="000000"/>
        </w:rPr>
        <w:t xml:space="preserve">Mathias Clarysse, Nicholas Gilbo, Diethard Monbaliu, Jacques Pirenne, </w:t>
      </w:r>
      <w:r>
        <w:rPr>
          <w:rFonts w:ascii="Book Antiqua" w:hAnsi="Book Antiqua" w:eastAsia="Book Antiqua" w:cs="Book Antiqua"/>
          <w:color w:val="000000"/>
        </w:rPr>
        <w:t>Laboratory of Abdominal Transplant Surgery, Department of Microbiology, Immunology and Transplantation, KU Leuven, Leuven 3000, Vlaams-Brabant, Belgium</w:t>
      </w:r>
    </w:p>
    <w:p>
      <w:pPr>
        <w:spacing w:line="360" w:lineRule="auto"/>
        <w:jc w:val="both"/>
      </w:pPr>
    </w:p>
    <w:p>
      <w:pPr>
        <w:spacing w:line="360" w:lineRule="auto"/>
        <w:jc w:val="both"/>
      </w:pPr>
      <w:r>
        <w:rPr>
          <w:rFonts w:ascii="Book Antiqua" w:hAnsi="Book Antiqua" w:eastAsia="Book Antiqua" w:cs="Book Antiqua"/>
          <w:b/>
          <w:bCs/>
          <w:color w:val="000000"/>
        </w:rPr>
        <w:t xml:space="preserve">Laurens J Ceulemans, </w:t>
      </w:r>
      <w:r>
        <w:rPr>
          <w:rFonts w:ascii="Book Antiqua" w:hAnsi="Book Antiqua" w:eastAsia="Book Antiqua" w:cs="Book Antiqua"/>
          <w:color w:val="000000"/>
        </w:rPr>
        <w:t>Department of Thoracic Surgery, University Hospitals Leuven, Leuven 3000, Vlaams-Brabant, Belgium</w:t>
      </w:r>
    </w:p>
    <w:p>
      <w:pPr>
        <w:spacing w:line="360" w:lineRule="auto"/>
        <w:jc w:val="both"/>
      </w:pPr>
    </w:p>
    <w:p>
      <w:pPr>
        <w:spacing w:line="360" w:lineRule="auto"/>
        <w:jc w:val="both"/>
      </w:pPr>
      <w:r>
        <w:rPr>
          <w:rFonts w:ascii="Book Antiqua" w:hAnsi="Book Antiqua" w:eastAsia="Book Antiqua" w:cs="Book Antiqua"/>
          <w:b/>
          <w:bCs/>
          <w:color w:val="000000"/>
        </w:rPr>
        <w:t xml:space="preserve">Laurens J Ceulemans, </w:t>
      </w:r>
      <w:r>
        <w:rPr>
          <w:rFonts w:ascii="Book Antiqua" w:hAnsi="Book Antiqua" w:eastAsia="Book Antiqua" w:cs="Book Antiqua"/>
          <w:color w:val="000000"/>
        </w:rPr>
        <w:t>Laboratory of Respiratory Diseases and Thoracic Surgery (BREATHE), Department of Chronic Diseases and Metabolism (CHROMETA), KU Leuven, Leuven 3000, Vlaams-Brabant, Belgium</w:t>
      </w:r>
    </w:p>
    <w:p>
      <w:pPr>
        <w:spacing w:line="360" w:lineRule="auto"/>
        <w:jc w:val="both"/>
      </w:pPr>
    </w:p>
    <w:p>
      <w:pPr>
        <w:spacing w:line="360" w:lineRule="auto"/>
        <w:jc w:val="both"/>
      </w:pPr>
      <w:r>
        <w:rPr>
          <w:rFonts w:ascii="Book Antiqua" w:hAnsi="Book Antiqua" w:eastAsia="Book Antiqua" w:cs="Book Antiqua"/>
          <w:b/>
          <w:bCs/>
          <w:color w:val="000000"/>
        </w:rPr>
        <w:t xml:space="preserve">Lucas Wauters, Wim Laleman, Chris Verslype, Tim Vanuytsel, </w:t>
      </w:r>
      <w:r>
        <w:rPr>
          <w:rFonts w:ascii="Book Antiqua" w:hAnsi="Book Antiqua" w:eastAsia="Book Antiqua" w:cs="Book Antiqua"/>
          <w:color w:val="000000"/>
        </w:rPr>
        <w:t>Department of Gastroenterology and Hepatology, University Hospitals Leuven, Leuven 3000, Vlaams-Brabant, Belgium</w:t>
      </w:r>
    </w:p>
    <w:p>
      <w:pPr>
        <w:spacing w:line="360" w:lineRule="auto"/>
        <w:jc w:val="both"/>
      </w:pPr>
    </w:p>
    <w:p>
      <w:pPr>
        <w:spacing w:line="360" w:lineRule="auto"/>
        <w:jc w:val="both"/>
      </w:pPr>
      <w:r>
        <w:rPr>
          <w:rFonts w:ascii="Book Antiqua" w:hAnsi="Book Antiqua" w:eastAsia="Book Antiqua" w:cs="Book Antiqua"/>
          <w:b/>
          <w:bCs/>
          <w:color w:val="000000"/>
        </w:rPr>
        <w:t xml:space="preserve">Lucas Wauters, Tim Vanuytsel, </w:t>
      </w:r>
      <w:r>
        <w:rPr>
          <w:rFonts w:ascii="Book Antiqua" w:hAnsi="Book Antiqua" w:eastAsia="Book Antiqua" w:cs="Book Antiqua"/>
          <w:color w:val="000000"/>
        </w:rPr>
        <w:t>Translational Research Center for Gastrointestinal Disorders (TARGID), Department Chronic Diseases and Metabolism (CHROMETA), KU Leuven, Leuven 3000, Vlaams-Brabant, Belgium</w:t>
      </w:r>
    </w:p>
    <w:p>
      <w:pPr>
        <w:spacing w:line="360" w:lineRule="auto"/>
        <w:jc w:val="both"/>
      </w:pPr>
    </w:p>
    <w:p>
      <w:pPr>
        <w:spacing w:line="360" w:lineRule="auto"/>
        <w:jc w:val="both"/>
      </w:pPr>
      <w:r>
        <w:rPr>
          <w:rFonts w:ascii="Book Antiqua" w:hAnsi="Book Antiqua" w:eastAsia="Book Antiqua" w:cs="Book Antiqua"/>
          <w:b/>
          <w:bCs/>
          <w:color w:val="000000"/>
        </w:rPr>
        <w:t xml:space="preserve">Viktor Capiau, Gert De Hertogh, </w:t>
      </w:r>
      <w:r>
        <w:rPr>
          <w:rFonts w:ascii="Book Antiqua" w:hAnsi="Book Antiqua" w:eastAsia="Book Antiqua" w:cs="Book Antiqua"/>
          <w:color w:val="000000"/>
        </w:rPr>
        <w:t>Department of Pathology, University Hospitals Leuven, Leuven 3000, Vlaams-Brabant, Belgium</w:t>
      </w:r>
    </w:p>
    <w:p>
      <w:pPr>
        <w:spacing w:line="360" w:lineRule="auto"/>
        <w:jc w:val="both"/>
      </w:pPr>
    </w:p>
    <w:p>
      <w:pPr>
        <w:spacing w:line="360" w:lineRule="auto"/>
        <w:jc w:val="both"/>
      </w:pPr>
      <w:r>
        <w:rPr>
          <w:rFonts w:ascii="Book Antiqua" w:hAnsi="Book Antiqua" w:eastAsia="Book Antiqua" w:cs="Book Antiqua"/>
          <w:b/>
          <w:bCs/>
          <w:color w:val="000000"/>
        </w:rPr>
        <w:t xml:space="preserve">Gert De Hertogh, </w:t>
      </w:r>
      <w:r>
        <w:rPr>
          <w:rFonts w:ascii="Book Antiqua" w:hAnsi="Book Antiqua" w:eastAsia="Book Antiqua" w:cs="Book Antiqua"/>
          <w:color w:val="000000"/>
        </w:rPr>
        <w:t>Laboratory of Translational Cell &amp; Tissue Research, KU Leuven, Leuven 3000, Vlaams-Brabant, Belgium</w:t>
      </w:r>
    </w:p>
    <w:p>
      <w:pPr>
        <w:spacing w:line="360" w:lineRule="auto"/>
        <w:jc w:val="both"/>
      </w:pPr>
    </w:p>
    <w:p>
      <w:pPr>
        <w:spacing w:line="360" w:lineRule="auto"/>
        <w:jc w:val="both"/>
      </w:pPr>
      <w:r>
        <w:rPr>
          <w:rFonts w:ascii="Book Antiqua" w:hAnsi="Book Antiqua" w:eastAsia="Book Antiqua" w:cs="Book Antiqua"/>
          <w:b/>
          <w:bCs/>
          <w:color w:val="000000"/>
        </w:rPr>
        <w:t xml:space="preserve">Chris Verslype, </w:t>
      </w:r>
      <w:r>
        <w:rPr>
          <w:rFonts w:ascii="Book Antiqua" w:hAnsi="Book Antiqua" w:eastAsia="Book Antiqua" w:cs="Book Antiqua"/>
          <w:color w:val="000000"/>
        </w:rPr>
        <w:t>Laboratory of Clinical Digestive Oncology, Department of Digestive Oncology, KU Leuven, Leuven 3000, Vlaams-Brabant, Belgium</w:t>
      </w:r>
    </w:p>
    <w:p>
      <w:pPr>
        <w:spacing w:line="360" w:lineRule="auto"/>
        <w:jc w:val="both"/>
        <w:rPr>
          <w:lang w:eastAsia="zh-CN"/>
        </w:rPr>
      </w:pPr>
    </w:p>
    <w:p>
      <w:pPr>
        <w:spacing w:line="360" w:lineRule="auto"/>
        <w:jc w:val="both"/>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Clarysse M contributed review of the clinical case, review of literature, and drafting of the article</w:t>
      </w:r>
      <w:r>
        <w:rPr>
          <w:rFonts w:hint="eastAsia" w:ascii="Book Antiqua" w:hAnsi="Book Antiqua" w:cs="Book Antiqua"/>
          <w:color w:val="000000"/>
          <w:lang w:eastAsia="zh-CN"/>
        </w:rPr>
        <w:t>;</w:t>
      </w:r>
      <w:r>
        <w:rPr>
          <w:rFonts w:ascii="Book Antiqua" w:hAnsi="Book Antiqua" w:eastAsia="Book Antiqua" w:cs="Book Antiqua"/>
          <w:color w:val="000000"/>
        </w:rPr>
        <w:t xml:space="preserve"> Ceulemans LJ contributed critical review of literature and the article</w:t>
      </w:r>
      <w:r>
        <w:rPr>
          <w:rFonts w:hint="eastAsia" w:ascii="Book Antiqua" w:hAnsi="Book Antiqua" w:cs="Book Antiqua"/>
          <w:color w:val="000000"/>
          <w:lang w:eastAsia="zh-CN"/>
        </w:rPr>
        <w:t>;</w:t>
      </w:r>
      <w:r>
        <w:rPr>
          <w:rFonts w:ascii="Book Antiqua" w:hAnsi="Book Antiqua" w:eastAsia="Book Antiqua" w:cs="Book Antiqua"/>
          <w:color w:val="000000"/>
        </w:rPr>
        <w:t xml:space="preserve"> Wauters L, Gilbo N, Capiau V, and De Hertogh G contributed review of clinical case and critical review of article</w:t>
      </w:r>
      <w:r>
        <w:rPr>
          <w:rFonts w:hint="eastAsia" w:ascii="Book Antiqua" w:hAnsi="Book Antiqua" w:cs="Book Antiqua"/>
          <w:color w:val="000000"/>
          <w:lang w:eastAsia="zh-CN"/>
        </w:rPr>
        <w:t xml:space="preserve">; </w:t>
      </w:r>
      <w:r>
        <w:rPr>
          <w:rFonts w:ascii="Book Antiqua" w:hAnsi="Book Antiqua" w:eastAsia="Book Antiqua" w:cs="Book Antiqua"/>
          <w:color w:val="000000"/>
        </w:rPr>
        <w:t>Verslype C, Laleman W</w:t>
      </w:r>
      <w:r>
        <w:rPr>
          <w:rFonts w:hint="eastAsia" w:ascii="Book Antiqua" w:hAnsi="Book Antiqua" w:cs="Book Antiqua"/>
          <w:color w:val="000000"/>
          <w:lang w:eastAsia="zh-CN"/>
        </w:rPr>
        <w:t>,</w:t>
      </w:r>
      <w:r>
        <w:rPr>
          <w:rFonts w:ascii="Book Antiqua" w:hAnsi="Book Antiqua" w:eastAsia="Book Antiqua" w:cs="Book Antiqua"/>
          <w:color w:val="000000"/>
        </w:rPr>
        <w:t xml:space="preserve"> Monbaliu D, and Pirenne J contributed critical review of the article</w:t>
      </w:r>
      <w:r>
        <w:rPr>
          <w:rFonts w:hint="eastAsia" w:ascii="Book Antiqua" w:hAnsi="Book Antiqua" w:cs="Book Antiqua"/>
          <w:color w:val="000000"/>
          <w:lang w:eastAsia="zh-CN"/>
        </w:rPr>
        <w:t>;</w:t>
      </w:r>
      <w:r>
        <w:rPr>
          <w:rFonts w:ascii="Book Antiqua" w:hAnsi="Book Antiqua" w:eastAsia="Book Antiqua" w:cs="Book Antiqua"/>
          <w:color w:val="000000"/>
        </w:rPr>
        <w:t xml:space="preserve"> Vanuytsel T contributed review of the clinical case, review of literature, and review of the article</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A</w:t>
      </w:r>
      <w:r>
        <w:rPr>
          <w:rFonts w:ascii="Book Antiqua" w:hAnsi="Book Antiqua" w:eastAsia="Book Antiqua" w:cs="Book Antiqua"/>
          <w:color w:val="000000"/>
        </w:rPr>
        <w:t>ll authors issued final approval for the version to be submitted.</w:t>
      </w:r>
    </w:p>
    <w:p>
      <w:pPr>
        <w:spacing w:line="360" w:lineRule="auto"/>
        <w:jc w:val="both"/>
      </w:pPr>
    </w:p>
    <w:p>
      <w:pPr>
        <w:spacing w:line="360" w:lineRule="auto"/>
        <w:jc w:val="both"/>
      </w:pPr>
      <w:r>
        <w:rPr>
          <w:rFonts w:ascii="Book Antiqua" w:hAnsi="Book Antiqua" w:eastAsia="Book Antiqua" w:cs="Book Antiqua"/>
          <w:b/>
          <w:bCs/>
          <w:color w:val="000000"/>
        </w:rPr>
        <w:t>Corres</w:t>
      </w:r>
      <w:r>
        <w:rPr>
          <w:rFonts w:ascii="Book Antiqua" w:hAnsi="Book Antiqua" w:eastAsia="Book Antiqua" w:cs="Book Antiqua"/>
          <w:b/>
          <w:bCs/>
          <w:color w:val="000000"/>
          <w:highlight w:val="none"/>
        </w:rPr>
        <w:t xml:space="preserve">ponding author: Tim Vanuytsel, MD, MSc, PhD, Associate Professor, Doctor, Senior Researcher, </w:t>
      </w:r>
      <w:r>
        <w:rPr>
          <w:rFonts w:ascii="Book Antiqua" w:hAnsi="Book Antiqua" w:eastAsia="Book Antiqua" w:cs="Book Antiqua"/>
          <w:color w:val="000000"/>
          <w:highlight w:val="none"/>
        </w:rPr>
        <w:t>Leuven Intestinal Failure and Transplantation Center, University Hospitals Leuven, Herestraat 49, Leuven 3000, Vlaams-Brabant, Belgium. tim.vanuytsel@uzleuven.be</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June 1, 2021</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September 13, 2021</w:t>
      </w:r>
    </w:p>
    <w:p>
      <w:pPr>
        <w:spacing w:line="360" w:lineRule="auto"/>
        <w:jc w:val="both"/>
        <w:rPr>
          <w:b w:val="0"/>
          <w:bCs w:val="0"/>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March 16, 2022</w:t>
      </w:r>
    </w:p>
    <w:p>
      <w:pPr>
        <w:spacing w:line="360" w:lineRule="auto"/>
        <w:jc w:val="both"/>
      </w:pPr>
      <w:r>
        <w:rPr>
          <w:rFonts w:ascii="Book Antiqua" w:hAnsi="Book Antiqua" w:eastAsia="Book Antiqua" w:cs="Book Antiqua"/>
          <w:b/>
          <w:bCs/>
          <w:color w:val="000000"/>
        </w:rPr>
        <w:t xml:space="preserve">Published online: </w:t>
      </w:r>
      <w:r>
        <w:rPr>
          <w:rFonts w:ascii="Book Antiqua" w:hAnsi="Book Antiqua" w:eastAsia="Book Antiqua" w:cs="Book Antiqua"/>
          <w:i w:val="0"/>
          <w:iCs w:val="0"/>
          <w:caps w:val="0"/>
          <w:color w:val="000000"/>
          <w:spacing w:val="0"/>
          <w:sz w:val="24"/>
          <w:szCs w:val="24"/>
          <w:shd w:val="clear" w:fill="FFFFFF"/>
        </w:rPr>
        <w:t>April 18, 2022</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color w:val="000000"/>
        </w:rPr>
        <w:t>Predispositions for severe coronavirus disease 2019 (COVID-19) are age, immunosuppression, and co-morbidity. High levels of maintenance immunosuppression render intestinal transplant (ITx) patients vulnerable for severe COVID-19. COVID-19 also provokes several gastroenterological pathologies which have not been discussed in ITx, so far.</w:t>
      </w:r>
    </w:p>
    <w:p>
      <w:pPr>
        <w:spacing w:line="360" w:lineRule="auto"/>
        <w:jc w:val="both"/>
      </w:pPr>
    </w:p>
    <w:p>
      <w:pPr>
        <w:spacing w:line="360" w:lineRule="auto"/>
        <w:jc w:val="both"/>
      </w:pPr>
      <w:r>
        <w:rPr>
          <w:rFonts w:ascii="Book Antiqua" w:hAnsi="Book Antiqua" w:eastAsia="Book Antiqua" w:cs="Book Antiqua"/>
          <w:color w:val="000000"/>
        </w:rPr>
        <w:t>CASE SUMMARY</w:t>
      </w:r>
    </w:p>
    <w:p>
      <w:pPr>
        <w:spacing w:line="360" w:lineRule="auto"/>
        <w:jc w:val="both"/>
      </w:pPr>
      <w:r>
        <w:rPr>
          <w:rFonts w:ascii="Book Antiqua" w:hAnsi="Book Antiqua" w:eastAsia="Book Antiqua" w:cs="Book Antiqua"/>
          <w:color w:val="000000"/>
        </w:rPr>
        <w:t>During the second European COVID-19 wave in November 2020, an ITx recipient was admitted to the hospital because of electrolyte disturbances due to dehydration. Immunosuppression consisted of tacrolimus, azathioprine, and low-dose corticosteroids. During hospitalization, she tested positive on screening COVID-19 nasopharyngeal polymerase chain reaction swab, while her initial test was negative. She was initially asymptomatic and had normal inflammatory markers. Tacrolimus levels were slightly raised, as Azathioprine was temporarily halted. Due to elevated D-dimers at that time, prophylactic low-molecular weight heparin was started. Seven days after the positive test, dyspnea, anosmia, and C-reactive protein increase (25</w:t>
      </w:r>
      <w:r>
        <w:rPr>
          <w:rFonts w:hint="eastAsia" w:ascii="Book Antiqua" w:hAnsi="Book Antiqua" w:cs="Book Antiqua"/>
          <w:color w:val="000000"/>
          <w:lang w:eastAsia="zh-CN"/>
        </w:rPr>
        <w:t xml:space="preserve"> </w:t>
      </w:r>
      <w:r>
        <w:rPr>
          <w:rFonts w:ascii="Book Antiqua" w:hAnsi="Book Antiqua" w:eastAsia="Book Antiqua" w:cs="Book Antiqua"/>
          <w:color w:val="000000"/>
        </w:rPr>
        <w:t>mg/L) were noted. Remdesivir was administered during 5 d in total. High stomal output was noted in two consecutive days and several days thereafter. To exclude infection or rejection, an ileoscopy and biopsy were performed and excluded these. Four weeks later, she was discharged from the hospital and remains in good health since then.</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color w:val="000000"/>
        </w:rPr>
        <w:t>Early eradication of severe acute respiratory syndrome coronavirus 2 in ITx recipients may be warranted to prevent acute rejection provocation by it.</w:t>
      </w:r>
    </w:p>
    <w:p>
      <w:pPr>
        <w:spacing w:line="360" w:lineRule="auto"/>
        <w:jc w:val="both"/>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 xml:space="preserve">COVID-19; Intestinal </w:t>
      </w:r>
      <w:r>
        <w:rPr>
          <w:rFonts w:hint="eastAsia" w:ascii="Book Antiqua" w:hAnsi="Book Antiqua" w:cs="Book Antiqua"/>
          <w:color w:val="000000"/>
          <w:lang w:eastAsia="zh-CN"/>
        </w:rPr>
        <w:t>t</w:t>
      </w:r>
      <w:r>
        <w:rPr>
          <w:rFonts w:ascii="Book Antiqua" w:hAnsi="Book Antiqua" w:eastAsia="Book Antiqua" w:cs="Book Antiqua"/>
          <w:color w:val="000000"/>
        </w:rPr>
        <w:t>ransplantation; Outcome; SARS-CoV-2; Treatment</w:t>
      </w:r>
      <w:r>
        <w:rPr>
          <w:rFonts w:hint="eastAsia" w:ascii="Book Antiqua" w:hAnsi="Book Antiqua" w:cs="Book Antiqua"/>
          <w:color w:val="000000"/>
          <w:lang w:eastAsia="zh-CN"/>
        </w:rPr>
        <w:t>;</w:t>
      </w:r>
      <w:r>
        <w:rPr>
          <w:rFonts w:ascii="Book Antiqua" w:hAnsi="Book Antiqua" w:eastAsia="Book Antiqua" w:cs="Book Antiqua"/>
          <w:color w:val="000000"/>
        </w:rPr>
        <w:t xml:space="preserve"> Case </w:t>
      </w:r>
      <w:r>
        <w:rPr>
          <w:rFonts w:hint="eastAsia" w:ascii="Book Antiqua" w:hAnsi="Book Antiqua" w:cs="Book Antiqua"/>
          <w:color w:val="000000"/>
          <w:lang w:eastAsia="zh-CN"/>
        </w:rPr>
        <w:t>r</w:t>
      </w:r>
      <w:r>
        <w:rPr>
          <w:rFonts w:ascii="Book Antiqua" w:hAnsi="Book Antiqua" w:eastAsia="Book Antiqua" w:cs="Book Antiqua"/>
          <w:color w:val="000000"/>
        </w:rPr>
        <w:t>eport</w:t>
      </w:r>
    </w:p>
    <w:p>
      <w:pPr>
        <w:spacing w:line="360" w:lineRule="auto"/>
        <w:jc w:val="both"/>
        <w:rPr>
          <w:rFonts w:ascii="Book Antiqua" w:hAnsi="Book Antiqua" w:eastAsia="Book Antiqua" w:cs="Book Antiqua"/>
          <w:color w:val="000000"/>
          <w:lang w:eastAsia="zh-CN"/>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color w:val="000000"/>
        </w:rPr>
      </w:pPr>
      <w:r>
        <w:rPr>
          <w:rFonts w:hint="eastAsia" w:ascii="Book Antiqua" w:hAnsi="Book Antiqua"/>
          <w:b/>
          <w:bCs/>
          <w:lang w:val="en-US" w:eastAsia="zh-CN"/>
        </w:rPr>
        <w:t>Citation:</w:t>
      </w:r>
      <w:r>
        <w:rPr>
          <w:rFonts w:ascii="Book Antiqua" w:hAnsi="Book Antiqua" w:eastAsia="Book Antiqua" w:cs="Book Antiqua"/>
          <w:color w:val="000000"/>
        </w:rPr>
        <w:t xml:space="preserve">Clarysse M, Ceulemans LJ, Wauters L, Gilbo N, Capiau V, De Hertogh G, Laleman W, Verslype C, Monbaliu D, Pirenne J, Vanuytsel T. </w:t>
      </w:r>
      <w:r>
        <w:rPr>
          <w:rFonts w:ascii="Book Antiqua" w:hAnsi="Book Antiqua" w:eastAsia="Book Antiqua" w:cs="Book Antiqua"/>
          <w:bCs/>
          <w:color w:val="000000"/>
        </w:rPr>
        <w:t xml:space="preserve">Potential importance of early treatment of </w:t>
      </w:r>
      <w:r>
        <w:rPr>
          <w:rFonts w:ascii="Book Antiqua" w:hAnsi="Book Antiqua" w:eastAsia="Book Antiqua" w:cs="Book Antiqua"/>
          <w:color w:val="000000"/>
        </w:rPr>
        <w:t>SARS-CoV-2</w:t>
      </w:r>
      <w:r>
        <w:rPr>
          <w:rFonts w:ascii="Book Antiqua" w:hAnsi="Book Antiqua" w:eastAsia="Book Antiqua" w:cs="Book Antiqua"/>
          <w:bCs/>
          <w:color w:val="000000"/>
        </w:rPr>
        <w:t xml:space="preserve"> infection in intestinal transplant patient: </w:t>
      </w:r>
      <w:r>
        <w:rPr>
          <w:rFonts w:hint="eastAsia" w:ascii="Book Antiqua" w:hAnsi="Book Antiqua" w:cs="Book Antiqua"/>
          <w:bCs/>
          <w:color w:val="000000"/>
          <w:lang w:eastAsia="zh-CN"/>
        </w:rPr>
        <w:t>A</w:t>
      </w:r>
      <w:r>
        <w:rPr>
          <w:rFonts w:ascii="Book Antiqua" w:hAnsi="Book Antiqua" w:eastAsia="Book Antiqua" w:cs="Book Antiqua"/>
          <w:bCs/>
          <w:color w:val="000000"/>
        </w:rPr>
        <w:t xml:space="preserve"> case report</w:t>
      </w:r>
      <w:r>
        <w:rPr>
          <w:rFonts w:ascii="Book Antiqua" w:hAnsi="Book Antiqua" w:eastAsia="Book Antiqua" w:cs="Book Antiqua"/>
          <w:color w:val="000000"/>
        </w:rPr>
        <w:t xml:space="preserve">. </w:t>
      </w:r>
      <w:r>
        <w:rPr>
          <w:rFonts w:ascii="Book Antiqua" w:hAnsi="Book Antiqua" w:eastAsia="Book Antiqua" w:cs="Book Antiqua"/>
          <w:i/>
          <w:iCs/>
          <w:color w:val="000000"/>
        </w:rPr>
        <w:t>World J Transplant</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12(4): </w:t>
      </w:r>
      <w:r>
        <w:rPr>
          <w:rFonts w:hint="eastAsia" w:ascii="Book Antiqua" w:hAnsi="Book Antiqua" w:eastAsia="宋体" w:cs="Book Antiqua"/>
          <w:color w:val="000000"/>
          <w:lang w:val="en-US" w:eastAsia="zh-CN"/>
        </w:rPr>
        <w:t>72</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78</w:t>
      </w:r>
      <w:r>
        <w:rPr>
          <w:rFonts w:hint="eastAsia" w:ascii="Book Antiqua" w:hAnsi="Book Antiqua" w:eastAsia="Book Antiqua" w:cs="Book Antiqua"/>
          <w:color w:val="000000"/>
        </w:rPr>
        <w:t xml:space="preserve">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https://www.wjgnet.com/2220-3230/full/v12/i4/</w:t>
      </w:r>
      <w:r>
        <w:rPr>
          <w:rFonts w:hint="eastAsia" w:ascii="Book Antiqua" w:hAnsi="Book Antiqua" w:eastAsia="宋体" w:cs="Book Antiqua"/>
          <w:color w:val="000000"/>
          <w:lang w:val="en-US" w:eastAsia="zh-CN"/>
        </w:rPr>
        <w:t>72</w:t>
      </w:r>
      <w:r>
        <w:rPr>
          <w:rFonts w:hint="eastAsia" w:ascii="Book Antiqua" w:hAnsi="Book Antiqua" w:eastAsia="Book Antiqua" w:cs="Book Antiqua"/>
          <w:color w:val="000000"/>
        </w:rPr>
        <w:t xml:space="preserve">.htm </w:t>
      </w:r>
    </w:p>
    <w:p>
      <w:pPr>
        <w:spacing w:line="360" w:lineRule="auto"/>
        <w:jc w:val="both"/>
        <w:rPr>
          <w:rFonts w:hint="default" w:eastAsia="宋体"/>
          <w:lang w:val="en-US" w:eastAsia="zh-CN"/>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https://dx.doi.org/10.5500/wjt.v12.i4.</w:t>
      </w:r>
      <w:r>
        <w:rPr>
          <w:rFonts w:hint="eastAsia" w:ascii="Book Antiqua" w:hAnsi="Book Antiqua" w:eastAsia="宋体" w:cs="Book Antiqua"/>
          <w:color w:val="000000"/>
          <w:lang w:val="en-US" w:eastAsia="zh-CN"/>
        </w:rPr>
        <w:t>72</w:t>
      </w:r>
    </w:p>
    <w:p>
      <w:pPr>
        <w:spacing w:line="360" w:lineRule="auto"/>
        <w:jc w:val="both"/>
      </w:pPr>
    </w:p>
    <w:p>
      <w:pPr>
        <w:spacing w:line="360" w:lineRule="auto"/>
        <w:jc w:val="both"/>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Acute rejection is often seen in intestinal transplant (ITx) recipients due to the high immunogenicity of the intestinal graft. However, it might also be provoked by latent presence of viruses, due to the high immunosuppression needs. Recently, chronic latency of severe acute respiratory syndrome coronavirus</w:t>
      </w:r>
      <w:r>
        <w:rPr>
          <w:rFonts w:hint="eastAsia" w:ascii="Book Antiqua" w:hAnsi="Book Antiqua" w:cs="Book Antiqua"/>
          <w:color w:val="000000"/>
          <w:lang w:eastAsia="zh-CN"/>
        </w:rPr>
        <w:t xml:space="preserve"> </w:t>
      </w:r>
      <w:r>
        <w:rPr>
          <w:rFonts w:ascii="Book Antiqua" w:hAnsi="Book Antiqua" w:eastAsia="Book Antiqua" w:cs="Book Antiqua"/>
          <w:color w:val="000000"/>
        </w:rPr>
        <w:t>2 (SARS-CoV-2) in the intestine has been shown. Hence, early recognition, eradication, and follow-up on intestinal biopsies in ITx recipients might be warranted to prevent the potential acute rejection provocation of the intestinal graft by SARS-CoV-2.</w:t>
      </w:r>
    </w:p>
    <w:p>
      <w:pPr>
        <w:spacing w:line="360" w:lineRule="auto"/>
        <w:jc w:val="both"/>
      </w:pPr>
    </w:p>
    <w:p>
      <w:pPr>
        <w:spacing w:line="360" w:lineRule="auto"/>
        <w:jc w:val="both"/>
      </w:pP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Coronavirus disease 2019 (COVID-19), provoked by severe acute respiratory syndrome coronavirus</w:t>
      </w:r>
      <w:r>
        <w:rPr>
          <w:rFonts w:hint="eastAsia" w:ascii="Book Antiqua" w:hAnsi="Book Antiqua" w:cs="Book Antiqua"/>
          <w:color w:val="000000"/>
          <w:lang w:eastAsia="zh-CN"/>
        </w:rPr>
        <w:t xml:space="preserve"> </w:t>
      </w:r>
      <w:r>
        <w:rPr>
          <w:rFonts w:ascii="Book Antiqua" w:hAnsi="Book Antiqua" w:eastAsia="Book Antiqua" w:cs="Book Antiqua"/>
          <w:color w:val="000000"/>
        </w:rPr>
        <w:t>2 (SARS-CoV-2), poses a major challenge in intestinal transplantation (ITx) due to the high immunogenicity of the graft, requiring high levels of immunosuppression. In the early phase of the pandemic, patients were treated with hydroxychloroquine</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rPr>
        <w:t>. The treatment of SARS-CoV-2 in transplant patients was altered over time in favor of dexamethasone, antivirals, or only supportive therapy</w:t>
      </w:r>
      <w:r>
        <w:rPr>
          <w:rFonts w:ascii="Book Antiqua" w:hAnsi="Book Antiqua" w:eastAsia="Book Antiqua" w:cs="Book Antiqua"/>
          <w:color w:val="000000"/>
          <w:szCs w:val="30"/>
          <w:vertAlign w:val="superscript"/>
        </w:rPr>
        <w:t>[2–4]</w:t>
      </w:r>
      <w:r>
        <w:rPr>
          <w:rFonts w:ascii="Book Antiqua" w:hAnsi="Book Antiqua" w:eastAsia="Book Antiqua" w:cs="Book Antiqua"/>
          <w:color w:val="000000"/>
        </w:rPr>
        <w:t>. Next to this, it is known that SARS-CoV-2 provokes gastroenterological manifestations, due to its invasion of the enterocytes</w:t>
      </w:r>
      <w:r>
        <w:rPr>
          <w:rFonts w:ascii="Book Antiqua" w:hAnsi="Book Antiqua" w:eastAsia="Book Antiqua" w:cs="Book Antiqua"/>
          <w:color w:val="000000"/>
          <w:szCs w:val="30"/>
          <w:vertAlign w:val="superscript"/>
        </w:rPr>
        <w:t>[5]</w:t>
      </w:r>
      <w:r>
        <w:rPr>
          <w:rFonts w:ascii="Book Antiqua" w:hAnsi="Book Antiqua" w:eastAsia="Book Antiqua" w:cs="Book Antiqua"/>
          <w:color w:val="000000"/>
        </w:rPr>
        <w:t>. It has recently been shown that SARS-CoV-2 remained latent present in the upper gastrointestinal tract, as well as in the small intestine, until at least 3 mo post-COVID-19 positivity</w:t>
      </w:r>
      <w:r>
        <w:rPr>
          <w:rFonts w:ascii="Book Antiqua" w:hAnsi="Book Antiqua" w:eastAsia="Book Antiqua" w:cs="Book Antiqua"/>
          <w:color w:val="000000"/>
          <w:szCs w:val="30"/>
          <w:vertAlign w:val="superscript"/>
        </w:rPr>
        <w:t>[6]</w:t>
      </w:r>
      <w:r>
        <w:rPr>
          <w:rFonts w:ascii="Book Antiqua" w:hAnsi="Book Antiqua" w:eastAsia="Book Antiqua" w:cs="Book Antiqua"/>
          <w:color w:val="000000"/>
        </w:rPr>
        <w:t>. Several other latent gastrointestinal tract viruses are known to be able to provoke acute rejection of the intestinal graft, due to the high immunosuppression needs in these ITx recipients</w:t>
      </w:r>
      <w:r>
        <w:rPr>
          <w:rFonts w:ascii="Book Antiqua" w:hAnsi="Book Antiqua" w:eastAsia="Book Antiqua" w:cs="Book Antiqua"/>
          <w:color w:val="000000"/>
          <w:szCs w:val="30"/>
          <w:vertAlign w:val="superscript"/>
        </w:rPr>
        <w:t>[7,8]</w:t>
      </w:r>
      <w:r>
        <w:rPr>
          <w:rFonts w:ascii="Book Antiqua" w:hAnsi="Book Antiqua" w:eastAsia="Book Antiqua" w:cs="Book Antiqua"/>
          <w:color w:val="000000"/>
        </w:rPr>
        <w:t>. To our knowledge, the influence of SARS-CoV-2-related gastroenterological manifestations in ITx patients or the provoked risk for rejection have not been elucidated so far.</w:t>
      </w:r>
    </w:p>
    <w:p>
      <w:pPr>
        <w:spacing w:line="360" w:lineRule="auto"/>
        <w:jc w:val="both"/>
      </w:pPr>
    </w:p>
    <w:p>
      <w:pPr>
        <w:spacing w:line="360" w:lineRule="auto"/>
        <w:jc w:val="both"/>
      </w:pPr>
      <w:r>
        <w:rPr>
          <w:rFonts w:ascii="Book Antiqua" w:hAnsi="Book Antiqua" w:eastAsia="Book Antiqua" w:cs="Book Antiqua"/>
          <w:b/>
          <w:caps/>
          <w:color w:val="000000"/>
          <w:u w:val="single"/>
        </w:rPr>
        <w:t>CASE PRESENTATION</w:t>
      </w:r>
    </w:p>
    <w:p>
      <w:pPr>
        <w:spacing w:line="360" w:lineRule="auto"/>
        <w:jc w:val="both"/>
      </w:pPr>
      <w:r>
        <w:rPr>
          <w:rFonts w:ascii="Book Antiqua" w:hAnsi="Book Antiqua" w:eastAsia="Book Antiqua" w:cs="Book Antiqua"/>
          <w:b/>
          <w:i/>
          <w:color w:val="000000"/>
        </w:rPr>
        <w:t>Chief complaints</w:t>
      </w:r>
    </w:p>
    <w:p>
      <w:pPr>
        <w:spacing w:line="360" w:lineRule="auto"/>
        <w:jc w:val="both"/>
        <w:rPr>
          <w:lang w:eastAsia="zh-CN"/>
        </w:rPr>
      </w:pPr>
      <w:r>
        <w:rPr>
          <w:rFonts w:ascii="Book Antiqua" w:hAnsi="Book Antiqua" w:eastAsia="Book Antiqua" w:cs="Book Antiqua"/>
          <w:color w:val="000000"/>
        </w:rPr>
        <w:t>We recently encountered a SARS-CoV-2 infection in a 41-year-old female ITx-recipient, acquired during hospitalization for dehydration and electrolyte disturbances, during the second European COVID-19 wave in November 2020.</w:t>
      </w:r>
    </w:p>
    <w:p>
      <w:pPr>
        <w:spacing w:line="360" w:lineRule="auto"/>
        <w:jc w:val="both"/>
      </w:pPr>
    </w:p>
    <w:p>
      <w:pPr>
        <w:spacing w:line="360" w:lineRule="auto"/>
        <w:jc w:val="both"/>
      </w:pPr>
      <w:r>
        <w:rPr>
          <w:rFonts w:ascii="Book Antiqua" w:hAnsi="Book Antiqua" w:eastAsia="Book Antiqua" w:cs="Book Antiqua"/>
          <w:b/>
          <w:i/>
          <w:color w:val="000000"/>
        </w:rPr>
        <w:t>History of present illness</w:t>
      </w:r>
    </w:p>
    <w:p>
      <w:pPr>
        <w:spacing w:line="360" w:lineRule="auto"/>
        <w:jc w:val="both"/>
      </w:pPr>
      <w:r>
        <w:rPr>
          <w:rFonts w:ascii="Book Antiqua" w:hAnsi="Book Antiqua" w:eastAsia="Book Antiqua" w:cs="Book Antiqua"/>
          <w:color w:val="000000"/>
        </w:rPr>
        <w:t>She underwent an isolated intestinal re-transplantation, combined with a kidney, in August 2019 for chronic allograft enteropathy. After her re-ITx, she underwent a conversion of her terminal ileostomy to a low ileorectal anastomosis with protective loopileostomy on September</w:t>
      </w:r>
      <w:r>
        <w:rPr>
          <w:rFonts w:hint="eastAsia" w:ascii="Book Antiqua" w:hAnsi="Book Antiqua" w:cs="Book Antiqua"/>
          <w:color w:val="000000"/>
          <w:lang w:eastAsia="zh-CN"/>
        </w:rPr>
        <w:t xml:space="preserve"> 29,</w:t>
      </w:r>
      <w:r>
        <w:rPr>
          <w:rFonts w:ascii="Book Antiqua" w:hAnsi="Book Antiqua" w:eastAsia="Book Antiqua" w:cs="Book Antiqua"/>
          <w:color w:val="000000"/>
        </w:rPr>
        <w:t xml:space="preserve"> 2020.</w:t>
      </w:r>
    </w:p>
    <w:p>
      <w:pPr>
        <w:spacing w:line="360" w:lineRule="auto"/>
        <w:jc w:val="both"/>
      </w:pPr>
    </w:p>
    <w:p>
      <w:pPr>
        <w:spacing w:line="360" w:lineRule="auto"/>
        <w:jc w:val="both"/>
      </w:pPr>
      <w:r>
        <w:rPr>
          <w:rFonts w:ascii="Book Antiqua" w:hAnsi="Book Antiqua" w:eastAsia="Book Antiqua" w:cs="Book Antiqua"/>
          <w:b/>
          <w:i/>
          <w:color w:val="000000"/>
        </w:rPr>
        <w:t>History of past illness</w:t>
      </w:r>
    </w:p>
    <w:p>
      <w:pPr>
        <w:spacing w:line="360" w:lineRule="auto"/>
        <w:jc w:val="both"/>
        <w:rPr>
          <w:lang w:eastAsia="zh-CN"/>
        </w:rPr>
      </w:pPr>
      <w:r>
        <w:rPr>
          <w:rFonts w:ascii="Book Antiqua" w:hAnsi="Book Antiqua" w:eastAsia="Book Antiqua" w:cs="Book Antiqua"/>
          <w:color w:val="000000"/>
        </w:rPr>
        <w:t>Her first isolated ITx was in December 2004 for chronic intestinal pseudo-obstruction with recurrent catheter sepsis. In between the two ITx procedures, she was in good health and never encountered an acute rejection, until she developed chronic allograft enteropathy for which she was back on parenteral nutrition since February 2019.</w:t>
      </w:r>
    </w:p>
    <w:p>
      <w:pPr>
        <w:spacing w:line="360" w:lineRule="auto"/>
        <w:jc w:val="both"/>
      </w:pPr>
    </w:p>
    <w:p>
      <w:pPr>
        <w:spacing w:line="360" w:lineRule="auto"/>
        <w:jc w:val="both"/>
      </w:pPr>
      <w:r>
        <w:rPr>
          <w:rFonts w:ascii="Book Antiqua" w:hAnsi="Book Antiqua" w:eastAsia="Book Antiqua" w:cs="Book Antiqua"/>
          <w:b/>
          <w:i/>
          <w:color w:val="000000"/>
        </w:rPr>
        <w:t>Personal and family history</w:t>
      </w:r>
    </w:p>
    <w:p>
      <w:pPr>
        <w:spacing w:line="360" w:lineRule="auto"/>
        <w:jc w:val="both"/>
      </w:pPr>
      <w:r>
        <w:rPr>
          <w:rFonts w:ascii="Book Antiqua" w:hAnsi="Book Antiqua" w:eastAsia="Book Antiqua" w:cs="Book Antiqua"/>
          <w:color w:val="000000"/>
        </w:rPr>
        <w:t>Negative.</w:t>
      </w:r>
    </w:p>
    <w:p>
      <w:pPr>
        <w:spacing w:line="360" w:lineRule="auto"/>
        <w:jc w:val="both"/>
      </w:pPr>
    </w:p>
    <w:p>
      <w:pPr>
        <w:spacing w:line="360" w:lineRule="auto"/>
        <w:jc w:val="both"/>
      </w:pPr>
      <w:r>
        <w:rPr>
          <w:rFonts w:ascii="Book Antiqua" w:hAnsi="Book Antiqua" w:eastAsia="Book Antiqua" w:cs="Book Antiqua"/>
          <w:b/>
          <w:i/>
          <w:color w:val="000000"/>
        </w:rPr>
        <w:t>Physical examination</w:t>
      </w:r>
    </w:p>
    <w:p>
      <w:pPr>
        <w:spacing w:line="360" w:lineRule="auto"/>
        <w:jc w:val="both"/>
      </w:pPr>
      <w:r>
        <w:rPr>
          <w:rFonts w:ascii="Book Antiqua" w:hAnsi="Book Antiqua" w:eastAsia="Book Antiqua" w:cs="Book Antiqua"/>
          <w:color w:val="000000"/>
        </w:rPr>
        <w:t>On admission, on October</w:t>
      </w:r>
      <w:r>
        <w:rPr>
          <w:rFonts w:hint="eastAsia" w:ascii="Book Antiqua" w:hAnsi="Book Antiqua" w:cs="Book Antiqua"/>
          <w:color w:val="000000"/>
          <w:lang w:eastAsia="zh-CN"/>
        </w:rPr>
        <w:t xml:space="preserve"> 28,</w:t>
      </w:r>
      <w:r>
        <w:rPr>
          <w:rFonts w:ascii="Book Antiqua" w:hAnsi="Book Antiqua" w:eastAsia="Book Antiqua" w:cs="Book Antiqua"/>
          <w:color w:val="000000"/>
        </w:rPr>
        <w:t xml:space="preserve"> 2020, she was on tacrolimus (3.5</w:t>
      </w:r>
      <w:r>
        <w:rPr>
          <w:rFonts w:hint="eastAsia" w:ascii="Book Antiqua" w:hAnsi="Book Antiqua" w:cs="Book Antiqua"/>
          <w:color w:val="000000"/>
          <w:lang w:eastAsia="zh-CN"/>
        </w:rPr>
        <w:t xml:space="preserve"> </w:t>
      </w:r>
      <w:r>
        <w:rPr>
          <w:rFonts w:ascii="Book Antiqua" w:hAnsi="Book Antiqua" w:eastAsia="Book Antiqua" w:cs="Book Antiqua"/>
          <w:color w:val="000000"/>
        </w:rPr>
        <w:t>mg bidaily, target trough level: 7-8</w:t>
      </w:r>
      <w:r>
        <w:rPr>
          <w:rFonts w:hint="eastAsia" w:ascii="Book Antiqua" w:hAnsi="Book Antiqua" w:cs="Book Antiqua"/>
          <w:color w:val="000000"/>
          <w:lang w:eastAsia="zh-CN"/>
        </w:rPr>
        <w:t xml:space="preserve"> </w:t>
      </w:r>
      <w:r>
        <w:rPr>
          <w:rFonts w:ascii="Book Antiqua" w:hAnsi="Book Antiqua" w:eastAsia="Book Antiqua" w:cs="Book Antiqua"/>
          <w:color w:val="000000"/>
        </w:rPr>
        <w:t>μg/L), azathioprine (50</w:t>
      </w:r>
      <w:r>
        <w:rPr>
          <w:rFonts w:hint="eastAsia" w:ascii="Book Antiqua" w:hAnsi="Book Antiqua" w:cs="Book Antiqua"/>
          <w:color w:val="000000"/>
          <w:lang w:eastAsia="zh-CN"/>
        </w:rPr>
        <w:t xml:space="preserve"> </w:t>
      </w:r>
      <w:r>
        <w:rPr>
          <w:rFonts w:ascii="Book Antiqua" w:hAnsi="Book Antiqua" w:eastAsia="Book Antiqua" w:cs="Book Antiqua"/>
          <w:color w:val="000000"/>
        </w:rPr>
        <w:t>mg/d), and methylprednisolone (4</w:t>
      </w:r>
      <w:r>
        <w:rPr>
          <w:rFonts w:hint="eastAsia" w:ascii="Book Antiqua" w:hAnsi="Book Antiqua" w:cs="Book Antiqua"/>
          <w:color w:val="000000"/>
          <w:lang w:eastAsia="zh-CN"/>
        </w:rPr>
        <w:t xml:space="preserve"> </w:t>
      </w:r>
      <w:r>
        <w:rPr>
          <w:rFonts w:ascii="Book Antiqua" w:hAnsi="Book Antiqua" w:eastAsia="Book Antiqua" w:cs="Book Antiqua"/>
          <w:color w:val="000000"/>
        </w:rPr>
        <w:t>mg/d). She had no fever, respiratory issues, nor recent contact with a potential COVID-19 positive patient.</w:t>
      </w:r>
    </w:p>
    <w:p>
      <w:pPr>
        <w:spacing w:line="360" w:lineRule="auto"/>
        <w:jc w:val="both"/>
      </w:pPr>
    </w:p>
    <w:p>
      <w:pPr>
        <w:spacing w:line="360" w:lineRule="auto"/>
        <w:jc w:val="both"/>
      </w:pPr>
      <w:r>
        <w:rPr>
          <w:rFonts w:ascii="Book Antiqua" w:hAnsi="Book Antiqua" w:eastAsia="Book Antiqua" w:cs="Book Antiqua"/>
          <w:b/>
          <w:i/>
          <w:color w:val="000000"/>
        </w:rPr>
        <w:t>Laboratory examinations</w:t>
      </w:r>
    </w:p>
    <w:p>
      <w:pPr>
        <w:spacing w:line="360" w:lineRule="auto"/>
        <w:jc w:val="both"/>
      </w:pPr>
      <w:r>
        <w:rPr>
          <w:rFonts w:ascii="Book Antiqua" w:hAnsi="Book Antiqua" w:eastAsia="Book Antiqua" w:cs="Book Antiqua"/>
          <w:color w:val="000000"/>
        </w:rPr>
        <w:t xml:space="preserve">She tested negative on SARS-CoV-2 on a nasopharyngeal polymerase chain reaction </w:t>
      </w:r>
      <w:r>
        <w:rPr>
          <w:rFonts w:hint="eastAsia" w:ascii="Book Antiqua" w:hAnsi="Book Antiqua" w:cs="Book Antiqua"/>
          <w:color w:val="000000"/>
          <w:lang w:eastAsia="zh-CN"/>
        </w:rPr>
        <w:t>(</w:t>
      </w:r>
      <w:r>
        <w:rPr>
          <w:rFonts w:ascii="Book Antiqua" w:hAnsi="Book Antiqua" w:eastAsia="Book Antiqua" w:cs="Book Antiqua"/>
          <w:color w:val="000000"/>
        </w:rPr>
        <w:t>PCR</w:t>
      </w:r>
      <w:r>
        <w:rPr>
          <w:rFonts w:hint="eastAsia" w:ascii="Book Antiqua" w:hAnsi="Book Antiqua" w:cs="Book Antiqua"/>
          <w:color w:val="000000"/>
          <w:lang w:eastAsia="zh-CN"/>
        </w:rPr>
        <w:t>)</w:t>
      </w:r>
      <w:r>
        <w:rPr>
          <w:rFonts w:ascii="Book Antiqua" w:hAnsi="Book Antiqua" w:eastAsia="Book Antiqua" w:cs="Book Antiqua"/>
          <w:color w:val="000000"/>
        </w:rPr>
        <w:t>-test (</w:t>
      </w:r>
      <w:r>
        <w:rPr>
          <w:rFonts w:hint="eastAsia" w:ascii="Book Antiqua" w:hAnsi="Book Antiqua" w:cs="Book Antiqua"/>
          <w:color w:val="000000"/>
          <w:lang w:eastAsia="zh-CN"/>
        </w:rPr>
        <w:t>F</w:t>
      </w:r>
      <w:r>
        <w:rPr>
          <w:rFonts w:ascii="Book Antiqua" w:hAnsi="Book Antiqua" w:eastAsia="Book Antiqua" w:cs="Book Antiqua"/>
          <w:color w:val="000000"/>
        </w:rPr>
        <w:t>igure 1). Her lab values revealed an acute deterioration of kidney function and electrolyte disturbances. Six days after admission, on November</w:t>
      </w:r>
      <w:r>
        <w:rPr>
          <w:rFonts w:hint="eastAsia" w:ascii="Book Antiqua" w:hAnsi="Book Antiqua" w:cs="Book Antiqua"/>
          <w:color w:val="000000"/>
          <w:lang w:eastAsia="zh-CN"/>
        </w:rPr>
        <w:t xml:space="preserve"> 3,</w:t>
      </w:r>
      <w:r>
        <w:rPr>
          <w:rFonts w:ascii="Book Antiqua" w:hAnsi="Book Antiqua" w:eastAsia="Book Antiqua" w:cs="Book Antiqua"/>
          <w:color w:val="000000"/>
        </w:rPr>
        <w:t xml:space="preserve"> 2020, she tested positive for SARS-CoV-2 on a screening PCR-test.</w:t>
      </w:r>
    </w:p>
    <w:p>
      <w:pPr>
        <w:spacing w:line="360" w:lineRule="auto"/>
        <w:jc w:val="both"/>
      </w:pPr>
    </w:p>
    <w:p>
      <w:pPr>
        <w:spacing w:line="360" w:lineRule="auto"/>
        <w:jc w:val="both"/>
      </w:pPr>
      <w:r>
        <w:rPr>
          <w:rFonts w:ascii="Book Antiqua" w:hAnsi="Book Antiqua" w:eastAsia="Book Antiqua" w:cs="Book Antiqua"/>
          <w:b/>
          <w:i/>
          <w:color w:val="000000"/>
        </w:rPr>
        <w:t>Imaging examinations</w:t>
      </w:r>
    </w:p>
    <w:p>
      <w:pPr>
        <w:spacing w:line="360" w:lineRule="auto"/>
        <w:jc w:val="both"/>
        <w:rPr>
          <w:lang w:eastAsia="zh-CN"/>
        </w:rPr>
      </w:pPr>
      <w:r>
        <w:rPr>
          <w:rFonts w:ascii="Book Antiqua" w:hAnsi="Book Antiqua" w:eastAsia="Book Antiqua" w:cs="Book Antiqua"/>
          <w:color w:val="000000"/>
        </w:rPr>
        <w:t>There were no clinical nor biochemical signs of infection or chest X-ray alterations.</w:t>
      </w:r>
    </w:p>
    <w:p>
      <w:pPr>
        <w:spacing w:line="360" w:lineRule="auto"/>
        <w:jc w:val="both"/>
      </w:pPr>
    </w:p>
    <w:p>
      <w:pPr>
        <w:spacing w:line="360" w:lineRule="auto"/>
        <w:jc w:val="both"/>
      </w:pPr>
      <w:r>
        <w:rPr>
          <w:rFonts w:ascii="Book Antiqua" w:hAnsi="Book Antiqua" w:eastAsia="Book Antiqua" w:cs="Book Antiqua"/>
          <w:b/>
          <w:caps/>
          <w:color w:val="000000"/>
          <w:u w:val="single"/>
        </w:rPr>
        <w:t>FINAL DIAGNOSIS</w:t>
      </w:r>
    </w:p>
    <w:p>
      <w:pPr>
        <w:spacing w:line="360" w:lineRule="auto"/>
        <w:jc w:val="both"/>
      </w:pPr>
      <w:r>
        <w:rPr>
          <w:rFonts w:ascii="Book Antiqua" w:hAnsi="Book Antiqua" w:eastAsia="Book Antiqua" w:cs="Book Antiqua"/>
          <w:color w:val="000000"/>
        </w:rPr>
        <w:t>The final diagnosis of this presented case is mild COVID-19.</w:t>
      </w:r>
    </w:p>
    <w:p>
      <w:pPr>
        <w:spacing w:line="360" w:lineRule="auto"/>
        <w:jc w:val="both"/>
      </w:pPr>
    </w:p>
    <w:p>
      <w:pPr>
        <w:spacing w:line="360" w:lineRule="auto"/>
        <w:jc w:val="both"/>
      </w:pPr>
      <w:r>
        <w:rPr>
          <w:rFonts w:ascii="Book Antiqua" w:hAnsi="Book Antiqua" w:eastAsia="Book Antiqua" w:cs="Book Antiqua"/>
          <w:b/>
          <w:caps/>
          <w:color w:val="000000"/>
          <w:u w:val="single"/>
        </w:rPr>
        <w:t>TREATMENT</w:t>
      </w:r>
    </w:p>
    <w:p>
      <w:pPr>
        <w:spacing w:line="360" w:lineRule="auto"/>
        <w:jc w:val="both"/>
      </w:pPr>
      <w:r>
        <w:rPr>
          <w:rFonts w:ascii="Book Antiqua" w:hAnsi="Book Antiqua" w:eastAsia="Book Antiqua" w:cs="Book Antiqua"/>
          <w:color w:val="000000"/>
        </w:rPr>
        <w:t>Azathioprine was temporarily halted, and tacrolimus levels slightly raised towards target trough levels of 8-9</w:t>
      </w:r>
      <w:r>
        <w:rPr>
          <w:rFonts w:hint="eastAsia" w:ascii="Book Antiqua" w:hAnsi="Book Antiqua" w:cs="Book Antiqua"/>
          <w:color w:val="000000"/>
          <w:lang w:eastAsia="zh-CN"/>
        </w:rPr>
        <w:t xml:space="preserve"> </w:t>
      </w:r>
      <w:r>
        <w:rPr>
          <w:rFonts w:ascii="Book Antiqua" w:hAnsi="Book Antiqua" w:eastAsia="Book Antiqua" w:cs="Book Antiqua"/>
          <w:color w:val="000000"/>
        </w:rPr>
        <w:t>μg/L. Prophylactic low-molecular weight heparin was started as D-dimers measured 4110</w:t>
      </w:r>
      <w:r>
        <w:rPr>
          <w:rFonts w:hint="eastAsia" w:ascii="Book Antiqua" w:hAnsi="Book Antiqua" w:cs="Book Antiqua"/>
          <w:color w:val="000000"/>
          <w:lang w:eastAsia="zh-CN"/>
        </w:rPr>
        <w:t xml:space="preserve"> </w:t>
      </w:r>
      <w:r>
        <w:rPr>
          <w:rFonts w:ascii="Book Antiqua" w:hAnsi="Book Antiqua" w:eastAsia="Book Antiqua" w:cs="Book Antiqua"/>
          <w:color w:val="000000"/>
        </w:rPr>
        <w:t>ng/mL (normal ≤</w:t>
      </w:r>
      <w:r>
        <w:rPr>
          <w:rFonts w:hint="eastAsia" w:ascii="Book Antiqua" w:hAnsi="Book Antiqua" w:cs="Book Antiqua"/>
          <w:color w:val="000000"/>
          <w:lang w:eastAsia="zh-CN"/>
        </w:rPr>
        <w:t xml:space="preserve"> </w:t>
      </w:r>
      <w:r>
        <w:rPr>
          <w:rFonts w:ascii="Book Antiqua" w:hAnsi="Book Antiqua" w:eastAsia="Book Antiqua" w:cs="Book Antiqua"/>
          <w:color w:val="000000"/>
        </w:rPr>
        <w:t>500</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ng/mL). She was transferred to the COVID-19 </w:t>
      </w:r>
      <w:r>
        <w:rPr>
          <w:rFonts w:hint="eastAsia" w:ascii="Book Antiqua" w:hAnsi="Book Antiqua" w:cs="Book Antiqua"/>
          <w:color w:val="000000"/>
          <w:lang w:eastAsia="zh-CN"/>
        </w:rPr>
        <w:t>l</w:t>
      </w:r>
      <w:r>
        <w:rPr>
          <w:rFonts w:ascii="Book Antiqua" w:hAnsi="Book Antiqua" w:eastAsia="Book Antiqua" w:cs="Book Antiqua"/>
          <w:color w:val="000000"/>
        </w:rPr>
        <w:t>ow-care ward of our hospital. Five days later, on November</w:t>
      </w:r>
      <w:r>
        <w:rPr>
          <w:rFonts w:hint="eastAsia" w:ascii="Book Antiqua" w:hAnsi="Book Antiqua" w:cs="Book Antiqua"/>
          <w:color w:val="000000"/>
          <w:lang w:eastAsia="zh-CN"/>
        </w:rPr>
        <w:t xml:space="preserve"> 8,</w:t>
      </w:r>
      <w:r>
        <w:rPr>
          <w:rFonts w:ascii="Book Antiqua" w:hAnsi="Book Antiqua" w:eastAsia="Book Antiqua" w:cs="Book Antiqua"/>
          <w:color w:val="000000"/>
        </w:rPr>
        <w:t xml:space="preserve"> 2020, her stomal output increased with 227% up to 2830</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mL/24 h. As rejection was suspected, ileoscopy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stoma was performed on November</w:t>
      </w:r>
      <w:r>
        <w:rPr>
          <w:rFonts w:hint="eastAsia" w:ascii="Book Antiqua" w:hAnsi="Book Antiqua" w:cs="Book Antiqua"/>
          <w:color w:val="000000"/>
          <w:lang w:eastAsia="zh-CN"/>
        </w:rPr>
        <w:t xml:space="preserve"> 9,</w:t>
      </w:r>
      <w:r>
        <w:rPr>
          <w:rFonts w:ascii="Book Antiqua" w:hAnsi="Book Antiqua" w:eastAsia="Book Antiqua" w:cs="Book Antiqua"/>
          <w:color w:val="000000"/>
        </w:rPr>
        <w:t xml:space="preserve"> 2020, and ileal biopsies were taken (</w:t>
      </w:r>
      <w:r>
        <w:rPr>
          <w:rFonts w:hint="eastAsia" w:ascii="Book Antiqua" w:hAnsi="Book Antiqua" w:cs="Book Antiqua"/>
          <w:color w:val="000000"/>
          <w:lang w:eastAsia="zh-CN"/>
        </w:rPr>
        <w:t>F</w:t>
      </w:r>
      <w:r>
        <w:rPr>
          <w:rFonts w:ascii="Book Antiqua" w:hAnsi="Book Antiqua" w:eastAsia="Book Antiqua" w:cs="Book Antiqua"/>
          <w:color w:val="000000"/>
        </w:rPr>
        <w:t>igure 2). These excluded inflammation or rejection. That same day, anosmia and mild dyspnea with normal oxygen saturation developed. Body temperature increased until 37.8</w:t>
      </w:r>
      <w:r>
        <w:rPr>
          <w:rFonts w:hint="eastAsia" w:ascii="Book Antiqua" w:hAnsi="Book Antiqua" w:cs="Book Antiqua"/>
          <w:color w:val="000000"/>
          <w:lang w:eastAsia="zh-CN"/>
        </w:rPr>
        <w:t xml:space="preserve"> </w:t>
      </w:r>
      <w:r>
        <w:rPr>
          <w:rFonts w:ascii="Book Antiqua" w:hAnsi="Book Antiqua" w:eastAsia="Book Antiqua" w:cs="Book Antiqua"/>
          <w:color w:val="000000"/>
        </w:rPr>
        <w:t>°C and C-reactive protein level was 25</w:t>
      </w:r>
      <w:r>
        <w:rPr>
          <w:rFonts w:hint="eastAsia" w:ascii="Book Antiqua" w:hAnsi="Book Antiqua" w:cs="Book Antiqua"/>
          <w:color w:val="000000"/>
          <w:lang w:eastAsia="zh-CN"/>
        </w:rPr>
        <w:t xml:space="preserve"> </w:t>
      </w:r>
      <w:r>
        <w:rPr>
          <w:rFonts w:ascii="Book Antiqua" w:hAnsi="Book Antiqua" w:eastAsia="Book Antiqua" w:cs="Book Antiqua"/>
          <w:color w:val="000000"/>
        </w:rPr>
        <w:t>mg/L (normal &lt;</w:t>
      </w:r>
      <w:r>
        <w:rPr>
          <w:rFonts w:hint="eastAsia" w:ascii="Book Antiqua" w:hAnsi="Book Antiqua" w:cs="Book Antiqua"/>
          <w:color w:val="000000"/>
          <w:lang w:eastAsia="zh-CN"/>
        </w:rPr>
        <w:t xml:space="preserve"> </w:t>
      </w:r>
      <w:r>
        <w:rPr>
          <w:rFonts w:ascii="Book Antiqua" w:hAnsi="Book Antiqua" w:eastAsia="Book Antiqua" w:cs="Book Antiqua"/>
          <w:color w:val="000000"/>
        </w:rPr>
        <w:t>5</w:t>
      </w:r>
      <w:r>
        <w:rPr>
          <w:rFonts w:hint="eastAsia" w:ascii="Book Antiqua" w:hAnsi="Book Antiqua" w:cs="Book Antiqua"/>
          <w:color w:val="000000"/>
          <w:lang w:eastAsia="zh-CN"/>
        </w:rPr>
        <w:t xml:space="preserve"> </w:t>
      </w:r>
      <w:r>
        <w:rPr>
          <w:rFonts w:ascii="Book Antiqua" w:hAnsi="Book Antiqua" w:eastAsia="Book Antiqua" w:cs="Book Antiqua"/>
          <w:color w:val="000000"/>
        </w:rPr>
        <w:t>mg/L). Remdesivir was intravenously administered for 5 d with 200</w:t>
      </w:r>
      <w:r>
        <w:rPr>
          <w:rFonts w:hint="eastAsia" w:ascii="Book Antiqua" w:hAnsi="Book Antiqua" w:cs="Book Antiqua"/>
          <w:color w:val="000000"/>
          <w:lang w:eastAsia="zh-CN"/>
        </w:rPr>
        <w:t xml:space="preserve"> </w:t>
      </w:r>
      <w:r>
        <w:rPr>
          <w:rFonts w:ascii="Book Antiqua" w:hAnsi="Book Antiqua" w:eastAsia="Book Antiqua" w:cs="Book Antiqua"/>
          <w:color w:val="000000"/>
        </w:rPr>
        <w:t>mg as loading dose and 100</w:t>
      </w:r>
      <w:r>
        <w:rPr>
          <w:rFonts w:hint="eastAsia" w:ascii="Book Antiqua" w:hAnsi="Book Antiqua" w:cs="Book Antiqua"/>
          <w:color w:val="000000"/>
          <w:lang w:eastAsia="zh-CN"/>
        </w:rPr>
        <w:t xml:space="preserve"> </w:t>
      </w:r>
      <w:r>
        <w:rPr>
          <w:rFonts w:ascii="Book Antiqua" w:hAnsi="Book Antiqua" w:eastAsia="Book Antiqua" w:cs="Book Antiqua"/>
          <w:color w:val="000000"/>
        </w:rPr>
        <w:t>mg daily thereafter. After the remdesivir treatment was finished, azathioprine was restarted, and tacrolimus trough levels lowered to standard levels.</w:t>
      </w:r>
    </w:p>
    <w:p>
      <w:pPr>
        <w:spacing w:line="360" w:lineRule="auto"/>
        <w:jc w:val="both"/>
      </w:pPr>
    </w:p>
    <w:p>
      <w:pPr>
        <w:spacing w:line="360" w:lineRule="auto"/>
        <w:jc w:val="both"/>
      </w:pPr>
      <w:r>
        <w:rPr>
          <w:rFonts w:ascii="Book Antiqua" w:hAnsi="Book Antiqua" w:eastAsia="Book Antiqua" w:cs="Book Antiqua"/>
          <w:b/>
          <w:caps/>
          <w:color w:val="000000"/>
          <w:u w:val="single"/>
        </w:rPr>
        <w:t>OUTCOME AND FOLLOW-UP</w:t>
      </w:r>
    </w:p>
    <w:p>
      <w:pPr>
        <w:spacing w:line="360" w:lineRule="auto"/>
        <w:jc w:val="both"/>
      </w:pPr>
      <w:r>
        <w:rPr>
          <w:rFonts w:ascii="Book Antiqua" w:hAnsi="Book Antiqua" w:eastAsia="Book Antiqua" w:cs="Book Antiqua"/>
          <w:color w:val="000000"/>
        </w:rPr>
        <w:t>Weekly SARS-CoV-2 PCR remained positive, until a cycle threshold (Ct)-value of 39.22 was found, 4 wk after her first positive test, on November</w:t>
      </w:r>
      <w:r>
        <w:rPr>
          <w:rFonts w:hint="eastAsia" w:ascii="Book Antiqua" w:hAnsi="Book Antiqua" w:cs="Book Antiqua"/>
          <w:color w:val="000000"/>
          <w:lang w:eastAsia="zh-CN"/>
        </w:rPr>
        <w:t xml:space="preserve"> 30,</w:t>
      </w:r>
      <w:r>
        <w:rPr>
          <w:rFonts w:ascii="Book Antiqua" w:hAnsi="Book Antiqua" w:eastAsia="Book Antiqua" w:cs="Book Antiqua"/>
          <w:color w:val="000000"/>
        </w:rPr>
        <w:t xml:space="preserve"> 2020, and she was removed from the COVID-19 ward as the internal hospital protocol states when the Ct-value is &gt;</w:t>
      </w:r>
      <w:r>
        <w:rPr>
          <w:rFonts w:hint="eastAsia" w:ascii="Book Antiqua" w:hAnsi="Book Antiqua" w:cs="Book Antiqua"/>
          <w:color w:val="000000"/>
          <w:lang w:eastAsia="zh-CN"/>
        </w:rPr>
        <w:t xml:space="preserve"> </w:t>
      </w:r>
      <w:r>
        <w:rPr>
          <w:rFonts w:ascii="Book Antiqua" w:hAnsi="Book Antiqua" w:eastAsia="Book Antiqua" w:cs="Book Antiqua"/>
          <w:color w:val="000000"/>
        </w:rPr>
        <w:t>29. Stomal output kept fluctuating for 1 mo, with several days of high output (&gt;</w:t>
      </w:r>
      <w:r>
        <w:rPr>
          <w:rFonts w:hint="eastAsia" w:ascii="Book Antiqua" w:hAnsi="Book Antiqua" w:cs="Book Antiqua"/>
          <w:color w:val="000000"/>
          <w:lang w:eastAsia="zh-CN"/>
        </w:rPr>
        <w:t xml:space="preserve"> </w:t>
      </w:r>
      <w:r>
        <w:rPr>
          <w:rFonts w:ascii="Book Antiqua" w:hAnsi="Book Antiqua" w:eastAsia="Book Antiqua" w:cs="Book Antiqua"/>
          <w:color w:val="000000"/>
        </w:rPr>
        <w:t>1200</w:t>
      </w:r>
      <w:r>
        <w:rPr>
          <w:rFonts w:hint="eastAsia" w:ascii="Book Antiqua" w:hAnsi="Book Antiqua" w:cs="Book Antiqua"/>
          <w:color w:val="000000"/>
          <w:lang w:eastAsia="zh-CN"/>
        </w:rPr>
        <w:t xml:space="preserve"> </w:t>
      </w:r>
      <w:r>
        <w:rPr>
          <w:rFonts w:ascii="Book Antiqua" w:hAnsi="Book Antiqua" w:eastAsia="Book Antiqua" w:cs="Book Antiqua"/>
          <w:color w:val="000000"/>
        </w:rPr>
        <w:t>mL/24 h). With adequate fluid replacement, renal function remained stable, and the patient could be discharged on December</w:t>
      </w:r>
      <w:r>
        <w:rPr>
          <w:rFonts w:hint="eastAsia" w:ascii="Book Antiqua" w:hAnsi="Book Antiqua" w:cs="Book Antiqua"/>
          <w:color w:val="000000"/>
          <w:lang w:eastAsia="zh-CN"/>
        </w:rPr>
        <w:t xml:space="preserve"> 2,</w:t>
      </w:r>
      <w:r>
        <w:rPr>
          <w:rFonts w:ascii="Book Antiqua" w:hAnsi="Book Antiqua" w:eastAsia="Book Antiqua" w:cs="Book Antiqua"/>
          <w:color w:val="000000"/>
        </w:rPr>
        <w:t xml:space="preserve"> 2020, remaining in good health since then. SARS-CoV-2 PCR remained negative since then, and 3 mo after discharge from the hospital SARS-CoV-2 immunoglobulin G (IgG) nucleocapsid antigen was negative. The patient gave informed consent, and ethical approval from the institutional review board was obtained (S64844).</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rPr>
        <w:t>We present the first report, to our knowledge, of mild COVID-19 in an ITx-patient treated with remdesivir, prophylactic low-molecular weight heparin, and temporary interruption of azathioprine. As according to the currently available evidence in transplant recipients, azathioprine was halted and tacrolimus slightly raised in return</w:t>
      </w:r>
      <w:r>
        <w:rPr>
          <w:rFonts w:ascii="Book Antiqua" w:hAnsi="Book Antiqua" w:eastAsia="Book Antiqua" w:cs="Book Antiqua"/>
          <w:color w:val="000000"/>
          <w:szCs w:val="30"/>
          <w:vertAlign w:val="superscript"/>
        </w:rPr>
        <w:t>[9,10]</w:t>
      </w:r>
      <w:r>
        <w:rPr>
          <w:rFonts w:ascii="Book Antiqua" w:hAnsi="Book Antiqua" w:eastAsia="Book Antiqua" w:cs="Book Antiqua"/>
          <w:color w:val="000000"/>
        </w:rPr>
        <w:t>. However, it has recently been shown that solid organ transplant recipients can also be successfully treated without adjustment of immunosuppressive therapy and without any antiviral treatment</w:t>
      </w:r>
      <w:r>
        <w:rPr>
          <w:rFonts w:ascii="Book Antiqua" w:hAnsi="Book Antiqua" w:eastAsia="Book Antiqua" w:cs="Book Antiqua"/>
          <w:color w:val="000000"/>
          <w:szCs w:val="30"/>
          <w:vertAlign w:val="superscript"/>
        </w:rPr>
        <w:t>[4]</w:t>
      </w:r>
      <w:r>
        <w:rPr>
          <w:rFonts w:ascii="Book Antiqua" w:hAnsi="Book Antiqua" w:eastAsia="Book Antiqua" w:cs="Book Antiqua"/>
          <w:color w:val="000000"/>
        </w:rPr>
        <w:t>. Our patient was preemptively treated with remdesivir as antiviral treatment. Up till now, there is not much yet known about remdesivir treatment in solid organ transplant recipients</w:t>
      </w:r>
      <w:r>
        <w:rPr>
          <w:rFonts w:ascii="Book Antiqua" w:hAnsi="Book Antiqua" w:eastAsia="Book Antiqua" w:cs="Book Antiqua"/>
          <w:color w:val="000000"/>
          <w:szCs w:val="30"/>
          <w:vertAlign w:val="superscript"/>
        </w:rPr>
        <w:t>[11]</w:t>
      </w:r>
      <w:r>
        <w:rPr>
          <w:rFonts w:ascii="Book Antiqua" w:hAnsi="Book Antiqua" w:eastAsia="Book Antiqua" w:cs="Book Antiqua"/>
          <w:color w:val="000000"/>
        </w:rPr>
        <w:t>. Recent reports have shown its tolerability and safety in kidney transplant recipients, without effects on kidney or liver function</w:t>
      </w:r>
      <w:r>
        <w:rPr>
          <w:rFonts w:ascii="Book Antiqua" w:hAnsi="Book Antiqua" w:eastAsia="Book Antiqua" w:cs="Book Antiqua"/>
          <w:color w:val="000000"/>
          <w:szCs w:val="30"/>
          <w:vertAlign w:val="superscript"/>
        </w:rPr>
        <w:t>[12,13]</w:t>
      </w:r>
      <w:r>
        <w:rPr>
          <w:rFonts w:ascii="Book Antiqua" w:hAnsi="Book Antiqua" w:eastAsia="Book Antiqua" w:cs="Book Antiqua"/>
          <w:color w:val="000000"/>
        </w:rPr>
        <w:t>. However, it is strongly advised to monitor regularly liver biochemistry in patients treated with remdesivir, as hepatotoxic side effects have been described</w:t>
      </w:r>
      <w:r>
        <w:rPr>
          <w:rFonts w:ascii="Book Antiqua" w:hAnsi="Book Antiqua" w:eastAsia="Book Antiqua" w:cs="Book Antiqua"/>
          <w:color w:val="000000"/>
          <w:szCs w:val="30"/>
          <w:vertAlign w:val="superscript"/>
        </w:rPr>
        <w:t>[11,14]</w:t>
      </w:r>
      <w:r>
        <w:rPr>
          <w:rFonts w:ascii="Book Antiqua" w:hAnsi="Book Antiqua" w:eastAsia="Book Antiqua" w:cs="Book Antiqua"/>
          <w:color w:val="000000"/>
        </w:rPr>
        <w:t>.</w:t>
      </w:r>
    </w:p>
    <w:p>
      <w:pPr>
        <w:spacing w:line="360" w:lineRule="auto"/>
        <w:ind w:firstLine="480" w:firstLineChars="200"/>
        <w:jc w:val="both"/>
      </w:pPr>
      <w:r>
        <w:rPr>
          <w:rFonts w:ascii="Book Antiqua" w:hAnsi="Book Antiqua" w:eastAsia="Book Antiqua" w:cs="Book Antiqua"/>
          <w:color w:val="000000"/>
        </w:rPr>
        <w:t>Although gastroenterological manifestations, including diarrhea, nausea, vomiting, and loss of appetite, are commonly seen in COVID-19 patients, symptomatology was mild in our case and limited to high stomal output</w:t>
      </w:r>
      <w:r>
        <w:rPr>
          <w:rFonts w:ascii="Book Antiqua" w:hAnsi="Book Antiqua" w:eastAsia="Book Antiqua" w:cs="Book Antiqua"/>
          <w:color w:val="000000"/>
          <w:szCs w:val="30"/>
          <w:vertAlign w:val="superscript"/>
        </w:rPr>
        <w:t>[5,15,16]</w:t>
      </w:r>
      <w:r>
        <w:rPr>
          <w:rFonts w:ascii="Book Antiqua" w:hAnsi="Book Antiqua" w:eastAsia="Book Antiqua" w:cs="Book Antiqua"/>
          <w:color w:val="000000"/>
        </w:rPr>
        <w:t>. These clinical symptoms might also be suggestive for an acute rejection in ITx recipients, which should be treated with an increase of immunosuppression or pulse corticosteroids, which is opposite in the case of an gastroenterological infectious process</w:t>
      </w:r>
      <w:r>
        <w:rPr>
          <w:rFonts w:ascii="Book Antiqua" w:hAnsi="Book Antiqua" w:eastAsia="Book Antiqua" w:cs="Book Antiqua"/>
          <w:color w:val="000000"/>
          <w:szCs w:val="30"/>
          <w:vertAlign w:val="superscript"/>
        </w:rPr>
        <w:t>[8]</w:t>
      </w:r>
      <w:r>
        <w:rPr>
          <w:rFonts w:ascii="Book Antiqua" w:hAnsi="Book Antiqua" w:eastAsia="Book Antiqua" w:cs="Book Antiqua"/>
          <w:color w:val="000000"/>
        </w:rPr>
        <w:t>. This symptomatic overlap renders the cause of the gastroenterological manifestations more difficult and hence influences the treatment strategy. If not treated promptly, acute rejection might eventually lead to intestinal graft loss</w:t>
      </w:r>
      <w:r>
        <w:rPr>
          <w:rFonts w:ascii="Book Antiqua" w:hAnsi="Book Antiqua" w:eastAsia="Book Antiqua" w:cs="Book Antiqua"/>
          <w:color w:val="000000"/>
          <w:szCs w:val="30"/>
          <w:vertAlign w:val="superscript"/>
        </w:rPr>
        <w:t>[17]</w:t>
      </w:r>
      <w:r>
        <w:rPr>
          <w:rFonts w:ascii="Book Antiqua" w:hAnsi="Book Antiqua" w:eastAsia="Book Antiqua" w:cs="Book Antiqua"/>
          <w:color w:val="000000"/>
        </w:rPr>
        <w:t>. Only endoscopic evaluation with histopathologic confirmation of acute rejection on biopsy can make a clear differentiation. A recent study showed that D-dimers &gt;</w:t>
      </w:r>
      <w:r>
        <w:rPr>
          <w:rFonts w:hint="eastAsia" w:ascii="Book Antiqua" w:hAnsi="Book Antiqua" w:cs="Book Antiqua"/>
          <w:color w:val="000000"/>
          <w:lang w:eastAsia="zh-CN"/>
        </w:rPr>
        <w:t xml:space="preserve"> </w:t>
      </w:r>
      <w:r>
        <w:rPr>
          <w:rFonts w:ascii="Book Antiqua" w:hAnsi="Book Antiqua" w:eastAsia="Book Antiqua" w:cs="Book Antiqua"/>
          <w:color w:val="000000"/>
        </w:rPr>
        <w:t>1850</w:t>
      </w:r>
      <w:r>
        <w:rPr>
          <w:rFonts w:hint="eastAsia" w:ascii="Book Antiqua" w:hAnsi="Book Antiqua" w:cs="Book Antiqua"/>
          <w:color w:val="000000"/>
          <w:lang w:eastAsia="zh-CN"/>
        </w:rPr>
        <w:t xml:space="preserve"> </w:t>
      </w:r>
      <w:r>
        <w:rPr>
          <w:rFonts w:ascii="Book Antiqua" w:hAnsi="Book Antiqua" w:eastAsia="Book Antiqua" w:cs="Book Antiqua"/>
          <w:color w:val="000000"/>
        </w:rPr>
        <w:t>ng/mL, which was the case in our patient (up to 4110</w:t>
      </w:r>
      <w:r>
        <w:rPr>
          <w:rFonts w:hint="eastAsia" w:ascii="Book Antiqua" w:hAnsi="Book Antiqua" w:cs="Book Antiqua"/>
          <w:color w:val="000000"/>
          <w:lang w:eastAsia="zh-CN"/>
        </w:rPr>
        <w:t xml:space="preserve"> </w:t>
      </w:r>
      <w:r>
        <w:rPr>
          <w:rFonts w:ascii="Book Antiqua" w:hAnsi="Book Antiqua" w:eastAsia="Book Antiqua" w:cs="Book Antiqua"/>
          <w:color w:val="000000"/>
        </w:rPr>
        <w:t>ng/mL), is the best discriminator to find major intestinal mucosal abnormalities at endoscopy in COVID-19 positive patients</w:t>
      </w:r>
      <w:r>
        <w:rPr>
          <w:rFonts w:ascii="Book Antiqua" w:hAnsi="Book Antiqua" w:eastAsia="Book Antiqua" w:cs="Book Antiqua"/>
          <w:color w:val="000000"/>
          <w:szCs w:val="30"/>
          <w:vertAlign w:val="superscript"/>
        </w:rPr>
        <w:t>[18]</w:t>
      </w:r>
      <w:r>
        <w:rPr>
          <w:rFonts w:ascii="Book Antiqua" w:hAnsi="Book Antiqua" w:eastAsia="Book Antiqua" w:cs="Book Antiqua"/>
          <w:color w:val="000000"/>
        </w:rPr>
        <w:t>.</w:t>
      </w:r>
    </w:p>
    <w:p>
      <w:pPr>
        <w:spacing w:line="360" w:lineRule="auto"/>
        <w:ind w:firstLine="480" w:firstLineChars="200"/>
        <w:jc w:val="both"/>
      </w:pPr>
      <w:r>
        <w:rPr>
          <w:rFonts w:ascii="Book Antiqua" w:hAnsi="Book Antiqua" w:eastAsia="Book Antiqua" w:cs="Book Antiqua"/>
          <w:color w:val="000000"/>
        </w:rPr>
        <w:t>It is known that viral entrance of SARS-CoV-2, by the angiotensin-converting enzyme 2 receptor, which is abundantly present in the enterocytes of the gastrointestinal tract, plays a major role</w:t>
      </w:r>
      <w:r>
        <w:rPr>
          <w:rFonts w:ascii="Book Antiqua" w:hAnsi="Book Antiqua" w:eastAsia="Book Antiqua" w:cs="Book Antiqua"/>
          <w:color w:val="000000"/>
          <w:szCs w:val="30"/>
          <w:vertAlign w:val="superscript"/>
        </w:rPr>
        <w:t>[5,6,18]</w:t>
      </w:r>
      <w:r>
        <w:rPr>
          <w:rFonts w:ascii="Book Antiqua" w:hAnsi="Book Antiqua" w:eastAsia="Book Antiqua" w:cs="Book Antiqua"/>
          <w:color w:val="000000"/>
        </w:rPr>
        <w:t>. This viral entrance provokes an acute inflammatory response, which coincides with ischemic damage due to the procoagulant state and endothelialitis, which has also been observed in ITx rejection</w:t>
      </w:r>
      <w:r>
        <w:rPr>
          <w:rFonts w:ascii="Book Antiqua" w:hAnsi="Book Antiqua" w:eastAsia="Book Antiqua" w:cs="Book Antiqua"/>
          <w:color w:val="000000"/>
          <w:szCs w:val="30"/>
          <w:vertAlign w:val="superscript"/>
        </w:rPr>
        <w:t>[17,18]</w:t>
      </w:r>
      <w:r>
        <w:rPr>
          <w:rFonts w:ascii="Book Antiqua" w:hAnsi="Book Antiqua" w:eastAsia="Book Antiqua" w:cs="Book Antiqua"/>
          <w:color w:val="000000"/>
        </w:rPr>
        <w:t xml:space="preserve">. Several other viruses have already been shown to mimic intestinal graft rejection by crypt apoptosis, such as </w:t>
      </w:r>
      <w:r>
        <w:rPr>
          <w:rFonts w:hint="eastAsia" w:ascii="Book Antiqua" w:hAnsi="Book Antiqua" w:cs="Book Antiqua"/>
          <w:color w:val="000000"/>
          <w:lang w:eastAsia="zh-CN"/>
        </w:rPr>
        <w:t>c</w:t>
      </w:r>
      <w:r>
        <w:rPr>
          <w:rFonts w:ascii="Book Antiqua" w:hAnsi="Book Antiqua" w:eastAsia="Book Antiqua" w:cs="Book Antiqua"/>
          <w:color w:val="000000"/>
        </w:rPr>
        <w:t>ytomegalovirus, Epstein-Barr virus, adenovirus, and norovirus</w:t>
      </w:r>
      <w:r>
        <w:rPr>
          <w:rFonts w:ascii="Book Antiqua" w:hAnsi="Book Antiqua" w:eastAsia="Book Antiqua" w:cs="Book Antiqua"/>
          <w:color w:val="000000"/>
          <w:szCs w:val="30"/>
          <w:vertAlign w:val="superscript"/>
        </w:rPr>
        <w:t>[7,8]</w:t>
      </w:r>
      <w:r>
        <w:rPr>
          <w:rFonts w:ascii="Book Antiqua" w:hAnsi="Book Antiqua" w:eastAsia="Book Antiqua" w:cs="Book Antiqua"/>
          <w:color w:val="000000"/>
        </w:rPr>
        <w:t>. Close monitoring, during the postinfectious period of these viruses, is also important as the infection might provoke acute rejection of the intestinal graft</w:t>
      </w:r>
      <w:r>
        <w:rPr>
          <w:rFonts w:ascii="Book Antiqua" w:hAnsi="Book Antiqua" w:eastAsia="Book Antiqua" w:cs="Book Antiqua"/>
          <w:color w:val="000000"/>
          <w:szCs w:val="30"/>
          <w:vertAlign w:val="superscript"/>
        </w:rPr>
        <w:t>[8]</w:t>
      </w:r>
      <w:r>
        <w:rPr>
          <w:rFonts w:ascii="Book Antiqua" w:hAnsi="Book Antiqua" w:eastAsia="Book Antiqua" w:cs="Book Antiqua"/>
          <w:color w:val="000000"/>
        </w:rPr>
        <w:t xml:space="preserve">. For SARS-CoV-2, such a correlation has not been shown so far. However, as shown by Gaebler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[6]</w:t>
      </w:r>
      <w:r>
        <w:rPr>
          <w:rFonts w:ascii="Book Antiqua" w:hAnsi="Book Antiqua" w:eastAsia="Book Antiqua" w:cs="Book Antiqua"/>
          <w:color w:val="000000"/>
        </w:rPr>
        <w:t>, SARS-CoV-2 can remain latent present in even asymptomatic patients at least 3 mo post-COVID-19</w:t>
      </w:r>
      <w:r>
        <w:rPr>
          <w:rFonts w:ascii="Book Antiqua" w:hAnsi="Book Antiqua" w:eastAsia="Book Antiqua" w:cs="Book Antiqua"/>
          <w:color w:val="000000"/>
          <w:szCs w:val="30"/>
          <w:vertAlign w:val="superscript"/>
        </w:rPr>
        <w:t>[6]</w:t>
      </w:r>
      <w:r>
        <w:rPr>
          <w:rFonts w:ascii="Book Antiqua" w:hAnsi="Book Antiqua" w:eastAsia="Book Antiqua" w:cs="Book Antiqua"/>
          <w:color w:val="000000"/>
        </w:rPr>
        <w:t xml:space="preserve">. As SARS-CoV-2 is able to enter the enterocytes by the angiotensin-converting enzyme 2-receptor and provoke an acute inflammatory response, it is hypothetically possible that SARS-CoV-2 might mimic or provoke acute rejection of the intestinal graft in ITx recipients as well. As such, follow-up of SARS-CoV-2 antigen on routine or screening, rejection/infection suspicion, biopsies of the intestinal allograft might be performed in previous, current or suspected COVID-19 positive ITx recipients, as is currently the case for </w:t>
      </w:r>
      <w:r>
        <w:rPr>
          <w:rFonts w:hint="eastAsia" w:ascii="Book Antiqua" w:hAnsi="Book Antiqua" w:cs="Book Antiqua"/>
          <w:color w:val="000000"/>
          <w:lang w:eastAsia="zh-CN"/>
        </w:rPr>
        <w:t>c</w:t>
      </w:r>
      <w:r>
        <w:rPr>
          <w:rFonts w:ascii="Book Antiqua" w:hAnsi="Book Antiqua" w:eastAsia="Book Antiqua" w:cs="Book Antiqua"/>
          <w:color w:val="000000"/>
        </w:rPr>
        <w:t>ytomegalovirus</w:t>
      </w:r>
      <w:r>
        <w:rPr>
          <w:rFonts w:ascii="Book Antiqua" w:hAnsi="Book Antiqua" w:eastAsia="Book Antiqua" w:cs="Book Antiqua"/>
          <w:color w:val="000000"/>
          <w:szCs w:val="30"/>
          <w:vertAlign w:val="superscript"/>
        </w:rPr>
        <w:t>[7]</w:t>
      </w:r>
      <w:r>
        <w:rPr>
          <w:rFonts w:ascii="Book Antiqua" w:hAnsi="Book Antiqua" w:eastAsia="Book Antiqua" w:cs="Book Antiqua"/>
          <w:color w:val="000000"/>
        </w:rPr>
        <w:t>. Early treatment and eradication of intestinal SARS-CoV-2 may be warranted to prevent the potential acute rejection mimicry or provocation.</w:t>
      </w:r>
    </w:p>
    <w:p>
      <w:pPr>
        <w:spacing w:line="360" w:lineRule="auto"/>
        <w:ind w:firstLine="480" w:firstLineChars="200"/>
        <w:jc w:val="both"/>
      </w:pPr>
      <w:r>
        <w:rPr>
          <w:rFonts w:ascii="Book Antiqua" w:hAnsi="Book Antiqua" w:eastAsia="Book Antiqua" w:cs="Book Antiqua"/>
          <w:color w:val="000000"/>
        </w:rPr>
        <w:t>SARS-CoV-2 nucleocapsid (N) antibodies assay, on the Abbott Architect system, was negative in our patient, despite SARS-CoV-2 positive PCR 3 mo earlier. However, it has been shown that SARS-CoV-2 IgG anti-N are positive in only 62% of SARS-CoV-2 PCR positive transplant recipients 1-2 mo post-infection, whilst these are decreasing towards only 55% at 3-4 mo and even 38% at 5-7 mo post-infection. This decline in anti-N is mainly seen in mild disease form</w:t>
      </w:r>
      <w:r>
        <w:rPr>
          <w:rFonts w:ascii="Book Antiqua" w:hAnsi="Book Antiqua" w:eastAsia="Book Antiqua" w:cs="Book Antiqua"/>
          <w:color w:val="000000"/>
          <w:szCs w:val="30"/>
          <w:vertAlign w:val="superscript"/>
        </w:rPr>
        <w:t>[19]</w:t>
      </w:r>
      <w:r>
        <w:rPr>
          <w:rFonts w:ascii="Book Antiqua" w:hAnsi="Book Antiqua" w:eastAsia="Book Antiqua" w:cs="Book Antiqua"/>
          <w:color w:val="000000"/>
        </w:rPr>
        <w:t>. SARS-CoV-2 spike (S) antibodies, on the contrary, are more durable with IgG anti-S present in 92% at 1-2 mo, 84% at 3-4 mo, and even 76% at 6-7 mo post-infection in transplant recipients</w:t>
      </w:r>
      <w:r>
        <w:rPr>
          <w:rFonts w:ascii="Book Antiqua" w:hAnsi="Book Antiqua" w:eastAsia="Book Antiqua" w:cs="Book Antiqua"/>
          <w:color w:val="000000"/>
          <w:szCs w:val="30"/>
          <w:vertAlign w:val="superscript"/>
        </w:rPr>
        <w:t>[4]</w:t>
      </w:r>
      <w:r>
        <w:rPr>
          <w:rFonts w:ascii="Book Antiqua" w:hAnsi="Book Antiqua" w:eastAsia="Book Antiqua" w:cs="Book Antiqua"/>
          <w:color w:val="000000"/>
        </w:rPr>
        <w:t>. Next to this, the analysis was run on the Abbott Architect system, of which it has been shown that it is less sensitive in transplant recipients, in comparison to non-transplant recipients and in comparison to other assets, due to a different targeting antigen</w:t>
      </w:r>
      <w:r>
        <w:rPr>
          <w:rFonts w:ascii="Book Antiqua" w:hAnsi="Book Antiqua" w:eastAsia="Book Antiqua" w:cs="Book Antiqua"/>
          <w:color w:val="000000"/>
          <w:szCs w:val="30"/>
          <w:vertAlign w:val="superscript"/>
        </w:rPr>
        <w:t>[20]</w:t>
      </w:r>
      <w:r>
        <w:rPr>
          <w:rFonts w:ascii="Book Antiqua" w:hAnsi="Book Antiqua" w:eastAsia="Book Antiqua" w:cs="Book Antiqua"/>
          <w:color w:val="000000"/>
        </w:rPr>
        <w:t>. It is proposed that the spike antigen is more immunogenic than the nucleocapsid antigen in immunosuppressed patients</w:t>
      </w:r>
      <w:r>
        <w:rPr>
          <w:rFonts w:ascii="Book Antiqua" w:hAnsi="Book Antiqua" w:eastAsia="Book Antiqua" w:cs="Book Antiqua"/>
          <w:color w:val="000000"/>
          <w:szCs w:val="30"/>
          <w:vertAlign w:val="superscript"/>
        </w:rPr>
        <w:t>[20]</w:t>
      </w:r>
      <w:r>
        <w:rPr>
          <w:rFonts w:ascii="Book Antiqua" w:hAnsi="Book Antiqua" w:eastAsia="Book Antiqua" w:cs="Book Antiqua"/>
          <w:color w:val="000000"/>
        </w:rPr>
        <w:t>. On top of that, there is evidence that spike antibodies may provide functional immunity information, as there is a correlation between spike antibodies and neutralizing antibodies</w:t>
      </w:r>
      <w:r>
        <w:rPr>
          <w:rFonts w:ascii="Book Antiqua" w:hAnsi="Book Antiqua" w:eastAsia="Book Antiqua" w:cs="Book Antiqua"/>
          <w:color w:val="000000"/>
          <w:szCs w:val="30"/>
          <w:vertAlign w:val="superscript"/>
        </w:rPr>
        <w:t>[21,22]</w:t>
      </w:r>
      <w:r>
        <w:rPr>
          <w:rFonts w:ascii="Book Antiqua" w:hAnsi="Book Antiqua" w:eastAsia="Book Antiqua" w:cs="Book Antiqua"/>
          <w:color w:val="000000"/>
        </w:rPr>
        <w:t>. As such, analyzing the anti-S might be clinically more relevant than the anti-N in immunosuppressed patients</w:t>
      </w:r>
      <w:r>
        <w:rPr>
          <w:rFonts w:ascii="Book Antiqua" w:hAnsi="Book Antiqua" w:eastAsia="Book Antiqua" w:cs="Book Antiqua"/>
          <w:color w:val="000000"/>
          <w:szCs w:val="30"/>
          <w:vertAlign w:val="superscript"/>
        </w:rPr>
        <w:t>[20]</w:t>
      </w:r>
      <w:r>
        <w:rPr>
          <w:rFonts w:ascii="Book Antiqua" w:hAnsi="Book Antiqua" w:eastAsia="Book Antiqua" w:cs="Book Antiqua"/>
          <w:color w:val="000000"/>
        </w:rPr>
        <w:t>.</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Early treatment of SARS-CoV-2 should be considered in ITx recipients in order to eradicate the virus and to prevent acute rejection mimicry or provocation and potential graft loss. SARS-CoV-2 antigen determination on ileal biopsies of ITx recipients might be routinely performed to screen for the hypothesis of SARS-CoV-2 acute rejection mimicry or provocation.</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pPr>
      <w:r>
        <w:rPr>
          <w:rFonts w:ascii="Book Antiqua" w:hAnsi="Book Antiqua" w:eastAsia="Book Antiqua" w:cs="Book Antiqua"/>
          <w:color w:val="000000"/>
        </w:rPr>
        <w:t xml:space="preserve">1 </w:t>
      </w:r>
      <w:r>
        <w:rPr>
          <w:rFonts w:ascii="Book Antiqua" w:hAnsi="Book Antiqua" w:eastAsia="Book Antiqua" w:cs="Book Antiqua"/>
          <w:b/>
          <w:bCs/>
          <w:color w:val="000000"/>
        </w:rPr>
        <w:t>Papa-Gobbi R</w:t>
      </w:r>
      <w:r>
        <w:rPr>
          <w:rFonts w:ascii="Book Antiqua" w:hAnsi="Book Antiqua" w:eastAsia="Book Antiqua" w:cs="Book Antiqua"/>
          <w:color w:val="000000"/>
        </w:rPr>
        <w:t xml:space="preserve">, Bueno A, Serradilla J, Talayero P, Stringa P, Pascual-Miguel B, Alcolea-Sánchez A, González-Sacristan R, Andrés AM, López-Santamaría M, Rumbo M, Ramos-Boluda E, Hernández-Oliveros F. Novel coronavirus (SARS-CoV-2) infection in a patient with multivisceral transplant. </w:t>
      </w:r>
      <w:r>
        <w:rPr>
          <w:rFonts w:ascii="Book Antiqua" w:hAnsi="Book Antiqua" w:eastAsia="Book Antiqua" w:cs="Book Antiqua"/>
          <w:i/>
          <w:iCs/>
          <w:color w:val="000000"/>
        </w:rPr>
        <w:t>Transpl Infect Dis</w:t>
      </w:r>
      <w:r>
        <w:rPr>
          <w:rFonts w:ascii="Book Antiqua" w:hAnsi="Book Antiqua" w:eastAsia="Book Antiqua" w:cs="Book Antiqua"/>
          <w:color w:val="000000"/>
        </w:rPr>
        <w:t xml:space="preserve"> 2021; </w:t>
      </w:r>
      <w:r>
        <w:rPr>
          <w:rFonts w:ascii="Book Antiqua" w:hAnsi="Book Antiqua" w:eastAsia="Book Antiqua" w:cs="Book Antiqua"/>
          <w:b/>
          <w:bCs/>
          <w:color w:val="000000"/>
        </w:rPr>
        <w:t>23</w:t>
      </w:r>
      <w:r>
        <w:rPr>
          <w:rFonts w:ascii="Book Antiqua" w:hAnsi="Book Antiqua" w:eastAsia="Book Antiqua" w:cs="Book Antiqua"/>
          <w:color w:val="000000"/>
        </w:rPr>
        <w:t>: e13430 [PMID: 32741047 DOI: 10.1111/tid.13430]</w:t>
      </w:r>
    </w:p>
    <w:p>
      <w:pPr>
        <w:spacing w:line="360" w:lineRule="auto"/>
        <w:jc w:val="both"/>
      </w:pPr>
      <w:r>
        <w:rPr>
          <w:rFonts w:ascii="Book Antiqua" w:hAnsi="Book Antiqua" w:eastAsia="Book Antiqua" w:cs="Book Antiqua"/>
          <w:color w:val="000000"/>
        </w:rPr>
        <w:t xml:space="preserve">2 </w:t>
      </w:r>
      <w:r>
        <w:rPr>
          <w:rFonts w:ascii="Book Antiqua" w:hAnsi="Book Antiqua" w:eastAsia="Book Antiqua" w:cs="Book Antiqua"/>
          <w:b/>
          <w:bCs/>
          <w:color w:val="000000"/>
        </w:rPr>
        <w:t>Sharma P</w:t>
      </w:r>
      <w:r>
        <w:rPr>
          <w:rFonts w:ascii="Book Antiqua" w:hAnsi="Book Antiqua" w:eastAsia="Book Antiqua" w:cs="Book Antiqua"/>
          <w:color w:val="000000"/>
        </w:rPr>
        <w:t xml:space="preserve">, Chen V, Fung CM, Troost JP, Patel VN, Combs M, Norman S, Garg P, Colvin M, Aaronson K, Sonnenday CJ, Golob JL, Somers EC, Doshi MM. COVID-19 Outcomes Among Solid Organ Transplant Recipients: A Case-control Study. </w:t>
      </w:r>
      <w:r>
        <w:rPr>
          <w:rFonts w:ascii="Book Antiqua" w:hAnsi="Book Antiqua" w:eastAsia="Book Antiqua" w:cs="Book Antiqua"/>
          <w:i/>
          <w:iCs/>
          <w:color w:val="000000"/>
        </w:rPr>
        <w:t>Transplantation</w:t>
      </w:r>
      <w:r>
        <w:rPr>
          <w:rFonts w:ascii="Book Antiqua" w:hAnsi="Book Antiqua" w:eastAsia="Book Antiqua" w:cs="Book Antiqua"/>
          <w:color w:val="000000"/>
        </w:rPr>
        <w:t xml:space="preserve"> 2021; </w:t>
      </w:r>
      <w:r>
        <w:rPr>
          <w:rFonts w:ascii="Book Antiqua" w:hAnsi="Book Antiqua" w:eastAsia="Book Antiqua" w:cs="Book Antiqua"/>
          <w:b/>
          <w:bCs/>
          <w:color w:val="000000"/>
        </w:rPr>
        <w:t>105</w:t>
      </w:r>
      <w:r>
        <w:rPr>
          <w:rFonts w:ascii="Book Antiqua" w:hAnsi="Book Antiqua" w:eastAsia="Book Antiqua" w:cs="Book Antiqua"/>
          <w:color w:val="000000"/>
        </w:rPr>
        <w:t>: 128-137 [PMID: 32890139 DOI: 10.1097/TP.0000000000003447]</w:t>
      </w:r>
    </w:p>
    <w:p>
      <w:pPr>
        <w:spacing w:line="360" w:lineRule="auto"/>
        <w:jc w:val="both"/>
      </w:pPr>
      <w:r>
        <w:rPr>
          <w:rFonts w:ascii="Book Antiqua" w:hAnsi="Book Antiqua" w:eastAsia="Book Antiqua" w:cs="Book Antiqua"/>
          <w:color w:val="000000"/>
        </w:rPr>
        <w:t xml:space="preserve">3 </w:t>
      </w:r>
      <w:r>
        <w:rPr>
          <w:rFonts w:ascii="Book Antiqua" w:hAnsi="Book Antiqua" w:eastAsia="Book Antiqua" w:cs="Book Antiqua"/>
          <w:b/>
          <w:bCs/>
          <w:color w:val="000000"/>
        </w:rPr>
        <w:t>Avery RK</w:t>
      </w:r>
      <w:r>
        <w:rPr>
          <w:rFonts w:ascii="Book Antiqua" w:hAnsi="Book Antiqua" w:eastAsia="Book Antiqua" w:cs="Book Antiqua"/>
          <w:color w:val="000000"/>
        </w:rPr>
        <w:t xml:space="preserve">. COVID-19 Therapeutics for Solid Organ Transplant Recipients; 6 Months Into the Pandemic: Where Are We Now? </w:t>
      </w:r>
      <w:r>
        <w:rPr>
          <w:rFonts w:ascii="Book Antiqua" w:hAnsi="Book Antiqua" w:eastAsia="Book Antiqua" w:cs="Book Antiqua"/>
          <w:i/>
          <w:iCs/>
          <w:color w:val="000000"/>
        </w:rPr>
        <w:t>Transplantation</w:t>
      </w:r>
      <w:r>
        <w:rPr>
          <w:rFonts w:ascii="Book Antiqua" w:hAnsi="Book Antiqua" w:eastAsia="Book Antiqua" w:cs="Book Antiqua"/>
          <w:color w:val="000000"/>
        </w:rPr>
        <w:t xml:space="preserve"> 2021; </w:t>
      </w:r>
      <w:r>
        <w:rPr>
          <w:rFonts w:ascii="Book Antiqua" w:hAnsi="Book Antiqua" w:eastAsia="Book Antiqua" w:cs="Book Antiqua"/>
          <w:b/>
          <w:bCs/>
          <w:color w:val="000000"/>
        </w:rPr>
        <w:t>105</w:t>
      </w:r>
      <w:r>
        <w:rPr>
          <w:rFonts w:ascii="Book Antiqua" w:hAnsi="Book Antiqua" w:eastAsia="Book Antiqua" w:cs="Book Antiqua"/>
          <w:color w:val="000000"/>
        </w:rPr>
        <w:t>: 56-60 [PMID: 33141805 DOI: 10.1097/TP.0000000000003519]</w:t>
      </w:r>
    </w:p>
    <w:p>
      <w:pPr>
        <w:spacing w:line="360" w:lineRule="auto"/>
        <w:jc w:val="both"/>
      </w:pPr>
      <w:r>
        <w:rPr>
          <w:rFonts w:ascii="Book Antiqua" w:hAnsi="Book Antiqua" w:eastAsia="Book Antiqua" w:cs="Book Antiqua"/>
          <w:color w:val="000000"/>
        </w:rPr>
        <w:t xml:space="preserve">4 </w:t>
      </w:r>
      <w:r>
        <w:rPr>
          <w:rFonts w:ascii="Book Antiqua" w:hAnsi="Book Antiqua" w:eastAsia="Book Antiqua" w:cs="Book Antiqua"/>
          <w:b/>
          <w:bCs/>
          <w:color w:val="000000"/>
        </w:rPr>
        <w:t>Søfteland JM</w:t>
      </w:r>
      <w:r>
        <w:rPr>
          <w:rFonts w:ascii="Book Antiqua" w:hAnsi="Book Antiqua" w:eastAsia="Book Antiqua" w:cs="Book Antiqua"/>
          <w:color w:val="000000"/>
        </w:rPr>
        <w:t xml:space="preserve">, Friman G, von Zur-Mühlen B, Ericzon BG, Wallquist C, Karason K, Friman V, Ekelund J, Felldin M, Magnusson J, Haugen Löfman I, Schult A, de Coursey E, Leach S, Jacobsson H, Liljeqvist JÅ, Biglarnia AR, Lindnér P, Oltean M. COVID-19 in solid organ transplant recipients: A national cohort study from Sweden. </w:t>
      </w:r>
      <w:r>
        <w:rPr>
          <w:rFonts w:ascii="Book Antiqua" w:hAnsi="Book Antiqua" w:eastAsia="Book Antiqua" w:cs="Book Antiqua"/>
          <w:i/>
          <w:iCs/>
          <w:color w:val="000000"/>
        </w:rPr>
        <w:t>Am J Transplant</w:t>
      </w:r>
      <w:r>
        <w:rPr>
          <w:rFonts w:ascii="Book Antiqua" w:hAnsi="Book Antiqua" w:eastAsia="Book Antiqua" w:cs="Book Antiqua"/>
          <w:color w:val="000000"/>
        </w:rPr>
        <w:t xml:space="preserve"> 2021; </w:t>
      </w:r>
      <w:r>
        <w:rPr>
          <w:rFonts w:ascii="Book Antiqua" w:hAnsi="Book Antiqua" w:eastAsia="Book Antiqua" w:cs="Book Antiqua"/>
          <w:b/>
          <w:bCs/>
          <w:color w:val="000000"/>
        </w:rPr>
        <w:t>21</w:t>
      </w:r>
      <w:r>
        <w:rPr>
          <w:rFonts w:ascii="Book Antiqua" w:hAnsi="Book Antiqua" w:eastAsia="Book Antiqua" w:cs="Book Antiqua"/>
          <w:color w:val="000000"/>
        </w:rPr>
        <w:t>: 2762-2773 [PMID: 33811777 DOI: 10.1111/ajt.16596]</w:t>
      </w:r>
    </w:p>
    <w:p>
      <w:pPr>
        <w:spacing w:line="360" w:lineRule="auto"/>
        <w:jc w:val="both"/>
      </w:pPr>
      <w:r>
        <w:rPr>
          <w:rFonts w:ascii="Book Antiqua" w:hAnsi="Book Antiqua" w:eastAsia="Book Antiqua" w:cs="Book Antiqua"/>
          <w:color w:val="000000"/>
        </w:rPr>
        <w:t xml:space="preserve">5 </w:t>
      </w:r>
      <w:r>
        <w:rPr>
          <w:rFonts w:ascii="Book Antiqua" w:hAnsi="Book Antiqua" w:eastAsia="Book Antiqua" w:cs="Book Antiqua"/>
          <w:b/>
          <w:bCs/>
          <w:color w:val="000000"/>
        </w:rPr>
        <w:t>Tian Y</w:t>
      </w:r>
      <w:r>
        <w:rPr>
          <w:rFonts w:ascii="Book Antiqua" w:hAnsi="Book Antiqua" w:eastAsia="Book Antiqua" w:cs="Book Antiqua"/>
          <w:color w:val="000000"/>
        </w:rPr>
        <w:t xml:space="preserve">, Rong L, Nian W, He Y. Review article: gastrointestinal features in COVID-19 and the possibility of faecal transmission. </w:t>
      </w:r>
      <w:r>
        <w:rPr>
          <w:rFonts w:ascii="Book Antiqua" w:hAnsi="Book Antiqua" w:eastAsia="Book Antiqua" w:cs="Book Antiqua"/>
          <w:i/>
          <w:iCs/>
          <w:color w:val="000000"/>
        </w:rPr>
        <w:t>Aliment Pharmacol Ther</w:t>
      </w:r>
      <w:r>
        <w:rPr>
          <w:rFonts w:ascii="Book Antiqua" w:hAnsi="Book Antiqua" w:eastAsia="Book Antiqua" w:cs="Book Antiqua"/>
          <w:color w:val="000000"/>
        </w:rPr>
        <w:t xml:space="preserve"> 2020; </w:t>
      </w:r>
      <w:r>
        <w:rPr>
          <w:rFonts w:ascii="Book Antiqua" w:hAnsi="Book Antiqua" w:eastAsia="Book Antiqua" w:cs="Book Antiqua"/>
          <w:b/>
          <w:bCs/>
          <w:color w:val="000000"/>
        </w:rPr>
        <w:t>51</w:t>
      </w:r>
      <w:r>
        <w:rPr>
          <w:rFonts w:ascii="Book Antiqua" w:hAnsi="Book Antiqua" w:eastAsia="Book Antiqua" w:cs="Book Antiqua"/>
          <w:color w:val="000000"/>
        </w:rPr>
        <w:t>: 843-851 [PMID: 32222988 DOI: 10.1111/apt.15731]</w:t>
      </w:r>
    </w:p>
    <w:p>
      <w:pPr>
        <w:spacing w:line="360" w:lineRule="auto"/>
        <w:jc w:val="both"/>
      </w:pPr>
      <w:r>
        <w:rPr>
          <w:rFonts w:ascii="Book Antiqua" w:hAnsi="Book Antiqua" w:eastAsia="Book Antiqua" w:cs="Book Antiqua"/>
          <w:color w:val="000000"/>
        </w:rPr>
        <w:t xml:space="preserve">6 </w:t>
      </w:r>
      <w:r>
        <w:rPr>
          <w:rFonts w:ascii="Book Antiqua" w:hAnsi="Book Antiqua" w:eastAsia="Book Antiqua" w:cs="Book Antiqua"/>
          <w:b/>
          <w:bCs/>
          <w:color w:val="000000"/>
        </w:rPr>
        <w:t>Gaebler C</w:t>
      </w:r>
      <w:r>
        <w:rPr>
          <w:rFonts w:ascii="Book Antiqua" w:hAnsi="Book Antiqua" w:eastAsia="Book Antiqua" w:cs="Book Antiqua"/>
          <w:color w:val="000000"/>
        </w:rPr>
        <w:t xml:space="preserve">, Wang Z, Lorenzi JCC, Muecksch F, Finkin S, Tokuyama M, Cho A, Jankovic M, Schaefer-Babajew D, Oliveira TY, Cipolla M, Viant C, Barnes CO, Bram Y, Breton G, Hägglöf T, Mendoza P, Hurley A, Turroja M, Gordon K, Millard KG, Ramos V, Schmidt F, Weisblum Y, Jha D, Tankelevich M, Martinez-Delgado G, Yee J, Patel R, Dizon J, Unson-O'Brien C, Shimeliovich I, Robbiani DF, Zhao Z, Gazumyan A, Schwartz RE, Hatziioannou T, Bjorkman PJ, Mehandru S, Bieniasz PD, Caskey M, Nussenzweig MC. Evolution of antibody immunity to SARS-CoV-2. </w:t>
      </w:r>
      <w:r>
        <w:rPr>
          <w:rFonts w:ascii="Book Antiqua" w:hAnsi="Book Antiqua" w:eastAsia="Book Antiqua" w:cs="Book Antiqua"/>
          <w:i/>
          <w:iCs/>
          <w:color w:val="000000"/>
        </w:rPr>
        <w:t>Nature</w:t>
      </w:r>
      <w:r>
        <w:rPr>
          <w:rFonts w:ascii="Book Antiqua" w:hAnsi="Book Antiqua" w:eastAsia="Book Antiqua" w:cs="Book Antiqua"/>
          <w:color w:val="000000"/>
        </w:rPr>
        <w:t xml:space="preserve"> 2021; </w:t>
      </w:r>
      <w:r>
        <w:rPr>
          <w:rFonts w:ascii="Book Antiqua" w:hAnsi="Book Antiqua" w:eastAsia="Book Antiqua" w:cs="Book Antiqua"/>
          <w:b/>
          <w:bCs/>
          <w:color w:val="000000"/>
        </w:rPr>
        <w:t>591</w:t>
      </w:r>
      <w:r>
        <w:rPr>
          <w:rFonts w:ascii="Book Antiqua" w:hAnsi="Book Antiqua" w:eastAsia="Book Antiqua" w:cs="Book Antiqua"/>
          <w:color w:val="000000"/>
        </w:rPr>
        <w:t>: 639-644 [PMID: 33461210 DOI: 10.1038/s41586-021-03207-w]</w:t>
      </w:r>
    </w:p>
    <w:p>
      <w:pPr>
        <w:spacing w:line="360" w:lineRule="auto"/>
        <w:jc w:val="both"/>
      </w:pPr>
      <w:r>
        <w:rPr>
          <w:rFonts w:ascii="Book Antiqua" w:hAnsi="Book Antiqua" w:eastAsia="Book Antiqua" w:cs="Book Antiqua"/>
          <w:color w:val="000000"/>
        </w:rPr>
        <w:t xml:space="preserve">7 </w:t>
      </w:r>
      <w:r>
        <w:rPr>
          <w:rFonts w:ascii="Book Antiqua" w:hAnsi="Book Antiqua" w:eastAsia="Book Antiqua" w:cs="Book Antiqua"/>
          <w:b/>
          <w:bCs/>
          <w:color w:val="000000"/>
        </w:rPr>
        <w:t>Talmon GA</w:t>
      </w:r>
      <w:r>
        <w:rPr>
          <w:rFonts w:ascii="Book Antiqua" w:hAnsi="Book Antiqua" w:eastAsia="Book Antiqua" w:cs="Book Antiqua"/>
          <w:color w:val="000000"/>
        </w:rPr>
        <w:t xml:space="preserve">. Histologic features of cytomegalovirus enteritis in small bowel allografts. </w:t>
      </w:r>
      <w:r>
        <w:rPr>
          <w:rFonts w:ascii="Book Antiqua" w:hAnsi="Book Antiqua" w:eastAsia="Book Antiqua" w:cs="Book Antiqua"/>
          <w:i/>
          <w:iCs/>
          <w:color w:val="000000"/>
        </w:rPr>
        <w:t>Transplant Proc</w:t>
      </w:r>
      <w:r>
        <w:rPr>
          <w:rFonts w:ascii="Book Antiqua" w:hAnsi="Book Antiqua" w:eastAsia="Book Antiqua" w:cs="Book Antiqua"/>
          <w:color w:val="000000"/>
        </w:rPr>
        <w:t xml:space="preserve"> 2010; </w:t>
      </w:r>
      <w:r>
        <w:rPr>
          <w:rFonts w:ascii="Book Antiqua" w:hAnsi="Book Antiqua" w:eastAsia="Book Antiqua" w:cs="Book Antiqua"/>
          <w:b/>
          <w:bCs/>
          <w:color w:val="000000"/>
        </w:rPr>
        <w:t>42</w:t>
      </w:r>
      <w:r>
        <w:rPr>
          <w:rFonts w:ascii="Book Antiqua" w:hAnsi="Book Antiqua" w:eastAsia="Book Antiqua" w:cs="Book Antiqua"/>
          <w:color w:val="000000"/>
        </w:rPr>
        <w:t>: 2671-2675 [PMID: 20832567 DOI: 10.1016/j.transproceed.2010.04.059]</w:t>
      </w:r>
    </w:p>
    <w:p>
      <w:pPr>
        <w:spacing w:line="360" w:lineRule="auto"/>
        <w:jc w:val="both"/>
      </w:pPr>
      <w:r>
        <w:rPr>
          <w:rFonts w:ascii="Book Antiqua" w:hAnsi="Book Antiqua" w:eastAsia="Book Antiqua" w:cs="Book Antiqua"/>
          <w:color w:val="000000"/>
        </w:rPr>
        <w:t xml:space="preserve">8 </w:t>
      </w:r>
      <w:r>
        <w:rPr>
          <w:rFonts w:ascii="Book Antiqua" w:hAnsi="Book Antiqua" w:eastAsia="Book Antiqua" w:cs="Book Antiqua"/>
          <w:b/>
          <w:bCs/>
          <w:color w:val="000000"/>
        </w:rPr>
        <w:t>Soltys KA,</w:t>
      </w:r>
      <w:r>
        <w:rPr>
          <w:rFonts w:ascii="Book Antiqua" w:hAnsi="Book Antiqua" w:eastAsia="Book Antiqua" w:cs="Book Antiqua"/>
          <w:color w:val="000000"/>
        </w:rPr>
        <w:t xml:space="preserve"> Reyes JD, Green M. Risks and epidemiology of infections after intestinal transplantation. In: Transplant Infections. 4th edition. Ljungman P, Snydman D, Boeckh M, editors. Cham: Springer International Publishing, 2016: 235-248</w:t>
      </w:r>
    </w:p>
    <w:p>
      <w:pPr>
        <w:spacing w:line="360" w:lineRule="auto"/>
        <w:jc w:val="both"/>
      </w:pPr>
      <w:r>
        <w:rPr>
          <w:rFonts w:ascii="Book Antiqua" w:hAnsi="Book Antiqua" w:eastAsia="Book Antiqua" w:cs="Book Antiqua"/>
          <w:color w:val="000000"/>
        </w:rPr>
        <w:t xml:space="preserve">9 </w:t>
      </w:r>
      <w:r>
        <w:rPr>
          <w:rFonts w:ascii="Book Antiqua" w:hAnsi="Book Antiqua" w:eastAsia="Book Antiqua" w:cs="Book Antiqua"/>
          <w:b/>
          <w:bCs/>
          <w:color w:val="000000"/>
        </w:rPr>
        <w:t>Yi SG</w:t>
      </w:r>
      <w:r>
        <w:rPr>
          <w:rFonts w:ascii="Book Antiqua" w:hAnsi="Book Antiqua" w:eastAsia="Book Antiqua" w:cs="Book Antiqua"/>
          <w:color w:val="000000"/>
        </w:rPr>
        <w:t xml:space="preserve">, Rogers AW, Saharia A, Aoun M, Faour R, Abdelrahim M, Knight RJ, Grimes K, Bullock S, Hobeika M, McMillan R, Mobley C, Moaddab M, Huang HJ, Bhimaraj A, Ghobrial RM, Gaber AO. Early Experience With COVID-19 and Solid Organ Transplantation at a US High-volume Transplant Center. </w:t>
      </w:r>
      <w:r>
        <w:rPr>
          <w:rFonts w:ascii="Book Antiqua" w:hAnsi="Book Antiqua" w:eastAsia="Book Antiqua" w:cs="Book Antiqua"/>
          <w:i/>
          <w:iCs/>
          <w:color w:val="000000"/>
        </w:rPr>
        <w:t>Transplantation</w:t>
      </w:r>
      <w:r>
        <w:rPr>
          <w:rFonts w:ascii="Book Antiqua" w:hAnsi="Book Antiqua" w:eastAsia="Book Antiqua" w:cs="Book Antiqua"/>
          <w:color w:val="000000"/>
        </w:rPr>
        <w:t xml:space="preserve"> 2020; </w:t>
      </w:r>
      <w:r>
        <w:rPr>
          <w:rFonts w:ascii="Book Antiqua" w:hAnsi="Book Antiqua" w:eastAsia="Book Antiqua" w:cs="Book Antiqua"/>
          <w:b/>
          <w:bCs/>
          <w:color w:val="000000"/>
        </w:rPr>
        <w:t>104</w:t>
      </w:r>
      <w:r>
        <w:rPr>
          <w:rFonts w:ascii="Book Antiqua" w:hAnsi="Book Antiqua" w:eastAsia="Book Antiqua" w:cs="Book Antiqua"/>
          <w:color w:val="000000"/>
        </w:rPr>
        <w:t>: 2208-2214 [PMID: 32496357 DOI: 10.1097/TP.0000000000003339]</w:t>
      </w:r>
    </w:p>
    <w:p>
      <w:pPr>
        <w:spacing w:line="360" w:lineRule="auto"/>
        <w:jc w:val="both"/>
      </w:pPr>
      <w:r>
        <w:rPr>
          <w:rFonts w:ascii="Book Antiqua" w:hAnsi="Book Antiqua" w:eastAsia="Book Antiqua" w:cs="Book Antiqua"/>
          <w:color w:val="000000"/>
        </w:rPr>
        <w:t xml:space="preserve">10 </w:t>
      </w:r>
      <w:r>
        <w:rPr>
          <w:rFonts w:ascii="Book Antiqua" w:hAnsi="Book Antiqua" w:eastAsia="Book Antiqua" w:cs="Book Antiqua"/>
          <w:b/>
          <w:bCs/>
          <w:color w:val="000000"/>
        </w:rPr>
        <w:t>Azzi Y</w:t>
      </w:r>
      <w:r>
        <w:rPr>
          <w:rFonts w:ascii="Book Antiqua" w:hAnsi="Book Antiqua" w:eastAsia="Book Antiqua" w:cs="Book Antiqua"/>
          <w:color w:val="000000"/>
        </w:rPr>
        <w:t xml:space="preserve">, Bartash R, Scalea J, Loarte-Campos P, Akalin E. COVID-19 and Solid Organ Transplantation: A Review Article. </w:t>
      </w:r>
      <w:r>
        <w:rPr>
          <w:rFonts w:ascii="Book Antiqua" w:hAnsi="Book Antiqua" w:eastAsia="Book Antiqua" w:cs="Book Antiqua"/>
          <w:i/>
          <w:iCs/>
          <w:color w:val="000000"/>
        </w:rPr>
        <w:t>Transplantation</w:t>
      </w:r>
      <w:r>
        <w:rPr>
          <w:rFonts w:ascii="Book Antiqua" w:hAnsi="Book Antiqua" w:eastAsia="Book Antiqua" w:cs="Book Antiqua"/>
          <w:color w:val="000000"/>
        </w:rPr>
        <w:t xml:space="preserve"> 2021; </w:t>
      </w:r>
      <w:r>
        <w:rPr>
          <w:rFonts w:ascii="Book Antiqua" w:hAnsi="Book Antiqua" w:eastAsia="Book Antiqua" w:cs="Book Antiqua"/>
          <w:b/>
          <w:bCs/>
          <w:color w:val="000000"/>
        </w:rPr>
        <w:t>105</w:t>
      </w:r>
      <w:r>
        <w:rPr>
          <w:rFonts w:ascii="Book Antiqua" w:hAnsi="Book Antiqua" w:eastAsia="Book Antiqua" w:cs="Book Antiqua"/>
          <w:color w:val="000000"/>
        </w:rPr>
        <w:t>: 37-55 [PMID: 33148977 DOI: 10.1097/TP.0000000000003523]</w:t>
      </w:r>
    </w:p>
    <w:p>
      <w:pPr>
        <w:spacing w:line="360" w:lineRule="auto"/>
        <w:jc w:val="both"/>
      </w:pPr>
      <w:r>
        <w:rPr>
          <w:rFonts w:ascii="Book Antiqua" w:hAnsi="Book Antiqua" w:eastAsia="Book Antiqua" w:cs="Book Antiqua"/>
          <w:color w:val="000000"/>
        </w:rPr>
        <w:t xml:space="preserve">11 </w:t>
      </w:r>
      <w:r>
        <w:rPr>
          <w:rFonts w:ascii="Book Antiqua" w:hAnsi="Book Antiqua" w:eastAsia="Book Antiqua" w:cs="Book Antiqua"/>
          <w:b/>
          <w:bCs/>
          <w:color w:val="000000"/>
        </w:rPr>
        <w:t>Elens L</w:t>
      </w:r>
      <w:r>
        <w:rPr>
          <w:rFonts w:ascii="Book Antiqua" w:hAnsi="Book Antiqua" w:eastAsia="Book Antiqua" w:cs="Book Antiqua"/>
          <w:color w:val="000000"/>
        </w:rPr>
        <w:t xml:space="preserve">, Langman LJ, Hesselink DA, Bergan S, Moes DJAR, Molinaro M, Venkataramanan R, Lemaitre F. Pharmacologic Treatment of Transplant Recipients Infected With SARS-CoV-2: Considerations Regarding Therapeutic Drug Monitoring and Drug-Drug Interactions. </w:t>
      </w:r>
      <w:r>
        <w:rPr>
          <w:rFonts w:ascii="Book Antiqua" w:hAnsi="Book Antiqua" w:eastAsia="Book Antiqua" w:cs="Book Antiqua"/>
          <w:i/>
          <w:iCs/>
          <w:color w:val="000000"/>
        </w:rPr>
        <w:t>Ther Drug Monit</w:t>
      </w:r>
      <w:r>
        <w:rPr>
          <w:rFonts w:ascii="Book Antiqua" w:hAnsi="Book Antiqua" w:eastAsia="Book Antiqua" w:cs="Book Antiqua"/>
          <w:color w:val="000000"/>
        </w:rPr>
        <w:t xml:space="preserve"> 2020; </w:t>
      </w:r>
      <w:r>
        <w:rPr>
          <w:rFonts w:ascii="Book Antiqua" w:hAnsi="Book Antiqua" w:eastAsia="Book Antiqua" w:cs="Book Antiqua"/>
          <w:b/>
          <w:bCs/>
          <w:color w:val="000000"/>
        </w:rPr>
        <w:t>42</w:t>
      </w:r>
      <w:r>
        <w:rPr>
          <w:rFonts w:ascii="Book Antiqua" w:hAnsi="Book Antiqua" w:eastAsia="Book Antiqua" w:cs="Book Antiqua"/>
          <w:color w:val="000000"/>
        </w:rPr>
        <w:t>: 360-368 [PMID: 32304488 DOI: 10.1097/FTD.0000000000000761]</w:t>
      </w:r>
    </w:p>
    <w:p>
      <w:pPr>
        <w:spacing w:line="360" w:lineRule="auto"/>
        <w:jc w:val="both"/>
      </w:pPr>
      <w:r>
        <w:rPr>
          <w:rFonts w:ascii="Book Antiqua" w:hAnsi="Book Antiqua" w:eastAsia="Book Antiqua" w:cs="Book Antiqua"/>
          <w:color w:val="000000"/>
        </w:rPr>
        <w:t xml:space="preserve">12 </w:t>
      </w:r>
      <w:r>
        <w:rPr>
          <w:rFonts w:ascii="Book Antiqua" w:hAnsi="Book Antiqua" w:eastAsia="Book Antiqua" w:cs="Book Antiqua"/>
          <w:b/>
          <w:bCs/>
          <w:color w:val="000000"/>
        </w:rPr>
        <w:t>Elec AD</w:t>
      </w:r>
      <w:r>
        <w:rPr>
          <w:rFonts w:ascii="Book Antiqua" w:hAnsi="Book Antiqua" w:eastAsia="Book Antiqua" w:cs="Book Antiqua"/>
          <w:color w:val="000000"/>
        </w:rPr>
        <w:t xml:space="preserve">, Oltean M, Goldis P, Cismaru C, Lupse M, Muntean A, Elec FI. COVID-19 after kidney transplantation: Early outcomes and renal function following antiviral treatment. </w:t>
      </w:r>
      <w:r>
        <w:rPr>
          <w:rFonts w:ascii="Book Antiqua" w:hAnsi="Book Antiqua" w:eastAsia="Book Antiqua" w:cs="Book Antiqua"/>
          <w:i/>
          <w:iCs/>
          <w:color w:val="000000"/>
        </w:rPr>
        <w:t>Int J Infect Dis</w:t>
      </w:r>
      <w:r>
        <w:rPr>
          <w:rFonts w:ascii="Book Antiqua" w:hAnsi="Book Antiqua" w:eastAsia="Book Antiqua" w:cs="Book Antiqua"/>
          <w:color w:val="000000"/>
        </w:rPr>
        <w:t xml:space="preserve"> 2021; </w:t>
      </w:r>
      <w:r>
        <w:rPr>
          <w:rFonts w:ascii="Book Antiqua" w:hAnsi="Book Antiqua" w:eastAsia="Book Antiqua" w:cs="Book Antiqua"/>
          <w:b/>
          <w:bCs/>
          <w:color w:val="000000"/>
        </w:rPr>
        <w:t>104</w:t>
      </w:r>
      <w:r>
        <w:rPr>
          <w:rFonts w:ascii="Book Antiqua" w:hAnsi="Book Antiqua" w:eastAsia="Book Antiqua" w:cs="Book Antiqua"/>
          <w:color w:val="000000"/>
        </w:rPr>
        <w:t>: 426-432 [PMID: 33453396 DOI: 10.1016/j.ijid.2021.01.023]</w:t>
      </w:r>
    </w:p>
    <w:p>
      <w:pPr>
        <w:spacing w:line="360" w:lineRule="auto"/>
        <w:jc w:val="both"/>
      </w:pPr>
      <w:r>
        <w:rPr>
          <w:rFonts w:ascii="Book Antiqua" w:hAnsi="Book Antiqua" w:eastAsia="Book Antiqua" w:cs="Book Antiqua"/>
          <w:color w:val="000000"/>
        </w:rPr>
        <w:t xml:space="preserve">13 </w:t>
      </w:r>
      <w:r>
        <w:rPr>
          <w:rFonts w:ascii="Book Antiqua" w:hAnsi="Book Antiqua" w:eastAsia="Book Antiqua" w:cs="Book Antiqua"/>
          <w:b/>
          <w:bCs/>
          <w:color w:val="000000"/>
        </w:rPr>
        <w:t>Buxeda A</w:t>
      </w:r>
      <w:r>
        <w:rPr>
          <w:rFonts w:ascii="Book Antiqua" w:hAnsi="Book Antiqua" w:eastAsia="Book Antiqua" w:cs="Book Antiqua"/>
          <w:color w:val="000000"/>
        </w:rPr>
        <w:t xml:space="preserve">, Arias-Cabrales C, Pérez-Sáez MJ, Cacho J, Cabello Pelegrin S, Melilli E, Aladrén MJ, Galeano C, Lorenzo I, Mazuecos A, Saura IM, Franco A, Ruiz-Fuentes MDC, Sánchez-Cámara LA, Siverio O, Martin ML, González-García E, López V, Martin-Moreno PL, Moina I, Moral Berrio E, Moreso F, Portolés JM, Santana-Estupiñán R, Zárraga S, Canal C, Sánchez-Álvarez E, Pascual J, Crespo M. Use and Safety of Remdesivir in Kidney Transplant Recipients With COVID-19. </w:t>
      </w:r>
      <w:r>
        <w:rPr>
          <w:rFonts w:ascii="Book Antiqua" w:hAnsi="Book Antiqua" w:eastAsia="Book Antiqua" w:cs="Book Antiqua"/>
          <w:i/>
          <w:iCs/>
          <w:color w:val="000000"/>
        </w:rPr>
        <w:t>Kidney Int Rep</w:t>
      </w:r>
      <w:r>
        <w:rPr>
          <w:rFonts w:ascii="Book Antiqua" w:hAnsi="Book Antiqua" w:eastAsia="Book Antiqua" w:cs="Book Antiqua"/>
          <w:color w:val="000000"/>
        </w:rPr>
        <w:t xml:space="preserve"> 2021; </w:t>
      </w:r>
      <w:r>
        <w:rPr>
          <w:rFonts w:ascii="Book Antiqua" w:hAnsi="Book Antiqua" w:eastAsia="Book Antiqua" w:cs="Book Antiqua"/>
          <w:b/>
          <w:bCs/>
          <w:color w:val="000000"/>
        </w:rPr>
        <w:t>6</w:t>
      </w:r>
      <w:r>
        <w:rPr>
          <w:rFonts w:ascii="Book Antiqua" w:hAnsi="Book Antiqua" w:eastAsia="Book Antiqua" w:cs="Book Antiqua"/>
          <w:color w:val="000000"/>
        </w:rPr>
        <w:t>: 2305-2315 [PMID: 34250317 DOI: 10.1016/j.ekir.2021.06.023]</w:t>
      </w:r>
    </w:p>
    <w:p>
      <w:pPr>
        <w:spacing w:line="360" w:lineRule="auto"/>
        <w:jc w:val="both"/>
      </w:pPr>
      <w:r>
        <w:rPr>
          <w:rFonts w:ascii="Book Antiqua" w:hAnsi="Book Antiqua" w:eastAsia="Book Antiqua" w:cs="Book Antiqua"/>
          <w:color w:val="000000"/>
        </w:rPr>
        <w:t xml:space="preserve">14 </w:t>
      </w:r>
      <w:r>
        <w:rPr>
          <w:rFonts w:ascii="Book Antiqua" w:hAnsi="Book Antiqua" w:eastAsia="Book Antiqua" w:cs="Book Antiqua"/>
          <w:b/>
          <w:bCs/>
          <w:color w:val="000000"/>
        </w:rPr>
        <w:t>Fix OK</w:t>
      </w:r>
      <w:r>
        <w:rPr>
          <w:rFonts w:ascii="Book Antiqua" w:hAnsi="Book Antiqua" w:eastAsia="Book Antiqua" w:cs="Book Antiqua"/>
          <w:color w:val="000000"/>
        </w:rPr>
        <w:t xml:space="preserve">, Hameed B, Fontana RJ, Kwok RM, McGuire BM, Mulligan DC, Pratt DS, Russo MW, Schilsky ML, Verna EC, Loomba R, Cohen DE, Bezerra JA, Reddy KR, Chung RT. Clinical Best Practice Advice for Hepatology and Liver Transplant Providers During the COVID-19 Pandemic: AASLD Expert Panel Consensus Statement. </w:t>
      </w:r>
      <w:r>
        <w:rPr>
          <w:rFonts w:ascii="Book Antiqua" w:hAnsi="Book Antiqua" w:eastAsia="Book Antiqua" w:cs="Book Antiqua"/>
          <w:i/>
          <w:iCs/>
          <w:color w:val="000000"/>
        </w:rPr>
        <w:t>Hepatology</w:t>
      </w:r>
      <w:r>
        <w:rPr>
          <w:rFonts w:ascii="Book Antiqua" w:hAnsi="Book Antiqua" w:eastAsia="Book Antiqua" w:cs="Book Antiqua"/>
          <w:color w:val="000000"/>
        </w:rPr>
        <w:t xml:space="preserve"> 2020; </w:t>
      </w:r>
      <w:r>
        <w:rPr>
          <w:rFonts w:ascii="Book Antiqua" w:hAnsi="Book Antiqua" w:eastAsia="Book Antiqua" w:cs="Book Antiqua"/>
          <w:b/>
          <w:bCs/>
          <w:color w:val="000000"/>
        </w:rPr>
        <w:t>72</w:t>
      </w:r>
      <w:r>
        <w:rPr>
          <w:rFonts w:ascii="Book Antiqua" w:hAnsi="Book Antiqua" w:eastAsia="Book Antiqua" w:cs="Book Antiqua"/>
          <w:color w:val="000000"/>
        </w:rPr>
        <w:t>: 287-304 [PMID: 32298473 DOI: 10.1002/hep.31281]</w:t>
      </w:r>
    </w:p>
    <w:p>
      <w:pPr>
        <w:spacing w:line="360" w:lineRule="auto"/>
        <w:jc w:val="both"/>
      </w:pPr>
      <w:r>
        <w:rPr>
          <w:rFonts w:ascii="Book Antiqua" w:hAnsi="Book Antiqua" w:eastAsia="Book Antiqua" w:cs="Book Antiqua"/>
          <w:color w:val="000000"/>
        </w:rPr>
        <w:t xml:space="preserve">15 </w:t>
      </w:r>
      <w:r>
        <w:rPr>
          <w:rFonts w:ascii="Book Antiqua" w:hAnsi="Book Antiqua" w:eastAsia="Book Antiqua" w:cs="Book Antiqua"/>
          <w:b/>
          <w:bCs/>
          <w:color w:val="000000"/>
        </w:rPr>
        <w:t>Zhong P</w:t>
      </w:r>
      <w:r>
        <w:rPr>
          <w:rFonts w:ascii="Book Antiqua" w:hAnsi="Book Antiqua" w:eastAsia="Book Antiqua" w:cs="Book Antiqua"/>
          <w:color w:val="000000"/>
        </w:rPr>
        <w:t xml:space="preserve">, Xu J, Yang D, Shen Y, Wang L, Feng Y, Du C, Song Y, Wu C, Hu X, Sun Y. COVID-19-associated gastrointestinal and liver injury: clinical features and potential mechanisms. </w:t>
      </w:r>
      <w:r>
        <w:rPr>
          <w:rFonts w:ascii="Book Antiqua" w:hAnsi="Book Antiqua" w:eastAsia="Book Antiqua" w:cs="Book Antiqua"/>
          <w:i/>
          <w:iCs/>
          <w:color w:val="000000"/>
        </w:rPr>
        <w:t>Signal Transduct Target Ther</w:t>
      </w:r>
      <w:r>
        <w:rPr>
          <w:rFonts w:ascii="Book Antiqua" w:hAnsi="Book Antiqua" w:eastAsia="Book Antiqua" w:cs="Book Antiqua"/>
          <w:color w:val="000000"/>
        </w:rPr>
        <w:t xml:space="preserve"> 2020; </w:t>
      </w:r>
      <w:r>
        <w:rPr>
          <w:rFonts w:ascii="Book Antiqua" w:hAnsi="Book Antiqua" w:eastAsia="Book Antiqua" w:cs="Book Antiqua"/>
          <w:b/>
          <w:bCs/>
          <w:color w:val="000000"/>
        </w:rPr>
        <w:t>5</w:t>
      </w:r>
      <w:r>
        <w:rPr>
          <w:rFonts w:ascii="Book Antiqua" w:hAnsi="Book Antiqua" w:eastAsia="Book Antiqua" w:cs="Book Antiqua"/>
          <w:color w:val="000000"/>
        </w:rPr>
        <w:t>: 256 [PMID: 33139693 DOI: 10.1038/s41392-020-00373-7]</w:t>
      </w:r>
    </w:p>
    <w:p>
      <w:pPr>
        <w:spacing w:line="360" w:lineRule="auto"/>
        <w:jc w:val="both"/>
      </w:pPr>
      <w:r>
        <w:rPr>
          <w:rFonts w:ascii="Book Antiqua" w:hAnsi="Book Antiqua" w:eastAsia="Book Antiqua" w:cs="Book Antiqua"/>
          <w:color w:val="000000"/>
        </w:rPr>
        <w:t xml:space="preserve">16 </w:t>
      </w:r>
      <w:r>
        <w:rPr>
          <w:rFonts w:ascii="Book Antiqua" w:hAnsi="Book Antiqua" w:eastAsia="Book Antiqua" w:cs="Book Antiqua"/>
          <w:b/>
          <w:bCs/>
          <w:color w:val="000000"/>
        </w:rPr>
        <w:t>Lei HY</w:t>
      </w:r>
      <w:r>
        <w:rPr>
          <w:rFonts w:ascii="Book Antiqua" w:hAnsi="Book Antiqua" w:eastAsia="Book Antiqua" w:cs="Book Antiqua"/>
          <w:color w:val="000000"/>
        </w:rPr>
        <w:t xml:space="preserve">, Ding YH, Nie K, Dong YM, Xu JH, Yang ML, Liu MQ, Wei L, Nasser MI, Xu LY, Zhu P, Zhao MY. Potential effects of SARS-CoV-2 on the gastrointestinal tract and liver. </w:t>
      </w:r>
      <w:r>
        <w:rPr>
          <w:rFonts w:ascii="Book Antiqua" w:hAnsi="Book Antiqua" w:eastAsia="Book Antiqua" w:cs="Book Antiqua"/>
          <w:i/>
          <w:iCs/>
          <w:color w:val="000000"/>
        </w:rPr>
        <w:t>Biomed Pharmacother</w:t>
      </w:r>
      <w:r>
        <w:rPr>
          <w:rFonts w:ascii="Book Antiqua" w:hAnsi="Book Antiqua" w:eastAsia="Book Antiqua" w:cs="Book Antiqua"/>
          <w:color w:val="000000"/>
        </w:rPr>
        <w:t xml:space="preserve"> 2021; </w:t>
      </w:r>
      <w:r>
        <w:rPr>
          <w:rFonts w:ascii="Book Antiqua" w:hAnsi="Book Antiqua" w:eastAsia="Book Antiqua" w:cs="Book Antiqua"/>
          <w:b/>
          <w:bCs/>
          <w:color w:val="000000"/>
        </w:rPr>
        <w:t>133</w:t>
      </w:r>
      <w:r>
        <w:rPr>
          <w:rFonts w:ascii="Book Antiqua" w:hAnsi="Book Antiqua" w:eastAsia="Book Antiqua" w:cs="Book Antiqua"/>
          <w:color w:val="000000"/>
        </w:rPr>
        <w:t>: 111064 [PMID: 33378966 DOI: 10.1016/j.biopha.2020.111064]</w:t>
      </w:r>
    </w:p>
    <w:p>
      <w:pPr>
        <w:spacing w:line="360" w:lineRule="auto"/>
        <w:jc w:val="both"/>
      </w:pPr>
      <w:r>
        <w:rPr>
          <w:rFonts w:ascii="Book Antiqua" w:hAnsi="Book Antiqua" w:eastAsia="Book Antiqua" w:cs="Book Antiqua"/>
          <w:color w:val="000000"/>
        </w:rPr>
        <w:t xml:space="preserve">17 </w:t>
      </w:r>
      <w:r>
        <w:rPr>
          <w:rFonts w:ascii="Book Antiqua" w:hAnsi="Book Antiqua" w:eastAsia="Book Antiqua" w:cs="Book Antiqua"/>
          <w:b/>
          <w:bCs/>
          <w:color w:val="000000"/>
        </w:rPr>
        <w:t>Rabant M</w:t>
      </w:r>
      <w:r>
        <w:rPr>
          <w:rFonts w:ascii="Book Antiqua" w:hAnsi="Book Antiqua" w:eastAsia="Book Antiqua" w:cs="Book Antiqua"/>
          <w:color w:val="000000"/>
        </w:rPr>
        <w:t xml:space="preserve">, Racapé M, Petit LM, Taupin JL, Aubert O, Bruneau J, Barbet P, Goulet O, Chardot C, Suberbielle C, Lacaille F, Canioni D, Duong Van Huyen JP. Antibody-mediated rejection in pediatric small bowel transplantation: Capillaritis is a major determinant of C4d positivity in intestinal transplant biopsies. </w:t>
      </w:r>
      <w:r>
        <w:rPr>
          <w:rFonts w:ascii="Book Antiqua" w:hAnsi="Book Antiqua" w:eastAsia="Book Antiqua" w:cs="Book Antiqua"/>
          <w:i/>
          <w:iCs/>
          <w:color w:val="000000"/>
        </w:rPr>
        <w:t>Am J Transplant</w:t>
      </w:r>
      <w:r>
        <w:rPr>
          <w:rFonts w:ascii="Book Antiqua" w:hAnsi="Book Antiqua" w:eastAsia="Book Antiqua" w:cs="Book Antiqua"/>
          <w:color w:val="000000"/>
        </w:rPr>
        <w:t xml:space="preserve"> 2018; </w:t>
      </w:r>
      <w:r>
        <w:rPr>
          <w:rFonts w:ascii="Book Antiqua" w:hAnsi="Book Antiqua" w:eastAsia="Book Antiqua" w:cs="Book Antiqua"/>
          <w:b/>
          <w:bCs/>
          <w:color w:val="000000"/>
        </w:rPr>
        <w:t>18</w:t>
      </w:r>
      <w:r>
        <w:rPr>
          <w:rFonts w:ascii="Book Antiqua" w:hAnsi="Book Antiqua" w:eastAsia="Book Antiqua" w:cs="Book Antiqua"/>
          <w:color w:val="000000"/>
        </w:rPr>
        <w:t>: 2250-2260 [PMID: 29397036 DOI: 10.1111/ajt.14685]</w:t>
      </w:r>
    </w:p>
    <w:p>
      <w:pPr>
        <w:spacing w:line="360" w:lineRule="auto"/>
        <w:jc w:val="both"/>
      </w:pPr>
      <w:r>
        <w:rPr>
          <w:rFonts w:ascii="Book Antiqua" w:hAnsi="Book Antiqua" w:eastAsia="Book Antiqua" w:cs="Book Antiqua"/>
          <w:color w:val="000000"/>
        </w:rPr>
        <w:t xml:space="preserve">18 </w:t>
      </w:r>
      <w:r>
        <w:rPr>
          <w:rFonts w:ascii="Book Antiqua" w:hAnsi="Book Antiqua" w:eastAsia="Book Antiqua" w:cs="Book Antiqua"/>
          <w:b/>
          <w:bCs/>
          <w:color w:val="000000"/>
        </w:rPr>
        <w:t>Vanella G</w:t>
      </w:r>
      <w:r>
        <w:rPr>
          <w:rFonts w:ascii="Book Antiqua" w:hAnsi="Book Antiqua" w:eastAsia="Book Antiqua" w:cs="Book Antiqua"/>
          <w:color w:val="000000"/>
        </w:rPr>
        <w:t xml:space="preserve">, Capurso G, Burti C, Fanti L, Ricciardiello L, Souza Lino A, Boskoski I, Bronswijk M, Tyberg A, Krishna Kumar Nair G, Angeletti S, Mauro A, Zingone F, Oppong KW, de la Iglesia-Garcia D, Pouillon L, Papanikolaou IS, Fracasso P, Ciceri F, Rovere-Querini P, Tomba C, Viale E, Eusebi LH, Riccioni ME, van der Merwe S, Shahid H, Sarkar A, Yoo JWG, Dilaghi E, Speight RA, Azzolini F, Buttitta F, Porcari S, Petrone MC, Iglesias-Garcia J, Savarino EV, Di Sabatino A, Di Giulio E, Farrell JJ, Kahaleh M, Roelandt P, Costamagna G, Artifon ELA, Bazzoli F, Testoni PA, Greco S, Arcidiacono PG. Gastrointestinal mucosal damage in patients with COVID-19 undergoing endoscopy: an international multicentre study. </w:t>
      </w:r>
      <w:r>
        <w:rPr>
          <w:rFonts w:ascii="Book Antiqua" w:hAnsi="Book Antiqua" w:eastAsia="Book Antiqua" w:cs="Book Antiqua"/>
          <w:i/>
          <w:iCs/>
          <w:color w:val="000000"/>
        </w:rPr>
        <w:t>BMJ Open Gastroenterol</w:t>
      </w:r>
      <w:r>
        <w:rPr>
          <w:rFonts w:ascii="Book Antiqua" w:hAnsi="Book Antiqua" w:eastAsia="Book Antiqua" w:cs="Book Antiqua"/>
          <w:color w:val="000000"/>
        </w:rPr>
        <w:t xml:space="preserve"> 2021; </w:t>
      </w:r>
      <w:r>
        <w:rPr>
          <w:rFonts w:ascii="Book Antiqua" w:hAnsi="Book Antiqua" w:eastAsia="Book Antiqua" w:cs="Book Antiqua"/>
          <w:b/>
          <w:bCs/>
          <w:color w:val="000000"/>
        </w:rPr>
        <w:t>8</w:t>
      </w:r>
      <w:r>
        <w:rPr>
          <w:rFonts w:ascii="Book Antiqua" w:hAnsi="Book Antiqua" w:eastAsia="Book Antiqua" w:cs="Book Antiqua"/>
          <w:color w:val="000000"/>
        </w:rPr>
        <w:t xml:space="preserve"> [PMID: 33627313 DOI: 10.1136/bmjgast-2020-000578]</w:t>
      </w:r>
    </w:p>
    <w:p>
      <w:pPr>
        <w:spacing w:line="360" w:lineRule="auto"/>
        <w:jc w:val="both"/>
      </w:pPr>
      <w:r>
        <w:rPr>
          <w:rFonts w:ascii="Book Antiqua" w:hAnsi="Book Antiqua" w:eastAsia="Book Antiqua" w:cs="Book Antiqua"/>
          <w:color w:val="000000"/>
        </w:rPr>
        <w:t xml:space="preserve">19 </w:t>
      </w:r>
      <w:r>
        <w:rPr>
          <w:rFonts w:ascii="Book Antiqua" w:hAnsi="Book Antiqua" w:eastAsia="Book Antiqua" w:cs="Book Antiqua"/>
          <w:b/>
          <w:bCs/>
          <w:color w:val="000000"/>
        </w:rPr>
        <w:t>Chavarot N</w:t>
      </w:r>
      <w:r>
        <w:rPr>
          <w:rFonts w:ascii="Book Antiqua" w:hAnsi="Book Antiqua" w:eastAsia="Book Antiqua" w:cs="Book Antiqua"/>
          <w:color w:val="000000"/>
        </w:rPr>
        <w:t xml:space="preserve">, Leruez-Ville M, Scemla A, Burger C, Amrouche L, Rouzaud C, Lebreton X, Martinez F, Sberro-Soussan R, Legendre C, Zuber J, Anglicheau D. Decline and loss of anti-SARS-CoV-2 antibodies in kidney transplant recipients in the 6 mo following SARS-CoV-2 infection. </w:t>
      </w:r>
      <w:r>
        <w:rPr>
          <w:rFonts w:ascii="Book Antiqua" w:hAnsi="Book Antiqua" w:eastAsia="Book Antiqua" w:cs="Book Antiqua"/>
          <w:i/>
          <w:iCs/>
          <w:color w:val="000000"/>
        </w:rPr>
        <w:t>Kidney Int</w:t>
      </w:r>
      <w:r>
        <w:rPr>
          <w:rFonts w:ascii="Book Antiqua" w:hAnsi="Book Antiqua" w:eastAsia="Book Antiqua" w:cs="Book Antiqua"/>
          <w:color w:val="000000"/>
        </w:rPr>
        <w:t xml:space="preserve"> 2021; </w:t>
      </w:r>
      <w:r>
        <w:rPr>
          <w:rFonts w:ascii="Book Antiqua" w:hAnsi="Book Antiqua" w:eastAsia="Book Antiqua" w:cs="Book Antiqua"/>
          <w:b/>
          <w:bCs/>
          <w:color w:val="000000"/>
        </w:rPr>
        <w:t>99</w:t>
      </w:r>
      <w:r>
        <w:rPr>
          <w:rFonts w:ascii="Book Antiqua" w:hAnsi="Book Antiqua" w:eastAsia="Book Antiqua" w:cs="Book Antiqua"/>
          <w:color w:val="000000"/>
        </w:rPr>
        <w:t>: 486-488 [PMID: 33509358 DOI: 10.1016/j.kint.2020.12.001]</w:t>
      </w:r>
    </w:p>
    <w:p>
      <w:pPr>
        <w:spacing w:line="360" w:lineRule="auto"/>
        <w:jc w:val="both"/>
      </w:pPr>
      <w:r>
        <w:rPr>
          <w:rFonts w:ascii="Book Antiqua" w:hAnsi="Book Antiqua" w:eastAsia="Book Antiqua" w:cs="Book Antiqua"/>
          <w:color w:val="000000"/>
        </w:rPr>
        <w:t xml:space="preserve">20 </w:t>
      </w:r>
      <w:r>
        <w:rPr>
          <w:rFonts w:ascii="Book Antiqua" w:hAnsi="Book Antiqua" w:eastAsia="Book Antiqua" w:cs="Book Antiqua"/>
          <w:b/>
          <w:bCs/>
          <w:color w:val="000000"/>
        </w:rPr>
        <w:t>Prendecki M</w:t>
      </w:r>
      <w:r>
        <w:rPr>
          <w:rFonts w:ascii="Book Antiqua" w:hAnsi="Book Antiqua" w:eastAsia="Book Antiqua" w:cs="Book Antiqua"/>
          <w:color w:val="000000"/>
        </w:rPr>
        <w:t xml:space="preserve">, Clarke C, Gleeson S, Greathead L, Santos E, McLean A, Randell P, Moore LSP, Mughal N, Guckian M, Kelleher P, Mcadoo SP, Willicombe M. Detection of SARS-CoV-2 Antibodies in Kidney Transplant Recipients. </w:t>
      </w:r>
      <w:r>
        <w:rPr>
          <w:rFonts w:ascii="Book Antiqua" w:hAnsi="Book Antiqua" w:eastAsia="Book Antiqua" w:cs="Book Antiqua"/>
          <w:i/>
          <w:iCs/>
          <w:color w:val="000000"/>
        </w:rPr>
        <w:t>J Am Soc Nephrol</w:t>
      </w:r>
      <w:r>
        <w:rPr>
          <w:rFonts w:ascii="Book Antiqua" w:hAnsi="Book Antiqua" w:eastAsia="Book Antiqua" w:cs="Book Antiqua"/>
          <w:color w:val="000000"/>
        </w:rPr>
        <w:t xml:space="preserve"> 2020; </w:t>
      </w:r>
      <w:r>
        <w:rPr>
          <w:rFonts w:ascii="Book Antiqua" w:hAnsi="Book Antiqua" w:eastAsia="Book Antiqua" w:cs="Book Antiqua"/>
          <w:b/>
          <w:bCs/>
          <w:color w:val="000000"/>
        </w:rPr>
        <w:t>31</w:t>
      </w:r>
      <w:r>
        <w:rPr>
          <w:rFonts w:ascii="Book Antiqua" w:hAnsi="Book Antiqua" w:eastAsia="Book Antiqua" w:cs="Book Antiqua"/>
          <w:color w:val="000000"/>
        </w:rPr>
        <w:t>: 2753-2756 [PMID: 33122285 DOI: 10.1681/ASN.2020081152]</w:t>
      </w:r>
    </w:p>
    <w:p>
      <w:pPr>
        <w:spacing w:line="360" w:lineRule="auto"/>
        <w:jc w:val="both"/>
      </w:pPr>
      <w:r>
        <w:rPr>
          <w:rFonts w:ascii="Book Antiqua" w:hAnsi="Book Antiqua" w:eastAsia="Book Antiqua" w:cs="Book Antiqua"/>
          <w:color w:val="000000"/>
        </w:rPr>
        <w:t xml:space="preserve">21 </w:t>
      </w:r>
      <w:r>
        <w:rPr>
          <w:rFonts w:ascii="Book Antiqua" w:hAnsi="Book Antiqua" w:eastAsia="Book Antiqua" w:cs="Book Antiqua"/>
          <w:b/>
          <w:bCs/>
          <w:color w:val="000000"/>
        </w:rPr>
        <w:t>Amanat F</w:t>
      </w:r>
      <w:r>
        <w:rPr>
          <w:rFonts w:ascii="Book Antiqua" w:hAnsi="Book Antiqua" w:eastAsia="Book Antiqua" w:cs="Book Antiqua"/>
          <w:color w:val="000000"/>
        </w:rPr>
        <w:t xml:space="preserve">, Stadlbauer D, Strohmeier S, Nguyen THO, Chromikova V, McMahon M, Jiang K, Arunkumar GA, Jurczyszak D, Polanco J, Bermudez-Gonzalez M, Kleiner G, Aydillo T, Miorin L, Fierer DS, Lugo LA, Kojic EM, Stoever J, Liu STH, Cunningham-Rundles C, Felgner PL, Moran T, García-Sastre A, Caplivski D, Cheng AC, Kedzierska K, Vapalahti O, Hepojoki JM, Simon V, Krammer F. A serological assay to detect SARS-CoV-2 seroconversion in humans. </w:t>
      </w:r>
      <w:r>
        <w:rPr>
          <w:rFonts w:ascii="Book Antiqua" w:hAnsi="Book Antiqua" w:eastAsia="Book Antiqua" w:cs="Book Antiqua"/>
          <w:i/>
          <w:iCs/>
          <w:color w:val="000000"/>
        </w:rPr>
        <w:t>Nat Med</w:t>
      </w:r>
      <w:r>
        <w:rPr>
          <w:rFonts w:ascii="Book Antiqua" w:hAnsi="Book Antiqua" w:eastAsia="Book Antiqua" w:cs="Book Antiqua"/>
          <w:color w:val="000000"/>
        </w:rPr>
        <w:t xml:space="preserve"> 2020; </w:t>
      </w:r>
      <w:r>
        <w:rPr>
          <w:rFonts w:ascii="Book Antiqua" w:hAnsi="Book Antiqua" w:eastAsia="Book Antiqua" w:cs="Book Antiqua"/>
          <w:b/>
          <w:bCs/>
          <w:color w:val="000000"/>
        </w:rPr>
        <w:t>26</w:t>
      </w:r>
      <w:r>
        <w:rPr>
          <w:rFonts w:ascii="Book Antiqua" w:hAnsi="Book Antiqua" w:eastAsia="Book Antiqua" w:cs="Book Antiqua"/>
          <w:color w:val="000000"/>
        </w:rPr>
        <w:t>: 1033-1036 [PMID: 32398876 DOI: 10.1038/s41591-020-0913-5]</w:t>
      </w:r>
    </w:p>
    <w:p>
      <w:pPr>
        <w:spacing w:line="360" w:lineRule="auto"/>
        <w:jc w:val="both"/>
      </w:pPr>
      <w:r>
        <w:rPr>
          <w:rFonts w:ascii="Book Antiqua" w:hAnsi="Book Antiqua" w:eastAsia="Book Antiqua" w:cs="Book Antiqua"/>
          <w:color w:val="000000"/>
        </w:rPr>
        <w:t xml:space="preserve">22 </w:t>
      </w:r>
      <w:r>
        <w:rPr>
          <w:rFonts w:ascii="Book Antiqua" w:hAnsi="Book Antiqua" w:eastAsia="Book Antiqua" w:cs="Book Antiqua"/>
          <w:b/>
          <w:bCs/>
          <w:color w:val="000000"/>
        </w:rPr>
        <w:t>Premkumar L</w:t>
      </w:r>
      <w:r>
        <w:rPr>
          <w:rFonts w:ascii="Book Antiqua" w:hAnsi="Book Antiqua" w:eastAsia="Book Antiqua" w:cs="Book Antiqua"/>
          <w:color w:val="000000"/>
        </w:rPr>
        <w:t xml:space="preserve">, Segovia-Chumbez B, Jadi R, Martinez DR, Raut R, Markmann A, Cornaby C, Bartelt L, Weiss S, Park Y, Edwards CE, Weimer E, Scherer EM, Rouphael N, Edupuganti S, Weiskopf D, Tse LV, Hou YJ, Margolis D, Sette A, Collins MH, Schmitz J, Baric RS, de Silva AM. The receptor binding domain of the viral spike protein is an immunodominant and highly specific target of antibodies in SARS-CoV-2 patients. </w:t>
      </w:r>
      <w:r>
        <w:rPr>
          <w:rFonts w:ascii="Book Antiqua" w:hAnsi="Book Antiqua" w:eastAsia="Book Antiqua" w:cs="Book Antiqua"/>
          <w:i/>
          <w:iCs/>
          <w:color w:val="000000"/>
        </w:rPr>
        <w:t>Sci Immunol</w:t>
      </w:r>
      <w:r>
        <w:rPr>
          <w:rFonts w:ascii="Book Antiqua" w:hAnsi="Book Antiqua" w:eastAsia="Book Antiqua" w:cs="Book Antiqua"/>
          <w:color w:val="000000"/>
        </w:rPr>
        <w:t xml:space="preserve"> 2020; </w:t>
      </w:r>
      <w:r>
        <w:rPr>
          <w:rFonts w:ascii="Book Antiqua" w:hAnsi="Book Antiqua" w:eastAsia="Book Antiqua" w:cs="Book Antiqua"/>
          <w:b/>
          <w:bCs/>
          <w:color w:val="000000"/>
        </w:rPr>
        <w:t>5</w:t>
      </w:r>
      <w:r>
        <w:rPr>
          <w:rFonts w:ascii="Book Antiqua" w:hAnsi="Book Antiqua" w:eastAsia="Book Antiqua" w:cs="Book Antiqua"/>
          <w:color w:val="000000"/>
        </w:rPr>
        <w:t xml:space="preserve"> [PMID: 32527802 DOI: 10.1126/sciimmunol.abc8413]</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Study participant provided informed written consent, prior to study enrollment, and after ethical approval from the University Hospitals Leuven institutional review board (S64844).</w:t>
      </w:r>
    </w:p>
    <w:p>
      <w:pPr>
        <w:spacing w:line="360" w:lineRule="auto"/>
        <w:jc w:val="both"/>
      </w:pPr>
    </w:p>
    <w:p>
      <w:pPr>
        <w:spacing w:line="360" w:lineRule="auto"/>
        <w:jc w:val="both"/>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None of the authors have any conflict of interest to disclose in relation to this study.</w:t>
      </w:r>
    </w:p>
    <w:p>
      <w:pPr>
        <w:spacing w:line="360" w:lineRule="auto"/>
        <w:jc w:val="both"/>
      </w:pPr>
    </w:p>
    <w:p>
      <w:pPr>
        <w:spacing w:line="360" w:lineRule="auto"/>
        <w:jc w:val="both"/>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lang w:eastAsia="zh-CN"/>
        </w:rPr>
      </w:pPr>
    </w:p>
    <w:p>
      <w:pPr>
        <w:spacing w:line="360" w:lineRule="auto"/>
        <w:jc w:val="both"/>
      </w:pPr>
      <w:r>
        <w:rPr>
          <w:rFonts w:ascii="Book Antiqua" w:hAnsi="Book Antiqua" w:eastAsia="Book Antiqua" w:cs="Book Antiqua"/>
          <w:b/>
          <w:color w:val="000000"/>
        </w:rPr>
        <w:t xml:space="preserve">Corresponding Author's Membership in Professional Societies: </w:t>
      </w:r>
      <w:r>
        <w:rPr>
          <w:rFonts w:ascii="Book Antiqua" w:hAnsi="Book Antiqua" w:eastAsia="Book Antiqua" w:cs="Book Antiqua"/>
          <w:color w:val="000000"/>
        </w:rPr>
        <w:t>The Transplantation Society,</w:t>
      </w:r>
      <w:r>
        <w:rPr>
          <w:rFonts w:hint="eastAsia" w:ascii="Book Antiqua" w:hAnsi="Book Antiqua" w:cs="Book Antiqua"/>
          <w:color w:val="000000"/>
          <w:lang w:eastAsia="zh-CN"/>
        </w:rPr>
        <w:t xml:space="preserve"> No.</w:t>
      </w:r>
      <w:r>
        <w:rPr>
          <w:rFonts w:ascii="Book Antiqua" w:hAnsi="Book Antiqua" w:eastAsia="Book Antiqua" w:cs="Book Antiqua"/>
          <w:color w:val="000000"/>
        </w:rPr>
        <w:t xml:space="preserve"> 27551; Intestinal Rehabilitation and Transplant Association, </w:t>
      </w:r>
      <w:r>
        <w:rPr>
          <w:rFonts w:hint="eastAsia" w:ascii="Book Antiqua" w:hAnsi="Book Antiqua" w:cs="Book Antiqua"/>
          <w:color w:val="000000"/>
          <w:lang w:eastAsia="zh-CN"/>
        </w:rPr>
        <w:t xml:space="preserve">No. </w:t>
      </w:r>
      <w:r>
        <w:rPr>
          <w:rFonts w:ascii="Book Antiqua" w:hAnsi="Book Antiqua" w:eastAsia="Book Antiqua" w:cs="Book Antiqua"/>
          <w:color w:val="000000"/>
        </w:rPr>
        <w:t xml:space="preserve">27551; International Pediatric Transplant Association, </w:t>
      </w:r>
      <w:r>
        <w:rPr>
          <w:rFonts w:hint="eastAsia" w:ascii="Book Antiqua" w:hAnsi="Book Antiqua" w:cs="Book Antiqua"/>
          <w:color w:val="000000"/>
          <w:lang w:eastAsia="zh-CN"/>
        </w:rPr>
        <w:t xml:space="preserve">No. </w:t>
      </w:r>
      <w:r>
        <w:rPr>
          <w:rFonts w:ascii="Book Antiqua" w:hAnsi="Book Antiqua" w:eastAsia="Book Antiqua" w:cs="Book Antiqua"/>
          <w:color w:val="000000"/>
        </w:rPr>
        <w:t xml:space="preserve">27551; The International Society of Experimental Microsurgery; The European Society for Organ Transplantation, </w:t>
      </w:r>
      <w:r>
        <w:rPr>
          <w:rFonts w:hint="eastAsia" w:ascii="Book Antiqua" w:hAnsi="Book Antiqua" w:cs="Book Antiqua"/>
          <w:color w:val="000000"/>
          <w:lang w:eastAsia="zh-CN"/>
        </w:rPr>
        <w:t xml:space="preserve">No. </w:t>
      </w:r>
      <w:r>
        <w:rPr>
          <w:rFonts w:ascii="Book Antiqua" w:hAnsi="Book Antiqua" w:eastAsia="Book Antiqua" w:cs="Book Antiqua"/>
          <w:color w:val="000000"/>
        </w:rPr>
        <w:t>12825.</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June 1, 2021</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September 2, 2021</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March 16, 2022</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微软雅黑" w:cs="宋体"/>
        </w:rPr>
        <w:t>Transplantation</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Belgium</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B</w:t>
      </w:r>
    </w:p>
    <w:p>
      <w:pPr>
        <w:spacing w:line="360" w:lineRule="auto"/>
        <w:jc w:val="both"/>
      </w:pPr>
      <w:r>
        <w:rPr>
          <w:rFonts w:ascii="Book Antiqua" w:hAnsi="Book Antiqua" w:eastAsia="Book Antiqua" w:cs="Book Antiqua"/>
          <w:color w:val="000000"/>
        </w:rPr>
        <w:t>Grade C (Good): 0</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Oltean M, Sweden</w:t>
      </w:r>
      <w:r>
        <w:rPr>
          <w:rFonts w:ascii="Book Antiqua" w:hAnsi="Book Antiqua" w:eastAsia="Book Antiqua" w:cs="Book Antiqua"/>
          <w:b/>
          <w:color w:val="000000"/>
        </w:rPr>
        <w:t xml:space="preserve"> S-Editor: </w:t>
      </w:r>
      <w:r>
        <w:rPr>
          <w:rFonts w:ascii="Book Antiqua" w:hAnsi="Book Antiqua" w:eastAsia="Book Antiqua" w:cs="Book Antiqua"/>
          <w:color w:val="000000"/>
        </w:rPr>
        <w:t>Fan JR</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Filipodia</w:t>
      </w:r>
      <w:r>
        <w:rPr>
          <w:rFonts w:ascii="Book Antiqua" w:hAnsi="Book Antiqua" w:eastAsia="Book Antiqua" w:cs="Book Antiqua"/>
          <w:b/>
          <w:color w:val="000000"/>
        </w:rPr>
        <w:t xml:space="preserve"> P-Editor:</w:t>
      </w:r>
      <w:r>
        <w:rPr>
          <w:rFonts w:ascii="Book Antiqua" w:hAnsi="Book Antiqua" w:eastAsia="Book Antiqua" w:cs="Book Antiqua"/>
          <w:color w:val="000000"/>
        </w:rPr>
        <w:t xml:space="preserve"> Fan JR</w:t>
      </w:r>
      <w:r>
        <w:rPr>
          <w:rFonts w:ascii="Book Antiqua" w:hAnsi="Book Antiqua" w:eastAsia="Book Antiqua" w:cs="Book Antiqua"/>
          <w:b/>
          <w:color w:val="000000"/>
        </w:rPr>
        <w:t xml:space="preserve"> </w:t>
      </w:r>
    </w:p>
    <w:p>
      <w:pPr>
        <w:spacing w:line="360" w:lineRule="auto"/>
        <w:jc w:val="both"/>
      </w:pPr>
      <w:r>
        <w:rPr>
          <w:rFonts w:ascii="Book Antiqua" w:hAnsi="Book Antiqua" w:eastAsia="Book Antiqua" w:cs="Book Antiqua"/>
          <w:b/>
          <w:color w:val="000000"/>
        </w:rPr>
        <w:t>Figure Legends</w:t>
      </w:r>
    </w:p>
    <w:p>
      <w:pPr>
        <w:spacing w:line="360" w:lineRule="auto"/>
        <w:jc w:val="both"/>
        <w:rPr>
          <w:rFonts w:ascii="Book Antiqua" w:hAnsi="Book Antiqua" w:cs="Book Antiqua"/>
          <w:b/>
          <w:bCs/>
          <w:color w:val="000000"/>
          <w:lang w:eastAsia="zh-CN"/>
        </w:rPr>
      </w:pPr>
      <w:r>
        <w:rPr>
          <w:lang w:eastAsia="zh-CN"/>
        </w:rPr>
        <w:drawing>
          <wp:inline distT="0" distB="0" distL="0" distR="0">
            <wp:extent cx="5486400" cy="37992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486400" cy="3799205"/>
                    </a:xfrm>
                    <a:prstGeom prst="rect">
                      <a:avLst/>
                    </a:prstGeom>
                  </pic:spPr>
                </pic:pic>
              </a:graphicData>
            </a:graphic>
          </wp:inline>
        </w:drawing>
      </w:r>
    </w:p>
    <w:p>
      <w:pPr>
        <w:spacing w:line="360" w:lineRule="auto"/>
        <w:jc w:val="both"/>
        <w:rPr>
          <w:bCs/>
        </w:rPr>
      </w:pPr>
      <w:r>
        <w:rPr>
          <w:rFonts w:ascii="Book Antiqua" w:hAnsi="Book Antiqua" w:eastAsia="Book Antiqua" w:cs="Book Antiqua"/>
          <w:b/>
          <w:bCs/>
          <w:color w:val="000000"/>
        </w:rPr>
        <w:t>Figure 1</w:t>
      </w:r>
      <w:r>
        <w:rPr>
          <w:rFonts w:ascii="Book Antiqua" w:hAnsi="Book Antiqua" w:eastAsia="Book Antiqua" w:cs="Book Antiqua"/>
          <w:color w:val="000000"/>
        </w:rPr>
        <w:t xml:space="preserve"> </w:t>
      </w:r>
      <w:r>
        <w:rPr>
          <w:rFonts w:ascii="Book Antiqua" w:hAnsi="Book Antiqua" w:eastAsia="Book Antiqua" w:cs="Book Antiqua"/>
          <w:b/>
          <w:color w:val="000000"/>
        </w:rPr>
        <w:t xml:space="preserve">Timeline of case report, with immunosuppressive regimen (total daily tacrolimus dosage; bidaily administration), serum creatinine (kidney function), and stomal output evolution. </w:t>
      </w:r>
      <w:r>
        <w:rPr>
          <w:rFonts w:ascii="Book Antiqua" w:hAnsi="Book Antiqua" w:eastAsia="Book Antiqua" w:cs="Book Antiqua"/>
          <w:bCs/>
          <w:color w:val="000000"/>
        </w:rPr>
        <w:t>COVID-19: Coronavirus disease 201</w:t>
      </w:r>
      <w:r>
        <w:rPr>
          <w:rFonts w:hint="eastAsia" w:ascii="Book Antiqua" w:hAnsi="Book Antiqua" w:cs="Book Antiqua"/>
          <w:bCs/>
          <w:color w:val="000000"/>
          <w:lang w:eastAsia="zh-CN"/>
        </w:rPr>
        <w:t>9</w:t>
      </w:r>
      <w:r>
        <w:rPr>
          <w:rFonts w:ascii="Book Antiqua" w:hAnsi="Book Antiqua" w:eastAsia="Book Antiqua" w:cs="Book Antiqua"/>
          <w:bCs/>
          <w:color w:val="000000"/>
        </w:rPr>
        <w:t>.</w:t>
      </w:r>
    </w:p>
    <w:p>
      <w:pPr>
        <w:spacing w:line="360" w:lineRule="auto"/>
        <w:jc w:val="both"/>
      </w:pPr>
      <w:r>
        <w:br w:type="page"/>
      </w:r>
      <w:r>
        <w:rPr>
          <w:lang w:eastAsia="zh-CN"/>
        </w:rPr>
        <w:drawing>
          <wp:inline distT="0" distB="0" distL="0" distR="0">
            <wp:extent cx="5486400" cy="22313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486400" cy="2231390"/>
                    </a:xfrm>
                    <a:prstGeom prst="rect">
                      <a:avLst/>
                    </a:prstGeom>
                  </pic:spPr>
                </pic:pic>
              </a:graphicData>
            </a:graphic>
          </wp:inline>
        </w:drawing>
      </w:r>
    </w:p>
    <w:p>
      <w:pPr>
        <w:spacing w:line="360" w:lineRule="auto"/>
        <w:jc w:val="both"/>
        <w:rPr>
          <w:rFonts w:hint="eastAsia" w:ascii="Book Antiqua" w:hAnsi="Book Antiqua" w:cs="Book Antiqua"/>
          <w:color w:val="000000"/>
          <w:lang w:eastAsia="zh-CN"/>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Figure 2</w:t>
      </w:r>
      <w:r>
        <w:rPr>
          <w:rFonts w:ascii="Book Antiqua" w:hAnsi="Book Antiqua" w:eastAsia="Book Antiqua" w:cs="Book Antiqua"/>
          <w:color w:val="000000"/>
        </w:rPr>
        <w:t xml:space="preserve"> </w:t>
      </w:r>
      <w:r>
        <w:rPr>
          <w:rFonts w:ascii="Book Antiqua" w:hAnsi="Book Antiqua" w:eastAsia="Book Antiqua" w:cs="Book Antiqua"/>
          <w:b/>
          <w:color w:val="000000"/>
        </w:rPr>
        <w:t xml:space="preserve">Histology of the intestinal transplant biopsy showing normal intestinal mucosa, without arguments for rejection or infection. </w:t>
      </w:r>
      <w:r>
        <w:rPr>
          <w:rFonts w:hint="eastAsia" w:ascii="Book Antiqua" w:hAnsi="Book Antiqua" w:cs="Book Antiqua"/>
          <w:color w:val="000000"/>
          <w:lang w:eastAsia="zh-CN"/>
        </w:rPr>
        <w:t xml:space="preserve">A: 500 </w:t>
      </w:r>
      <w:r>
        <w:rPr>
          <w:rFonts w:ascii="Book Antiqua" w:hAnsi="Book Antiqua" w:cs="Book Antiqua"/>
          <w:color w:val="000000"/>
          <w:lang w:eastAsia="zh-CN"/>
        </w:rPr>
        <w:t>μ</w:t>
      </w:r>
      <w:r>
        <w:rPr>
          <w:rFonts w:hint="eastAsia" w:ascii="Book Antiqua" w:hAnsi="Book Antiqua" w:cs="Book Antiqua"/>
          <w:color w:val="000000"/>
          <w:lang w:eastAsia="zh-CN"/>
        </w:rPr>
        <w:t>m;</w:t>
      </w:r>
      <w:r>
        <w:rPr>
          <w:rFonts w:hint="eastAsia" w:ascii="Book Antiqua" w:hAnsi="Book Antiqua" w:cs="Book Antiqua"/>
          <w:b/>
          <w:color w:val="000000"/>
          <w:lang w:eastAsia="zh-CN"/>
        </w:rPr>
        <w:t xml:space="preserve"> </w:t>
      </w:r>
      <w:r>
        <w:rPr>
          <w:rFonts w:hint="eastAsia" w:ascii="Book Antiqua" w:hAnsi="Book Antiqua" w:cs="Book Antiqua"/>
          <w:color w:val="000000"/>
          <w:lang w:eastAsia="zh-CN"/>
        </w:rPr>
        <w:t xml:space="preserve">B: 200 </w:t>
      </w:r>
      <w:r>
        <w:rPr>
          <w:rFonts w:ascii="Book Antiqua" w:hAnsi="Book Antiqua" w:cs="Book Antiqua"/>
          <w:color w:val="000000"/>
          <w:lang w:eastAsia="zh-CN"/>
        </w:rPr>
        <w:t>μ</w:t>
      </w:r>
      <w:r>
        <w:rPr>
          <w:rFonts w:hint="eastAsia" w:ascii="Book Antiqua" w:hAnsi="Book Antiqua" w:cs="Book Antiqua"/>
          <w:color w:val="000000"/>
          <w:lang w:eastAsia="zh-CN"/>
        </w:rPr>
        <w:t>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spacing w:line="360" w:lineRule="auto"/>
        <w:jc w:val="both"/>
        <w:rPr>
          <w:rFonts w:hint="default" w:ascii="Book Antiqua" w:hAnsi="Book Antiqua" w:cs="Book Antiqua"/>
          <w:color w:val="000000"/>
          <w:lang w:val="en-US" w:eastAsia="zh-CN"/>
        </w:rPr>
      </w:pPr>
      <w:bookmarkStart w:id="0" w:name="_GoBack"/>
      <w:bookmarkEnd w:id="0"/>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Book Antiqua" w:hAnsi="Book Antiqua"/>
        <w:sz w:val="24"/>
        <w:szCs w:val="24"/>
      </w:rPr>
      <w:id w:val="-1251116693"/>
      <w:docPartObj>
        <w:docPartGallery w:val="autotext"/>
      </w:docPartObj>
    </w:sdtPr>
    <w:sdtEndPr>
      <w:rPr>
        <w:rFonts w:ascii="Book Antiqua" w:hAnsi="Book Antiqua"/>
        <w:sz w:val="24"/>
        <w:szCs w:val="24"/>
      </w:rPr>
    </w:sdtEndPr>
    <w:sdtContent>
      <w:p>
        <w:pPr>
          <w:pStyle w:val="3"/>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sz w:val="24"/>
            <w:szCs w:val="24"/>
          </w:rPr>
          <w:t>5</w:t>
        </w:r>
        <w:r>
          <w:rPr>
            <w:rFonts w:ascii="Book Antiqua" w:hAnsi="Book Antiqua"/>
            <w:sz w:val="24"/>
            <w:szCs w:val="24"/>
          </w:rPr>
          <w:fldChar w:fldCharType="end"/>
        </w:r>
        <w:r>
          <w:rPr>
            <w:rFonts w:ascii="Book Antiqua" w:hAnsi="Book Antiqua"/>
            <w:sz w:val="24"/>
            <w:szCs w:val="24"/>
          </w:rPr>
          <w:t xml:space="preserve"> / 18</w:t>
        </w:r>
      </w:p>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425"/>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2197B"/>
    <w:rsid w:val="000B1298"/>
    <w:rsid w:val="000D483A"/>
    <w:rsid w:val="000F4AC4"/>
    <w:rsid w:val="0010772D"/>
    <w:rsid w:val="001521E6"/>
    <w:rsid w:val="001648BD"/>
    <w:rsid w:val="001B11D8"/>
    <w:rsid w:val="001F2849"/>
    <w:rsid w:val="001F4B5F"/>
    <w:rsid w:val="00205423"/>
    <w:rsid w:val="00233989"/>
    <w:rsid w:val="00255015"/>
    <w:rsid w:val="00274FA1"/>
    <w:rsid w:val="00277EEB"/>
    <w:rsid w:val="002A1276"/>
    <w:rsid w:val="002D45AE"/>
    <w:rsid w:val="00311FB0"/>
    <w:rsid w:val="00367E78"/>
    <w:rsid w:val="003B3E08"/>
    <w:rsid w:val="004044E0"/>
    <w:rsid w:val="0041506C"/>
    <w:rsid w:val="00426B04"/>
    <w:rsid w:val="00447A07"/>
    <w:rsid w:val="00462594"/>
    <w:rsid w:val="004628EC"/>
    <w:rsid w:val="00481B0D"/>
    <w:rsid w:val="00491E18"/>
    <w:rsid w:val="004C1AA0"/>
    <w:rsid w:val="005A09B6"/>
    <w:rsid w:val="005B3ED8"/>
    <w:rsid w:val="005B4223"/>
    <w:rsid w:val="005B78B9"/>
    <w:rsid w:val="005D5585"/>
    <w:rsid w:val="005F0D27"/>
    <w:rsid w:val="0061313A"/>
    <w:rsid w:val="00651A46"/>
    <w:rsid w:val="006E60B9"/>
    <w:rsid w:val="00722577"/>
    <w:rsid w:val="00724DFA"/>
    <w:rsid w:val="0076650F"/>
    <w:rsid w:val="00811C97"/>
    <w:rsid w:val="00835471"/>
    <w:rsid w:val="00835620"/>
    <w:rsid w:val="008620C7"/>
    <w:rsid w:val="008C1C1B"/>
    <w:rsid w:val="008C351F"/>
    <w:rsid w:val="00921F1F"/>
    <w:rsid w:val="009269A2"/>
    <w:rsid w:val="0093142D"/>
    <w:rsid w:val="00944639"/>
    <w:rsid w:val="00957066"/>
    <w:rsid w:val="009B36E3"/>
    <w:rsid w:val="009F0882"/>
    <w:rsid w:val="00A02595"/>
    <w:rsid w:val="00A104D7"/>
    <w:rsid w:val="00A77B3E"/>
    <w:rsid w:val="00AD7641"/>
    <w:rsid w:val="00AF757E"/>
    <w:rsid w:val="00B72912"/>
    <w:rsid w:val="00BB3C64"/>
    <w:rsid w:val="00BE3282"/>
    <w:rsid w:val="00BF01B9"/>
    <w:rsid w:val="00C307FA"/>
    <w:rsid w:val="00C3477D"/>
    <w:rsid w:val="00C36E47"/>
    <w:rsid w:val="00C50280"/>
    <w:rsid w:val="00C53013"/>
    <w:rsid w:val="00CA2A55"/>
    <w:rsid w:val="00CB4195"/>
    <w:rsid w:val="00CD4E73"/>
    <w:rsid w:val="00CE1D83"/>
    <w:rsid w:val="00D21F20"/>
    <w:rsid w:val="00D220FF"/>
    <w:rsid w:val="00D56E92"/>
    <w:rsid w:val="00E0698F"/>
    <w:rsid w:val="00E92296"/>
    <w:rsid w:val="00EC1752"/>
    <w:rsid w:val="00ED2434"/>
    <w:rsid w:val="00ED7972"/>
    <w:rsid w:val="00EE358B"/>
    <w:rsid w:val="00EF4CB6"/>
    <w:rsid w:val="00F00234"/>
    <w:rsid w:val="00F14F04"/>
    <w:rsid w:val="00F402D3"/>
    <w:rsid w:val="00F710F0"/>
    <w:rsid w:val="00FD5E68"/>
    <w:rsid w:val="00FE6DB4"/>
    <w:rsid w:val="45B649D7"/>
    <w:rsid w:val="484360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uiPriority w:val="0"/>
    <w:rPr>
      <w:sz w:val="18"/>
      <w:szCs w:val="18"/>
    </w:rPr>
  </w:style>
  <w:style w:type="paragraph" w:styleId="3">
    <w:name w:val="footer"/>
    <w:basedOn w:val="1"/>
    <w:link w:val="8"/>
    <w:qFormat/>
    <w:uiPriority w:val="99"/>
    <w:pPr>
      <w:tabs>
        <w:tab w:val="center" w:pos="4153"/>
        <w:tab w:val="right" w:pos="8306"/>
      </w:tabs>
      <w:snapToGrid w:val="0"/>
    </w:pPr>
    <w:rPr>
      <w:sz w:val="18"/>
      <w:szCs w:val="18"/>
    </w:rPr>
  </w:style>
  <w:style w:type="paragraph" w:styleId="4">
    <w:name w:val="header"/>
    <w:basedOn w:val="1"/>
    <w:link w:val="7"/>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qFormat/>
    <w:uiPriority w:val="0"/>
    <w:rPr>
      <w:sz w:val="18"/>
      <w:szCs w:val="18"/>
    </w:rPr>
  </w:style>
  <w:style w:type="character" w:customStyle="1" w:styleId="8">
    <w:name w:val="页脚 字符"/>
    <w:basedOn w:val="6"/>
    <w:link w:val="3"/>
    <w:qFormat/>
    <w:uiPriority w:val="99"/>
    <w:rPr>
      <w:sz w:val="18"/>
      <w:szCs w:val="18"/>
    </w:rPr>
  </w:style>
  <w:style w:type="character" w:customStyle="1" w:styleId="9">
    <w:name w:val="批注框文本 字符"/>
    <w:basedOn w:val="6"/>
    <w:link w:val="2"/>
    <w:qFormat/>
    <w:uiPriority w:val="0"/>
    <w:rPr>
      <w:sz w:val="18"/>
      <w:szCs w:val="18"/>
    </w:rPr>
  </w:style>
  <w:style w:type="paragraph" w:customStyle="1" w:styleId="10">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3748</Words>
  <Characters>22533</Characters>
  <Lines>185</Lines>
  <Paragraphs>52</Paragraphs>
  <TotalTime>0</TotalTime>
  <ScaleCrop>false</ScaleCrop>
  <LinksUpToDate>false</LinksUpToDate>
  <CharactersWithSpaces>26171</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2022-03-16T03:12:00Z</dcterms:created>
  <dc:creator>Jennifer Benavides</dc:creator>
  <cp:lastModifiedBy>超级喜欢粉红色</cp:lastModifiedBy>
  <dcterms:modified xsi:type="dcterms:W3CDTF">2022-04-12T07:52:14Z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6C8709FB1FD04BE3A0304BCFF7E9183C</vt:lpwstr>
  </property>
</Properties>
</file>