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60C6" w14:textId="77777777" w:rsidR="00A77B3E" w:rsidRDefault="00647E7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4A423836" w14:textId="77777777" w:rsidR="00A77B3E" w:rsidRDefault="00647E7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68849</w:t>
      </w:r>
    </w:p>
    <w:p w14:paraId="697356DE" w14:textId="77777777" w:rsidR="00A77B3E" w:rsidRDefault="00647E7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8D86808" w14:textId="77777777" w:rsidR="00A77B3E" w:rsidRDefault="00A77B3E">
      <w:pPr>
        <w:spacing w:line="360" w:lineRule="auto"/>
        <w:jc w:val="both"/>
      </w:pPr>
    </w:p>
    <w:p w14:paraId="711BA52A" w14:textId="77777777" w:rsidR="00A77B3E" w:rsidRDefault="00647E75">
      <w:pPr>
        <w:spacing w:line="360" w:lineRule="auto"/>
        <w:jc w:val="both"/>
      </w:pPr>
      <w:r>
        <w:rPr>
          <w:rFonts w:ascii="Book Antiqua" w:eastAsia="Book Antiqua" w:hAnsi="Book Antiqua" w:cs="Book Antiqua"/>
          <w:b/>
          <w:i/>
          <w:color w:val="000000"/>
        </w:rPr>
        <w:t>Retrospective Cohort Study</w:t>
      </w:r>
    </w:p>
    <w:p w14:paraId="4C9C272E" w14:textId="02E009C9" w:rsidR="00A77B3E" w:rsidRDefault="00647E75">
      <w:pPr>
        <w:spacing w:line="360" w:lineRule="auto"/>
        <w:jc w:val="both"/>
      </w:pPr>
      <w:r>
        <w:rPr>
          <w:rFonts w:ascii="Book Antiqua" w:eastAsia="Book Antiqua" w:hAnsi="Book Antiqua" w:cs="Book Antiqua"/>
          <w:b/>
          <w:color w:val="000000"/>
        </w:rPr>
        <w:t>Presea</w:t>
      </w:r>
      <w:r w:rsidR="0072286E">
        <w:rPr>
          <w:rFonts w:ascii="Book Antiqua" w:eastAsia="Book Antiqua" w:hAnsi="Book Antiqua" w:cs="Book Antiqua"/>
          <w:b/>
          <w:color w:val="000000"/>
        </w:rPr>
        <w:t>son elimination impact on anterior cruciate ligament injury in the national football leag</w:t>
      </w:r>
      <w:r>
        <w:rPr>
          <w:rFonts w:ascii="Book Antiqua" w:eastAsia="Book Antiqua" w:hAnsi="Book Antiqua" w:cs="Book Antiqua"/>
          <w:b/>
          <w:color w:val="000000"/>
        </w:rPr>
        <w:t>ue</w:t>
      </w:r>
    </w:p>
    <w:p w14:paraId="1D97F158" w14:textId="77777777" w:rsidR="00A77B3E" w:rsidRDefault="00A77B3E">
      <w:pPr>
        <w:spacing w:line="360" w:lineRule="auto"/>
        <w:jc w:val="both"/>
      </w:pPr>
    </w:p>
    <w:p w14:paraId="69128A71" w14:textId="02197C94" w:rsidR="00A77B3E" w:rsidRDefault="008A5CD9">
      <w:pPr>
        <w:spacing w:line="360" w:lineRule="auto"/>
        <w:jc w:val="both"/>
      </w:pPr>
      <w:proofErr w:type="spellStart"/>
      <w:r>
        <w:rPr>
          <w:rFonts w:ascii="Book Antiqua" w:eastAsia="Book Antiqua" w:hAnsi="Book Antiqua" w:cs="Book Antiqua"/>
          <w:color w:val="000000"/>
        </w:rPr>
        <w:t>Patetta</w:t>
      </w:r>
      <w:proofErr w:type="spellEnd"/>
      <w:r>
        <w:rPr>
          <w:rFonts w:ascii="Book Antiqua" w:eastAsia="Book Antiqua" w:hAnsi="Book Antiqua" w:cs="Book Antiqua"/>
          <w:color w:val="000000"/>
        </w:rPr>
        <w:t xml:space="preserve"> M</w:t>
      </w:r>
      <w:r w:rsidRPr="00C41824">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647E75">
        <w:rPr>
          <w:rFonts w:ascii="Book Antiqua" w:eastAsia="Book Antiqua" w:hAnsi="Book Antiqua" w:cs="Book Antiqua"/>
          <w:color w:val="000000"/>
        </w:rPr>
        <w:t xml:space="preserve">Preseason </w:t>
      </w:r>
      <w:r w:rsidR="003D34C1">
        <w:rPr>
          <w:rFonts w:ascii="Book Antiqua" w:eastAsia="Book Antiqua" w:hAnsi="Book Antiqua" w:cs="Book Antiqua"/>
          <w:color w:val="000000"/>
        </w:rPr>
        <w:t>i</w:t>
      </w:r>
      <w:r w:rsidR="00647E75">
        <w:rPr>
          <w:rFonts w:ascii="Book Antiqua" w:eastAsia="Book Antiqua" w:hAnsi="Book Antiqua" w:cs="Book Antiqua"/>
          <w:color w:val="000000"/>
        </w:rPr>
        <w:t xml:space="preserve">mpact on ACL </w:t>
      </w:r>
      <w:r w:rsidR="003D34C1">
        <w:rPr>
          <w:rFonts w:ascii="Book Antiqua" w:eastAsia="Book Antiqua" w:hAnsi="Book Antiqua" w:cs="Book Antiqua"/>
          <w:color w:val="000000"/>
        </w:rPr>
        <w:t>i</w:t>
      </w:r>
      <w:r w:rsidR="00647E75">
        <w:rPr>
          <w:rFonts w:ascii="Book Antiqua" w:eastAsia="Book Antiqua" w:hAnsi="Book Antiqua" w:cs="Book Antiqua"/>
          <w:color w:val="000000"/>
        </w:rPr>
        <w:t>njury in NFL</w:t>
      </w:r>
    </w:p>
    <w:p w14:paraId="07560A37" w14:textId="77777777" w:rsidR="00A77B3E" w:rsidRDefault="00A77B3E">
      <w:pPr>
        <w:spacing w:line="360" w:lineRule="auto"/>
        <w:jc w:val="both"/>
      </w:pPr>
    </w:p>
    <w:p w14:paraId="0AD28872" w14:textId="77777777" w:rsidR="00A77B3E" w:rsidRDefault="00647E75">
      <w:pPr>
        <w:spacing w:line="360" w:lineRule="auto"/>
        <w:jc w:val="both"/>
      </w:pPr>
      <w:r>
        <w:rPr>
          <w:rFonts w:ascii="Book Antiqua" w:eastAsia="Book Antiqua" w:hAnsi="Book Antiqua" w:cs="Book Antiqua"/>
          <w:color w:val="000000"/>
        </w:rPr>
        <w:t xml:space="preserve">Michael </w:t>
      </w:r>
      <w:proofErr w:type="spellStart"/>
      <w:r>
        <w:rPr>
          <w:rFonts w:ascii="Book Antiqua" w:eastAsia="Book Antiqua" w:hAnsi="Book Antiqua" w:cs="Book Antiqua"/>
          <w:color w:val="000000"/>
        </w:rPr>
        <w:t>Patetta</w:t>
      </w:r>
      <w:proofErr w:type="spellEnd"/>
      <w:r>
        <w:rPr>
          <w:rFonts w:ascii="Book Antiqua" w:eastAsia="Book Antiqua" w:hAnsi="Book Antiqua" w:cs="Book Antiqua"/>
          <w:color w:val="000000"/>
        </w:rPr>
        <w:t>, Benjamin Mayo, Omar Zaki Martini, Breanna Sullivan, Leonard Onsen, Mark Hutchinson</w:t>
      </w:r>
    </w:p>
    <w:p w14:paraId="49C93430" w14:textId="77777777" w:rsidR="00A77B3E" w:rsidRDefault="00A77B3E">
      <w:pPr>
        <w:spacing w:line="360" w:lineRule="auto"/>
        <w:jc w:val="both"/>
      </w:pPr>
    </w:p>
    <w:p w14:paraId="46E3E6CF" w14:textId="5A7CD1BA" w:rsidR="00A77B3E" w:rsidRDefault="00647E75">
      <w:pPr>
        <w:spacing w:line="360" w:lineRule="auto"/>
        <w:jc w:val="both"/>
      </w:pPr>
      <w:r>
        <w:rPr>
          <w:rFonts w:ascii="Book Antiqua" w:eastAsia="Book Antiqua" w:hAnsi="Book Antiqua" w:cs="Book Antiqua"/>
          <w:b/>
          <w:bCs/>
          <w:color w:val="000000"/>
        </w:rPr>
        <w:t xml:space="preserve">Michael </w:t>
      </w:r>
      <w:proofErr w:type="spellStart"/>
      <w:r>
        <w:rPr>
          <w:rFonts w:ascii="Book Antiqua" w:eastAsia="Book Antiqua" w:hAnsi="Book Antiqua" w:cs="Book Antiqua"/>
          <w:b/>
          <w:bCs/>
          <w:color w:val="000000"/>
        </w:rPr>
        <w:t>Patetta</w:t>
      </w:r>
      <w:proofErr w:type="spellEnd"/>
      <w:r>
        <w:rPr>
          <w:rFonts w:ascii="Book Antiqua" w:eastAsia="Book Antiqua" w:hAnsi="Book Antiqua" w:cs="Book Antiqua"/>
          <w:b/>
          <w:bCs/>
          <w:color w:val="000000"/>
        </w:rPr>
        <w:t xml:space="preserve">, Benjamin Mayo, </w:t>
      </w:r>
      <w:r w:rsidR="00C108E4">
        <w:rPr>
          <w:rFonts w:ascii="Book Antiqua" w:eastAsia="Book Antiqua" w:hAnsi="Book Antiqua" w:cs="Book Antiqua"/>
          <w:b/>
          <w:bCs/>
          <w:color w:val="000000"/>
        </w:rPr>
        <w:t xml:space="preserve">Omar Zaki Martini, </w:t>
      </w:r>
      <w:r>
        <w:rPr>
          <w:rFonts w:ascii="Book Antiqua" w:eastAsia="Book Antiqua" w:hAnsi="Book Antiqua" w:cs="Book Antiqua"/>
          <w:b/>
          <w:bCs/>
          <w:color w:val="000000"/>
        </w:rPr>
        <w:t>Breanna Sullivan, Leonard Onsen, Mark Hutchinson,</w:t>
      </w:r>
      <w:r w:rsidRPr="005462C7">
        <w:rPr>
          <w:rFonts w:ascii="Book Antiqua" w:eastAsia="Book Antiqua" w:hAnsi="Book Antiqua" w:cs="Book Antiqua"/>
          <w:color w:val="000000"/>
        </w:rPr>
        <w:t xml:space="preserve"> </w:t>
      </w:r>
      <w:r w:rsidR="00331C54" w:rsidRPr="005462C7">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University of Illinois Chicago College of Medicine, Chicago, IL 60612, United States</w:t>
      </w:r>
    </w:p>
    <w:p w14:paraId="6265F913" w14:textId="77777777" w:rsidR="00A77B3E" w:rsidRDefault="00A77B3E">
      <w:pPr>
        <w:spacing w:line="360" w:lineRule="auto"/>
        <w:jc w:val="both"/>
      </w:pPr>
    </w:p>
    <w:p w14:paraId="7D1127F7" w14:textId="77777777" w:rsidR="00A77B3E" w:rsidRDefault="00647E7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All authors solely contributed to this paper.</w:t>
      </w:r>
    </w:p>
    <w:p w14:paraId="16372C50" w14:textId="77777777" w:rsidR="00A77B3E" w:rsidRDefault="00A77B3E">
      <w:pPr>
        <w:spacing w:line="360" w:lineRule="auto"/>
        <w:jc w:val="both"/>
      </w:pPr>
    </w:p>
    <w:p w14:paraId="5DABBD05" w14:textId="69F83ECE" w:rsidR="00A77B3E" w:rsidRDefault="00647E75">
      <w:pPr>
        <w:spacing w:line="360" w:lineRule="auto"/>
        <w:jc w:val="both"/>
      </w:pPr>
      <w:r>
        <w:rPr>
          <w:rFonts w:ascii="Book Antiqua" w:eastAsia="Book Antiqua" w:hAnsi="Book Antiqua" w:cs="Book Antiqua"/>
          <w:b/>
          <w:bCs/>
          <w:color w:val="000000"/>
        </w:rPr>
        <w:t xml:space="preserve">Corresponding author: Omar Zaki Martini, BSc, Research Fellow, </w:t>
      </w:r>
      <w:r w:rsidR="00FA59C4" w:rsidRPr="005462C7">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w:t>
      </w:r>
      <w:r w:rsidR="00D14B2E">
        <w:rPr>
          <w:rFonts w:ascii="Book Antiqua" w:eastAsia="Book Antiqua" w:hAnsi="Book Antiqua" w:cs="Book Antiqua"/>
          <w:color w:val="000000"/>
        </w:rPr>
        <w:t>University of Illinois Chicago College of Medicine</w:t>
      </w:r>
      <w:r>
        <w:rPr>
          <w:rFonts w:ascii="Book Antiqua" w:eastAsia="Book Antiqua" w:hAnsi="Book Antiqua" w:cs="Book Antiqua"/>
          <w:color w:val="000000"/>
        </w:rPr>
        <w:t>, 835 S. Wolcott Avenue E270 MSS MC 844, Chicago, IL 60612, United States. omarti29@uic.edu</w:t>
      </w:r>
    </w:p>
    <w:p w14:paraId="207F5F5B" w14:textId="77777777" w:rsidR="00A77B3E" w:rsidRDefault="00A77B3E">
      <w:pPr>
        <w:spacing w:line="360" w:lineRule="auto"/>
        <w:jc w:val="both"/>
      </w:pPr>
    </w:p>
    <w:p w14:paraId="5179E72C" w14:textId="77777777" w:rsidR="00A77B3E" w:rsidRDefault="00647E7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6, 2021</w:t>
      </w:r>
    </w:p>
    <w:p w14:paraId="4CA656E7" w14:textId="7F0F42AD" w:rsidR="00A77B3E" w:rsidRDefault="00647E75">
      <w:pPr>
        <w:spacing w:line="360" w:lineRule="auto"/>
        <w:jc w:val="both"/>
      </w:pPr>
      <w:r>
        <w:rPr>
          <w:rFonts w:ascii="Book Antiqua" w:eastAsia="Book Antiqua" w:hAnsi="Book Antiqua" w:cs="Book Antiqua"/>
          <w:b/>
          <w:bCs/>
          <w:color w:val="000000"/>
        </w:rPr>
        <w:t xml:space="preserve">Revised: </w:t>
      </w:r>
      <w:r w:rsidR="001E58A8" w:rsidRPr="001E58A8">
        <w:rPr>
          <w:rFonts w:ascii="Book Antiqua" w:eastAsia="Book Antiqua" w:hAnsi="Book Antiqua" w:cs="Book Antiqua"/>
          <w:color w:val="000000"/>
        </w:rPr>
        <w:t>August 3, 2021</w:t>
      </w:r>
    </w:p>
    <w:p w14:paraId="2460C68B" w14:textId="7B8AC89E" w:rsidR="00A77B3E" w:rsidRDefault="00647E75">
      <w:pPr>
        <w:spacing w:line="360" w:lineRule="auto"/>
        <w:jc w:val="both"/>
      </w:pPr>
      <w:r>
        <w:rPr>
          <w:rFonts w:ascii="Book Antiqua" w:eastAsia="Book Antiqua" w:hAnsi="Book Antiqua" w:cs="Book Antiqua"/>
          <w:b/>
          <w:bCs/>
          <w:color w:val="000000"/>
        </w:rPr>
        <w:t xml:space="preserve">Accepted: </w:t>
      </w:r>
      <w:r w:rsidR="00B147FB" w:rsidRPr="00B147FB">
        <w:rPr>
          <w:rFonts w:ascii="Book Antiqua" w:eastAsia="Book Antiqua" w:hAnsi="Book Antiqua" w:cs="Book Antiqua"/>
          <w:color w:val="000000"/>
        </w:rPr>
        <w:t>September 15, 2021</w:t>
      </w:r>
    </w:p>
    <w:p w14:paraId="2FAD882E" w14:textId="77777777" w:rsidR="00A77B3E" w:rsidRDefault="00647E75">
      <w:pPr>
        <w:spacing w:line="360" w:lineRule="auto"/>
        <w:jc w:val="both"/>
      </w:pPr>
      <w:r>
        <w:rPr>
          <w:rFonts w:ascii="Book Antiqua" w:eastAsia="Book Antiqua" w:hAnsi="Book Antiqua" w:cs="Book Antiqua"/>
          <w:b/>
          <w:bCs/>
          <w:color w:val="000000"/>
        </w:rPr>
        <w:t xml:space="preserve">Published online: </w:t>
      </w:r>
    </w:p>
    <w:p w14:paraId="2F4E23B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3BC85CF" w14:textId="77777777" w:rsidR="00A77B3E" w:rsidRDefault="00647E75">
      <w:pPr>
        <w:spacing w:line="360" w:lineRule="auto"/>
        <w:jc w:val="both"/>
      </w:pPr>
      <w:r>
        <w:rPr>
          <w:rFonts w:ascii="Book Antiqua" w:eastAsia="Book Antiqua" w:hAnsi="Book Antiqua" w:cs="Book Antiqua"/>
          <w:b/>
          <w:color w:val="000000"/>
        </w:rPr>
        <w:lastRenderedPageBreak/>
        <w:t>Abstract</w:t>
      </w:r>
    </w:p>
    <w:p w14:paraId="526632BC" w14:textId="77777777" w:rsidR="00A77B3E" w:rsidRDefault="00647E75">
      <w:pPr>
        <w:spacing w:line="360" w:lineRule="auto"/>
        <w:jc w:val="both"/>
      </w:pPr>
      <w:r>
        <w:rPr>
          <w:rFonts w:ascii="Book Antiqua" w:eastAsia="Book Antiqua" w:hAnsi="Book Antiqua" w:cs="Book Antiqua"/>
          <w:color w:val="000000"/>
        </w:rPr>
        <w:t>BACKGROUND</w:t>
      </w:r>
    </w:p>
    <w:p w14:paraId="35B53CA6" w14:textId="77B386BA" w:rsidR="00A77B3E" w:rsidRDefault="00647E75">
      <w:pPr>
        <w:spacing w:line="360" w:lineRule="auto"/>
        <w:jc w:val="both"/>
      </w:pPr>
      <w:r>
        <w:rPr>
          <w:rFonts w:ascii="Book Antiqua" w:eastAsia="Book Antiqua" w:hAnsi="Book Antiqua" w:cs="Book Antiqua"/>
          <w:color w:val="000000"/>
          <w:szCs w:val="22"/>
        </w:rPr>
        <w:t xml:space="preserve">Anterior cruciate ligament (ACL) injuries represent detrimental injuries in the National Football League (NFL). A significant portion of these injuries often occur in preseason exhibitions. The </w:t>
      </w:r>
      <w:r w:rsidR="00C97F2D" w:rsidRPr="00C97F2D">
        <w:rPr>
          <w:rFonts w:ascii="Book Antiqua" w:eastAsia="Book Antiqua" w:hAnsi="Book Antiqua" w:cs="Book Antiqua"/>
          <w:color w:val="000000"/>
          <w:szCs w:val="22"/>
        </w:rPr>
        <w:t>Coronavirus disease 2019</w:t>
      </w:r>
      <w:r w:rsidR="00C97F2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C97F2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pandemic presented a unique disruption to preseason NFL football with the cancelation of all preseason games. </w:t>
      </w:r>
    </w:p>
    <w:p w14:paraId="04E48ACB" w14:textId="77777777" w:rsidR="00A77B3E" w:rsidRDefault="00A77B3E">
      <w:pPr>
        <w:spacing w:line="360" w:lineRule="auto"/>
        <w:jc w:val="both"/>
      </w:pPr>
    </w:p>
    <w:p w14:paraId="4EAD4318" w14:textId="77777777" w:rsidR="00A77B3E" w:rsidRDefault="00647E75">
      <w:pPr>
        <w:spacing w:line="360" w:lineRule="auto"/>
        <w:jc w:val="both"/>
      </w:pPr>
      <w:r>
        <w:rPr>
          <w:rFonts w:ascii="Book Antiqua" w:eastAsia="Book Antiqua" w:hAnsi="Book Antiqua" w:cs="Book Antiqua"/>
          <w:color w:val="000000"/>
        </w:rPr>
        <w:t>AIM</w:t>
      </w:r>
    </w:p>
    <w:p w14:paraId="67F3D625" w14:textId="15526F22" w:rsidR="00A77B3E" w:rsidRDefault="00C61083">
      <w:pPr>
        <w:spacing w:line="360" w:lineRule="auto"/>
        <w:jc w:val="both"/>
      </w:pPr>
      <w:r>
        <w:rPr>
          <w:rFonts w:ascii="Book Antiqua" w:eastAsia="Book Antiqua" w:hAnsi="Book Antiqua" w:cs="Book Antiqua"/>
          <w:color w:val="000000"/>
          <w:szCs w:val="22"/>
        </w:rPr>
        <w:t>T</w:t>
      </w:r>
      <w:r w:rsidR="00647E75">
        <w:rPr>
          <w:rFonts w:ascii="Book Antiqua" w:eastAsia="Book Antiqua" w:hAnsi="Book Antiqua" w:cs="Book Antiqua"/>
          <w:color w:val="000000"/>
          <w:szCs w:val="22"/>
        </w:rPr>
        <w:t xml:space="preserve">o compare the incidence of ACL tears through the first eight weeks of the NFL season in 2020 to the mean incidence over the previous 5 seasons (2015-2019) and determine if there was any change in incidence with the elimination of the preseason. </w:t>
      </w:r>
    </w:p>
    <w:p w14:paraId="106B2EE6" w14:textId="77777777" w:rsidR="00A77B3E" w:rsidRDefault="00A77B3E">
      <w:pPr>
        <w:spacing w:line="360" w:lineRule="auto"/>
        <w:jc w:val="both"/>
      </w:pPr>
    </w:p>
    <w:p w14:paraId="7AF2DEC8" w14:textId="77777777" w:rsidR="00A77B3E" w:rsidRDefault="00647E75">
      <w:pPr>
        <w:spacing w:line="360" w:lineRule="auto"/>
        <w:jc w:val="both"/>
      </w:pPr>
      <w:r>
        <w:rPr>
          <w:rFonts w:ascii="Book Antiqua" w:eastAsia="Book Antiqua" w:hAnsi="Book Antiqua" w:cs="Book Antiqua"/>
          <w:color w:val="000000"/>
        </w:rPr>
        <w:t>METHODS</w:t>
      </w:r>
    </w:p>
    <w:p w14:paraId="52598575" w14:textId="77777777" w:rsidR="00A77B3E" w:rsidRDefault="00647E75">
      <w:pPr>
        <w:spacing w:line="360" w:lineRule="auto"/>
        <w:jc w:val="both"/>
      </w:pPr>
      <w:r>
        <w:rPr>
          <w:rFonts w:ascii="Book Antiqua" w:eastAsia="Book Antiqua" w:hAnsi="Book Antiqua" w:cs="Book Antiqua"/>
          <w:color w:val="000000"/>
          <w:szCs w:val="22"/>
        </w:rPr>
        <w:t>NFL players who suffered ACL tears during the preseason and first eight weeks of the NFL season from 2015-2020 were identified. The number of ACL injuries for the 2015-2019 seasons was compared to the 2020 season for four different timeframes. For each analysis, the cumulative number of ACL injuries to that time point was used to calculate the percent difference for descriptive analysis. Additionally, the number of teams with at least one player suffering an ACL tear were identified and compared using Chi-Squared testing. Finally, a cumulative relative risk was calculated for each week played.</w:t>
      </w:r>
    </w:p>
    <w:p w14:paraId="4F61BB6F" w14:textId="77777777" w:rsidR="00A77B3E" w:rsidRDefault="00A77B3E">
      <w:pPr>
        <w:spacing w:line="360" w:lineRule="auto"/>
        <w:jc w:val="both"/>
      </w:pPr>
    </w:p>
    <w:p w14:paraId="73607AAC" w14:textId="77777777" w:rsidR="00A77B3E" w:rsidRDefault="00647E75">
      <w:pPr>
        <w:spacing w:line="360" w:lineRule="auto"/>
        <w:jc w:val="both"/>
      </w:pPr>
      <w:r>
        <w:rPr>
          <w:rFonts w:ascii="Book Antiqua" w:eastAsia="Book Antiqua" w:hAnsi="Book Antiqua" w:cs="Book Antiqua"/>
          <w:color w:val="000000"/>
        </w:rPr>
        <w:t>RESULTS</w:t>
      </w:r>
    </w:p>
    <w:p w14:paraId="574F0128" w14:textId="24BD0C1F" w:rsidR="00A77B3E" w:rsidRDefault="00647E75">
      <w:pPr>
        <w:spacing w:line="360" w:lineRule="auto"/>
        <w:jc w:val="both"/>
      </w:pPr>
      <w:r>
        <w:rPr>
          <w:rFonts w:ascii="Book Antiqua" w:eastAsia="Book Antiqua" w:hAnsi="Book Antiqua" w:cs="Book Antiqua"/>
          <w:color w:val="000000"/>
          <w:szCs w:val="22"/>
        </w:rPr>
        <w:t xml:space="preserve">There were 14 ACL tears through the first four games of the 2020 season, a 118.8% (14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6.4) increase in comparison to the 5-year average over the first 4 regular season weeks of 2015-2019. However, when accounting for injuries occurring during the preseason from 2015-2019, there were 18.6% (14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17.2) fewer total ACL injuries through regular season week 4 with no significant difference in percentage of teams impacted when these preseason injuries were accounted for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0.394. Results were similar (19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17.2) over 8 </w:t>
      </w:r>
      <w:r>
        <w:rPr>
          <w:rFonts w:ascii="Book Antiqua" w:eastAsia="Book Antiqua" w:hAnsi="Book Antiqua" w:cs="Book Antiqua"/>
          <w:color w:val="000000"/>
          <w:szCs w:val="22"/>
        </w:rPr>
        <w:lastRenderedPageBreak/>
        <w:t>total games played (whether regular season or preseason), and over 8 regular season games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0.196, </w:t>
      </w:r>
      <w:r w:rsidR="00751240">
        <w:rPr>
          <w:rFonts w:ascii="Book Antiqua" w:eastAsia="Book Antiqua" w:hAnsi="Book Antiqua" w:cs="Book Antiqua"/>
          <w:i/>
          <w:iCs/>
          <w:color w:val="000000"/>
          <w:szCs w:val="22"/>
        </w:rPr>
        <w:t>P</w:t>
      </w:r>
      <w:r w:rsidR="00751240">
        <w:rPr>
          <w:rFonts w:ascii="Book Antiqua" w:eastAsia="Book Antiqua" w:hAnsi="Book Antiqua" w:cs="Book Antiqua"/>
          <w:color w:val="000000"/>
          <w:szCs w:val="22"/>
        </w:rPr>
        <w:t xml:space="preserve"> = </w:t>
      </w:r>
      <w:r>
        <w:rPr>
          <w:rFonts w:ascii="Book Antiqua" w:eastAsia="Book Antiqua" w:hAnsi="Book Antiqua" w:cs="Book Antiqua"/>
          <w:color w:val="000000"/>
          <w:szCs w:val="22"/>
        </w:rPr>
        <w:t>0.600).</w:t>
      </w:r>
    </w:p>
    <w:p w14:paraId="0CEC524C" w14:textId="77777777" w:rsidR="00A77B3E" w:rsidRDefault="00A77B3E">
      <w:pPr>
        <w:spacing w:line="360" w:lineRule="auto"/>
        <w:jc w:val="both"/>
      </w:pPr>
    </w:p>
    <w:p w14:paraId="611DDD43" w14:textId="77777777" w:rsidR="00A77B3E" w:rsidRDefault="00647E75">
      <w:pPr>
        <w:spacing w:line="360" w:lineRule="auto"/>
        <w:jc w:val="both"/>
      </w:pPr>
      <w:r>
        <w:rPr>
          <w:rFonts w:ascii="Book Antiqua" w:eastAsia="Book Antiqua" w:hAnsi="Book Antiqua" w:cs="Book Antiqua"/>
          <w:color w:val="000000"/>
        </w:rPr>
        <w:t>CONCLUSION</w:t>
      </w:r>
    </w:p>
    <w:p w14:paraId="51BE4142" w14:textId="77777777" w:rsidR="00A77B3E" w:rsidRDefault="00647E75">
      <w:pPr>
        <w:spacing w:line="360" w:lineRule="auto"/>
        <w:jc w:val="both"/>
      </w:pPr>
      <w:r>
        <w:rPr>
          <w:rFonts w:ascii="Book Antiqua" w:eastAsia="Book Antiqua" w:hAnsi="Book Antiqua" w:cs="Book Antiqua"/>
          <w:color w:val="000000"/>
          <w:szCs w:val="22"/>
        </w:rPr>
        <w:t xml:space="preserve">The elimination of the NFL preseason resulted in a higher rate of injuries during the first 4 games of the regular season. However, these increases are offset by the injuries typically sustained during the preseason. This suggests there may be front-loading of injuries over the course of an NFL season, such that players may be more prone to injury when the intensity of play suddenly increases, whether in the preseason or regular season. </w:t>
      </w:r>
    </w:p>
    <w:p w14:paraId="0ADA6CBA" w14:textId="77777777" w:rsidR="00A77B3E" w:rsidRDefault="00A77B3E">
      <w:pPr>
        <w:spacing w:line="360" w:lineRule="auto"/>
        <w:jc w:val="both"/>
      </w:pPr>
    </w:p>
    <w:p w14:paraId="7889D6B0" w14:textId="32D7287D" w:rsidR="00A77B3E" w:rsidRDefault="00647E7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Anterior </w:t>
      </w:r>
      <w:r w:rsidR="00066EB4">
        <w:rPr>
          <w:rFonts w:ascii="Book Antiqua" w:eastAsia="Book Antiqua" w:hAnsi="Book Antiqua" w:cs="Book Antiqua"/>
          <w:color w:val="000000"/>
        </w:rPr>
        <w:t>cruciate ligam</w:t>
      </w:r>
      <w:r>
        <w:rPr>
          <w:rFonts w:ascii="Book Antiqua" w:eastAsia="Book Antiqua" w:hAnsi="Book Antiqua" w:cs="Book Antiqua"/>
          <w:color w:val="000000"/>
        </w:rPr>
        <w:t>ent; Nat</w:t>
      </w:r>
      <w:r w:rsidR="00F62018">
        <w:rPr>
          <w:rFonts w:ascii="Book Antiqua" w:eastAsia="Book Antiqua" w:hAnsi="Book Antiqua" w:cs="Book Antiqua"/>
          <w:color w:val="000000"/>
        </w:rPr>
        <w:t>ional football leag</w:t>
      </w:r>
      <w:r>
        <w:rPr>
          <w:rFonts w:ascii="Book Antiqua" w:eastAsia="Book Antiqua" w:hAnsi="Book Antiqua" w:cs="Book Antiqua"/>
          <w:color w:val="000000"/>
        </w:rPr>
        <w:t>ue; Play</w:t>
      </w:r>
      <w:r w:rsidR="007A055C">
        <w:rPr>
          <w:rFonts w:ascii="Book Antiqua" w:eastAsia="Book Antiqua" w:hAnsi="Book Antiqua" w:cs="Book Antiqua"/>
          <w:color w:val="000000"/>
        </w:rPr>
        <w:t>er saf</w:t>
      </w:r>
      <w:r>
        <w:rPr>
          <w:rFonts w:ascii="Book Antiqua" w:eastAsia="Book Antiqua" w:hAnsi="Book Antiqua" w:cs="Book Antiqua"/>
          <w:color w:val="000000"/>
        </w:rPr>
        <w:t>ety; Liga</w:t>
      </w:r>
      <w:r w:rsidR="008A5A2E">
        <w:rPr>
          <w:rFonts w:ascii="Book Antiqua" w:eastAsia="Book Antiqua" w:hAnsi="Book Antiqua" w:cs="Book Antiqua"/>
          <w:color w:val="000000"/>
        </w:rPr>
        <w:t>mentous inju</w:t>
      </w:r>
      <w:r>
        <w:rPr>
          <w:rFonts w:ascii="Book Antiqua" w:eastAsia="Book Antiqua" w:hAnsi="Book Antiqua" w:cs="Book Antiqua"/>
          <w:color w:val="000000"/>
        </w:rPr>
        <w:t>ry; Preseason; COVID-19</w:t>
      </w:r>
    </w:p>
    <w:p w14:paraId="5AFE03D7" w14:textId="77777777" w:rsidR="00A77B3E" w:rsidRDefault="00A77B3E">
      <w:pPr>
        <w:spacing w:line="360" w:lineRule="auto"/>
        <w:jc w:val="both"/>
      </w:pPr>
    </w:p>
    <w:p w14:paraId="5DE62A24" w14:textId="02A3158F" w:rsidR="00A77B3E" w:rsidRDefault="00647E75">
      <w:pPr>
        <w:spacing w:line="360" w:lineRule="auto"/>
        <w:jc w:val="both"/>
      </w:pPr>
      <w:proofErr w:type="spellStart"/>
      <w:r>
        <w:rPr>
          <w:rFonts w:ascii="Book Antiqua" w:eastAsia="Book Antiqua" w:hAnsi="Book Antiqua" w:cs="Book Antiqua"/>
          <w:color w:val="000000"/>
        </w:rPr>
        <w:t>Patetta</w:t>
      </w:r>
      <w:proofErr w:type="spellEnd"/>
      <w:r>
        <w:rPr>
          <w:rFonts w:ascii="Book Antiqua" w:eastAsia="Book Antiqua" w:hAnsi="Book Antiqua" w:cs="Book Antiqua"/>
          <w:color w:val="000000"/>
        </w:rPr>
        <w:t xml:space="preserve"> M, Mayo B, Martini OZ, Sullivan B, Onsen L, Hutchinson M. </w:t>
      </w:r>
      <w:r w:rsidR="00827B75" w:rsidRPr="00827B75">
        <w:rPr>
          <w:rFonts w:ascii="Book Antiqua" w:eastAsia="Book Antiqua" w:hAnsi="Book Antiqua" w:cs="Book Antiqua"/>
          <w:color w:val="000000"/>
        </w:rPr>
        <w:t>Preseason elimination impact on anterior cruciate ligament injury in the national football league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In press</w:t>
      </w:r>
    </w:p>
    <w:p w14:paraId="61EB9B84" w14:textId="77777777" w:rsidR="00A77B3E" w:rsidRDefault="00A77B3E">
      <w:pPr>
        <w:spacing w:line="360" w:lineRule="auto"/>
        <w:jc w:val="both"/>
      </w:pPr>
    </w:p>
    <w:p w14:paraId="7F08A738" w14:textId="77777777" w:rsidR="007F7D96" w:rsidRDefault="00647E7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w:t>
      </w:r>
      <w:r w:rsidR="002D1DE2">
        <w:rPr>
          <w:rFonts w:ascii="Book Antiqua" w:eastAsia="Book Antiqua" w:hAnsi="Book Antiqua" w:cs="Book Antiqua"/>
          <w:color w:val="000000"/>
        </w:rPr>
        <w:t>c</w:t>
      </w:r>
      <w:r w:rsidR="00FF67D0" w:rsidRPr="00FF67D0">
        <w:rPr>
          <w:rFonts w:ascii="Book Antiqua" w:eastAsia="Book Antiqua" w:hAnsi="Book Antiqua" w:cs="Book Antiqua"/>
          <w:color w:val="000000"/>
        </w:rPr>
        <w:t>oronavirus disease 2019</w:t>
      </w:r>
      <w:r w:rsidR="00FF67D0">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FF67D0">
        <w:rPr>
          <w:rFonts w:ascii="Book Antiqua" w:eastAsia="Book Antiqua" w:hAnsi="Book Antiqua" w:cs="Book Antiqua"/>
          <w:color w:val="000000"/>
        </w:rPr>
        <w:t>)</w:t>
      </w:r>
      <w:r>
        <w:rPr>
          <w:rFonts w:ascii="Book Antiqua" w:eastAsia="Book Antiqua" w:hAnsi="Book Antiqua" w:cs="Book Antiqua"/>
          <w:color w:val="000000"/>
        </w:rPr>
        <w:t xml:space="preserve"> pandemic presented a unique disruption to preseason</w:t>
      </w:r>
      <w:r w:rsidR="00A21212">
        <w:rPr>
          <w:rFonts w:ascii="Book Antiqua" w:eastAsia="Book Antiqua" w:hAnsi="Book Antiqua" w:cs="Book Antiqua"/>
          <w:color w:val="000000"/>
          <w:szCs w:val="22"/>
        </w:rPr>
        <w:t xml:space="preserve"> </w:t>
      </w:r>
      <w:r w:rsidR="009729CF">
        <w:rPr>
          <w:rFonts w:ascii="Book Antiqua" w:eastAsia="Book Antiqua" w:hAnsi="Book Antiqua" w:cs="Book Antiqua"/>
          <w:color w:val="000000"/>
          <w:szCs w:val="22"/>
        </w:rPr>
        <w:t>National Football League (NFL)</w:t>
      </w:r>
      <w:r>
        <w:rPr>
          <w:rFonts w:ascii="Book Antiqua" w:eastAsia="Book Antiqua" w:hAnsi="Book Antiqua" w:cs="Book Antiqua"/>
          <w:color w:val="000000"/>
        </w:rPr>
        <w:t xml:space="preserve"> football with the cancelation of all preseason games. This study compared the incidence of </w:t>
      </w:r>
      <w:r w:rsidR="00487F0F">
        <w:rPr>
          <w:rFonts w:ascii="Book Antiqua" w:eastAsia="Book Antiqua" w:hAnsi="Book Antiqua" w:cs="Book Antiqua"/>
          <w:color w:val="000000"/>
          <w:szCs w:val="22"/>
        </w:rPr>
        <w:t>a</w:t>
      </w:r>
      <w:r w:rsidR="00A74E13">
        <w:rPr>
          <w:rFonts w:ascii="Book Antiqua" w:eastAsia="Book Antiqua" w:hAnsi="Book Antiqua" w:cs="Book Antiqua"/>
          <w:color w:val="000000"/>
          <w:szCs w:val="22"/>
        </w:rPr>
        <w:t>nterior cruciate ligament (ACL)</w:t>
      </w:r>
      <w:r>
        <w:rPr>
          <w:rFonts w:ascii="Book Antiqua" w:eastAsia="Book Antiqua" w:hAnsi="Book Antiqua" w:cs="Book Antiqua"/>
          <w:color w:val="000000"/>
        </w:rPr>
        <w:t xml:space="preserve"> tears through the first eight weeks of the NFL season in 2020 to the mean incidence over the previous 5 seasons and found that there was indeed an increase in ACL tears through the first four games of the 2020 season with no significant difference when accounting for the preseason. This suggests that there may be front-loading of injuries over the course of an NFL season. In summary, this study </w:t>
      </w:r>
      <w:r w:rsidR="009D2F21">
        <w:rPr>
          <w:rFonts w:ascii="Book Antiqua" w:eastAsia="Book Antiqua" w:hAnsi="Book Antiqua" w:cs="Book Antiqua"/>
          <w:color w:val="000000"/>
        </w:rPr>
        <w:t>suggests</w:t>
      </w:r>
      <w:r>
        <w:rPr>
          <w:rFonts w:ascii="Book Antiqua" w:eastAsia="Book Antiqua" w:hAnsi="Book Antiqua" w:cs="Book Antiqua"/>
          <w:color w:val="000000"/>
        </w:rPr>
        <w:t xml:space="preserve"> that if preseason games are eliminated, players can expect similar rates of ACL tears overall when compared to conventional seasons, but with more ACL tears in the first four weeks of the regular season.</w:t>
      </w:r>
    </w:p>
    <w:p w14:paraId="75DF103C" w14:textId="77777777" w:rsidR="007F7D96" w:rsidRDefault="007F7D96">
      <w:pPr>
        <w:spacing w:line="360" w:lineRule="auto"/>
        <w:jc w:val="both"/>
        <w:rPr>
          <w:rFonts w:ascii="Book Antiqua" w:eastAsia="Book Antiqua" w:hAnsi="Book Antiqua" w:cs="Book Antiqua"/>
          <w:b/>
          <w:caps/>
          <w:color w:val="000000"/>
          <w:u w:val="single"/>
        </w:rPr>
        <w:sectPr w:rsidR="007F7D96">
          <w:pgSz w:w="12240" w:h="15840"/>
          <w:pgMar w:top="1440" w:right="1440" w:bottom="1440" w:left="1440" w:header="720" w:footer="720" w:gutter="0"/>
          <w:cols w:space="720"/>
          <w:docGrid w:linePitch="360"/>
        </w:sectPr>
      </w:pPr>
    </w:p>
    <w:p w14:paraId="1502902D" w14:textId="5B08A642" w:rsidR="00A77B3E" w:rsidRDefault="00647E75">
      <w:pPr>
        <w:spacing w:line="360" w:lineRule="auto"/>
        <w:jc w:val="both"/>
      </w:pPr>
      <w:r>
        <w:rPr>
          <w:rFonts w:ascii="Book Antiqua" w:eastAsia="Book Antiqua" w:hAnsi="Book Antiqua" w:cs="Book Antiqua"/>
          <w:b/>
          <w:caps/>
          <w:color w:val="000000"/>
          <w:u w:val="single"/>
        </w:rPr>
        <w:lastRenderedPageBreak/>
        <w:t>INTRODUCTION</w:t>
      </w:r>
    </w:p>
    <w:p w14:paraId="1E61C38D" w14:textId="4E01B156" w:rsidR="00A77B3E" w:rsidRDefault="00647E75">
      <w:pPr>
        <w:spacing w:line="360" w:lineRule="auto"/>
        <w:jc w:val="both"/>
      </w:pPr>
      <w:r>
        <w:rPr>
          <w:rFonts w:ascii="Book Antiqua" w:eastAsia="Book Antiqua" w:hAnsi="Book Antiqua" w:cs="Book Antiqua"/>
          <w:color w:val="000000"/>
        </w:rPr>
        <w:t>A</w:t>
      </w:r>
      <w:r w:rsidR="00940420">
        <w:rPr>
          <w:rFonts w:ascii="Book Antiqua" w:eastAsia="Book Antiqua" w:hAnsi="Book Antiqua" w:cs="Book Antiqua"/>
          <w:color w:val="000000"/>
          <w:szCs w:val="22"/>
        </w:rPr>
        <w:t>nterior cruciate ligament (ACL)</w:t>
      </w:r>
      <w:r w:rsidR="007F7D96">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injuries are among the most common knee injuries in American football players, and their incidence increases with increased level of competition. In one survey, 14.2% of retired </w:t>
      </w:r>
      <w:r w:rsidR="009D1AFF">
        <w:rPr>
          <w:rFonts w:ascii="Book Antiqua" w:eastAsia="Book Antiqua" w:hAnsi="Book Antiqua" w:cs="Book Antiqua"/>
          <w:color w:val="000000"/>
          <w:szCs w:val="22"/>
        </w:rPr>
        <w:t>National Football League (NFL)</w:t>
      </w:r>
      <w:r>
        <w:rPr>
          <w:rFonts w:ascii="Book Antiqua" w:eastAsia="Book Antiqua" w:hAnsi="Book Antiqua" w:cs="Book Antiqua"/>
          <w:color w:val="000000"/>
          <w:szCs w:val="22"/>
        </w:rPr>
        <w:t xml:space="preserve"> players reported a history of ACL </w:t>
      </w:r>
      <w:proofErr w:type="gramStart"/>
      <w:r>
        <w:rPr>
          <w:rFonts w:ascii="Book Antiqua" w:eastAsia="Book Antiqua" w:hAnsi="Book Antiqua" w:cs="Book Antiqua"/>
          <w:color w:val="000000"/>
          <w:szCs w:val="22"/>
        </w:rPr>
        <w:t>injury</w:t>
      </w:r>
      <w:r w:rsidR="00D019CA" w:rsidRPr="00D019CA">
        <w:rPr>
          <w:rFonts w:ascii="Book Antiqua" w:eastAsia="Book Antiqua" w:hAnsi="Book Antiqua" w:cs="Book Antiqua"/>
          <w:color w:val="000000"/>
          <w:szCs w:val="22"/>
          <w:vertAlign w:val="superscript"/>
        </w:rPr>
        <w:t>[</w:t>
      </w:r>
      <w:proofErr w:type="gramEnd"/>
      <w:r w:rsidR="00D019CA">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Because of the high incidence of ACL injuries and their potential to end players’ seasons or careers, extensive research has been conducted to identify risk factors that may contribute to ACL injury and modifications to improve player safety. One of these modifiable risk factors may be preseason training. </w:t>
      </w:r>
    </w:p>
    <w:p w14:paraId="2797AA5A" w14:textId="0D9B802C" w:rsidR="00A77B3E" w:rsidRDefault="00647E75" w:rsidP="0093450F">
      <w:pPr>
        <w:spacing w:line="360" w:lineRule="auto"/>
        <w:ind w:firstLineChars="100" w:firstLine="240"/>
        <w:jc w:val="both"/>
      </w:pPr>
      <w:r>
        <w:rPr>
          <w:rFonts w:ascii="Book Antiqua" w:eastAsia="Book Antiqua" w:hAnsi="Book Antiqua" w:cs="Book Antiqua"/>
          <w:color w:val="000000"/>
          <w:szCs w:val="22"/>
        </w:rPr>
        <w:t>Over the last decade, NFL and National Football League Players Association</w:t>
      </w:r>
      <w:r w:rsidR="0079123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 disputed the importance and number of preseason games necessary before the NFL season. Since 1978, NFL teams participated in a 4-game stretch of weekly exhibition games to prepare for the upcoming season. However, in 2020 the</w:t>
      </w:r>
      <w:r w:rsidR="00C62335" w:rsidRPr="00C62335">
        <w:t xml:space="preserve"> </w:t>
      </w:r>
      <w:r w:rsidR="00AF5F39">
        <w:rPr>
          <w:rFonts w:ascii="Book Antiqua" w:eastAsia="Book Antiqua" w:hAnsi="Book Antiqua" w:cs="Book Antiqua"/>
          <w:color w:val="000000"/>
          <w:szCs w:val="22"/>
        </w:rPr>
        <w:t>c</w:t>
      </w:r>
      <w:r w:rsidR="00C62335" w:rsidRPr="00C62335">
        <w:rPr>
          <w:rFonts w:ascii="Book Antiqua" w:eastAsia="Book Antiqua" w:hAnsi="Book Antiqua" w:cs="Book Antiqua"/>
          <w:color w:val="000000"/>
          <w:szCs w:val="22"/>
        </w:rPr>
        <w:t>oronavirus disease 2019</w:t>
      </w:r>
      <w:r>
        <w:rPr>
          <w:rFonts w:ascii="Book Antiqua" w:eastAsia="Book Antiqua" w:hAnsi="Book Antiqua" w:cs="Book Antiqua"/>
          <w:color w:val="000000"/>
          <w:szCs w:val="22"/>
        </w:rPr>
        <w:t xml:space="preserve"> </w:t>
      </w:r>
      <w:r w:rsidR="00C62335">
        <w:rPr>
          <w:rFonts w:ascii="Book Antiqua" w:eastAsia="Book Antiqua" w:hAnsi="Book Antiqua" w:cs="Book Antiqua"/>
          <w:color w:val="000000"/>
          <w:szCs w:val="22"/>
        </w:rPr>
        <w:t>(</w:t>
      </w:r>
      <w:r>
        <w:rPr>
          <w:rFonts w:ascii="Book Antiqua" w:eastAsia="Book Antiqua" w:hAnsi="Book Antiqua" w:cs="Book Antiqua"/>
          <w:color w:val="000000"/>
          <w:szCs w:val="22"/>
        </w:rPr>
        <w:t>COVID-19</w:t>
      </w:r>
      <w:r w:rsidR="00C6233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pandemic presented a unique disruption to this sequence, with all preseason games cancelled prior to the beginning of the season.</w:t>
      </w:r>
    </w:p>
    <w:p w14:paraId="006F0608" w14:textId="3269F15D" w:rsidR="00A77B3E" w:rsidRDefault="00647E75" w:rsidP="00DC75EE">
      <w:pPr>
        <w:spacing w:line="360" w:lineRule="auto"/>
        <w:ind w:firstLineChars="100" w:firstLine="240"/>
        <w:jc w:val="both"/>
      </w:pPr>
      <w:r>
        <w:rPr>
          <w:rFonts w:ascii="Book Antiqua" w:eastAsia="Book Antiqua" w:hAnsi="Book Antiqua" w:cs="Book Antiqua"/>
          <w:color w:val="000000"/>
          <w:szCs w:val="22"/>
        </w:rPr>
        <w:t xml:space="preserve">ACL tears are catastrophic and common injuries in football, with athletes estimated to have a ten times higher risk of rupture in participation when compared to other </w:t>
      </w:r>
      <w:proofErr w:type="gramStart"/>
      <w:r>
        <w:rPr>
          <w:rFonts w:ascii="Book Antiqua" w:eastAsia="Book Antiqua" w:hAnsi="Book Antiqua" w:cs="Book Antiqua"/>
          <w:color w:val="000000"/>
          <w:szCs w:val="22"/>
        </w:rPr>
        <w:t>sports</w:t>
      </w:r>
      <w:r w:rsidR="00C52C7C">
        <w:rPr>
          <w:rFonts w:ascii="Book Antiqua" w:eastAsia="Book Antiqua" w:hAnsi="Book Antiqua" w:cs="Book Antiqua"/>
          <w:color w:val="000000"/>
          <w:szCs w:val="22"/>
          <w:vertAlign w:val="superscript"/>
        </w:rPr>
        <w:t>[</w:t>
      </w:r>
      <w:proofErr w:type="gramEnd"/>
      <w:r w:rsidR="00C52C7C">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w:t>
      </w:r>
      <w:r w:rsidR="00C52C7C">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A recent systematic review reported the overall return to play rate in NFL athletes after an ACL tear at only 67.2%, with significant variability depending on the position and experience of the </w:t>
      </w:r>
      <w:proofErr w:type="gramStart"/>
      <w:r>
        <w:rPr>
          <w:rFonts w:ascii="Book Antiqua" w:eastAsia="Book Antiqua" w:hAnsi="Book Antiqua" w:cs="Book Antiqua"/>
          <w:color w:val="000000"/>
          <w:szCs w:val="22"/>
        </w:rPr>
        <w:t>athlete</w:t>
      </w:r>
      <w:r w:rsidR="005014CA">
        <w:rPr>
          <w:rFonts w:ascii="Book Antiqua" w:eastAsia="Book Antiqua" w:hAnsi="Book Antiqua" w:cs="Book Antiqua"/>
          <w:color w:val="000000"/>
          <w:szCs w:val="22"/>
          <w:vertAlign w:val="superscript"/>
        </w:rPr>
        <w:t>[</w:t>
      </w:r>
      <w:proofErr w:type="gramEnd"/>
      <w:r w:rsidR="005014CA">
        <w:rPr>
          <w:rFonts w:ascii="Book Antiqua" w:eastAsia="Book Antiqua" w:hAnsi="Book Antiqua" w:cs="Book Antiqua"/>
          <w:color w:val="000000"/>
          <w:szCs w:val="22"/>
          <w:vertAlign w:val="superscript"/>
        </w:rPr>
        <w:t>3-5]</w:t>
      </w:r>
      <w:r>
        <w:rPr>
          <w:rFonts w:ascii="Book Antiqua" w:eastAsia="Book Antiqua" w:hAnsi="Book Antiqua" w:cs="Book Antiqua"/>
          <w:color w:val="000000"/>
          <w:szCs w:val="22"/>
        </w:rPr>
        <w:t>.</w:t>
      </w:r>
      <w:r w:rsidR="00B26D8C">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Additionally, of players able to return, the financial impact of these injuries on player earning potentials is well documented, with salary losses of roughly $2 million per year after </w:t>
      </w:r>
      <w:proofErr w:type="gramStart"/>
      <w:r>
        <w:rPr>
          <w:rFonts w:ascii="Book Antiqua" w:eastAsia="Book Antiqua" w:hAnsi="Book Antiqua" w:cs="Book Antiqua"/>
          <w:color w:val="000000"/>
          <w:szCs w:val="22"/>
        </w:rPr>
        <w:t>injury</w:t>
      </w:r>
      <w:r w:rsidR="00B81F78">
        <w:rPr>
          <w:rFonts w:ascii="Book Antiqua" w:eastAsia="Book Antiqua" w:hAnsi="Book Antiqua" w:cs="Book Antiqua"/>
          <w:color w:val="000000"/>
          <w:szCs w:val="22"/>
          <w:vertAlign w:val="superscript"/>
        </w:rPr>
        <w:t>[</w:t>
      </w:r>
      <w:proofErr w:type="gramEnd"/>
      <w:r w:rsidR="00B81F78">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w:t>
      </w:r>
    </w:p>
    <w:p w14:paraId="3E471163" w14:textId="77777777" w:rsidR="00A77B3E" w:rsidRDefault="00647E75" w:rsidP="00B81F78">
      <w:pPr>
        <w:spacing w:line="360" w:lineRule="auto"/>
        <w:ind w:firstLineChars="100" w:firstLine="240"/>
        <w:jc w:val="both"/>
      </w:pPr>
      <w:r>
        <w:rPr>
          <w:rFonts w:ascii="Book Antiqua" w:eastAsia="Book Antiqua" w:hAnsi="Book Antiqua" w:cs="Book Antiqua"/>
          <w:color w:val="000000"/>
          <w:szCs w:val="22"/>
        </w:rPr>
        <w:t xml:space="preserve">The purpose of this study was to compare the incidence of ACL tears through the first eight games played of the NFL season in 2020 to the mean incidence over the previous 5 seasons (2015-2019) and determine if there was any change in incidence with the elimination of the preseason. </w:t>
      </w:r>
    </w:p>
    <w:p w14:paraId="4772CA73" w14:textId="77777777" w:rsidR="00A77B3E" w:rsidRDefault="00A77B3E">
      <w:pPr>
        <w:spacing w:line="360" w:lineRule="auto"/>
        <w:jc w:val="both"/>
      </w:pPr>
    </w:p>
    <w:p w14:paraId="19CD67A9" w14:textId="77777777" w:rsidR="00A77B3E" w:rsidRDefault="00647E75">
      <w:pPr>
        <w:spacing w:line="360" w:lineRule="auto"/>
        <w:jc w:val="both"/>
      </w:pPr>
      <w:r>
        <w:rPr>
          <w:rFonts w:ascii="Book Antiqua" w:eastAsia="Book Antiqua" w:hAnsi="Book Antiqua" w:cs="Book Antiqua"/>
          <w:b/>
          <w:caps/>
          <w:color w:val="000000"/>
          <w:u w:val="single"/>
        </w:rPr>
        <w:t>MATERIALS AND METHODS</w:t>
      </w:r>
    </w:p>
    <w:p w14:paraId="780E759D" w14:textId="02E4D01C" w:rsidR="00A77B3E" w:rsidRDefault="00647E75">
      <w:pPr>
        <w:spacing w:line="360" w:lineRule="auto"/>
        <w:jc w:val="both"/>
      </w:pPr>
      <w:r>
        <w:rPr>
          <w:rFonts w:ascii="Book Antiqua" w:eastAsia="Book Antiqua" w:hAnsi="Book Antiqua" w:cs="Book Antiqua"/>
          <w:color w:val="000000"/>
          <w:szCs w:val="22"/>
        </w:rPr>
        <w:t xml:space="preserve">NFL players who suffered ACL tears during preseason games and first eight regular season games played of the NFL season for the years 2015-2020 were identified and </w:t>
      </w:r>
      <w:r>
        <w:rPr>
          <w:rFonts w:ascii="Book Antiqua" w:eastAsia="Book Antiqua" w:hAnsi="Book Antiqua" w:cs="Book Antiqua"/>
          <w:color w:val="000000"/>
          <w:szCs w:val="22"/>
        </w:rPr>
        <w:lastRenderedPageBreak/>
        <w:t>confirmed using reports from official NFL team websites. Only injuries occurring during regular and preseason games were included. Injuries occurring in organized team activities, practices, or individual training sessions were not included in the analysis, as regimens and activities of individual players and teams inherently vary considerably. The five-year total and yearly mean number of ACL injuries were calculated for the 2015-2019 seasons and compared to the 2020 season for four different timeframes.</w:t>
      </w:r>
    </w:p>
    <w:p w14:paraId="5DC30337" w14:textId="58D1E47F" w:rsidR="00A77B3E" w:rsidRDefault="00647E75" w:rsidP="00FA049F">
      <w:pPr>
        <w:spacing w:line="360" w:lineRule="auto"/>
        <w:ind w:firstLineChars="100" w:firstLine="240"/>
        <w:jc w:val="both"/>
      </w:pPr>
      <w:r>
        <w:rPr>
          <w:rFonts w:ascii="Book Antiqua" w:eastAsia="Book Antiqua" w:hAnsi="Book Antiqua" w:cs="Book Antiqua"/>
          <w:color w:val="000000"/>
          <w:szCs w:val="22"/>
        </w:rPr>
        <w:t xml:space="preserve">First, the first four regular season games of the 2020 season were compared to the first four regular season games of 2015-2019 season, excluding any preseason injuries. Second, the first four regular season games for the 2020 season were compared to first four regular season games played of the 2015-2019 season, including injuries sustained in the four preseason games accrued in 2015-219. Third, the first 8 regular season games played for the 2020 season were compared to the first eighth regular season games played of the 2015-2019 season, including injuries sustained in the four preseason games. Lastly, the cumulative number of injuries through 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any gameplay were compared, and a relative risk was calculated for player injuries per game played by each week. In other words, the first 4 preseason games of 2015-2019 were analyzed in combination with the first 4 games of their respective regular seasons and compared to the first 8 regular season games of 2020.</w:t>
      </w:r>
    </w:p>
    <w:p w14:paraId="1D5F4680" w14:textId="0B4630E7" w:rsidR="00A77B3E" w:rsidRDefault="00647E75" w:rsidP="00C65339">
      <w:pPr>
        <w:spacing w:line="360" w:lineRule="auto"/>
        <w:ind w:firstLineChars="100" w:firstLine="240"/>
        <w:jc w:val="both"/>
      </w:pPr>
      <w:r>
        <w:rPr>
          <w:rFonts w:ascii="Book Antiqua" w:eastAsia="Book Antiqua" w:hAnsi="Book Antiqua" w:cs="Book Antiqua"/>
          <w:color w:val="000000"/>
          <w:szCs w:val="22"/>
        </w:rPr>
        <w:t>For each analysis, the cumulative number of ACL injuries to that time point was used to calculate the percent difference for a descriptive analysis. Additionally, the number of teams with at least one player suffering an ACL tear were identified and compared using Chi-Squared testing. All collected data was then analyzed using IBM SPSS Statistics Version 25 (Armonk, NY</w:t>
      </w:r>
      <w:r w:rsidR="00004005">
        <w:rPr>
          <w:rFonts w:ascii="Book Antiqua" w:eastAsia="Book Antiqua" w:hAnsi="Book Antiqua" w:cs="Book Antiqua"/>
          <w:color w:val="000000"/>
          <w:szCs w:val="22"/>
        </w:rPr>
        <w:t>,</w:t>
      </w:r>
      <w:r w:rsidR="00843BB5" w:rsidRPr="00843BB5">
        <w:t xml:space="preserve"> </w:t>
      </w:r>
      <w:r w:rsidR="00843BB5" w:rsidRPr="00843BB5">
        <w:rPr>
          <w:rFonts w:ascii="Book Antiqua" w:eastAsia="Book Antiqua" w:hAnsi="Book Antiqua" w:cs="Book Antiqua"/>
          <w:color w:val="000000"/>
          <w:szCs w:val="22"/>
        </w:rPr>
        <w:t>United States</w:t>
      </w:r>
      <w:r>
        <w:rPr>
          <w:rFonts w:ascii="Book Antiqua" w:eastAsia="Book Antiqua" w:hAnsi="Book Antiqua" w:cs="Book Antiqua"/>
          <w:color w:val="000000"/>
          <w:szCs w:val="22"/>
        </w:rPr>
        <w:t xml:space="preserve">). </w:t>
      </w:r>
      <w:r w:rsidRPr="005D7454">
        <w:rPr>
          <w:rFonts w:ascii="Book Antiqua" w:eastAsia="Book Antiqua" w:hAnsi="Book Antiqua" w:cs="Book Antiqua"/>
          <w:i/>
          <w:iCs/>
          <w:color w:val="000000"/>
          <w:szCs w:val="22"/>
        </w:rPr>
        <w:t>P</w:t>
      </w:r>
      <w:r w:rsidR="005D745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values &lt; </w:t>
      </w:r>
      <w:r w:rsidR="005D7454">
        <w:rPr>
          <w:rFonts w:ascii="Book Antiqua" w:eastAsia="Book Antiqua" w:hAnsi="Book Antiqua" w:cs="Book Antiqua"/>
          <w:color w:val="000000"/>
          <w:szCs w:val="22"/>
        </w:rPr>
        <w:t>0</w:t>
      </w:r>
      <w:r>
        <w:rPr>
          <w:rFonts w:ascii="Book Antiqua" w:eastAsia="Book Antiqua" w:hAnsi="Book Antiqua" w:cs="Book Antiqua"/>
          <w:color w:val="000000"/>
          <w:szCs w:val="22"/>
        </w:rPr>
        <w:t>.05 were considered statistically significant.</w:t>
      </w:r>
    </w:p>
    <w:p w14:paraId="6B205717" w14:textId="77777777" w:rsidR="00A77B3E" w:rsidRDefault="00A77B3E">
      <w:pPr>
        <w:spacing w:line="360" w:lineRule="auto"/>
        <w:jc w:val="both"/>
      </w:pPr>
    </w:p>
    <w:p w14:paraId="52BA0F35" w14:textId="77777777" w:rsidR="00A77B3E" w:rsidRDefault="00647E75">
      <w:pPr>
        <w:spacing w:line="360" w:lineRule="auto"/>
        <w:jc w:val="both"/>
      </w:pPr>
      <w:r>
        <w:rPr>
          <w:rFonts w:ascii="Book Antiqua" w:eastAsia="Book Antiqua" w:hAnsi="Book Antiqua" w:cs="Book Antiqua"/>
          <w:b/>
          <w:caps/>
          <w:color w:val="000000"/>
          <w:u w:val="single"/>
        </w:rPr>
        <w:t>RESULTS</w:t>
      </w:r>
    </w:p>
    <w:p w14:paraId="46E635DA" w14:textId="77777777" w:rsidR="00A77B3E" w:rsidRPr="00F140F6" w:rsidRDefault="00647E75">
      <w:pPr>
        <w:spacing w:line="360" w:lineRule="auto"/>
        <w:jc w:val="both"/>
        <w:rPr>
          <w:b/>
          <w:bCs/>
        </w:rPr>
      </w:pPr>
      <w:r w:rsidRPr="00F140F6">
        <w:rPr>
          <w:rFonts w:ascii="Book Antiqua" w:eastAsia="Book Antiqua" w:hAnsi="Book Antiqua" w:cs="Book Antiqua"/>
          <w:b/>
          <w:bCs/>
          <w:i/>
          <w:iCs/>
          <w:color w:val="000000"/>
          <w:szCs w:val="22"/>
        </w:rPr>
        <w:t xml:space="preserve">Comparison of first four regular season games </w:t>
      </w:r>
    </w:p>
    <w:p w14:paraId="08ACBE9F" w14:textId="7E80FD30" w:rsidR="00A77B3E" w:rsidRDefault="00647E75">
      <w:pPr>
        <w:spacing w:line="360" w:lineRule="auto"/>
        <w:jc w:val="both"/>
      </w:pPr>
      <w:r>
        <w:rPr>
          <w:rFonts w:ascii="Book Antiqua" w:eastAsia="Book Antiqua" w:hAnsi="Book Antiqua" w:cs="Book Antiqua"/>
          <w:color w:val="000000"/>
          <w:szCs w:val="22"/>
        </w:rPr>
        <w:lastRenderedPageBreak/>
        <w:t xml:space="preserve">There was a total of 14 ACL tears through the first four games of the 2020 season, a 118.8% increase in comparison to the 5-year average over the first 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the 2015-2019 seasons (Table 1</w:t>
      </w:r>
      <w:r w:rsidR="00696447">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Figure 1</w:t>
      </w:r>
      <w:r w:rsidR="00B3422B">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More teams (11) were impacted with an ACL tear in 2020 during the first 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the season than any season from 2015-2019. Chi squared testing demonstrated a significant difference in rates of teams impacted (Table 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0.039) in 2020 compared to 2015-2019.</w:t>
      </w:r>
    </w:p>
    <w:p w14:paraId="661985BE" w14:textId="77777777" w:rsidR="00A77B3E" w:rsidRDefault="00A77B3E">
      <w:pPr>
        <w:spacing w:line="360" w:lineRule="auto"/>
        <w:jc w:val="both"/>
      </w:pPr>
    </w:p>
    <w:p w14:paraId="7C2CBBC3" w14:textId="77777777" w:rsidR="00A77B3E" w:rsidRPr="0028368E" w:rsidRDefault="00647E75">
      <w:pPr>
        <w:spacing w:line="360" w:lineRule="auto"/>
        <w:jc w:val="both"/>
        <w:rPr>
          <w:b/>
          <w:bCs/>
        </w:rPr>
      </w:pPr>
      <w:r w:rsidRPr="0028368E">
        <w:rPr>
          <w:rFonts w:ascii="Book Antiqua" w:eastAsia="Book Antiqua" w:hAnsi="Book Antiqua" w:cs="Book Antiqua"/>
          <w:b/>
          <w:bCs/>
          <w:i/>
          <w:iCs/>
          <w:color w:val="000000"/>
          <w:szCs w:val="22"/>
        </w:rPr>
        <w:t xml:space="preserve">Comparison through the first four regular season games, including preseason </w:t>
      </w:r>
    </w:p>
    <w:p w14:paraId="5B2C1DB3" w14:textId="4A39B8A3" w:rsidR="00A77B3E" w:rsidRDefault="00647E75">
      <w:pPr>
        <w:spacing w:line="360" w:lineRule="auto"/>
        <w:jc w:val="both"/>
      </w:pPr>
      <w:r>
        <w:rPr>
          <w:rFonts w:ascii="Book Antiqua" w:eastAsia="Book Antiqua" w:hAnsi="Book Antiqua" w:cs="Book Antiqua"/>
          <w:color w:val="000000"/>
          <w:szCs w:val="22"/>
        </w:rPr>
        <w:t>When accounting for injuries occurring during the preseason from 2015-2019, there were 18.6% fewer total ACL injuries through regular season week 4 (Table 1</w:t>
      </w:r>
      <w:r w:rsidR="0028368E">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 xml:space="preserve">Figure </w:t>
      </w:r>
      <w:r w:rsidR="00B3422B">
        <w:rPr>
          <w:rFonts w:ascii="Book Antiqua" w:eastAsia="Book Antiqua" w:hAnsi="Book Antiqua" w:cs="Book Antiqua"/>
          <w:color w:val="000000"/>
          <w:szCs w:val="22"/>
        </w:rPr>
        <w:t>1B</w:t>
      </w:r>
      <w:r>
        <w:rPr>
          <w:rFonts w:ascii="Book Antiqua" w:eastAsia="Book Antiqua" w:hAnsi="Book Antiqua" w:cs="Book Antiqua"/>
          <w:color w:val="000000"/>
          <w:szCs w:val="22"/>
        </w:rPr>
        <w:t xml:space="preserve">). There no significant difference in percentage of teams impacted when these preseason injuries were accounted for (Table 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0.394). </w:t>
      </w:r>
    </w:p>
    <w:p w14:paraId="467C5197" w14:textId="77777777" w:rsidR="00A77B3E" w:rsidRDefault="00A77B3E">
      <w:pPr>
        <w:spacing w:line="360" w:lineRule="auto"/>
        <w:jc w:val="both"/>
      </w:pPr>
    </w:p>
    <w:p w14:paraId="2A52E779" w14:textId="77777777" w:rsidR="00A77B3E" w:rsidRPr="00520A7C" w:rsidRDefault="00647E75">
      <w:pPr>
        <w:spacing w:line="360" w:lineRule="auto"/>
        <w:jc w:val="both"/>
        <w:rPr>
          <w:b/>
          <w:bCs/>
        </w:rPr>
      </w:pPr>
      <w:r w:rsidRPr="00520A7C">
        <w:rPr>
          <w:rFonts w:ascii="Book Antiqua" w:eastAsia="Book Antiqua" w:hAnsi="Book Antiqua" w:cs="Book Antiqua"/>
          <w:b/>
          <w:bCs/>
          <w:i/>
          <w:iCs/>
          <w:color w:val="000000"/>
          <w:szCs w:val="22"/>
        </w:rPr>
        <w:t xml:space="preserve">Comparison through the first eight regular season games, including preseason </w:t>
      </w:r>
    </w:p>
    <w:p w14:paraId="4986C9B9" w14:textId="40CE22F7" w:rsidR="00A77B3E" w:rsidRDefault="00647E75">
      <w:pPr>
        <w:spacing w:line="360" w:lineRule="auto"/>
        <w:jc w:val="both"/>
      </w:pPr>
      <w:r>
        <w:rPr>
          <w:rFonts w:ascii="Book Antiqua" w:eastAsia="Book Antiqua" w:hAnsi="Book Antiqua" w:cs="Book Antiqua"/>
          <w:color w:val="000000"/>
          <w:szCs w:val="22"/>
        </w:rPr>
        <w:t xml:space="preserve">Repeat analysis through 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comparing the 2020 season to the 2015-2019 averages including the preseason demonstrated similar results to </w:t>
      </w:r>
      <w:r w:rsidR="00FB065C">
        <w:rPr>
          <w:rFonts w:ascii="Book Antiqua" w:eastAsia="Book Antiqua" w:hAnsi="Book Antiqua" w:cs="Book Antiqua"/>
          <w:color w:val="000000"/>
          <w:szCs w:val="22"/>
        </w:rPr>
        <w:t>w</w:t>
      </w:r>
      <w:r>
        <w:rPr>
          <w:rFonts w:ascii="Book Antiqua" w:eastAsia="Book Antiqua" w:hAnsi="Book Antiqua" w:cs="Book Antiqua"/>
          <w:color w:val="000000"/>
          <w:szCs w:val="22"/>
        </w:rPr>
        <w:t xml:space="preserve">eek 4 analysis, with overall tears down 16.7% with no significant difference in the number of teams affected (Table 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0.196). </w:t>
      </w:r>
    </w:p>
    <w:p w14:paraId="52F5A3F5" w14:textId="77777777" w:rsidR="00A77B3E" w:rsidRDefault="00A77B3E">
      <w:pPr>
        <w:spacing w:line="360" w:lineRule="auto"/>
        <w:jc w:val="both"/>
      </w:pPr>
    </w:p>
    <w:p w14:paraId="349FE178" w14:textId="77777777" w:rsidR="00A77B3E" w:rsidRPr="00B73331" w:rsidRDefault="00647E75">
      <w:pPr>
        <w:spacing w:line="360" w:lineRule="auto"/>
        <w:jc w:val="both"/>
        <w:rPr>
          <w:b/>
          <w:bCs/>
        </w:rPr>
      </w:pPr>
      <w:r w:rsidRPr="00B73331">
        <w:rPr>
          <w:rFonts w:ascii="Book Antiqua" w:eastAsia="Book Antiqua" w:hAnsi="Book Antiqua" w:cs="Book Antiqua"/>
          <w:b/>
          <w:bCs/>
          <w:i/>
          <w:iCs/>
          <w:color w:val="000000"/>
          <w:szCs w:val="22"/>
        </w:rPr>
        <w:t>Comparison of the first eight games played</w:t>
      </w:r>
    </w:p>
    <w:p w14:paraId="74998EE9" w14:textId="70AE815D" w:rsidR="00A77B3E" w:rsidRDefault="00647E75">
      <w:pPr>
        <w:spacing w:line="360" w:lineRule="auto"/>
        <w:jc w:val="both"/>
      </w:pPr>
      <w:r>
        <w:rPr>
          <w:rFonts w:ascii="Book Antiqua" w:eastAsia="Book Antiqua" w:hAnsi="Book Antiqua" w:cs="Book Antiqua"/>
          <w:color w:val="000000"/>
          <w:szCs w:val="22"/>
        </w:rPr>
        <w:t>When comparing an equivalent number of games, regardless of regular or preseason designation, there was a 10.5% increase in ACL tear occurrence in the 2020 season (Table 1</w:t>
      </w:r>
      <w:r w:rsidR="0005446F">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 xml:space="preserve">Figure </w:t>
      </w:r>
      <w:r w:rsidR="00B3422B">
        <w:rPr>
          <w:rFonts w:ascii="Book Antiqua" w:eastAsia="Book Antiqua" w:hAnsi="Book Antiqua" w:cs="Book Antiqua"/>
          <w:color w:val="000000"/>
          <w:szCs w:val="22"/>
        </w:rPr>
        <w:t>1C</w:t>
      </w:r>
      <w:r>
        <w:rPr>
          <w:rFonts w:ascii="Book Antiqua" w:eastAsia="Book Antiqua" w:hAnsi="Book Antiqua" w:cs="Book Antiqua"/>
          <w:color w:val="000000"/>
          <w:szCs w:val="22"/>
        </w:rPr>
        <w:t xml:space="preserve">), but no significant difference in the number of teams impacted (Table 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0.600), or injury rate at any timepoint through eight weeks (Table 2). </w:t>
      </w:r>
    </w:p>
    <w:p w14:paraId="420C6413" w14:textId="77777777" w:rsidR="00A77B3E" w:rsidRDefault="00A77B3E">
      <w:pPr>
        <w:spacing w:line="360" w:lineRule="auto"/>
        <w:jc w:val="both"/>
      </w:pPr>
    </w:p>
    <w:p w14:paraId="7068083D" w14:textId="77777777" w:rsidR="00A77B3E" w:rsidRDefault="00647E75">
      <w:pPr>
        <w:spacing w:line="360" w:lineRule="auto"/>
        <w:jc w:val="both"/>
      </w:pPr>
      <w:r>
        <w:rPr>
          <w:rFonts w:ascii="Book Antiqua" w:eastAsia="Book Antiqua" w:hAnsi="Book Antiqua" w:cs="Book Antiqua"/>
          <w:b/>
          <w:caps/>
          <w:color w:val="000000"/>
          <w:u w:val="single"/>
        </w:rPr>
        <w:t>DISCUSSION</w:t>
      </w:r>
    </w:p>
    <w:p w14:paraId="6210F61B" w14:textId="77777777" w:rsidR="00A77B3E" w:rsidRDefault="00647E75">
      <w:pPr>
        <w:spacing w:line="360" w:lineRule="auto"/>
        <w:jc w:val="both"/>
      </w:pPr>
      <w:r>
        <w:rPr>
          <w:rFonts w:ascii="Book Antiqua" w:eastAsia="Book Antiqua" w:hAnsi="Book Antiqua" w:cs="Book Antiqua"/>
          <w:color w:val="000000"/>
        </w:rPr>
        <w:t xml:space="preserve">The results </w:t>
      </w:r>
      <w:r>
        <w:rPr>
          <w:rFonts w:ascii="Book Antiqua" w:eastAsia="Book Antiqua" w:hAnsi="Book Antiqua" w:cs="Book Antiqua"/>
          <w:color w:val="000000"/>
          <w:szCs w:val="22"/>
        </w:rPr>
        <w:t xml:space="preserve">of this study demonstrate that without participation in preseason games, NFL players sustain ACL injuries at a higher rate during the early portion of the regular season. However, when accounting for injuries sustained in preseason, the differences </w:t>
      </w:r>
      <w:r>
        <w:rPr>
          <w:rFonts w:ascii="Book Antiqua" w:eastAsia="Book Antiqua" w:hAnsi="Book Antiqua" w:cs="Book Antiqua"/>
          <w:color w:val="000000"/>
          <w:szCs w:val="22"/>
        </w:rPr>
        <w:lastRenderedPageBreak/>
        <w:t xml:space="preserve">quickly equilibrate and there is no difference in the total number of ACL injuries, or the ACL injuries per game played. Additionally, the injury rate per game played is not statistically different between seasons with and without a preseason. </w:t>
      </w:r>
    </w:p>
    <w:p w14:paraId="3FBE6404" w14:textId="339397B4" w:rsidR="00A77B3E" w:rsidRDefault="00647E75" w:rsidP="00FA0081">
      <w:pPr>
        <w:spacing w:line="360" w:lineRule="auto"/>
        <w:ind w:firstLineChars="100" w:firstLine="240"/>
        <w:jc w:val="both"/>
      </w:pPr>
      <w:r>
        <w:rPr>
          <w:rFonts w:ascii="Book Antiqua" w:eastAsia="Book Antiqua" w:hAnsi="Book Antiqua" w:cs="Book Antiqua"/>
          <w:color w:val="000000"/>
          <w:szCs w:val="22"/>
        </w:rPr>
        <w:t xml:space="preserve">Recent studies of rugby, Australian rules football, and European soccer teams showed that increased participation in preseason training sessions was associated with a lower in-season injury </w:t>
      </w:r>
      <w:proofErr w:type="gramStart"/>
      <w:r>
        <w:rPr>
          <w:rFonts w:ascii="Book Antiqua" w:eastAsia="Book Antiqua" w:hAnsi="Book Antiqua" w:cs="Book Antiqua"/>
          <w:color w:val="000000"/>
          <w:szCs w:val="22"/>
        </w:rPr>
        <w:t>burden</w:t>
      </w:r>
      <w:r w:rsidR="00552FCB">
        <w:rPr>
          <w:rFonts w:ascii="Book Antiqua" w:eastAsia="Book Antiqua" w:hAnsi="Book Antiqua" w:cs="Book Antiqua"/>
          <w:color w:val="000000"/>
          <w:szCs w:val="22"/>
          <w:vertAlign w:val="superscript"/>
        </w:rPr>
        <w:t>[</w:t>
      </w:r>
      <w:proofErr w:type="gramEnd"/>
      <w:r w:rsidR="00552FCB">
        <w:rPr>
          <w:rFonts w:ascii="Book Antiqua" w:eastAsia="Book Antiqua" w:hAnsi="Book Antiqua" w:cs="Book Antiqua"/>
          <w:color w:val="000000"/>
          <w:szCs w:val="22"/>
          <w:vertAlign w:val="superscript"/>
        </w:rPr>
        <w:t>7-9]</w:t>
      </w:r>
      <w:r>
        <w:rPr>
          <w:rFonts w:ascii="Book Antiqua" w:eastAsia="Book Antiqua" w:hAnsi="Book Antiqua" w:cs="Book Antiqua"/>
          <w:color w:val="000000"/>
          <w:szCs w:val="22"/>
        </w:rPr>
        <w:t>.</w:t>
      </w:r>
      <w:r w:rsidR="00552FCB">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One study of European soccer teams found that every 10 additional preseason training sessions that team members participated in was associated with significantly fewer in-season layoff days due to injury and significantly fewer severe in-season </w:t>
      </w:r>
      <w:proofErr w:type="gramStart"/>
      <w:r>
        <w:rPr>
          <w:rFonts w:ascii="Book Antiqua" w:eastAsia="Book Antiqua" w:hAnsi="Book Antiqua" w:cs="Book Antiqua"/>
          <w:color w:val="000000"/>
          <w:szCs w:val="22"/>
        </w:rPr>
        <w:t>injuries</w:t>
      </w:r>
      <w:r w:rsidR="0070772B">
        <w:rPr>
          <w:rFonts w:ascii="Book Antiqua" w:eastAsia="Book Antiqua" w:hAnsi="Book Antiqua" w:cs="Book Antiqua"/>
          <w:color w:val="000000"/>
          <w:szCs w:val="22"/>
          <w:vertAlign w:val="superscript"/>
        </w:rPr>
        <w:t>[</w:t>
      </w:r>
      <w:proofErr w:type="gramEnd"/>
      <w:r w:rsidR="0070772B">
        <w:rPr>
          <w:rFonts w:ascii="Book Antiqua" w:eastAsia="Book Antiqua" w:hAnsi="Book Antiqua" w:cs="Book Antiqua"/>
          <w:color w:val="000000"/>
          <w:szCs w:val="22"/>
          <w:vertAlign w:val="superscript"/>
        </w:rPr>
        <w:t>9]</w:t>
      </w:r>
      <w:r w:rsidR="0070772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This highlights the potential benefits of increased preseason training in reducing in-season injury burden. With no preseason games in the 2020 season, NFL players participated in less preseason training. This was associated with an increased risk of injury during their early regular season games compared to a traditional year. However, when comparing the first games played of the 2020 season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the preseason games in prior seasons, there is no significant difference in total number of injuries or injury rate. </w:t>
      </w:r>
    </w:p>
    <w:p w14:paraId="060FD11D" w14:textId="603F40C7" w:rsidR="00A77B3E" w:rsidRDefault="00647E75" w:rsidP="0014751A">
      <w:pPr>
        <w:spacing w:line="360" w:lineRule="auto"/>
        <w:ind w:firstLineChars="100" w:firstLine="240"/>
        <w:jc w:val="both"/>
      </w:pPr>
      <w:r>
        <w:rPr>
          <w:rFonts w:ascii="Book Antiqua" w:eastAsia="Book Antiqua" w:hAnsi="Book Antiqua" w:cs="Book Antiqua"/>
          <w:color w:val="000000"/>
          <w:szCs w:val="22"/>
        </w:rPr>
        <w:t xml:space="preserve">The above information suggests that the elimination of preseason and pre-season training would increase the incidence of ACL injury, which is consistent with the results of our study. Additionally, some studies suggest that targeted training and warm-up exercises can reduce the incidence and risk of ACL </w:t>
      </w:r>
      <w:proofErr w:type="gramStart"/>
      <w:r>
        <w:rPr>
          <w:rFonts w:ascii="Book Antiqua" w:eastAsia="Book Antiqua" w:hAnsi="Book Antiqua" w:cs="Book Antiqua"/>
          <w:color w:val="000000"/>
          <w:szCs w:val="22"/>
        </w:rPr>
        <w:t>injuries</w:t>
      </w:r>
      <w:r w:rsidR="002C10B2">
        <w:rPr>
          <w:rFonts w:ascii="Book Antiqua" w:eastAsia="Book Antiqua" w:hAnsi="Book Antiqua" w:cs="Book Antiqua"/>
          <w:color w:val="000000"/>
          <w:szCs w:val="22"/>
          <w:vertAlign w:val="superscript"/>
        </w:rPr>
        <w:t>[</w:t>
      </w:r>
      <w:proofErr w:type="gramEnd"/>
      <w:r w:rsidR="002C10B2">
        <w:rPr>
          <w:rFonts w:ascii="Book Antiqua" w:eastAsia="Book Antiqua" w:hAnsi="Book Antiqua" w:cs="Book Antiqua"/>
          <w:color w:val="000000"/>
          <w:szCs w:val="22"/>
          <w:vertAlign w:val="superscript"/>
        </w:rPr>
        <w:t>10,11]</w:t>
      </w:r>
      <w:r>
        <w:rPr>
          <w:rFonts w:ascii="Book Antiqua" w:eastAsia="Book Antiqua" w:hAnsi="Book Antiqua" w:cs="Book Antiqua"/>
          <w:color w:val="000000"/>
          <w:szCs w:val="22"/>
        </w:rPr>
        <w:t>. One study of American National Collegiate Athletic Association</w:t>
      </w:r>
      <w:r w:rsidR="00260BC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soccer by Silvers-</w:t>
      </w:r>
      <w:proofErr w:type="spellStart"/>
      <w:r>
        <w:rPr>
          <w:rFonts w:ascii="Book Antiqua" w:eastAsia="Book Antiqua" w:hAnsi="Book Antiqua" w:cs="Book Antiqua"/>
          <w:color w:val="000000"/>
          <w:szCs w:val="22"/>
        </w:rPr>
        <w:t>Granelli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552790">
        <w:rPr>
          <w:rFonts w:ascii="Book Antiqua" w:eastAsia="Book Antiqua" w:hAnsi="Book Antiqua" w:cs="Book Antiqua"/>
          <w:color w:val="000000"/>
          <w:szCs w:val="22"/>
          <w:vertAlign w:val="superscript"/>
        </w:rPr>
        <w:t>[</w:t>
      </w:r>
      <w:proofErr w:type="gramEnd"/>
      <w:r w:rsidR="00552790">
        <w:rPr>
          <w:rFonts w:ascii="Book Antiqua" w:eastAsia="Book Antiqua" w:hAnsi="Book Antiqua" w:cs="Book Antiqua"/>
          <w:color w:val="000000"/>
          <w:szCs w:val="22"/>
          <w:vertAlign w:val="superscript"/>
        </w:rPr>
        <w:t>10]</w:t>
      </w:r>
      <w:r>
        <w:rPr>
          <w:rFonts w:ascii="Book Antiqua" w:eastAsia="Book Antiqua" w:hAnsi="Book Antiqua" w:cs="Book Antiqua"/>
          <w:color w:val="000000"/>
          <w:szCs w:val="22"/>
        </w:rPr>
        <w:t xml:space="preserve"> demonstrated that the FIFA 11+ injury prevention program, a 15-20 min dynamic warm-up program performed before training and games, resulted in a 4.25-fold reduction in the likelihood of ACL injury.</w:t>
      </w:r>
      <w:r w:rsidR="00C71C2E">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This highlights the importance of warm-up training directly before vigorous training or exercise. Currently, the NFL does not have a standardized warm-up program, and there have been little to no studies on the impact of warm-up training in the NFL. Thus, the implementation of a similar program into NFL preseason training, regular season training, and NFL games should be explored in future studies, as it may help reduce the incidence of ACL injury.</w:t>
      </w:r>
    </w:p>
    <w:p w14:paraId="27D5E8FA" w14:textId="668935F3" w:rsidR="00A77B3E" w:rsidRDefault="00647E75" w:rsidP="00986352">
      <w:pPr>
        <w:spacing w:line="360" w:lineRule="auto"/>
        <w:ind w:firstLineChars="100" w:firstLine="240"/>
        <w:jc w:val="both"/>
      </w:pPr>
      <w:r>
        <w:rPr>
          <w:rFonts w:ascii="Book Antiqua" w:eastAsia="Book Antiqua" w:hAnsi="Book Antiqua" w:cs="Book Antiqua"/>
          <w:color w:val="000000"/>
          <w:szCs w:val="22"/>
        </w:rPr>
        <w:lastRenderedPageBreak/>
        <w:t xml:space="preserve">Another study by Li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026E0">
        <w:rPr>
          <w:rFonts w:ascii="Book Antiqua" w:eastAsia="Book Antiqua" w:hAnsi="Book Antiqua" w:cs="Book Antiqua"/>
          <w:color w:val="000000"/>
          <w:szCs w:val="22"/>
          <w:vertAlign w:val="superscript"/>
        </w:rPr>
        <w:t>[</w:t>
      </w:r>
      <w:proofErr w:type="gramEnd"/>
      <w:r w:rsidR="00C026E0">
        <w:rPr>
          <w:rFonts w:ascii="Book Antiqua" w:eastAsia="Book Antiqua" w:hAnsi="Book Antiqua" w:cs="Book Antiqua"/>
          <w:color w:val="000000"/>
          <w:szCs w:val="22"/>
          <w:vertAlign w:val="superscript"/>
        </w:rPr>
        <w:t>12]</w:t>
      </w:r>
      <w:r>
        <w:rPr>
          <w:rFonts w:ascii="Book Antiqua" w:eastAsia="Book Antiqua" w:hAnsi="Book Antiqua" w:cs="Book Antiqua"/>
          <w:color w:val="000000"/>
          <w:szCs w:val="22"/>
        </w:rPr>
        <w:t xml:space="preserve"> investigated the relationship between soft tissue injury and training load in American football. Player training load was measured using wearable </w:t>
      </w:r>
      <w:r w:rsidR="00974624" w:rsidRPr="00974624">
        <w:rPr>
          <w:rFonts w:ascii="Book Antiqua" w:eastAsia="Book Antiqua" w:hAnsi="Book Antiqua" w:cs="Book Antiqua"/>
          <w:color w:val="000000"/>
          <w:szCs w:val="22"/>
        </w:rPr>
        <w:t>global position system</w:t>
      </w:r>
      <w:r>
        <w:rPr>
          <w:rFonts w:ascii="Book Antiqua" w:eastAsia="Book Antiqua" w:hAnsi="Book Antiqua" w:cs="Book Antiqua"/>
          <w:color w:val="000000"/>
          <w:szCs w:val="22"/>
        </w:rPr>
        <w:t xml:space="preserve"> devices outfitted to record acceleration in various axes. They found that a sudden increase in training load was associated with more soft tissue injuries, including ankle ligamentous injury, knee ligamentous injury, hamstring strain and other muscle strain. They concluded that soft tissue injuries during the regular season occurred most often during weeks with increased training loads, as compared to the training load over the month prior to injury.</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These findings are consistent with the results demonstrated in our study, as a large workload increase in 2020 relative to limited offseason participation may have predisposed NFL athletes to early-season injury. The results of our study show a significant increase in the number of teams with ACL tears in the first four weeks of the 2020 season, as compared to the average number of teams with ACL tears from the first four regular season weeks of the 2015 through 2019 seasons (Table 2). Seeing as regular season games are often played with greater intensity due to the increased level of </w:t>
      </w:r>
      <w:proofErr w:type="gramStart"/>
      <w:r>
        <w:rPr>
          <w:rFonts w:ascii="Book Antiqua" w:eastAsia="Book Antiqua" w:hAnsi="Book Antiqua" w:cs="Book Antiqua"/>
          <w:color w:val="000000"/>
          <w:szCs w:val="22"/>
        </w:rPr>
        <w:t>competition</w:t>
      </w:r>
      <w:r w:rsidR="001D3091">
        <w:rPr>
          <w:rFonts w:ascii="Book Antiqua" w:eastAsia="Book Antiqua" w:hAnsi="Book Antiqua" w:cs="Book Antiqua"/>
          <w:color w:val="000000"/>
          <w:szCs w:val="22"/>
          <w:vertAlign w:val="superscript"/>
        </w:rPr>
        <w:t>[</w:t>
      </w:r>
      <w:proofErr w:type="gramEnd"/>
      <w:r w:rsidR="001D3091">
        <w:rPr>
          <w:rFonts w:ascii="Book Antiqua" w:eastAsia="Book Antiqua" w:hAnsi="Book Antiqua" w:cs="Book Antiqua"/>
          <w:color w:val="000000"/>
          <w:szCs w:val="22"/>
          <w:vertAlign w:val="superscript"/>
        </w:rPr>
        <w:t>12]</w:t>
      </w:r>
      <w:r>
        <w:rPr>
          <w:rFonts w:ascii="Book Antiqua" w:eastAsia="Book Antiqua" w:hAnsi="Book Antiqua" w:cs="Book Antiqua"/>
          <w:color w:val="000000"/>
          <w:szCs w:val="22"/>
        </w:rPr>
        <w:t xml:space="preserve">, it is likely that NFL players in the first four weeks of the 2020 season experienced increased physical demands, or in the words of Li </w:t>
      </w:r>
      <w:r>
        <w:rPr>
          <w:rFonts w:ascii="Book Antiqua" w:eastAsia="Book Antiqua" w:hAnsi="Book Antiqua" w:cs="Book Antiqua"/>
          <w:i/>
          <w:iCs/>
          <w:color w:val="000000"/>
          <w:szCs w:val="22"/>
        </w:rPr>
        <w:t>et al</w:t>
      </w:r>
      <w:r w:rsidR="005156C1">
        <w:rPr>
          <w:rFonts w:ascii="Book Antiqua" w:eastAsia="Book Antiqua" w:hAnsi="Book Antiqua" w:cs="Book Antiqua"/>
          <w:color w:val="000000"/>
          <w:szCs w:val="22"/>
          <w:vertAlign w:val="superscript"/>
        </w:rPr>
        <w:t>[12]</w:t>
      </w:r>
      <w:r>
        <w:rPr>
          <w:rFonts w:ascii="Book Antiqua" w:eastAsia="Book Antiqua" w:hAnsi="Book Antiqua" w:cs="Book Antiqua"/>
          <w:color w:val="000000"/>
          <w:szCs w:val="22"/>
        </w:rPr>
        <w:t>, “training loads”, as compared to the weeks leading up to the regular season since there were no preseason games. This sudden increase in physical demand may contribute to the increased ACL tears in the first four weeks of the 2020 regular season in comparison to the recent historic average.</w:t>
      </w:r>
    </w:p>
    <w:p w14:paraId="54579570" w14:textId="5CE3A19C" w:rsidR="00A77B3E" w:rsidRDefault="00647E75" w:rsidP="00CB604E">
      <w:pPr>
        <w:spacing w:line="360" w:lineRule="auto"/>
        <w:ind w:firstLineChars="100" w:firstLine="240"/>
        <w:jc w:val="both"/>
      </w:pPr>
      <w:r>
        <w:rPr>
          <w:rFonts w:ascii="Book Antiqua" w:eastAsia="Book Antiqua" w:hAnsi="Book Antiqua" w:cs="Book Antiqua"/>
          <w:color w:val="000000"/>
          <w:szCs w:val="22"/>
        </w:rPr>
        <w:t xml:space="preserve">However, it is notable that when including ACL injuries from the preseason and the first four weeks of the regular season in 2015 to 2019 in comparison to injuries in the first four weeks of the 2020 season, there was no significant increase in teams impacted by ACL injury through the first four or eight regular season games of the season. Thus, this higher susceptibility to ACL injury due to increased training demand may simply occur in the preseason instead of the regular season historically. In fact, when including preseason games, descriptive reports in this study demonstrated an 18.6% decrease in ACL injuries in the first four weeks of the 2020 season in comparison to 2015-2019 and a 16.7% decrease through the first eight weeks. Results remained inconclusive when </w:t>
      </w:r>
      <w:r>
        <w:rPr>
          <w:rFonts w:ascii="Book Antiqua" w:eastAsia="Book Antiqua" w:hAnsi="Book Antiqua" w:cs="Book Antiqua"/>
          <w:color w:val="000000"/>
          <w:szCs w:val="22"/>
        </w:rPr>
        <w:lastRenderedPageBreak/>
        <w:t>looking at injury incidence over an equivalent timespan, with a 10.5% increase in 2020 ACL tear frequency compared to the running average of the preceding 5 NFL seasons with no significant difference in the number of teams impacted.</w:t>
      </w:r>
      <w:r w:rsidR="0093776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This highlights that there may be front-loading of injuries, such that players may be more prone to injury when the intensity of play suddenly increases, whether that is in the preseason or regular season. This is further supported in our chronologic analysis, which demonstrated no change in the relative risk at any timepoint in the first 8 games of NFL play, regardless if they were preseason or regular season games. Thus, players are likely at increased risk of injury when they engage in full contact play, whether it is in the preseason or regular season. Steiner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4806BB">
        <w:rPr>
          <w:rFonts w:ascii="Book Antiqua" w:eastAsia="Book Antiqua" w:hAnsi="Book Antiqua" w:cs="Book Antiqua"/>
          <w:color w:val="000000"/>
          <w:szCs w:val="22"/>
          <w:vertAlign w:val="superscript"/>
        </w:rPr>
        <w:t>[</w:t>
      </w:r>
      <w:proofErr w:type="gramEnd"/>
      <w:r w:rsidR="004806BB">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found that full contact preseason practice and scrimmages correlated with a significant increase in practice injuries among college football players, as compared to non-contact practice. This was true of in-season full contact practices and scrimmages as well. This is substantiated by the fact that the majority of ACL injuries in American football are from </w:t>
      </w:r>
      <w:proofErr w:type="gramStart"/>
      <w:r>
        <w:rPr>
          <w:rFonts w:ascii="Book Antiqua" w:eastAsia="Book Antiqua" w:hAnsi="Book Antiqua" w:cs="Book Antiqua"/>
          <w:color w:val="000000"/>
          <w:szCs w:val="22"/>
        </w:rPr>
        <w:t>contact</w:t>
      </w:r>
      <w:r w:rsidR="00025217">
        <w:rPr>
          <w:rFonts w:ascii="Book Antiqua" w:eastAsia="Book Antiqua" w:hAnsi="Book Antiqua" w:cs="Book Antiqua"/>
          <w:color w:val="000000"/>
          <w:szCs w:val="22"/>
          <w:vertAlign w:val="superscript"/>
        </w:rPr>
        <w:t>[</w:t>
      </w:r>
      <w:proofErr w:type="gramEnd"/>
      <w:r w:rsidR="00025217">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w:t>
      </w:r>
    </w:p>
    <w:p w14:paraId="3F0CC2A1" w14:textId="2315B475" w:rsidR="00A77B3E" w:rsidRDefault="00647E75" w:rsidP="00DB0A9A">
      <w:pPr>
        <w:spacing w:line="360" w:lineRule="auto"/>
        <w:ind w:firstLineChars="100" w:firstLine="240"/>
        <w:jc w:val="both"/>
      </w:pPr>
      <w:r>
        <w:rPr>
          <w:rFonts w:ascii="Book Antiqua" w:eastAsia="Book Antiqua" w:hAnsi="Book Antiqua" w:cs="Book Antiqua"/>
          <w:color w:val="000000"/>
          <w:szCs w:val="22"/>
        </w:rPr>
        <w:t xml:space="preserve">The major limitation of the current study is that it is observational and retrospective. While this data shows an interesting association between the number of ACL injuries, as well as number of teams with ACL injuries with and without a preseason, we cannot draw conclusions on the causative effect of a preseason since many factors affect a player’s risk for ACL injury. These include external factors, such as playing surface and cleat design, as well as internal factors, such as previous injury, age, body composition, knee alignment, intercondylar notch width, muscle flexibility, foot biomechanics, and movement </w:t>
      </w:r>
      <w:proofErr w:type="gramStart"/>
      <w:r>
        <w:rPr>
          <w:rFonts w:ascii="Book Antiqua" w:eastAsia="Book Antiqua" w:hAnsi="Book Antiqua" w:cs="Book Antiqua"/>
          <w:color w:val="000000"/>
          <w:szCs w:val="22"/>
        </w:rPr>
        <w:t>patterns</w:t>
      </w:r>
      <w:r w:rsidR="00F12D83">
        <w:rPr>
          <w:rFonts w:ascii="Book Antiqua" w:eastAsia="Book Antiqua" w:hAnsi="Book Antiqua" w:cs="Book Antiqua"/>
          <w:color w:val="000000"/>
          <w:szCs w:val="22"/>
          <w:vertAlign w:val="superscript"/>
        </w:rPr>
        <w:t>[</w:t>
      </w:r>
      <w:proofErr w:type="gramEnd"/>
      <w:r w:rsidR="00F12D83">
        <w:rPr>
          <w:rFonts w:ascii="Book Antiqua" w:eastAsia="Book Antiqua" w:hAnsi="Book Antiqua" w:cs="Book Antiqua"/>
          <w:color w:val="000000"/>
          <w:szCs w:val="22"/>
          <w:vertAlign w:val="superscript"/>
        </w:rPr>
        <w:t>14-17]</w:t>
      </w:r>
      <w:r>
        <w:rPr>
          <w:rFonts w:ascii="Book Antiqua" w:eastAsia="Book Antiqua" w:hAnsi="Book Antiqua" w:cs="Book Antiqua"/>
          <w:color w:val="000000"/>
          <w:szCs w:val="22"/>
        </w:rPr>
        <w:t>.</w:t>
      </w:r>
      <w:r w:rsidR="00F12D83">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This study also did not account for injuries that occurred during practices, off-season training, and organized team activities, though these occur at much lower rates than in-game injuries. Additionally, we only have one season of data in which no preseason games were played. Finally, there are additional variables that complicate the 2020 season, including multiple players opting out of the season entirely, other players missing time due to COVID-19 protocols, and game scheduling delays as a result of COVID-19.</w:t>
      </w:r>
    </w:p>
    <w:p w14:paraId="67936544" w14:textId="77777777" w:rsidR="00A77B3E" w:rsidRDefault="00A77B3E">
      <w:pPr>
        <w:spacing w:line="360" w:lineRule="auto"/>
        <w:jc w:val="both"/>
      </w:pPr>
    </w:p>
    <w:p w14:paraId="1CA0C62F" w14:textId="77777777" w:rsidR="00A77B3E" w:rsidRDefault="00647E75">
      <w:pPr>
        <w:spacing w:line="360" w:lineRule="auto"/>
        <w:jc w:val="both"/>
      </w:pPr>
      <w:r>
        <w:rPr>
          <w:rFonts w:ascii="Book Antiqua" w:eastAsia="Book Antiqua" w:hAnsi="Book Antiqua" w:cs="Book Antiqua"/>
          <w:b/>
          <w:caps/>
          <w:color w:val="000000"/>
          <w:u w:val="single"/>
        </w:rPr>
        <w:lastRenderedPageBreak/>
        <w:t>CONCLUSION</w:t>
      </w:r>
    </w:p>
    <w:p w14:paraId="5EDFC2CD" w14:textId="77777777" w:rsidR="00A77B3E" w:rsidRDefault="00647E75">
      <w:pPr>
        <w:spacing w:line="360" w:lineRule="auto"/>
        <w:jc w:val="both"/>
      </w:pPr>
      <w:r>
        <w:rPr>
          <w:rFonts w:ascii="Book Antiqua" w:eastAsia="Book Antiqua" w:hAnsi="Book Antiqua" w:cs="Book Antiqua"/>
          <w:color w:val="000000"/>
        </w:rPr>
        <w:t xml:space="preserve">While </w:t>
      </w:r>
      <w:r>
        <w:rPr>
          <w:rFonts w:ascii="Book Antiqua" w:eastAsia="Book Antiqua" w:hAnsi="Book Antiqua" w:cs="Book Antiqua"/>
          <w:color w:val="000000"/>
          <w:szCs w:val="22"/>
        </w:rPr>
        <w:t xml:space="preserve">the COVID-19 pandemic is first and foremost a calamity, it has provided a unique opportunity to examine the rates of ACL injuries in the NFL with a complete elimination of the preseason. The results of this study suggest that if preseason games are eliminated, players can expect similar rates of ACL tears overall when compared to conventional seasons, but with more ACL tears in the first four weeks of the regular season. </w:t>
      </w:r>
    </w:p>
    <w:p w14:paraId="4941287C" w14:textId="77777777" w:rsidR="00A77B3E" w:rsidRDefault="00A77B3E">
      <w:pPr>
        <w:spacing w:line="360" w:lineRule="auto"/>
        <w:jc w:val="both"/>
      </w:pPr>
    </w:p>
    <w:p w14:paraId="63BAFA1B" w14:textId="77777777" w:rsidR="00A77B3E" w:rsidRDefault="00647E75">
      <w:pPr>
        <w:spacing w:line="360" w:lineRule="auto"/>
        <w:jc w:val="both"/>
      </w:pPr>
      <w:r>
        <w:rPr>
          <w:rFonts w:ascii="Book Antiqua" w:eastAsia="Book Antiqua" w:hAnsi="Book Antiqua" w:cs="Book Antiqua"/>
          <w:b/>
          <w:caps/>
          <w:color w:val="000000"/>
          <w:u w:val="single"/>
        </w:rPr>
        <w:t>ARTICLE HIGHLIGHTS</w:t>
      </w:r>
    </w:p>
    <w:p w14:paraId="1719CE94" w14:textId="77777777" w:rsidR="00A77B3E" w:rsidRDefault="00647E75">
      <w:pPr>
        <w:spacing w:line="360" w:lineRule="auto"/>
        <w:jc w:val="both"/>
      </w:pPr>
      <w:r>
        <w:rPr>
          <w:rFonts w:ascii="Book Antiqua" w:eastAsia="Book Antiqua" w:hAnsi="Book Antiqua" w:cs="Book Antiqua"/>
          <w:b/>
          <w:i/>
          <w:color w:val="000000"/>
        </w:rPr>
        <w:t>Research background</w:t>
      </w:r>
    </w:p>
    <w:p w14:paraId="5416C567" w14:textId="3F20315A" w:rsidR="00A77B3E" w:rsidRDefault="00647E75">
      <w:pPr>
        <w:spacing w:line="360" w:lineRule="auto"/>
        <w:jc w:val="both"/>
      </w:pPr>
      <w:r>
        <w:rPr>
          <w:rFonts w:ascii="Book Antiqua" w:eastAsia="Book Antiqua" w:hAnsi="Book Antiqua" w:cs="Book Antiqua"/>
          <w:color w:val="000000"/>
          <w:szCs w:val="22"/>
        </w:rPr>
        <w:t xml:space="preserve">In 2020, the </w:t>
      </w:r>
      <w:r w:rsidR="00E21877" w:rsidRPr="00E21877">
        <w:rPr>
          <w:rFonts w:ascii="Book Antiqua" w:eastAsia="Book Antiqua" w:hAnsi="Book Antiqua" w:cs="Book Antiqua"/>
          <w:color w:val="000000"/>
          <w:szCs w:val="22"/>
        </w:rPr>
        <w:t>National Football League (NFL)</w:t>
      </w:r>
      <w:r>
        <w:rPr>
          <w:rFonts w:ascii="Book Antiqua" w:eastAsia="Book Antiqua" w:hAnsi="Book Antiqua" w:cs="Book Antiqua"/>
          <w:color w:val="000000"/>
          <w:szCs w:val="22"/>
        </w:rPr>
        <w:t xml:space="preserve"> preseason was eliminated due to the </w:t>
      </w:r>
      <w:r w:rsidR="00DF6ADD" w:rsidRPr="00DF6ADD">
        <w:rPr>
          <w:rFonts w:ascii="Book Antiqua" w:eastAsia="Book Antiqua" w:hAnsi="Book Antiqua" w:cs="Book Antiqua"/>
          <w:color w:val="000000"/>
          <w:szCs w:val="22"/>
        </w:rPr>
        <w:t>coronavirus disease 2019</w:t>
      </w:r>
      <w:r w:rsidR="005E145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pandemic. The purpose of this study was to determine if this unique elimination of the preseason resulted in a change in incidence of </w:t>
      </w:r>
      <w:r w:rsidR="00432382">
        <w:rPr>
          <w:rFonts w:ascii="Book Antiqua" w:eastAsia="Book Antiqua" w:hAnsi="Book Antiqua" w:cs="Book Antiqua"/>
          <w:color w:val="000000"/>
          <w:szCs w:val="22"/>
        </w:rPr>
        <w:t>a</w:t>
      </w:r>
      <w:r w:rsidR="00432382" w:rsidRPr="00432382">
        <w:rPr>
          <w:rFonts w:ascii="Book Antiqua" w:eastAsia="Book Antiqua" w:hAnsi="Book Antiqua" w:cs="Book Antiqua"/>
          <w:color w:val="000000"/>
          <w:szCs w:val="22"/>
        </w:rPr>
        <w:t>nterior cruciate ligament (ACL)</w:t>
      </w:r>
      <w:r>
        <w:rPr>
          <w:rFonts w:ascii="Book Antiqua" w:eastAsia="Book Antiqua" w:hAnsi="Book Antiqua" w:cs="Book Antiqua"/>
          <w:color w:val="000000"/>
          <w:szCs w:val="22"/>
        </w:rPr>
        <w:t xml:space="preserve"> tears.</w:t>
      </w:r>
    </w:p>
    <w:p w14:paraId="089FDEC2" w14:textId="77777777" w:rsidR="00A77B3E" w:rsidRDefault="00A77B3E">
      <w:pPr>
        <w:spacing w:line="360" w:lineRule="auto"/>
        <w:jc w:val="both"/>
      </w:pPr>
    </w:p>
    <w:p w14:paraId="78315FE3" w14:textId="77777777" w:rsidR="00A77B3E" w:rsidRDefault="00647E75">
      <w:pPr>
        <w:spacing w:line="360" w:lineRule="auto"/>
        <w:jc w:val="both"/>
      </w:pPr>
      <w:r>
        <w:rPr>
          <w:rFonts w:ascii="Book Antiqua" w:eastAsia="Book Antiqua" w:hAnsi="Book Antiqua" w:cs="Book Antiqua"/>
          <w:b/>
          <w:i/>
          <w:color w:val="000000"/>
        </w:rPr>
        <w:t>Research motivation</w:t>
      </w:r>
    </w:p>
    <w:p w14:paraId="19387623" w14:textId="77777777" w:rsidR="00A77B3E" w:rsidRDefault="00647E75">
      <w:pPr>
        <w:spacing w:line="360" w:lineRule="auto"/>
        <w:jc w:val="both"/>
      </w:pPr>
      <w:r>
        <w:rPr>
          <w:rFonts w:ascii="Book Antiqua" w:eastAsia="Book Antiqua" w:hAnsi="Book Antiqua" w:cs="Book Antiqua"/>
          <w:color w:val="000000"/>
          <w:szCs w:val="22"/>
        </w:rPr>
        <w:t>Prior to the pandemic, there had been many discussions regarding the need of the NFL preseason, with the main concern being player safety. Our goal was to obtain relevant data on the impact of the preseason on ACL injuries that can be used for future discussions around that topic.</w:t>
      </w:r>
    </w:p>
    <w:p w14:paraId="2618DB22" w14:textId="77777777" w:rsidR="00A77B3E" w:rsidRDefault="00A77B3E">
      <w:pPr>
        <w:spacing w:line="360" w:lineRule="auto"/>
        <w:jc w:val="both"/>
      </w:pPr>
    </w:p>
    <w:p w14:paraId="229B6698" w14:textId="77777777" w:rsidR="00A77B3E" w:rsidRDefault="00647E75">
      <w:pPr>
        <w:spacing w:line="360" w:lineRule="auto"/>
        <w:jc w:val="both"/>
      </w:pPr>
      <w:r>
        <w:rPr>
          <w:rFonts w:ascii="Book Antiqua" w:eastAsia="Book Antiqua" w:hAnsi="Book Antiqua" w:cs="Book Antiqua"/>
          <w:b/>
          <w:i/>
          <w:color w:val="000000"/>
        </w:rPr>
        <w:t>Research objectives</w:t>
      </w:r>
    </w:p>
    <w:p w14:paraId="3EBB9462" w14:textId="77777777" w:rsidR="00A77B3E" w:rsidRDefault="00647E75">
      <w:pPr>
        <w:spacing w:line="360" w:lineRule="auto"/>
        <w:jc w:val="both"/>
      </w:pPr>
      <w:r>
        <w:rPr>
          <w:rFonts w:ascii="Book Antiqua" w:eastAsia="Book Antiqua" w:hAnsi="Book Antiqua" w:cs="Book Antiqua"/>
          <w:color w:val="000000"/>
          <w:szCs w:val="22"/>
        </w:rPr>
        <w:t>The main objective of this study was to compare the incidence of ACL tears through the first eight weeks of the 2020 NFL season to the mean incidence over the previous 5 seasons (2015-2019) and determine if there was any change in incidence in 2020. Though this objective was realized, this data can be strengthened if future studies are performed for a greater number of NFL seasons, as we were only able to obtain 5 years of data for this study.</w:t>
      </w:r>
    </w:p>
    <w:p w14:paraId="3D385229" w14:textId="77777777" w:rsidR="00A77B3E" w:rsidRDefault="00A77B3E">
      <w:pPr>
        <w:spacing w:line="360" w:lineRule="auto"/>
        <w:jc w:val="both"/>
      </w:pPr>
    </w:p>
    <w:p w14:paraId="34B4D193" w14:textId="77777777" w:rsidR="00A77B3E" w:rsidRDefault="00647E75">
      <w:pPr>
        <w:spacing w:line="360" w:lineRule="auto"/>
        <w:jc w:val="both"/>
      </w:pPr>
      <w:r>
        <w:rPr>
          <w:rFonts w:ascii="Book Antiqua" w:eastAsia="Book Antiqua" w:hAnsi="Book Antiqua" w:cs="Book Antiqua"/>
          <w:b/>
          <w:i/>
          <w:color w:val="000000"/>
        </w:rPr>
        <w:lastRenderedPageBreak/>
        <w:t>Research methods</w:t>
      </w:r>
    </w:p>
    <w:p w14:paraId="17D8D6B6" w14:textId="77777777" w:rsidR="00A77B3E" w:rsidRDefault="00647E75">
      <w:pPr>
        <w:spacing w:line="360" w:lineRule="auto"/>
        <w:jc w:val="both"/>
      </w:pPr>
      <w:r>
        <w:rPr>
          <w:rFonts w:ascii="Book Antiqua" w:eastAsia="Book Antiqua" w:hAnsi="Book Antiqua" w:cs="Book Antiqua"/>
          <w:color w:val="000000"/>
          <w:szCs w:val="22"/>
        </w:rPr>
        <w:t>NFL players who sustained ACL tears during the preseason and first eight weeks of the NFL season from 2015-2020 were identified using online publicly available data. The number of ACL injuries for the 2015-2019 seasons was compared to the 2020 season.</w:t>
      </w:r>
    </w:p>
    <w:p w14:paraId="74B1C394" w14:textId="77777777" w:rsidR="00A77B3E" w:rsidRDefault="00A77B3E">
      <w:pPr>
        <w:spacing w:line="360" w:lineRule="auto"/>
        <w:jc w:val="both"/>
      </w:pPr>
    </w:p>
    <w:p w14:paraId="62A8FF32" w14:textId="77777777" w:rsidR="00A77B3E" w:rsidRDefault="00647E75">
      <w:pPr>
        <w:spacing w:line="360" w:lineRule="auto"/>
        <w:jc w:val="both"/>
      </w:pPr>
      <w:r>
        <w:rPr>
          <w:rFonts w:ascii="Book Antiqua" w:eastAsia="Book Antiqua" w:hAnsi="Book Antiqua" w:cs="Book Antiqua"/>
          <w:b/>
          <w:i/>
          <w:color w:val="000000"/>
        </w:rPr>
        <w:t>Research results</w:t>
      </w:r>
    </w:p>
    <w:p w14:paraId="085319E1" w14:textId="77777777" w:rsidR="00A77B3E" w:rsidRDefault="00647E75">
      <w:pPr>
        <w:spacing w:line="360" w:lineRule="auto"/>
        <w:jc w:val="both"/>
      </w:pPr>
      <w:r>
        <w:rPr>
          <w:rFonts w:ascii="Book Antiqua" w:eastAsia="Book Antiqua" w:hAnsi="Book Antiqua" w:cs="Book Antiqua"/>
          <w:color w:val="000000"/>
          <w:szCs w:val="22"/>
        </w:rPr>
        <w:t xml:space="preserve">A 118.8% increase in ACL tears was noted through the first four games of the 2020 season in comparison to the previous 5-year average over the first four regular season weeks of 2015-2019. However, when accounting for injuries occurring during the preseason from 2015-2019, there were 18.6% fewer ACL injuries through regular season week 4. </w:t>
      </w:r>
    </w:p>
    <w:p w14:paraId="771471C0" w14:textId="77777777" w:rsidR="00A77B3E" w:rsidRDefault="00A77B3E">
      <w:pPr>
        <w:spacing w:line="360" w:lineRule="auto"/>
        <w:jc w:val="both"/>
      </w:pPr>
    </w:p>
    <w:p w14:paraId="665CC89C" w14:textId="77777777" w:rsidR="00A77B3E" w:rsidRDefault="00647E75">
      <w:pPr>
        <w:spacing w:line="360" w:lineRule="auto"/>
        <w:jc w:val="both"/>
      </w:pPr>
      <w:r>
        <w:rPr>
          <w:rFonts w:ascii="Book Antiqua" w:eastAsia="Book Antiqua" w:hAnsi="Book Antiqua" w:cs="Book Antiqua"/>
          <w:b/>
          <w:i/>
          <w:color w:val="000000"/>
        </w:rPr>
        <w:t>Research conclusions</w:t>
      </w:r>
    </w:p>
    <w:p w14:paraId="1088FE3D" w14:textId="77777777" w:rsidR="00A77B3E" w:rsidRDefault="00647E75">
      <w:pPr>
        <w:spacing w:line="360" w:lineRule="auto"/>
        <w:jc w:val="both"/>
      </w:pPr>
      <w:r>
        <w:rPr>
          <w:rFonts w:ascii="Book Antiqua" w:eastAsia="Book Antiqua" w:hAnsi="Book Antiqua" w:cs="Book Antiqua"/>
          <w:color w:val="000000"/>
          <w:szCs w:val="22"/>
        </w:rPr>
        <w:t>There may be front-loading of injuries over the course of an NFL season, such that players may be more prone to injury when the intensity of play suddenly increases, whether in the preseason or regular season. This study also suggests that although the elimination of the preseason results in similar rates of ACL tears overall, it is correlated with increased ACL tears in the first four weeks of the regular season.</w:t>
      </w:r>
    </w:p>
    <w:p w14:paraId="728E1D69" w14:textId="77777777" w:rsidR="00A77B3E" w:rsidRDefault="00A77B3E">
      <w:pPr>
        <w:spacing w:line="360" w:lineRule="auto"/>
        <w:jc w:val="both"/>
      </w:pPr>
    </w:p>
    <w:p w14:paraId="510B2846" w14:textId="77777777" w:rsidR="00A77B3E" w:rsidRDefault="00647E75">
      <w:pPr>
        <w:spacing w:line="360" w:lineRule="auto"/>
        <w:jc w:val="both"/>
      </w:pPr>
      <w:r>
        <w:rPr>
          <w:rFonts w:ascii="Book Antiqua" w:eastAsia="Book Antiqua" w:hAnsi="Book Antiqua" w:cs="Book Antiqua"/>
          <w:b/>
          <w:i/>
          <w:color w:val="000000"/>
        </w:rPr>
        <w:t>Research perspectives</w:t>
      </w:r>
    </w:p>
    <w:p w14:paraId="3414EB42" w14:textId="77777777" w:rsidR="00A77B3E" w:rsidRDefault="00647E75">
      <w:pPr>
        <w:spacing w:line="360" w:lineRule="auto"/>
        <w:jc w:val="both"/>
      </w:pPr>
      <w:r>
        <w:rPr>
          <w:rFonts w:ascii="Book Antiqua" w:eastAsia="Book Antiqua" w:hAnsi="Book Antiqua" w:cs="Book Antiqua"/>
          <w:color w:val="000000"/>
          <w:szCs w:val="22"/>
        </w:rPr>
        <w:t>Future research should be performed comparing the 2020 NFL season with a greater number of NFL seasons, as further data is needed to obtain more definitive results. Additionally, warm-up training has not been studied extensively in American football and is certainly a topic that should be studied for ACL injury prevention.</w:t>
      </w:r>
    </w:p>
    <w:p w14:paraId="2192170C" w14:textId="77777777" w:rsidR="00A77B3E" w:rsidRDefault="00A77B3E">
      <w:pPr>
        <w:spacing w:line="360" w:lineRule="auto"/>
        <w:jc w:val="both"/>
      </w:pPr>
    </w:p>
    <w:p w14:paraId="7C8AF98D" w14:textId="77777777" w:rsidR="00A77B3E" w:rsidRDefault="00647E75">
      <w:pPr>
        <w:spacing w:line="360" w:lineRule="auto"/>
        <w:jc w:val="both"/>
      </w:pPr>
      <w:r>
        <w:rPr>
          <w:rFonts w:ascii="Book Antiqua" w:eastAsia="Book Antiqua" w:hAnsi="Book Antiqua" w:cs="Book Antiqua"/>
          <w:b/>
          <w:color w:val="000000"/>
        </w:rPr>
        <w:t>REFERENCES</w:t>
      </w:r>
    </w:p>
    <w:p w14:paraId="7A94A063" w14:textId="2AB6F9CB" w:rsidR="00A77B3E" w:rsidRDefault="00647E7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Rothenberg P,</w:t>
      </w:r>
      <w:r>
        <w:rPr>
          <w:rFonts w:ascii="Book Antiqua" w:eastAsia="Book Antiqua" w:hAnsi="Book Antiqua" w:cs="Book Antiqua"/>
          <w:color w:val="000000"/>
        </w:rPr>
        <w:t xml:space="preserve"> Grau L, Kaplan L, Baraga MG. Knee Injuries in American Football: An Epidemiological Review. </w:t>
      </w:r>
      <w:r w:rsidR="00C53E48" w:rsidRPr="00C53E48">
        <w:rPr>
          <w:rFonts w:ascii="Book Antiqua" w:eastAsia="Book Antiqua" w:hAnsi="Book Antiqua" w:cs="Book Antiqua"/>
          <w:i/>
          <w:iCs/>
          <w:color w:val="000000"/>
        </w:rPr>
        <w:t xml:space="preserve">Am J </w:t>
      </w:r>
      <w:proofErr w:type="spellStart"/>
      <w:r w:rsidR="00C53E48" w:rsidRPr="00C53E48">
        <w:rPr>
          <w:rFonts w:ascii="Book Antiqua" w:eastAsia="Book Antiqua" w:hAnsi="Book Antiqua" w:cs="Book Antiqua"/>
          <w:i/>
          <w:iCs/>
          <w:color w:val="000000"/>
        </w:rPr>
        <w:t>Orthop</w:t>
      </w:r>
      <w:proofErr w:type="spellEnd"/>
      <w:r w:rsidR="00C53E48" w:rsidRPr="00C53E48">
        <w:rPr>
          <w:rFonts w:ascii="Book Antiqua" w:eastAsia="Book Antiqua" w:hAnsi="Book Antiqua" w:cs="Book Antiqua"/>
          <w:i/>
          <w:iCs/>
          <w:color w:val="000000"/>
        </w:rPr>
        <w:t xml:space="preserve"> (Belle Mead NJ) </w:t>
      </w:r>
      <w:r w:rsidR="00C53E48" w:rsidRPr="00C53E48">
        <w:rPr>
          <w:rFonts w:ascii="Book Antiqua" w:eastAsia="Book Antiqua" w:hAnsi="Book Antiqua" w:cs="Book Antiqua"/>
          <w:color w:val="000000"/>
        </w:rPr>
        <w:t>2016;</w:t>
      </w:r>
      <w:r w:rsidR="00C53E48" w:rsidRPr="00C53E48">
        <w:rPr>
          <w:rFonts w:ascii="Book Antiqua" w:eastAsia="Book Antiqua" w:hAnsi="Book Antiqua" w:cs="Book Antiqua"/>
          <w:b/>
          <w:bCs/>
          <w:color w:val="000000"/>
        </w:rPr>
        <w:t xml:space="preserve"> 45</w:t>
      </w:r>
      <w:r w:rsidR="00C53E48" w:rsidRPr="00C53E48">
        <w:rPr>
          <w:rFonts w:ascii="Book Antiqua" w:eastAsia="Book Antiqua" w:hAnsi="Book Antiqua" w:cs="Book Antiqua"/>
          <w:color w:val="000000"/>
        </w:rPr>
        <w:t>: 368-373</w:t>
      </w:r>
      <w:r>
        <w:rPr>
          <w:rFonts w:ascii="Book Antiqua" w:eastAsia="Book Antiqua" w:hAnsi="Book Antiqua" w:cs="Book Antiqua"/>
          <w:color w:val="000000"/>
        </w:rPr>
        <w:t xml:space="preserve"> [PMID</w:t>
      </w:r>
      <w:r w:rsidR="002E35B7">
        <w:rPr>
          <w:rFonts w:ascii="Book Antiqua" w:eastAsia="Book Antiqua" w:hAnsi="Book Antiqua" w:cs="Book Antiqua"/>
          <w:color w:val="000000"/>
        </w:rPr>
        <w:t>:</w:t>
      </w:r>
      <w:r>
        <w:rPr>
          <w:rFonts w:ascii="Book Antiqua" w:eastAsia="Book Antiqua" w:hAnsi="Book Antiqua" w:cs="Book Antiqua"/>
          <w:color w:val="000000"/>
        </w:rPr>
        <w:t xml:space="preserve"> 27737282]</w:t>
      </w:r>
    </w:p>
    <w:p w14:paraId="32D9F412" w14:textId="77777777" w:rsidR="00A77B3E" w:rsidRDefault="00647E75">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Dragoo</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Braun HJ, Durham JL, Chen MR, Harris AH. Incidence and risk factors for injuries to the anterior cruciate ligament in National Collegiate Athletic Association football: data from the 2004-2005 through 2008-2009 National Collegiate Athletic Association Injury Surveillance System.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990-995 [PMID: 22491794 DOI: 10.1177/0363546512442336]</w:t>
      </w:r>
    </w:p>
    <w:p w14:paraId="6E7524FD" w14:textId="77777777" w:rsidR="00A77B3E" w:rsidRDefault="00647E7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Ross BJ</w:t>
      </w:r>
      <w:r>
        <w:rPr>
          <w:rFonts w:ascii="Book Antiqua" w:eastAsia="Book Antiqua" w:hAnsi="Book Antiqua" w:cs="Book Antiqua"/>
          <w:color w:val="000000"/>
        </w:rPr>
        <w:t xml:space="preserve">, Savage-Elliott I, Brown SM, </w:t>
      </w:r>
      <w:proofErr w:type="spellStart"/>
      <w:r>
        <w:rPr>
          <w:rFonts w:ascii="Book Antiqua" w:eastAsia="Book Antiqua" w:hAnsi="Book Antiqua" w:cs="Book Antiqua"/>
          <w:color w:val="000000"/>
        </w:rPr>
        <w:t>Mulcahey</w:t>
      </w:r>
      <w:proofErr w:type="spellEnd"/>
      <w:r>
        <w:rPr>
          <w:rFonts w:ascii="Book Antiqua" w:eastAsia="Book Antiqua" w:hAnsi="Book Antiqua" w:cs="Book Antiqua"/>
          <w:color w:val="000000"/>
        </w:rPr>
        <w:t xml:space="preserve"> MK. Return to Play and Performance After Primary ACL Reconstruction in American Football Players: A Systematic Review.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 Sports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2325967120959654 [PMID: 33195714 DOI: 10.1177/2325967120959654]</w:t>
      </w:r>
    </w:p>
    <w:p w14:paraId="1F18DE92" w14:textId="77777777" w:rsidR="00A77B3E" w:rsidRDefault="00647E7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Cinque ME</w:t>
      </w:r>
      <w:r>
        <w:rPr>
          <w:rFonts w:ascii="Book Antiqua" w:eastAsia="Book Antiqua" w:hAnsi="Book Antiqua" w:cs="Book Antiqua"/>
          <w:color w:val="000000"/>
        </w:rPr>
        <w:t xml:space="preserve">, Hannon CP, </w:t>
      </w:r>
      <w:proofErr w:type="spellStart"/>
      <w:r>
        <w:rPr>
          <w:rFonts w:ascii="Book Antiqua" w:eastAsia="Book Antiqua" w:hAnsi="Book Antiqua" w:cs="Book Antiqua"/>
          <w:color w:val="000000"/>
        </w:rPr>
        <w:t>Bohl</w:t>
      </w:r>
      <w:proofErr w:type="spellEnd"/>
      <w:r>
        <w:rPr>
          <w:rFonts w:ascii="Book Antiqua" w:eastAsia="Book Antiqua" w:hAnsi="Book Antiqua" w:cs="Book Antiqua"/>
          <w:color w:val="000000"/>
        </w:rPr>
        <w:t xml:space="preserve"> DD, Erickson BJ, Verma NN, Cole BJ, Bach BR Jr. Return to Sport and Performance After Anterior Cruciate Ligament Reconstruction in National Football League Linemen.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 Sports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2325967117711681 [PMID: 28680893 DOI: 10.1177/2325967117711681]</w:t>
      </w:r>
    </w:p>
    <w:p w14:paraId="181F46CE" w14:textId="77777777" w:rsidR="00A77B3E" w:rsidRDefault="00647E7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Shah VM</w:t>
      </w:r>
      <w:r>
        <w:rPr>
          <w:rFonts w:ascii="Book Antiqua" w:eastAsia="Book Antiqua" w:hAnsi="Book Antiqua" w:cs="Book Antiqua"/>
          <w:color w:val="000000"/>
        </w:rPr>
        <w:t xml:space="preserve">, Andrews JR, </w:t>
      </w:r>
      <w:proofErr w:type="spellStart"/>
      <w:r>
        <w:rPr>
          <w:rFonts w:ascii="Book Antiqua" w:eastAsia="Book Antiqua" w:hAnsi="Book Antiqua" w:cs="Book Antiqua"/>
          <w:color w:val="000000"/>
        </w:rPr>
        <w:t>Fleisig</w:t>
      </w:r>
      <w:proofErr w:type="spellEnd"/>
      <w:r>
        <w:rPr>
          <w:rFonts w:ascii="Book Antiqua" w:eastAsia="Book Antiqua" w:hAnsi="Book Antiqua" w:cs="Book Antiqua"/>
          <w:color w:val="000000"/>
        </w:rPr>
        <w:t xml:space="preserve"> GS, McMichael CS, Lemak LJ. Return to play after anterior cruciate ligament reconstruction in National Football League athletes.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2233-2239 [PMID: 20610771 DOI: 10.1177/0363546510372798]</w:t>
      </w:r>
    </w:p>
    <w:p w14:paraId="02EC166B" w14:textId="77777777" w:rsidR="00A77B3E" w:rsidRDefault="00647E7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Secrist</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xml:space="preserve">, Bhat SB, Dodson CC. The Financial and Professional Impact of Anterior Cruciate Ligament Injuries in National Football League Athletes.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 Sports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2325967116663921 [PMID: 27631017 DOI: 10.1177/2325967116663921]</w:t>
      </w:r>
    </w:p>
    <w:p w14:paraId="3624C896" w14:textId="77777777" w:rsidR="00A77B3E" w:rsidRDefault="00647E7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Windt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Gabbett</w:t>
      </w:r>
      <w:proofErr w:type="spellEnd"/>
      <w:r>
        <w:rPr>
          <w:rFonts w:ascii="Book Antiqua" w:eastAsia="Book Antiqua" w:hAnsi="Book Antiqua" w:cs="Book Antiqua"/>
          <w:color w:val="000000"/>
        </w:rPr>
        <w:t xml:space="preserve"> TJ, Ferris D, Khan KM. Training load--injury paradox: is greater preseason participation associated with lower in-season injury risk in elite rugby league players?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645-650 [PMID: 27075963 DOI: 10.1136/bjsports-2016-095973]</w:t>
      </w:r>
    </w:p>
    <w:p w14:paraId="3C2FE16F" w14:textId="77777777" w:rsidR="00A77B3E" w:rsidRDefault="00647E7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Murray NB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Gabbett</w:t>
      </w:r>
      <w:proofErr w:type="spellEnd"/>
      <w:r>
        <w:rPr>
          <w:rFonts w:ascii="Book Antiqua" w:eastAsia="Book Antiqua" w:hAnsi="Book Antiqua" w:cs="Book Antiqua"/>
          <w:color w:val="000000"/>
        </w:rPr>
        <w:t xml:space="preserve"> TJ, Townshend AD. Relationship Between Preseason Training Load and In-Season Availability in Elite Australian Football Players. </w:t>
      </w:r>
      <w:r>
        <w:rPr>
          <w:rFonts w:ascii="Book Antiqua" w:eastAsia="Book Antiqua" w:hAnsi="Book Antiqua" w:cs="Book Antiqua"/>
          <w:i/>
          <w:iCs/>
          <w:color w:val="000000"/>
        </w:rPr>
        <w:t xml:space="preserve">Int J Sports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Perform</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749-755 [PMID: 27834571 DOI: 10.1123/ijspp.2015-0806]</w:t>
      </w:r>
    </w:p>
    <w:p w14:paraId="13E83FFC" w14:textId="77777777" w:rsidR="00A77B3E" w:rsidRDefault="00647E7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Ekstrand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Spreco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Windt</w:t>
      </w:r>
      <w:proofErr w:type="spellEnd"/>
      <w:r>
        <w:rPr>
          <w:rFonts w:ascii="Book Antiqua" w:eastAsia="Book Antiqua" w:hAnsi="Book Antiqua" w:cs="Book Antiqua"/>
          <w:color w:val="000000"/>
        </w:rPr>
        <w:t xml:space="preserve"> J, Khan KM. Are Elite Soccer Teams' Preseason Training Sessions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Fewer In-Season Injuries? A 15-Year Analysis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Union </w:t>
      </w:r>
      <w:r>
        <w:rPr>
          <w:rFonts w:ascii="Book Antiqua" w:eastAsia="Book Antiqua" w:hAnsi="Book Antiqua" w:cs="Book Antiqua"/>
          <w:color w:val="000000"/>
        </w:rPr>
        <w:lastRenderedPageBreak/>
        <w:t xml:space="preserve">of European Football Associations (UEFA) Elite Club Injury Study.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723-729 [PMID: 31990574 DOI: 10.1177/0363546519899359]</w:t>
      </w:r>
    </w:p>
    <w:p w14:paraId="4FEB6629" w14:textId="77777777" w:rsidR="00A77B3E" w:rsidRDefault="00647E7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Silvers-</w:t>
      </w:r>
      <w:proofErr w:type="spellStart"/>
      <w:r>
        <w:rPr>
          <w:rFonts w:ascii="Book Antiqua" w:eastAsia="Book Antiqua" w:hAnsi="Book Antiqua" w:cs="Book Antiqua"/>
          <w:b/>
          <w:bCs/>
          <w:color w:val="000000"/>
        </w:rPr>
        <w:t>Granelli</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Bizzini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Arundale</w:t>
      </w:r>
      <w:proofErr w:type="spellEnd"/>
      <w:r>
        <w:rPr>
          <w:rFonts w:ascii="Book Antiqua" w:eastAsia="Book Antiqua" w:hAnsi="Book Antiqua" w:cs="Book Antiqua"/>
          <w:color w:val="000000"/>
        </w:rPr>
        <w:t xml:space="preserve"> A, Mandelbaum BR, Snyder-</w:t>
      </w:r>
      <w:proofErr w:type="spellStart"/>
      <w:r>
        <w:rPr>
          <w:rFonts w:ascii="Book Antiqua" w:eastAsia="Book Antiqua" w:hAnsi="Book Antiqua" w:cs="Book Antiqua"/>
          <w:color w:val="000000"/>
        </w:rPr>
        <w:t>Mackler</w:t>
      </w:r>
      <w:proofErr w:type="spellEnd"/>
      <w:r>
        <w:rPr>
          <w:rFonts w:ascii="Book Antiqua" w:eastAsia="Book Antiqua" w:hAnsi="Book Antiqua" w:cs="Book Antiqua"/>
          <w:color w:val="000000"/>
        </w:rPr>
        <w:t xml:space="preserve"> L. Does the FIFA 11+ Injury Prevention Program Reduce the Incidence of ACL Injury in Male Soccer Players?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475</w:t>
      </w:r>
      <w:r>
        <w:rPr>
          <w:rFonts w:ascii="Book Antiqua" w:eastAsia="Book Antiqua" w:hAnsi="Book Antiqua" w:cs="Book Antiqua"/>
          <w:color w:val="000000"/>
        </w:rPr>
        <w:t>: 2447-2455 [PMID: 28389864 DOI: 10.1007/s11999-017-5342-5]</w:t>
      </w:r>
    </w:p>
    <w:p w14:paraId="14BB14E7" w14:textId="77777777" w:rsidR="00A77B3E" w:rsidRDefault="00647E7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Acevedo RJ</w:t>
      </w:r>
      <w:r>
        <w:rPr>
          <w:rFonts w:ascii="Book Antiqua" w:eastAsia="Book Antiqua" w:hAnsi="Book Antiqua" w:cs="Book Antiqua"/>
          <w:color w:val="000000"/>
        </w:rPr>
        <w:t xml:space="preserve">, Rivera-Vega A, Miranda G, </w:t>
      </w:r>
      <w:proofErr w:type="spellStart"/>
      <w:r>
        <w:rPr>
          <w:rFonts w:ascii="Book Antiqua" w:eastAsia="Book Antiqua" w:hAnsi="Book Antiqua" w:cs="Book Antiqua"/>
          <w:color w:val="000000"/>
        </w:rPr>
        <w:t>Micheo</w:t>
      </w:r>
      <w:proofErr w:type="spellEnd"/>
      <w:r>
        <w:rPr>
          <w:rFonts w:ascii="Book Antiqua" w:eastAsia="Book Antiqua" w:hAnsi="Book Antiqua" w:cs="Book Antiqua"/>
          <w:color w:val="000000"/>
        </w:rPr>
        <w:t xml:space="preserve"> W. Anterior cruciate ligament injury: identification of risk factors and prevention strategies.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Sports Med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186-191 [PMID: 24819011 DOI: 10.1249/JSR.0000000000000053]</w:t>
      </w:r>
    </w:p>
    <w:p w14:paraId="681DABDF" w14:textId="77777777" w:rsidR="00A77B3E" w:rsidRDefault="00647E7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 RT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Salata</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Rambhia</w:t>
      </w:r>
      <w:proofErr w:type="spellEnd"/>
      <w:r>
        <w:rPr>
          <w:rFonts w:ascii="Book Antiqua" w:eastAsia="Book Antiqua" w:hAnsi="Book Antiqua" w:cs="Book Antiqua"/>
          <w:color w:val="000000"/>
        </w:rPr>
        <w:t xml:space="preserve"> S, Sheehan J, </w:t>
      </w:r>
      <w:proofErr w:type="spellStart"/>
      <w:r>
        <w:rPr>
          <w:rFonts w:ascii="Book Antiqua" w:eastAsia="Book Antiqua" w:hAnsi="Book Antiqua" w:cs="Book Antiqua"/>
          <w:color w:val="000000"/>
        </w:rPr>
        <w:t>Voos</w:t>
      </w:r>
      <w:proofErr w:type="spellEnd"/>
      <w:r>
        <w:rPr>
          <w:rFonts w:ascii="Book Antiqua" w:eastAsia="Book Antiqua" w:hAnsi="Book Antiqua" w:cs="Book Antiqua"/>
          <w:color w:val="000000"/>
        </w:rPr>
        <w:t xml:space="preserve"> JE. Does Overexertion Correlate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Increased Injury? The Relationship Between Player Workload and Soft Tissue Injury in Professional American Football Players Using Wearable Technology. </w:t>
      </w:r>
      <w:r>
        <w:rPr>
          <w:rFonts w:ascii="Book Antiqua" w:eastAsia="Book Antiqua" w:hAnsi="Book Antiqua" w:cs="Book Antiqua"/>
          <w:i/>
          <w:iCs/>
          <w:color w:val="000000"/>
        </w:rPr>
        <w:t>Sports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66-73 [PMID: 31469616 DOI: 10.1177/1941738119868477]</w:t>
      </w:r>
    </w:p>
    <w:p w14:paraId="55576E91" w14:textId="77777777" w:rsidR="00A77B3E" w:rsidRDefault="00647E7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Steiner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Berkstresser</w:t>
      </w:r>
      <w:proofErr w:type="spellEnd"/>
      <w:r>
        <w:rPr>
          <w:rFonts w:ascii="Book Antiqua" w:eastAsia="Book Antiqua" w:hAnsi="Book Antiqua" w:cs="Book Antiqua"/>
          <w:color w:val="000000"/>
        </w:rPr>
        <w:t xml:space="preserve"> BD, Richardson L, Elia G, Wang F. Full-Contact Practice and Injuries in College Football. </w:t>
      </w:r>
      <w:r>
        <w:rPr>
          <w:rFonts w:ascii="Book Antiqua" w:eastAsia="Book Antiqua" w:hAnsi="Book Antiqua" w:cs="Book Antiqua"/>
          <w:i/>
          <w:iCs/>
          <w:color w:val="000000"/>
        </w:rPr>
        <w:t>Sports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217-223 [PMID: 26755741 DOI: 10.1177/1941738115626689]</w:t>
      </w:r>
    </w:p>
    <w:p w14:paraId="16398160" w14:textId="3EEA9928" w:rsidR="00A77B3E" w:rsidRDefault="00647E7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Hewett 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Zazulak</w:t>
      </w:r>
      <w:proofErr w:type="spellEnd"/>
      <w:r>
        <w:rPr>
          <w:rFonts w:ascii="Book Antiqua" w:eastAsia="Book Antiqua" w:hAnsi="Book Antiqua" w:cs="Book Antiqua"/>
          <w:color w:val="000000"/>
        </w:rPr>
        <w:t xml:space="preserve"> BT, </w:t>
      </w:r>
      <w:proofErr w:type="spellStart"/>
      <w:r>
        <w:rPr>
          <w:rFonts w:ascii="Book Antiqua" w:eastAsia="Book Antiqua" w:hAnsi="Book Antiqua" w:cs="Book Antiqua"/>
          <w:color w:val="000000"/>
        </w:rPr>
        <w:t>Krosshaug</w:t>
      </w:r>
      <w:proofErr w:type="spellEnd"/>
      <w:r>
        <w:rPr>
          <w:rFonts w:ascii="Book Antiqua" w:eastAsia="Book Antiqua" w:hAnsi="Book Antiqua" w:cs="Book Antiqua"/>
          <w:color w:val="000000"/>
        </w:rPr>
        <w:t xml:space="preserve"> T, Bahr R. Clinical basis: Epidemiology, risk factors, mechanisms of injury, and prevention of ligament injuries of the knee. In: The Knee Joint. Springer; </w:t>
      </w:r>
      <w:r w:rsidRPr="0070210B">
        <w:rPr>
          <w:rFonts w:ascii="Book Antiqua" w:eastAsia="Book Antiqua" w:hAnsi="Book Antiqua" w:cs="Book Antiqua"/>
          <w:color w:val="000000"/>
        </w:rPr>
        <w:t>2012:</w:t>
      </w:r>
      <w:r w:rsidR="00753718">
        <w:rPr>
          <w:rFonts w:ascii="Book Antiqua" w:eastAsia="Book Antiqua" w:hAnsi="Book Antiqua" w:cs="Book Antiqua"/>
          <w:color w:val="000000"/>
        </w:rPr>
        <w:t xml:space="preserve"> </w:t>
      </w:r>
      <w:r>
        <w:rPr>
          <w:rFonts w:ascii="Book Antiqua" w:eastAsia="Book Antiqua" w:hAnsi="Book Antiqua" w:cs="Book Antiqua"/>
          <w:color w:val="000000"/>
        </w:rPr>
        <w:t>53-70 [DOI:</w:t>
      </w:r>
      <w:r w:rsidR="0007236A">
        <w:rPr>
          <w:rFonts w:ascii="Book Antiqua" w:eastAsia="Book Antiqua" w:hAnsi="Book Antiqua" w:cs="Book Antiqua"/>
          <w:color w:val="000000"/>
        </w:rPr>
        <w:t xml:space="preserve"> </w:t>
      </w:r>
      <w:r>
        <w:rPr>
          <w:rFonts w:ascii="Book Antiqua" w:eastAsia="Book Antiqua" w:hAnsi="Book Antiqua" w:cs="Book Antiqua"/>
          <w:color w:val="000000"/>
        </w:rPr>
        <w:t>10.1007/978-2-287-99353-4_6]</w:t>
      </w:r>
    </w:p>
    <w:p w14:paraId="37250B67" w14:textId="77777777" w:rsidR="00A77B3E" w:rsidRDefault="00647E7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Kiesel</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Plisky</w:t>
      </w:r>
      <w:proofErr w:type="spellEnd"/>
      <w:r>
        <w:rPr>
          <w:rFonts w:ascii="Book Antiqua" w:eastAsia="Book Antiqua" w:hAnsi="Book Antiqua" w:cs="Book Antiqua"/>
          <w:color w:val="000000"/>
        </w:rPr>
        <w:t xml:space="preserve"> PJ, Voight ML. Can Serious Injury in Professional Football be Predicted by a Preseason Functional Movement Screen? </w:t>
      </w:r>
      <w:r>
        <w:rPr>
          <w:rFonts w:ascii="Book Antiqua" w:eastAsia="Book Antiqua" w:hAnsi="Book Antiqua" w:cs="Book Antiqua"/>
          <w:i/>
          <w:iCs/>
          <w:color w:val="000000"/>
        </w:rPr>
        <w:t xml:space="preserve">N Am J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147-158 [PMID: 21522210]</w:t>
      </w:r>
    </w:p>
    <w:p w14:paraId="23334BDB" w14:textId="77777777" w:rsidR="00A77B3E" w:rsidRDefault="00647E7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Mehl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Diermeier</w:t>
      </w:r>
      <w:proofErr w:type="spellEnd"/>
      <w:r>
        <w:rPr>
          <w:rFonts w:ascii="Book Antiqua" w:eastAsia="Book Antiqua" w:hAnsi="Book Antiqua" w:cs="Book Antiqua"/>
          <w:color w:val="000000"/>
        </w:rPr>
        <w:t xml:space="preserve"> T, Herbst E, Imhoff AB, </w:t>
      </w:r>
      <w:proofErr w:type="spellStart"/>
      <w:r>
        <w:rPr>
          <w:rFonts w:ascii="Book Antiqua" w:eastAsia="Book Antiqua" w:hAnsi="Book Antiqua" w:cs="Book Antiqua"/>
          <w:color w:val="000000"/>
        </w:rPr>
        <w:t>Stoffels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Zantop</w:t>
      </w:r>
      <w:proofErr w:type="spellEnd"/>
      <w:r>
        <w:rPr>
          <w:rFonts w:ascii="Book Antiqua" w:eastAsia="Book Antiqua" w:hAnsi="Book Antiqua" w:cs="Book Antiqua"/>
          <w:color w:val="000000"/>
        </w:rPr>
        <w:t xml:space="preserve"> T, Petersen W, </w:t>
      </w:r>
      <w:proofErr w:type="spellStart"/>
      <w:r>
        <w:rPr>
          <w:rFonts w:ascii="Book Antiqua" w:eastAsia="Book Antiqua" w:hAnsi="Book Antiqua" w:cs="Book Antiqua"/>
          <w:color w:val="000000"/>
        </w:rPr>
        <w:t>Achtnich</w:t>
      </w:r>
      <w:proofErr w:type="spellEnd"/>
      <w:r>
        <w:rPr>
          <w:rFonts w:ascii="Book Antiqua" w:eastAsia="Book Antiqua" w:hAnsi="Book Antiqua" w:cs="Book Antiqua"/>
          <w:color w:val="000000"/>
        </w:rPr>
        <w:t xml:space="preserve"> A. Evidence-based concepts for prevention of knee and ACL injuries. 2017 guidelines of the ligament committee of the German Knee Society (DKG).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138</w:t>
      </w:r>
      <w:r>
        <w:rPr>
          <w:rFonts w:ascii="Book Antiqua" w:eastAsia="Book Antiqua" w:hAnsi="Book Antiqua" w:cs="Book Antiqua"/>
          <w:color w:val="000000"/>
        </w:rPr>
        <w:t>: 51-61 [PMID: 28983841 DOI: 10.1007/s00402-017-2809-5]</w:t>
      </w:r>
    </w:p>
    <w:p w14:paraId="01F1D772" w14:textId="77777777" w:rsidR="00A77B3E" w:rsidRDefault="00647E7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Nessler T</w:t>
      </w:r>
      <w:r>
        <w:rPr>
          <w:rFonts w:ascii="Book Antiqua" w:eastAsia="Book Antiqua" w:hAnsi="Book Antiqua" w:cs="Book Antiqua"/>
          <w:color w:val="000000"/>
        </w:rPr>
        <w:t xml:space="preserve">, Denney L, </w:t>
      </w:r>
      <w:proofErr w:type="spellStart"/>
      <w:r>
        <w:rPr>
          <w:rFonts w:ascii="Book Antiqua" w:eastAsia="Book Antiqua" w:hAnsi="Book Antiqua" w:cs="Book Antiqua"/>
          <w:color w:val="000000"/>
        </w:rPr>
        <w:t>Sampley</w:t>
      </w:r>
      <w:proofErr w:type="spellEnd"/>
      <w:r>
        <w:rPr>
          <w:rFonts w:ascii="Book Antiqua" w:eastAsia="Book Antiqua" w:hAnsi="Book Antiqua" w:cs="Book Antiqua"/>
          <w:color w:val="000000"/>
        </w:rPr>
        <w:t xml:space="preserve"> J. ACL Injury Prevention: What Does Research Tell Us?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281-288 [PMID: 28656531 DOI: 10.1007/s12178-017-9416-5]</w:t>
      </w:r>
    </w:p>
    <w:p w14:paraId="35E2DD7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B563E9F" w14:textId="77777777" w:rsidR="00A77B3E" w:rsidRDefault="00647E75">
      <w:pPr>
        <w:spacing w:line="360" w:lineRule="auto"/>
        <w:jc w:val="both"/>
      </w:pPr>
      <w:r>
        <w:rPr>
          <w:rFonts w:ascii="Book Antiqua" w:eastAsia="Book Antiqua" w:hAnsi="Book Antiqua" w:cs="Book Antiqua"/>
          <w:b/>
          <w:color w:val="000000"/>
        </w:rPr>
        <w:lastRenderedPageBreak/>
        <w:t>Footnotes</w:t>
      </w:r>
    </w:p>
    <w:p w14:paraId="16AD534C" w14:textId="7078BE33" w:rsidR="00A77B3E" w:rsidRDefault="00647E75">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szCs w:val="22"/>
        </w:rPr>
        <w:t xml:space="preserve">This study was </w:t>
      </w:r>
      <w:r w:rsidR="005026D4">
        <w:rPr>
          <w:rFonts w:ascii="Book Antiqua" w:eastAsia="Book Antiqua" w:hAnsi="Book Antiqua" w:cs="Book Antiqua"/>
          <w:color w:val="000000"/>
          <w:szCs w:val="22"/>
        </w:rPr>
        <w:t>exempt</w:t>
      </w:r>
      <w:r>
        <w:rPr>
          <w:rFonts w:ascii="Book Antiqua" w:eastAsia="Book Antiqua" w:hAnsi="Book Antiqua" w:cs="Book Antiqua"/>
          <w:color w:val="000000"/>
          <w:szCs w:val="22"/>
        </w:rPr>
        <w:t xml:space="preserve"> from institutional board review as it was conducted using publicly available information.</w:t>
      </w:r>
    </w:p>
    <w:p w14:paraId="090F8DD2" w14:textId="77777777" w:rsidR="0091149D" w:rsidRDefault="0091149D">
      <w:pPr>
        <w:spacing w:line="360" w:lineRule="auto"/>
        <w:jc w:val="both"/>
        <w:rPr>
          <w:rFonts w:ascii="Book Antiqua" w:eastAsia="Book Antiqua" w:hAnsi="Book Antiqua" w:cs="Book Antiqua"/>
          <w:color w:val="000000"/>
          <w:szCs w:val="22"/>
        </w:rPr>
      </w:pPr>
    </w:p>
    <w:p w14:paraId="126155EA" w14:textId="2DE5C6DF" w:rsidR="00A77B3E" w:rsidRDefault="00A007F3">
      <w:pPr>
        <w:spacing w:line="360" w:lineRule="auto"/>
        <w:jc w:val="both"/>
      </w:pPr>
      <w:r>
        <w:rPr>
          <w:rFonts w:ascii="Book Antiqua" w:hAnsi="Book Antiqua"/>
          <w:b/>
          <w:color w:val="000000"/>
        </w:rPr>
        <w:t>Informed consent statement</w:t>
      </w:r>
      <w:r w:rsidRPr="00C7009F">
        <w:rPr>
          <w:rFonts w:ascii="Book Antiqua" w:hAnsi="Book Antiqua" w:hint="eastAsia"/>
          <w:b/>
          <w:bCs/>
          <w:iCs/>
          <w:color w:val="000000"/>
          <w:lang w:eastAsia="zh-CN"/>
        </w:rPr>
        <w:t>:</w:t>
      </w:r>
      <w:r w:rsidRPr="00C7009F">
        <w:rPr>
          <w:rFonts w:ascii="Book Antiqua" w:hAnsi="Book Antiqua"/>
          <w:b/>
          <w:bCs/>
          <w:iCs/>
          <w:color w:val="000000"/>
        </w:rPr>
        <w:t xml:space="preserve"> </w:t>
      </w:r>
      <w:r w:rsidR="00647E75">
        <w:rPr>
          <w:rFonts w:ascii="Book Antiqua" w:eastAsia="Book Antiqua" w:hAnsi="Book Antiqua" w:cs="Book Antiqua"/>
          <w:color w:val="000000"/>
          <w:szCs w:val="22"/>
        </w:rPr>
        <w:t xml:space="preserve">This study </w:t>
      </w:r>
      <w:r w:rsidR="00BD591B">
        <w:rPr>
          <w:rFonts w:ascii="Book Antiqua" w:eastAsia="Book Antiqua" w:hAnsi="Book Antiqua" w:cs="Book Antiqua"/>
          <w:color w:val="000000"/>
          <w:szCs w:val="22"/>
        </w:rPr>
        <w:t>does not</w:t>
      </w:r>
      <w:r w:rsidR="00647E75">
        <w:rPr>
          <w:rFonts w:ascii="Book Antiqua" w:eastAsia="Book Antiqua" w:hAnsi="Book Antiqua" w:cs="Book Antiqua"/>
          <w:color w:val="000000"/>
          <w:szCs w:val="22"/>
        </w:rPr>
        <w:t xml:space="preserve"> require </w:t>
      </w:r>
      <w:r w:rsidR="009D62ED">
        <w:rPr>
          <w:rFonts w:ascii="Book Antiqua" w:eastAsia="Book Antiqua" w:hAnsi="Book Antiqua" w:cs="Book Antiqua"/>
          <w:color w:val="000000"/>
          <w:szCs w:val="22"/>
        </w:rPr>
        <w:t>i</w:t>
      </w:r>
      <w:r w:rsidR="009D62ED" w:rsidRPr="009D62ED">
        <w:rPr>
          <w:rFonts w:ascii="Book Antiqua" w:eastAsia="Book Antiqua" w:hAnsi="Book Antiqua" w:cs="Book Antiqua"/>
          <w:color w:val="000000"/>
          <w:szCs w:val="22"/>
        </w:rPr>
        <w:t>nformed consent statement</w:t>
      </w:r>
      <w:r w:rsidR="009D62ED">
        <w:rPr>
          <w:rFonts w:ascii="Book Antiqua" w:eastAsia="Book Antiqua" w:hAnsi="Book Antiqua" w:cs="Book Antiqua"/>
          <w:color w:val="000000"/>
          <w:szCs w:val="22"/>
        </w:rPr>
        <w:t>.</w:t>
      </w:r>
    </w:p>
    <w:p w14:paraId="3B29BA8A" w14:textId="77777777" w:rsidR="00A77B3E" w:rsidRDefault="00A77B3E">
      <w:pPr>
        <w:spacing w:line="360" w:lineRule="auto"/>
        <w:jc w:val="both"/>
      </w:pPr>
    </w:p>
    <w:p w14:paraId="4AE61361" w14:textId="77777777" w:rsidR="00A77B3E" w:rsidRDefault="00647E7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None of the authors feature potential conflicts of interest nor have they received any sort of support to carry out this study.</w:t>
      </w:r>
    </w:p>
    <w:p w14:paraId="77824282" w14:textId="77777777" w:rsidR="00A77B3E" w:rsidRDefault="00A77B3E">
      <w:pPr>
        <w:spacing w:line="360" w:lineRule="auto"/>
        <w:jc w:val="both"/>
      </w:pPr>
    </w:p>
    <w:p w14:paraId="5B3E6000" w14:textId="77777777" w:rsidR="00A77B3E" w:rsidRDefault="00647E7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individual participant data was shared.</w:t>
      </w:r>
    </w:p>
    <w:p w14:paraId="1E6E8208" w14:textId="77777777" w:rsidR="00C724DA" w:rsidRDefault="00C724DA" w:rsidP="00C724DA">
      <w:pPr>
        <w:spacing w:line="360" w:lineRule="auto"/>
        <w:jc w:val="both"/>
        <w:rPr>
          <w:rStyle w:val="a7"/>
          <w:rFonts w:ascii="Book Antiqua" w:hAnsi="Book Antiqua"/>
        </w:rPr>
      </w:pPr>
    </w:p>
    <w:p w14:paraId="6EA49D12" w14:textId="352E224F" w:rsidR="00C724DA" w:rsidRPr="00667630" w:rsidRDefault="00C724DA" w:rsidP="00C724DA">
      <w:pPr>
        <w:spacing w:line="360" w:lineRule="auto"/>
        <w:jc w:val="both"/>
        <w:rPr>
          <w:rStyle w:val="a7"/>
          <w:rFonts w:ascii="Book Antiqua" w:eastAsia="宋体" w:hAnsi="Book Antiqua"/>
          <w:lang w:eastAsia="zh-CN"/>
        </w:rPr>
      </w:pPr>
      <w:r w:rsidRPr="008D6DC2">
        <w:rPr>
          <w:rStyle w:val="a7"/>
          <w:rFonts w:ascii="Book Antiqua" w:hAnsi="Book Antiqua"/>
        </w:rPr>
        <w:t>STROBE statement</w:t>
      </w:r>
      <w:r w:rsidRPr="00ED52F1">
        <w:rPr>
          <w:rStyle w:val="a7"/>
          <w:rFonts w:ascii="Book Antiqua" w:eastAsia="宋体" w:hAnsi="Book Antiqua" w:hint="eastAsia"/>
          <w:lang w:eastAsia="zh-CN"/>
        </w:rPr>
        <w:t>:</w:t>
      </w:r>
      <w:r w:rsidR="0051760C" w:rsidRPr="0051760C">
        <w:t xml:space="preserve"> </w:t>
      </w:r>
      <w:r w:rsidR="0051760C" w:rsidRPr="0051760C">
        <w:rPr>
          <w:rStyle w:val="a7"/>
          <w:rFonts w:ascii="Book Antiqua" w:eastAsia="宋体" w:hAnsi="Book Antiqua"/>
          <w:b w:val="0"/>
          <w:bCs/>
          <w:lang w:eastAsia="zh-CN"/>
        </w:rPr>
        <w:t>The authors have read the STROBE Statement—checklist of items, and the manuscript was prepared and revised according to the STROBE Statement—checklist of items.</w:t>
      </w:r>
    </w:p>
    <w:p w14:paraId="02F5B3B3" w14:textId="77777777" w:rsidR="00A77B3E" w:rsidRDefault="00A77B3E">
      <w:pPr>
        <w:spacing w:line="360" w:lineRule="auto"/>
        <w:jc w:val="both"/>
      </w:pPr>
    </w:p>
    <w:p w14:paraId="26FB8962" w14:textId="77777777" w:rsidR="00A77B3E" w:rsidRDefault="00647E7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D246A7" w14:textId="77777777" w:rsidR="00A77B3E" w:rsidRDefault="00A77B3E">
      <w:pPr>
        <w:spacing w:line="360" w:lineRule="auto"/>
        <w:jc w:val="both"/>
      </w:pPr>
    </w:p>
    <w:p w14:paraId="0FED3B2E" w14:textId="3F827236" w:rsidR="00A77B3E" w:rsidRDefault="00647E7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622B0">
        <w:rPr>
          <w:rFonts w:ascii="Book Antiqua" w:eastAsia="Book Antiqua" w:hAnsi="Book Antiqua" w:cs="Book Antiqua"/>
          <w:color w:val="000000"/>
        </w:rPr>
        <w:t>m</w:t>
      </w:r>
      <w:r>
        <w:rPr>
          <w:rFonts w:ascii="Book Antiqua" w:eastAsia="Book Antiqua" w:hAnsi="Book Antiqua" w:cs="Book Antiqua"/>
          <w:color w:val="000000"/>
        </w:rPr>
        <w:t>anuscript</w:t>
      </w:r>
    </w:p>
    <w:p w14:paraId="1B040444" w14:textId="77777777" w:rsidR="00A77B3E" w:rsidRDefault="00A77B3E">
      <w:pPr>
        <w:spacing w:line="360" w:lineRule="auto"/>
        <w:jc w:val="both"/>
      </w:pPr>
    </w:p>
    <w:p w14:paraId="04247328" w14:textId="77777777" w:rsidR="00A77B3E" w:rsidRDefault="00647E7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6, 2021</w:t>
      </w:r>
    </w:p>
    <w:p w14:paraId="05627FD4" w14:textId="77777777" w:rsidR="00A77B3E" w:rsidRDefault="00647E7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28, 2021</w:t>
      </w:r>
    </w:p>
    <w:p w14:paraId="2ECEA7A2" w14:textId="77777777" w:rsidR="00A77B3E" w:rsidRDefault="00647E75">
      <w:pPr>
        <w:spacing w:line="360" w:lineRule="auto"/>
        <w:jc w:val="both"/>
      </w:pPr>
      <w:r>
        <w:rPr>
          <w:rFonts w:ascii="Book Antiqua" w:eastAsia="Book Antiqua" w:hAnsi="Book Antiqua" w:cs="Book Antiqua"/>
          <w:b/>
          <w:color w:val="000000"/>
        </w:rPr>
        <w:t xml:space="preserve">Article in press: </w:t>
      </w:r>
    </w:p>
    <w:p w14:paraId="4901AD7F" w14:textId="77777777" w:rsidR="00A77B3E" w:rsidRDefault="00A77B3E">
      <w:pPr>
        <w:spacing w:line="360" w:lineRule="auto"/>
        <w:jc w:val="both"/>
      </w:pPr>
    </w:p>
    <w:p w14:paraId="6069AB17" w14:textId="43F36D42" w:rsidR="00A77B3E" w:rsidRDefault="00647E75">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Sport </w:t>
      </w:r>
      <w:r w:rsidR="005622B0">
        <w:rPr>
          <w:rFonts w:ascii="Book Antiqua" w:eastAsia="Book Antiqua" w:hAnsi="Book Antiqua" w:cs="Book Antiqua"/>
          <w:color w:val="000000"/>
        </w:rPr>
        <w:t>s</w:t>
      </w:r>
      <w:r>
        <w:rPr>
          <w:rFonts w:ascii="Book Antiqua" w:eastAsia="Book Antiqua" w:hAnsi="Book Antiqua" w:cs="Book Antiqua"/>
          <w:color w:val="000000"/>
        </w:rPr>
        <w:t>ciences</w:t>
      </w:r>
    </w:p>
    <w:p w14:paraId="50D575E9" w14:textId="77777777" w:rsidR="00A77B3E" w:rsidRDefault="00647E7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8193C58" w14:textId="77777777" w:rsidR="00A77B3E" w:rsidRDefault="00647E75">
      <w:pPr>
        <w:spacing w:line="360" w:lineRule="auto"/>
        <w:jc w:val="both"/>
      </w:pPr>
      <w:r>
        <w:rPr>
          <w:rFonts w:ascii="Book Antiqua" w:eastAsia="Book Antiqua" w:hAnsi="Book Antiqua" w:cs="Book Antiqua"/>
          <w:b/>
          <w:color w:val="000000"/>
        </w:rPr>
        <w:t>Peer-review report’s scientific quality classification</w:t>
      </w:r>
    </w:p>
    <w:p w14:paraId="6B2CC77F" w14:textId="77777777" w:rsidR="00A77B3E" w:rsidRDefault="00647E75">
      <w:pPr>
        <w:spacing w:line="360" w:lineRule="auto"/>
        <w:jc w:val="both"/>
      </w:pPr>
      <w:r>
        <w:rPr>
          <w:rFonts w:ascii="Book Antiqua" w:eastAsia="Book Antiqua" w:hAnsi="Book Antiqua" w:cs="Book Antiqua"/>
          <w:color w:val="000000"/>
        </w:rPr>
        <w:t>Grade A (Excellent): 0</w:t>
      </w:r>
    </w:p>
    <w:p w14:paraId="2FEE3093" w14:textId="77777777" w:rsidR="00A77B3E" w:rsidRDefault="00647E75">
      <w:pPr>
        <w:spacing w:line="360" w:lineRule="auto"/>
        <w:jc w:val="both"/>
      </w:pPr>
      <w:r>
        <w:rPr>
          <w:rFonts w:ascii="Book Antiqua" w:eastAsia="Book Antiqua" w:hAnsi="Book Antiqua" w:cs="Book Antiqua"/>
          <w:color w:val="000000"/>
        </w:rPr>
        <w:t>Grade B (Very good): B</w:t>
      </w:r>
    </w:p>
    <w:p w14:paraId="5FCA3E5C" w14:textId="77777777" w:rsidR="00A77B3E" w:rsidRDefault="00647E75">
      <w:pPr>
        <w:spacing w:line="360" w:lineRule="auto"/>
        <w:jc w:val="both"/>
      </w:pPr>
      <w:r>
        <w:rPr>
          <w:rFonts w:ascii="Book Antiqua" w:eastAsia="Book Antiqua" w:hAnsi="Book Antiqua" w:cs="Book Antiqua"/>
          <w:color w:val="000000"/>
        </w:rPr>
        <w:t>Grade C (Good): 0</w:t>
      </w:r>
    </w:p>
    <w:p w14:paraId="6CC729C8" w14:textId="77777777" w:rsidR="00A77B3E" w:rsidRDefault="00647E75">
      <w:pPr>
        <w:spacing w:line="360" w:lineRule="auto"/>
        <w:jc w:val="both"/>
      </w:pPr>
      <w:r>
        <w:rPr>
          <w:rFonts w:ascii="Book Antiqua" w:eastAsia="Book Antiqua" w:hAnsi="Book Antiqua" w:cs="Book Antiqua"/>
          <w:color w:val="000000"/>
        </w:rPr>
        <w:t>Grade D (Fair): 0</w:t>
      </w:r>
    </w:p>
    <w:p w14:paraId="2F9AE01C" w14:textId="77777777" w:rsidR="00A77B3E" w:rsidRDefault="00647E75">
      <w:pPr>
        <w:spacing w:line="360" w:lineRule="auto"/>
        <w:jc w:val="both"/>
      </w:pPr>
      <w:r>
        <w:rPr>
          <w:rFonts w:ascii="Book Antiqua" w:eastAsia="Book Antiqua" w:hAnsi="Book Antiqua" w:cs="Book Antiqua"/>
          <w:color w:val="000000"/>
        </w:rPr>
        <w:t>Grade E (Poor): 0</w:t>
      </w:r>
    </w:p>
    <w:p w14:paraId="63944EC9" w14:textId="77777777" w:rsidR="00A77B3E" w:rsidRDefault="00A77B3E">
      <w:pPr>
        <w:spacing w:line="360" w:lineRule="auto"/>
        <w:jc w:val="both"/>
      </w:pPr>
    </w:p>
    <w:p w14:paraId="4B9F7333" w14:textId="4463CDDB" w:rsidR="00A77B3E" w:rsidRDefault="00647E7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Kurniawan A</w:t>
      </w:r>
      <w:r>
        <w:rPr>
          <w:rFonts w:ascii="Book Antiqua" w:eastAsia="Book Antiqua" w:hAnsi="Book Antiqua" w:cs="Book Antiqua"/>
          <w:b/>
          <w:color w:val="000000"/>
        </w:rPr>
        <w:t xml:space="preserve"> S-Editor: </w:t>
      </w:r>
      <w:r>
        <w:rPr>
          <w:rFonts w:ascii="Book Antiqua" w:eastAsia="Book Antiqua" w:hAnsi="Book Antiqua" w:cs="Book Antiqua"/>
          <w:color w:val="000000"/>
        </w:rPr>
        <w:t>W</w:t>
      </w:r>
      <w:r w:rsidR="006F6DDD">
        <w:rPr>
          <w:rFonts w:ascii="Book Antiqua" w:eastAsia="Book Antiqua" w:hAnsi="Book Antiqua" w:cs="Book Antiqua"/>
          <w:color w:val="000000"/>
        </w:rPr>
        <w:t>u YXJ</w:t>
      </w:r>
      <w:r>
        <w:rPr>
          <w:rFonts w:ascii="Book Antiqua" w:eastAsia="Book Antiqua" w:hAnsi="Book Antiqua" w:cs="Book Antiqua"/>
          <w:b/>
          <w:color w:val="000000"/>
        </w:rPr>
        <w:t xml:space="preserve"> L-Editor:  P-Editor: </w:t>
      </w:r>
    </w:p>
    <w:p w14:paraId="42654610" w14:textId="77777777" w:rsidR="0035456E" w:rsidRDefault="0035456E">
      <w:pPr>
        <w:spacing w:line="360" w:lineRule="auto"/>
        <w:jc w:val="both"/>
        <w:rPr>
          <w:rFonts w:ascii="Book Antiqua" w:eastAsia="Book Antiqua" w:hAnsi="Book Antiqua" w:cs="Book Antiqua"/>
          <w:b/>
          <w:color w:val="000000"/>
        </w:rPr>
        <w:sectPr w:rsidR="0035456E">
          <w:pgSz w:w="12240" w:h="15840"/>
          <w:pgMar w:top="1440" w:right="1440" w:bottom="1440" w:left="1440" w:header="720" w:footer="720" w:gutter="0"/>
          <w:cols w:space="720"/>
          <w:docGrid w:linePitch="360"/>
        </w:sectPr>
      </w:pPr>
    </w:p>
    <w:p w14:paraId="4236F223" w14:textId="75F829A4" w:rsidR="000B5BE7" w:rsidRDefault="000B5BE7" w:rsidP="0035456E">
      <w:pPr>
        <w:spacing w:line="360" w:lineRule="auto"/>
        <w:jc w:val="both"/>
        <w:rPr>
          <w:rFonts w:ascii="Book Antiqua" w:eastAsia="Book Antiqua" w:hAnsi="Book Antiqua" w:cs="Book Antiqua"/>
          <w:b/>
          <w:bCs/>
          <w:color w:val="000000"/>
        </w:rPr>
      </w:pPr>
      <w:r w:rsidRPr="000B5BE7">
        <w:rPr>
          <w:rFonts w:ascii="Book Antiqua" w:eastAsia="Book Antiqua" w:hAnsi="Book Antiqua" w:cs="Book Antiqua"/>
          <w:b/>
          <w:bCs/>
          <w:color w:val="000000"/>
        </w:rPr>
        <w:lastRenderedPageBreak/>
        <w:t>Figure Legends</w:t>
      </w:r>
    </w:p>
    <w:p w14:paraId="3D71837B" w14:textId="4943531D" w:rsidR="000B5BE7" w:rsidRDefault="00F56649" w:rsidP="0035456E">
      <w:pPr>
        <w:spacing w:line="360" w:lineRule="auto"/>
        <w:jc w:val="both"/>
        <w:rPr>
          <w:rFonts w:ascii="Book Antiqua" w:eastAsia="Book Antiqua" w:hAnsi="Book Antiqua" w:cs="Book Antiqua"/>
          <w:b/>
          <w:bCs/>
          <w:color w:val="000000"/>
        </w:rPr>
      </w:pPr>
      <w:r>
        <w:rPr>
          <w:noProof/>
        </w:rPr>
        <w:drawing>
          <wp:inline distT="0" distB="0" distL="0" distR="0" wp14:anchorId="34C05DDB" wp14:editId="79FBBB09">
            <wp:extent cx="2971698" cy="168332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71698" cy="1683327"/>
                    </a:xfrm>
                    <a:prstGeom prst="rect">
                      <a:avLst/>
                    </a:prstGeom>
                  </pic:spPr>
                </pic:pic>
              </a:graphicData>
            </a:graphic>
          </wp:inline>
        </w:drawing>
      </w:r>
    </w:p>
    <w:p w14:paraId="36D84957" w14:textId="20A93FD8" w:rsidR="00F56649" w:rsidRDefault="00F56649" w:rsidP="0035456E">
      <w:pPr>
        <w:spacing w:line="360" w:lineRule="auto"/>
        <w:jc w:val="both"/>
        <w:rPr>
          <w:rFonts w:ascii="Book Antiqua" w:eastAsia="Book Antiqua" w:hAnsi="Book Antiqua" w:cs="Book Antiqua"/>
          <w:b/>
          <w:bCs/>
          <w:color w:val="000000"/>
        </w:rPr>
      </w:pPr>
      <w:r>
        <w:rPr>
          <w:noProof/>
        </w:rPr>
        <w:drawing>
          <wp:inline distT="0" distB="0" distL="0" distR="0" wp14:anchorId="3DBA2811" wp14:editId="16785032">
            <wp:extent cx="3141396" cy="209896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1396" cy="2098963"/>
                    </a:xfrm>
                    <a:prstGeom prst="rect">
                      <a:avLst/>
                    </a:prstGeom>
                  </pic:spPr>
                </pic:pic>
              </a:graphicData>
            </a:graphic>
          </wp:inline>
        </w:drawing>
      </w:r>
    </w:p>
    <w:p w14:paraId="1803055B" w14:textId="2E9660CF" w:rsidR="00F56649" w:rsidRDefault="00F56649" w:rsidP="0035456E">
      <w:pPr>
        <w:spacing w:line="360" w:lineRule="auto"/>
        <w:jc w:val="both"/>
        <w:rPr>
          <w:rFonts w:ascii="Book Antiqua" w:eastAsia="Book Antiqua" w:hAnsi="Book Antiqua" w:cs="Book Antiqua"/>
          <w:b/>
          <w:bCs/>
          <w:color w:val="000000"/>
        </w:rPr>
      </w:pPr>
      <w:r>
        <w:rPr>
          <w:noProof/>
        </w:rPr>
        <w:drawing>
          <wp:inline distT="0" distB="0" distL="0" distR="0" wp14:anchorId="5A0CC33C" wp14:editId="0880BFCF">
            <wp:extent cx="3408218" cy="212321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8833" cy="2123601"/>
                    </a:xfrm>
                    <a:prstGeom prst="rect">
                      <a:avLst/>
                    </a:prstGeom>
                  </pic:spPr>
                </pic:pic>
              </a:graphicData>
            </a:graphic>
          </wp:inline>
        </w:drawing>
      </w:r>
    </w:p>
    <w:p w14:paraId="34B2C46A" w14:textId="3E40A395" w:rsidR="0035456E" w:rsidRPr="00BA008C" w:rsidRDefault="0035456E" w:rsidP="0035456E">
      <w:pPr>
        <w:spacing w:line="360" w:lineRule="auto"/>
        <w:jc w:val="both"/>
        <w:rPr>
          <w:rFonts w:ascii="Book Antiqua" w:eastAsia="Book Antiqua" w:hAnsi="Book Antiqua" w:cs="Book Antiqua"/>
          <w:b/>
          <w:color w:val="000000"/>
        </w:rPr>
      </w:pPr>
      <w:r w:rsidRPr="0035456E">
        <w:rPr>
          <w:rFonts w:ascii="Book Antiqua" w:eastAsia="Book Antiqua" w:hAnsi="Book Antiqua" w:cs="Book Antiqua"/>
          <w:b/>
          <w:bCs/>
          <w:color w:val="000000"/>
        </w:rPr>
        <w:t xml:space="preserve">Figure 1 </w:t>
      </w:r>
      <w:r w:rsidRPr="0035456E">
        <w:rPr>
          <w:rFonts w:ascii="Book Antiqua" w:eastAsia="Book Antiqua" w:hAnsi="Book Antiqua" w:cs="Book Antiqua"/>
          <w:b/>
          <w:color w:val="000000"/>
        </w:rPr>
        <w:t xml:space="preserve">Cumulative plot comparing the number of </w:t>
      </w:r>
      <w:r w:rsidR="004E42CD">
        <w:rPr>
          <w:rFonts w:ascii="Book Antiqua" w:eastAsia="Book Antiqua" w:hAnsi="Book Antiqua" w:cs="Book Antiqua"/>
          <w:b/>
          <w:color w:val="000000"/>
        </w:rPr>
        <w:t>a</w:t>
      </w:r>
      <w:r w:rsidR="004E42CD" w:rsidRPr="004E42CD">
        <w:rPr>
          <w:rFonts w:ascii="Book Antiqua" w:eastAsia="Book Antiqua" w:hAnsi="Book Antiqua" w:cs="Book Antiqua"/>
          <w:b/>
          <w:color w:val="000000"/>
        </w:rPr>
        <w:t>nterior cruciate ligament</w:t>
      </w:r>
      <w:r w:rsidRPr="0035456E">
        <w:rPr>
          <w:rFonts w:ascii="Book Antiqua" w:eastAsia="Book Antiqua" w:hAnsi="Book Antiqua" w:cs="Book Antiqua"/>
          <w:b/>
          <w:color w:val="000000"/>
        </w:rPr>
        <w:t xml:space="preserve"> tears</w:t>
      </w:r>
      <w:r w:rsidR="007242B6">
        <w:rPr>
          <w:rFonts w:ascii="Book Antiqua" w:eastAsia="Book Antiqua" w:hAnsi="Book Antiqua" w:cs="Book Antiqua"/>
          <w:b/>
          <w:color w:val="000000"/>
        </w:rPr>
        <w:t>.</w:t>
      </w:r>
      <w:r w:rsidR="00BA008C">
        <w:rPr>
          <w:rFonts w:ascii="Book Antiqua" w:hAnsi="Book Antiqua" w:cs="Book Antiqua" w:hint="eastAsia"/>
          <w:b/>
          <w:color w:val="000000"/>
          <w:lang w:eastAsia="zh-CN"/>
        </w:rPr>
        <w:t xml:space="preserve"> </w:t>
      </w:r>
      <w:r w:rsidR="007242B6" w:rsidRPr="00BA008C">
        <w:rPr>
          <w:rFonts w:ascii="Book Antiqua" w:eastAsia="Book Antiqua" w:hAnsi="Book Antiqua" w:cs="Book Antiqua"/>
          <w:bCs/>
          <w:color w:val="000000"/>
        </w:rPr>
        <w:t>A: I</w:t>
      </w:r>
      <w:r w:rsidRPr="0035456E">
        <w:rPr>
          <w:rFonts w:ascii="Book Antiqua" w:eastAsia="Book Antiqua" w:hAnsi="Book Antiqua" w:cs="Book Antiqua"/>
          <w:bCs/>
          <w:color w:val="000000"/>
        </w:rPr>
        <w:t xml:space="preserve">n the first four regular season (RS) games of the 2020 season to the 2015-2019 </w:t>
      </w:r>
      <w:r w:rsidR="00C45008">
        <w:rPr>
          <w:rFonts w:ascii="Book Antiqua" w:eastAsia="Book Antiqua" w:hAnsi="Book Antiqua" w:cs="Book Antiqua"/>
          <w:bCs/>
          <w:color w:val="000000"/>
        </w:rPr>
        <w:t>RS</w:t>
      </w:r>
      <w:r w:rsidR="000868D5">
        <w:rPr>
          <w:rFonts w:ascii="Book Antiqua" w:eastAsia="Book Antiqua" w:hAnsi="Book Antiqua" w:cs="Book Antiqua"/>
          <w:bCs/>
          <w:color w:val="000000"/>
        </w:rPr>
        <w:t>;</w:t>
      </w:r>
      <w:r w:rsidRPr="0035456E">
        <w:rPr>
          <w:rFonts w:ascii="Book Antiqua" w:eastAsia="Book Antiqua" w:hAnsi="Book Antiqua" w:cs="Book Antiqua"/>
          <w:bCs/>
          <w:color w:val="000000"/>
        </w:rPr>
        <w:t xml:space="preserve"> </w:t>
      </w:r>
      <w:r w:rsidR="00BA008C" w:rsidRPr="00BA008C">
        <w:rPr>
          <w:rFonts w:ascii="Book Antiqua" w:eastAsia="Book Antiqua" w:hAnsi="Book Antiqua" w:cs="Book Antiqua"/>
          <w:bCs/>
          <w:color w:val="000000"/>
        </w:rPr>
        <w:t>B: I</w:t>
      </w:r>
      <w:r w:rsidR="00BA008C" w:rsidRPr="0035456E">
        <w:rPr>
          <w:rFonts w:ascii="Book Antiqua" w:eastAsia="Book Antiqua" w:hAnsi="Book Antiqua" w:cs="Book Antiqua"/>
          <w:bCs/>
          <w:color w:val="000000"/>
        </w:rPr>
        <w:t xml:space="preserve">n the 2020 season to the 2015-2019 average for the preseason (PS) and first 8 </w:t>
      </w:r>
      <w:proofErr w:type="spellStart"/>
      <w:r w:rsidR="00BA008C" w:rsidRPr="0035456E">
        <w:rPr>
          <w:rFonts w:ascii="Book Antiqua" w:eastAsia="Book Antiqua" w:hAnsi="Book Antiqua" w:cs="Book Antiqua"/>
          <w:bCs/>
          <w:color w:val="000000"/>
        </w:rPr>
        <w:t>wk</w:t>
      </w:r>
      <w:proofErr w:type="spellEnd"/>
      <w:r w:rsidR="00BA008C" w:rsidRPr="0035456E">
        <w:rPr>
          <w:rFonts w:ascii="Book Antiqua" w:eastAsia="Book Antiqua" w:hAnsi="Book Antiqua" w:cs="Book Antiqua"/>
          <w:bCs/>
          <w:color w:val="000000"/>
        </w:rPr>
        <w:t xml:space="preserve"> of the RS. </w:t>
      </w:r>
      <w:r w:rsidR="00BA008C" w:rsidRPr="00BA008C">
        <w:rPr>
          <w:rFonts w:ascii="Book Antiqua" w:eastAsia="Book Antiqua" w:hAnsi="Book Antiqua" w:cs="Book Antiqua"/>
          <w:bCs/>
          <w:color w:val="000000"/>
        </w:rPr>
        <w:t xml:space="preserve">C: </w:t>
      </w:r>
      <w:r w:rsidR="00623AE8">
        <w:rPr>
          <w:rFonts w:ascii="Book Antiqua" w:eastAsia="Book Antiqua" w:hAnsi="Book Antiqua" w:cs="Book Antiqua"/>
          <w:bCs/>
          <w:color w:val="000000"/>
        </w:rPr>
        <w:t>I</w:t>
      </w:r>
      <w:r w:rsidR="00BA008C" w:rsidRPr="0035456E">
        <w:rPr>
          <w:rFonts w:ascii="Book Antiqua" w:eastAsia="Book Antiqua" w:hAnsi="Book Antiqua" w:cs="Book Antiqua"/>
          <w:bCs/>
          <w:color w:val="000000"/>
        </w:rPr>
        <w:t>n the 2020 season to the 2015-2019 average over the first 8 games played (</w:t>
      </w:r>
      <w:r w:rsidR="00C007C2">
        <w:rPr>
          <w:rFonts w:ascii="Book Antiqua" w:eastAsia="Book Antiqua" w:hAnsi="Book Antiqua" w:cs="Book Antiqua"/>
          <w:bCs/>
          <w:color w:val="000000"/>
        </w:rPr>
        <w:t>PS</w:t>
      </w:r>
      <w:r w:rsidR="00BA008C" w:rsidRPr="0035456E">
        <w:rPr>
          <w:rFonts w:ascii="Book Antiqua" w:eastAsia="Book Antiqua" w:hAnsi="Book Antiqua" w:cs="Book Antiqua"/>
          <w:bCs/>
          <w:color w:val="000000"/>
        </w:rPr>
        <w:t xml:space="preserve"> or </w:t>
      </w:r>
      <w:r w:rsidR="00C45008">
        <w:rPr>
          <w:rFonts w:ascii="Book Antiqua" w:eastAsia="Book Antiqua" w:hAnsi="Book Antiqua" w:cs="Book Antiqua"/>
          <w:bCs/>
          <w:color w:val="000000"/>
        </w:rPr>
        <w:t>RS</w:t>
      </w:r>
      <w:r w:rsidR="00BA008C" w:rsidRPr="0035456E">
        <w:rPr>
          <w:rFonts w:ascii="Book Antiqua" w:eastAsia="Book Antiqua" w:hAnsi="Book Antiqua" w:cs="Book Antiqua"/>
          <w:bCs/>
          <w:color w:val="000000"/>
        </w:rPr>
        <w:t>) in each group.</w:t>
      </w:r>
      <w:r w:rsidR="00BA008C" w:rsidRPr="00BA008C">
        <w:rPr>
          <w:rFonts w:ascii="Book Antiqua" w:hAnsi="Book Antiqua" w:cs="Book Antiqua" w:hint="eastAsia"/>
          <w:bCs/>
          <w:color w:val="000000"/>
          <w:lang w:eastAsia="zh-CN"/>
        </w:rPr>
        <w:t xml:space="preserve"> </w:t>
      </w:r>
      <w:r w:rsidRPr="0035456E">
        <w:rPr>
          <w:rFonts w:ascii="Book Antiqua" w:eastAsia="Book Antiqua" w:hAnsi="Book Antiqua" w:cs="Book Antiqua"/>
          <w:bCs/>
          <w:color w:val="000000"/>
        </w:rPr>
        <w:t>Error bars designate the confidence interval above and below the mean.</w:t>
      </w:r>
      <w:r w:rsidR="00F56649">
        <w:rPr>
          <w:rFonts w:ascii="Book Antiqua" w:eastAsia="Book Antiqua" w:hAnsi="Book Antiqua" w:cs="Book Antiqua"/>
          <w:bCs/>
          <w:color w:val="000000"/>
        </w:rPr>
        <w:t xml:space="preserve"> ACL: </w:t>
      </w:r>
      <w:r w:rsidR="00F56649" w:rsidRPr="00F56649">
        <w:rPr>
          <w:rFonts w:ascii="Book Antiqua" w:eastAsia="Book Antiqua" w:hAnsi="Book Antiqua" w:cs="Book Antiqua"/>
          <w:bCs/>
          <w:color w:val="000000"/>
        </w:rPr>
        <w:t>Anterior cruciate ligament</w:t>
      </w:r>
      <w:r w:rsidR="00F72787">
        <w:rPr>
          <w:rFonts w:ascii="Book Antiqua" w:eastAsia="Book Antiqua" w:hAnsi="Book Antiqua" w:cs="Book Antiqua"/>
          <w:bCs/>
          <w:color w:val="000000"/>
        </w:rPr>
        <w:t>; RS: R</w:t>
      </w:r>
      <w:r w:rsidR="00F72787" w:rsidRPr="0035456E">
        <w:rPr>
          <w:rFonts w:ascii="Book Antiqua" w:eastAsia="Book Antiqua" w:hAnsi="Book Antiqua" w:cs="Book Antiqua"/>
          <w:bCs/>
          <w:color w:val="000000"/>
        </w:rPr>
        <w:t>egular season</w:t>
      </w:r>
      <w:r w:rsidR="00F72787">
        <w:rPr>
          <w:rFonts w:ascii="Book Antiqua" w:eastAsia="Book Antiqua" w:hAnsi="Book Antiqua" w:cs="Book Antiqua"/>
          <w:bCs/>
          <w:color w:val="000000"/>
        </w:rPr>
        <w:t>; PS: P</w:t>
      </w:r>
      <w:r w:rsidR="00F72787" w:rsidRPr="0035456E">
        <w:rPr>
          <w:rFonts w:ascii="Book Antiqua" w:eastAsia="Book Antiqua" w:hAnsi="Book Antiqua" w:cs="Book Antiqua"/>
          <w:bCs/>
          <w:color w:val="000000"/>
        </w:rPr>
        <w:t>reseason</w:t>
      </w:r>
      <w:r w:rsidR="00F72787">
        <w:rPr>
          <w:rFonts w:ascii="Book Antiqua" w:eastAsia="Book Antiqua" w:hAnsi="Book Antiqua" w:cs="Book Antiqua"/>
          <w:bCs/>
          <w:color w:val="000000"/>
        </w:rPr>
        <w:t>.</w:t>
      </w:r>
    </w:p>
    <w:p w14:paraId="026C2563" w14:textId="77777777" w:rsidR="00F50F85" w:rsidRPr="0069637A" w:rsidRDefault="00F50F85" w:rsidP="00F50F85">
      <w:pPr>
        <w:rPr>
          <w:b/>
          <w:bCs/>
        </w:rPr>
      </w:pPr>
      <w:r w:rsidRPr="0061681A">
        <w:rPr>
          <w:rFonts w:ascii="Book Antiqua" w:eastAsia="Times New Roman" w:hAnsi="Book Antiqua" w:cs="Arial"/>
          <w:b/>
          <w:bCs/>
        </w:rPr>
        <w:lastRenderedPageBreak/>
        <w:t>Table 1</w:t>
      </w:r>
      <w:r>
        <w:rPr>
          <w:rFonts w:ascii="Book Antiqua" w:eastAsia="Times New Roman" w:hAnsi="Book Antiqua" w:cs="Arial"/>
          <w:b/>
          <w:bCs/>
        </w:rPr>
        <w:t xml:space="preserve"> </w:t>
      </w:r>
      <w:r w:rsidRPr="0069637A">
        <w:rPr>
          <w:rFonts w:ascii="Book Antiqua" w:eastAsia="Times New Roman" w:hAnsi="Book Antiqua" w:cs="Arial"/>
          <w:b/>
          <w:bCs/>
        </w:rPr>
        <w:t xml:space="preserve">Cumulative </w:t>
      </w:r>
      <w:r w:rsidRPr="00930930">
        <w:rPr>
          <w:rFonts w:ascii="Book Antiqua" w:eastAsia="Times New Roman" w:hAnsi="Book Antiqua" w:cs="Arial"/>
          <w:b/>
          <w:bCs/>
        </w:rPr>
        <w:t>anterior cruciate ligament</w:t>
      </w:r>
      <w:r w:rsidRPr="0069637A">
        <w:rPr>
          <w:rFonts w:ascii="Book Antiqua" w:eastAsia="Times New Roman" w:hAnsi="Book Antiqua" w:cs="Arial"/>
          <w:b/>
          <w:bCs/>
        </w:rPr>
        <w:t xml:space="preserve"> tear count</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1458"/>
        <w:gridCol w:w="2263"/>
        <w:gridCol w:w="2069"/>
        <w:gridCol w:w="1531"/>
      </w:tblGrid>
      <w:tr w:rsidR="00AC1585" w:rsidRPr="0061681A" w14:paraId="0152338F" w14:textId="77777777" w:rsidTr="00AC1585">
        <w:trPr>
          <w:trHeight w:val="317"/>
        </w:trPr>
        <w:tc>
          <w:tcPr>
            <w:tcW w:w="1089" w:type="pct"/>
            <w:tcBorders>
              <w:top w:val="single" w:sz="4" w:space="0" w:color="auto"/>
              <w:bottom w:val="single" w:sz="4" w:space="0" w:color="auto"/>
            </w:tcBorders>
            <w:hideMark/>
          </w:tcPr>
          <w:p w14:paraId="09E30083" w14:textId="77777777" w:rsidR="00F50F85" w:rsidRPr="0061681A" w:rsidRDefault="00F50F85" w:rsidP="00AB1F7B">
            <w:pPr>
              <w:spacing w:line="360" w:lineRule="auto"/>
              <w:contextualSpacing/>
              <w:jc w:val="both"/>
              <w:rPr>
                <w:rFonts w:ascii="Book Antiqua" w:eastAsia="Times New Roman" w:hAnsi="Book Antiqua" w:cs="Arial"/>
                <w:b/>
                <w:bCs/>
              </w:rPr>
            </w:pPr>
            <w:bookmarkStart w:id="0" w:name="_Hlk78834333"/>
            <w:r w:rsidRPr="0061681A">
              <w:rPr>
                <w:rFonts w:ascii="Book Antiqua" w:eastAsia="Times New Roman" w:hAnsi="Book Antiqua" w:cs="Arial"/>
                <w:b/>
                <w:bCs/>
              </w:rPr>
              <w:t>Season</w:t>
            </w:r>
          </w:p>
        </w:tc>
        <w:tc>
          <w:tcPr>
            <w:tcW w:w="779" w:type="pct"/>
            <w:tcBorders>
              <w:top w:val="single" w:sz="4" w:space="0" w:color="auto"/>
              <w:bottom w:val="single" w:sz="4" w:space="0" w:color="auto"/>
            </w:tcBorders>
            <w:hideMark/>
          </w:tcPr>
          <w:p w14:paraId="6497683F" w14:textId="77777777" w:rsidR="00F50F85" w:rsidRPr="0061681A" w:rsidRDefault="00F50F85" w:rsidP="00AB1F7B">
            <w:pPr>
              <w:spacing w:line="360" w:lineRule="auto"/>
              <w:contextualSpacing/>
              <w:jc w:val="both"/>
              <w:rPr>
                <w:rFonts w:ascii="Book Antiqua" w:eastAsia="Times New Roman" w:hAnsi="Book Antiqua" w:cs="Arial"/>
                <w:b/>
                <w:bCs/>
              </w:rPr>
            </w:pPr>
            <w:r w:rsidRPr="0061681A">
              <w:rPr>
                <w:rFonts w:ascii="Book Antiqua" w:eastAsia="Times New Roman" w:hAnsi="Book Antiqua" w:cs="Arial"/>
                <w:b/>
                <w:bCs/>
              </w:rPr>
              <w:t xml:space="preserve">Total ACL </w:t>
            </w:r>
            <w:r>
              <w:rPr>
                <w:rFonts w:ascii="Book Antiqua" w:eastAsia="Times New Roman" w:hAnsi="Book Antiqua" w:cs="Arial"/>
                <w:b/>
                <w:bCs/>
              </w:rPr>
              <w:t>t</w:t>
            </w:r>
            <w:r w:rsidRPr="0061681A">
              <w:rPr>
                <w:rFonts w:ascii="Book Antiqua" w:eastAsia="Times New Roman" w:hAnsi="Book Antiqua" w:cs="Arial"/>
                <w:b/>
                <w:bCs/>
              </w:rPr>
              <w:t>ears</w:t>
            </w:r>
          </w:p>
        </w:tc>
        <w:tc>
          <w:tcPr>
            <w:tcW w:w="1209" w:type="pct"/>
            <w:tcBorders>
              <w:top w:val="single" w:sz="4" w:space="0" w:color="auto"/>
              <w:bottom w:val="single" w:sz="4" w:space="0" w:color="auto"/>
            </w:tcBorders>
          </w:tcPr>
          <w:p w14:paraId="1F8734BC" w14:textId="77777777" w:rsidR="00F50F85" w:rsidRPr="0061681A" w:rsidRDefault="00F50F85" w:rsidP="00AB1F7B">
            <w:pPr>
              <w:spacing w:line="360" w:lineRule="auto"/>
              <w:contextualSpacing/>
              <w:jc w:val="both"/>
              <w:rPr>
                <w:rFonts w:ascii="Book Antiqua" w:eastAsia="Times New Roman" w:hAnsi="Book Antiqua" w:cs="Arial"/>
                <w:b/>
                <w:bCs/>
              </w:rPr>
            </w:pPr>
            <w:r w:rsidRPr="0061681A">
              <w:rPr>
                <w:rFonts w:ascii="Book Antiqua" w:eastAsia="Times New Roman" w:hAnsi="Book Antiqua" w:cs="Arial"/>
                <w:b/>
                <w:bCs/>
              </w:rPr>
              <w:t>Percent difference</w:t>
            </w:r>
          </w:p>
        </w:tc>
        <w:tc>
          <w:tcPr>
            <w:tcW w:w="1105" w:type="pct"/>
            <w:tcBorders>
              <w:top w:val="single" w:sz="4" w:space="0" w:color="auto"/>
              <w:bottom w:val="single" w:sz="4" w:space="0" w:color="auto"/>
            </w:tcBorders>
          </w:tcPr>
          <w:p w14:paraId="20FEE485" w14:textId="77777777" w:rsidR="00F50F85" w:rsidRPr="0061681A" w:rsidRDefault="00F50F85" w:rsidP="00AB1F7B">
            <w:pPr>
              <w:spacing w:line="360" w:lineRule="auto"/>
              <w:contextualSpacing/>
              <w:jc w:val="both"/>
              <w:rPr>
                <w:rFonts w:ascii="Book Antiqua" w:eastAsia="Times New Roman" w:hAnsi="Book Antiqua" w:cs="Arial"/>
                <w:b/>
                <w:bCs/>
              </w:rPr>
            </w:pPr>
            <w:r w:rsidRPr="0061681A">
              <w:rPr>
                <w:rFonts w:ascii="Book Antiqua" w:eastAsia="Times New Roman" w:hAnsi="Book Antiqua" w:cs="Arial"/>
                <w:b/>
                <w:bCs/>
              </w:rPr>
              <w:t xml:space="preserve">Teams </w:t>
            </w:r>
            <w:r>
              <w:rPr>
                <w:rFonts w:ascii="Book Antiqua" w:eastAsia="Times New Roman" w:hAnsi="Book Antiqua" w:cs="Arial"/>
                <w:b/>
                <w:bCs/>
              </w:rPr>
              <w:t>i</w:t>
            </w:r>
            <w:r w:rsidRPr="0061681A">
              <w:rPr>
                <w:rFonts w:ascii="Book Antiqua" w:eastAsia="Times New Roman" w:hAnsi="Book Antiqua" w:cs="Arial"/>
                <w:b/>
                <w:bCs/>
              </w:rPr>
              <w:t>mpacted</w:t>
            </w:r>
          </w:p>
        </w:tc>
        <w:tc>
          <w:tcPr>
            <w:tcW w:w="818" w:type="pct"/>
            <w:tcBorders>
              <w:top w:val="single" w:sz="4" w:space="0" w:color="auto"/>
              <w:bottom w:val="single" w:sz="4" w:space="0" w:color="auto"/>
            </w:tcBorders>
          </w:tcPr>
          <w:p w14:paraId="6D917C15" w14:textId="77777777" w:rsidR="00F50F85" w:rsidRPr="0061681A" w:rsidRDefault="00F50F85" w:rsidP="00AB1F7B">
            <w:pPr>
              <w:spacing w:line="360" w:lineRule="auto"/>
              <w:contextualSpacing/>
              <w:jc w:val="both"/>
              <w:rPr>
                <w:rFonts w:ascii="Book Antiqua" w:eastAsia="Times New Roman" w:hAnsi="Book Antiqua" w:cs="Arial"/>
                <w:b/>
                <w:bCs/>
              </w:rPr>
            </w:pPr>
            <w:r w:rsidRPr="006B0D75">
              <w:rPr>
                <w:rFonts w:ascii="Book Antiqua" w:eastAsia="Times New Roman" w:hAnsi="Book Antiqua" w:cs="Arial"/>
                <w:b/>
                <w:bCs/>
                <w:i/>
                <w:iCs/>
              </w:rPr>
              <w:t xml:space="preserve">P </w:t>
            </w:r>
            <w:r w:rsidRPr="0061681A">
              <w:rPr>
                <w:rFonts w:ascii="Book Antiqua" w:eastAsia="Times New Roman" w:hAnsi="Book Antiqua" w:cs="Arial"/>
                <w:b/>
                <w:bCs/>
              </w:rPr>
              <w:t>value</w:t>
            </w:r>
            <w:r w:rsidRPr="006B0D75">
              <w:rPr>
                <w:rFonts w:ascii="Book Antiqua" w:eastAsia="Times New Roman" w:hAnsi="Book Antiqua" w:cs="Arial"/>
                <w:b/>
                <w:bCs/>
                <w:vertAlign w:val="superscript"/>
              </w:rPr>
              <w:t>1</w:t>
            </w:r>
          </w:p>
        </w:tc>
      </w:tr>
      <w:tr w:rsidR="00F50F85" w:rsidRPr="0061681A" w14:paraId="4D6C3157" w14:textId="77777777" w:rsidTr="00AC1585">
        <w:trPr>
          <w:trHeight w:val="317"/>
        </w:trPr>
        <w:tc>
          <w:tcPr>
            <w:tcW w:w="5000" w:type="pct"/>
            <w:gridSpan w:val="5"/>
            <w:tcBorders>
              <w:top w:val="single" w:sz="4" w:space="0" w:color="auto"/>
            </w:tcBorders>
          </w:tcPr>
          <w:p w14:paraId="4990A73A"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Through four regular season games, excluding preseason</w:t>
            </w:r>
          </w:p>
        </w:tc>
      </w:tr>
      <w:tr w:rsidR="00F50F85" w:rsidRPr="0061681A" w14:paraId="466ACF43" w14:textId="77777777" w:rsidTr="00AC1585">
        <w:trPr>
          <w:trHeight w:val="317"/>
        </w:trPr>
        <w:tc>
          <w:tcPr>
            <w:tcW w:w="1089" w:type="pct"/>
            <w:hideMark/>
          </w:tcPr>
          <w:p w14:paraId="4AADB0AB"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2020</w:t>
            </w:r>
          </w:p>
        </w:tc>
        <w:tc>
          <w:tcPr>
            <w:tcW w:w="779" w:type="pct"/>
            <w:hideMark/>
          </w:tcPr>
          <w:p w14:paraId="045F76B4"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14</w:t>
            </w:r>
          </w:p>
        </w:tc>
        <w:tc>
          <w:tcPr>
            <w:tcW w:w="1209" w:type="pct"/>
          </w:tcPr>
          <w:p w14:paraId="5D597E0D"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+118.8%</w:t>
            </w:r>
          </w:p>
        </w:tc>
        <w:tc>
          <w:tcPr>
            <w:tcW w:w="1105" w:type="pct"/>
          </w:tcPr>
          <w:p w14:paraId="4D45AE6F"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b/>
                <w:bCs/>
              </w:rPr>
              <w:t>11</w:t>
            </w:r>
          </w:p>
        </w:tc>
        <w:tc>
          <w:tcPr>
            <w:tcW w:w="818" w:type="pct"/>
          </w:tcPr>
          <w:p w14:paraId="0541BFE1" w14:textId="77777777" w:rsidR="00F50F85" w:rsidRPr="0061681A" w:rsidRDefault="00F50F85" w:rsidP="00AB1F7B">
            <w:pPr>
              <w:spacing w:line="360" w:lineRule="auto"/>
              <w:contextualSpacing/>
              <w:jc w:val="both"/>
              <w:rPr>
                <w:rFonts w:ascii="Book Antiqua" w:eastAsia="Times New Roman" w:hAnsi="Book Antiqua" w:cs="Arial"/>
              </w:rPr>
            </w:pPr>
            <w:r>
              <w:rPr>
                <w:rFonts w:ascii="Book Antiqua" w:eastAsia="Times New Roman" w:hAnsi="Book Antiqua" w:cs="Arial"/>
                <w:b/>
                <w:bCs/>
              </w:rPr>
              <w:t>0</w:t>
            </w:r>
            <w:r w:rsidRPr="0061681A">
              <w:rPr>
                <w:rFonts w:ascii="Book Antiqua" w:eastAsia="Times New Roman" w:hAnsi="Book Antiqua" w:cs="Arial"/>
                <w:b/>
                <w:bCs/>
              </w:rPr>
              <w:t>.039</w:t>
            </w:r>
          </w:p>
        </w:tc>
      </w:tr>
      <w:tr w:rsidR="00AC1585" w:rsidRPr="0061681A" w14:paraId="621031B5" w14:textId="77777777" w:rsidTr="00AC1585">
        <w:trPr>
          <w:trHeight w:val="317"/>
        </w:trPr>
        <w:tc>
          <w:tcPr>
            <w:tcW w:w="1089" w:type="pct"/>
          </w:tcPr>
          <w:p w14:paraId="0A9E23D8"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 xml:space="preserve">2015-2019 </w:t>
            </w:r>
            <w:r w:rsidRPr="0035456E">
              <w:rPr>
                <w:rFonts w:ascii="Book Antiqua" w:eastAsia="Book Antiqua" w:hAnsi="Book Antiqua" w:cs="Book Antiqua"/>
                <w:bCs/>
                <w:color w:val="000000"/>
              </w:rPr>
              <w:t>average</w:t>
            </w:r>
          </w:p>
        </w:tc>
        <w:tc>
          <w:tcPr>
            <w:tcW w:w="779" w:type="pct"/>
          </w:tcPr>
          <w:p w14:paraId="6FD1DB86"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6.4</w:t>
            </w:r>
          </w:p>
        </w:tc>
        <w:tc>
          <w:tcPr>
            <w:tcW w:w="1209" w:type="pct"/>
          </w:tcPr>
          <w:p w14:paraId="60DF9D83" w14:textId="77777777" w:rsidR="00F50F85" w:rsidRPr="0061681A" w:rsidRDefault="00F50F85" w:rsidP="00AB1F7B">
            <w:pPr>
              <w:spacing w:line="360" w:lineRule="auto"/>
              <w:contextualSpacing/>
              <w:jc w:val="both"/>
              <w:rPr>
                <w:rFonts w:ascii="Book Antiqua" w:eastAsia="Times New Roman" w:hAnsi="Book Antiqua" w:cs="Arial"/>
              </w:rPr>
            </w:pPr>
          </w:p>
        </w:tc>
        <w:tc>
          <w:tcPr>
            <w:tcW w:w="1105" w:type="pct"/>
          </w:tcPr>
          <w:p w14:paraId="7DAA91EA"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b/>
                <w:bCs/>
              </w:rPr>
              <w:t>5.8</w:t>
            </w:r>
          </w:p>
        </w:tc>
        <w:tc>
          <w:tcPr>
            <w:tcW w:w="818" w:type="pct"/>
          </w:tcPr>
          <w:p w14:paraId="13ACAA5B" w14:textId="77777777" w:rsidR="00F50F85" w:rsidRPr="0061681A" w:rsidRDefault="00F50F85" w:rsidP="00AB1F7B">
            <w:pPr>
              <w:spacing w:line="360" w:lineRule="auto"/>
              <w:contextualSpacing/>
              <w:jc w:val="both"/>
              <w:rPr>
                <w:rFonts w:ascii="Book Antiqua" w:eastAsia="Times New Roman" w:hAnsi="Book Antiqua" w:cs="Arial"/>
              </w:rPr>
            </w:pPr>
          </w:p>
        </w:tc>
      </w:tr>
      <w:tr w:rsidR="00F50F85" w:rsidRPr="0061681A" w14:paraId="6E36F0B3" w14:textId="77777777" w:rsidTr="00AC1585">
        <w:trPr>
          <w:trHeight w:val="317"/>
        </w:trPr>
        <w:tc>
          <w:tcPr>
            <w:tcW w:w="5000" w:type="pct"/>
            <w:gridSpan w:val="5"/>
          </w:tcPr>
          <w:p w14:paraId="224FE5FD"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Through four regular season games, including preseason injuries</w:t>
            </w:r>
          </w:p>
        </w:tc>
      </w:tr>
      <w:tr w:rsidR="00F50F85" w:rsidRPr="0061681A" w14:paraId="476F4687" w14:textId="77777777" w:rsidTr="00AC1585">
        <w:trPr>
          <w:trHeight w:val="317"/>
        </w:trPr>
        <w:tc>
          <w:tcPr>
            <w:tcW w:w="1089" w:type="pct"/>
          </w:tcPr>
          <w:p w14:paraId="4CBD0268"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2020</w:t>
            </w:r>
          </w:p>
        </w:tc>
        <w:tc>
          <w:tcPr>
            <w:tcW w:w="779" w:type="pct"/>
          </w:tcPr>
          <w:p w14:paraId="0A122188"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hAnsi="Book Antiqua" w:cs="Arial"/>
              </w:rPr>
              <w:t>14</w:t>
            </w:r>
          </w:p>
        </w:tc>
        <w:tc>
          <w:tcPr>
            <w:tcW w:w="1209" w:type="pct"/>
          </w:tcPr>
          <w:p w14:paraId="749D1866"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-18.6%</w:t>
            </w:r>
          </w:p>
        </w:tc>
        <w:tc>
          <w:tcPr>
            <w:tcW w:w="1105" w:type="pct"/>
          </w:tcPr>
          <w:p w14:paraId="49BDF186"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hAnsi="Book Antiqua" w:cs="Arial"/>
              </w:rPr>
              <w:t>11</w:t>
            </w:r>
          </w:p>
        </w:tc>
        <w:tc>
          <w:tcPr>
            <w:tcW w:w="818" w:type="pct"/>
          </w:tcPr>
          <w:p w14:paraId="16E76DE2"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0.394</w:t>
            </w:r>
          </w:p>
        </w:tc>
      </w:tr>
      <w:tr w:rsidR="00AC1585" w:rsidRPr="0061681A" w14:paraId="5C666A4F" w14:textId="77777777" w:rsidTr="00AC1585">
        <w:trPr>
          <w:trHeight w:val="317"/>
        </w:trPr>
        <w:tc>
          <w:tcPr>
            <w:tcW w:w="1089" w:type="pct"/>
          </w:tcPr>
          <w:p w14:paraId="12F17134"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 xml:space="preserve">2015-2019 </w:t>
            </w:r>
            <w:r w:rsidRPr="0035456E">
              <w:rPr>
                <w:rFonts w:ascii="Book Antiqua" w:eastAsia="Book Antiqua" w:hAnsi="Book Antiqua" w:cs="Book Antiqua"/>
                <w:bCs/>
                <w:color w:val="000000"/>
              </w:rPr>
              <w:t>average</w:t>
            </w:r>
          </w:p>
        </w:tc>
        <w:tc>
          <w:tcPr>
            <w:tcW w:w="779" w:type="pct"/>
          </w:tcPr>
          <w:p w14:paraId="5390884B"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hAnsi="Book Antiqua" w:cs="Arial"/>
              </w:rPr>
              <w:t>17.2</w:t>
            </w:r>
          </w:p>
        </w:tc>
        <w:tc>
          <w:tcPr>
            <w:tcW w:w="1209" w:type="pct"/>
          </w:tcPr>
          <w:p w14:paraId="6AC98C1F" w14:textId="77777777" w:rsidR="00F50F85" w:rsidRPr="0061681A" w:rsidRDefault="00F50F85" w:rsidP="00AB1F7B">
            <w:pPr>
              <w:spacing w:line="360" w:lineRule="auto"/>
              <w:contextualSpacing/>
              <w:jc w:val="both"/>
              <w:rPr>
                <w:rFonts w:ascii="Book Antiqua" w:eastAsia="Times New Roman" w:hAnsi="Book Antiqua" w:cs="Arial"/>
              </w:rPr>
            </w:pPr>
          </w:p>
        </w:tc>
        <w:tc>
          <w:tcPr>
            <w:tcW w:w="1105" w:type="pct"/>
          </w:tcPr>
          <w:p w14:paraId="51116A29"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13.6</w:t>
            </w:r>
          </w:p>
        </w:tc>
        <w:tc>
          <w:tcPr>
            <w:tcW w:w="818" w:type="pct"/>
          </w:tcPr>
          <w:p w14:paraId="24228C20" w14:textId="77777777" w:rsidR="00F50F85" w:rsidRPr="0061681A" w:rsidRDefault="00F50F85" w:rsidP="00AB1F7B">
            <w:pPr>
              <w:spacing w:line="360" w:lineRule="auto"/>
              <w:contextualSpacing/>
              <w:jc w:val="both"/>
              <w:rPr>
                <w:rFonts w:ascii="Book Antiqua" w:eastAsia="Times New Roman" w:hAnsi="Book Antiqua" w:cs="Arial"/>
              </w:rPr>
            </w:pPr>
          </w:p>
        </w:tc>
      </w:tr>
      <w:tr w:rsidR="00F50F85" w:rsidRPr="0061681A" w14:paraId="5FB03E17" w14:textId="77777777" w:rsidTr="00AC1585">
        <w:trPr>
          <w:trHeight w:val="317"/>
        </w:trPr>
        <w:tc>
          <w:tcPr>
            <w:tcW w:w="5000" w:type="pct"/>
            <w:gridSpan w:val="5"/>
          </w:tcPr>
          <w:p w14:paraId="60094BDD"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Through eight regular season games, including preseason injuries</w:t>
            </w:r>
          </w:p>
        </w:tc>
      </w:tr>
      <w:tr w:rsidR="00F50F85" w:rsidRPr="0061681A" w14:paraId="0AFC4FBD" w14:textId="77777777" w:rsidTr="00AC1585">
        <w:trPr>
          <w:trHeight w:val="317"/>
        </w:trPr>
        <w:tc>
          <w:tcPr>
            <w:tcW w:w="1089" w:type="pct"/>
          </w:tcPr>
          <w:p w14:paraId="074AEC46"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2020</w:t>
            </w:r>
          </w:p>
        </w:tc>
        <w:tc>
          <w:tcPr>
            <w:tcW w:w="779" w:type="pct"/>
          </w:tcPr>
          <w:p w14:paraId="6056ECD4"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hAnsi="Book Antiqua" w:cs="Arial"/>
                <w:color w:val="000000"/>
              </w:rPr>
              <w:t>19</w:t>
            </w:r>
          </w:p>
        </w:tc>
        <w:tc>
          <w:tcPr>
            <w:tcW w:w="1209" w:type="pct"/>
          </w:tcPr>
          <w:p w14:paraId="01C87216"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-16.7%</w:t>
            </w:r>
          </w:p>
        </w:tc>
        <w:tc>
          <w:tcPr>
            <w:tcW w:w="1105" w:type="pct"/>
          </w:tcPr>
          <w:p w14:paraId="01CD6D25"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hAnsi="Book Antiqua" w:cs="Arial"/>
                <w:color w:val="000000"/>
              </w:rPr>
              <w:t>12</w:t>
            </w:r>
          </w:p>
        </w:tc>
        <w:tc>
          <w:tcPr>
            <w:tcW w:w="818" w:type="pct"/>
          </w:tcPr>
          <w:p w14:paraId="40E0CBEE"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0.196</w:t>
            </w:r>
          </w:p>
        </w:tc>
      </w:tr>
      <w:tr w:rsidR="00AC1585" w:rsidRPr="0061681A" w14:paraId="32554BDA" w14:textId="77777777" w:rsidTr="00AC1585">
        <w:trPr>
          <w:trHeight w:val="317"/>
        </w:trPr>
        <w:tc>
          <w:tcPr>
            <w:tcW w:w="1089" w:type="pct"/>
          </w:tcPr>
          <w:p w14:paraId="0C8BAF2D"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 xml:space="preserve">2015-2019 </w:t>
            </w:r>
            <w:r w:rsidRPr="0035456E">
              <w:rPr>
                <w:rFonts w:ascii="Book Antiqua" w:eastAsia="Book Antiqua" w:hAnsi="Book Antiqua" w:cs="Book Antiqua"/>
                <w:bCs/>
                <w:color w:val="000000"/>
              </w:rPr>
              <w:t>average</w:t>
            </w:r>
          </w:p>
        </w:tc>
        <w:tc>
          <w:tcPr>
            <w:tcW w:w="779" w:type="pct"/>
          </w:tcPr>
          <w:p w14:paraId="65CBF696"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22.8</w:t>
            </w:r>
          </w:p>
        </w:tc>
        <w:tc>
          <w:tcPr>
            <w:tcW w:w="1209" w:type="pct"/>
          </w:tcPr>
          <w:p w14:paraId="5CBFBCE5" w14:textId="77777777" w:rsidR="00F50F85" w:rsidRPr="0061681A" w:rsidRDefault="00F50F85" w:rsidP="00AB1F7B">
            <w:pPr>
              <w:spacing w:line="360" w:lineRule="auto"/>
              <w:contextualSpacing/>
              <w:jc w:val="both"/>
              <w:rPr>
                <w:rFonts w:ascii="Book Antiqua" w:eastAsia="Times New Roman" w:hAnsi="Book Antiqua" w:cs="Arial"/>
              </w:rPr>
            </w:pPr>
          </w:p>
        </w:tc>
        <w:tc>
          <w:tcPr>
            <w:tcW w:w="1105" w:type="pct"/>
          </w:tcPr>
          <w:p w14:paraId="42BE8651"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16.0</w:t>
            </w:r>
          </w:p>
        </w:tc>
        <w:tc>
          <w:tcPr>
            <w:tcW w:w="818" w:type="pct"/>
          </w:tcPr>
          <w:p w14:paraId="2233A533" w14:textId="77777777" w:rsidR="00F50F85" w:rsidRPr="0061681A" w:rsidRDefault="00F50F85" w:rsidP="00AB1F7B">
            <w:pPr>
              <w:spacing w:line="360" w:lineRule="auto"/>
              <w:contextualSpacing/>
              <w:jc w:val="both"/>
              <w:rPr>
                <w:rFonts w:ascii="Book Antiqua" w:eastAsia="Times New Roman" w:hAnsi="Book Antiqua" w:cs="Arial"/>
              </w:rPr>
            </w:pPr>
          </w:p>
        </w:tc>
      </w:tr>
      <w:tr w:rsidR="00F50F85" w:rsidRPr="0061681A" w14:paraId="2CE35381" w14:textId="77777777" w:rsidTr="00AC1585">
        <w:trPr>
          <w:trHeight w:val="317"/>
        </w:trPr>
        <w:tc>
          <w:tcPr>
            <w:tcW w:w="5000" w:type="pct"/>
            <w:gridSpan w:val="5"/>
          </w:tcPr>
          <w:p w14:paraId="0D4BB820"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Through eight games played, regular or preseason</w:t>
            </w:r>
          </w:p>
        </w:tc>
      </w:tr>
      <w:tr w:rsidR="00AC1585" w:rsidRPr="0061681A" w14:paraId="2969A25F" w14:textId="77777777" w:rsidTr="00EF5FBF">
        <w:trPr>
          <w:trHeight w:val="317"/>
        </w:trPr>
        <w:tc>
          <w:tcPr>
            <w:tcW w:w="1089" w:type="pct"/>
          </w:tcPr>
          <w:p w14:paraId="28075854"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2020</w:t>
            </w:r>
          </w:p>
        </w:tc>
        <w:tc>
          <w:tcPr>
            <w:tcW w:w="779" w:type="pct"/>
          </w:tcPr>
          <w:p w14:paraId="3CD44789"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hAnsi="Book Antiqua" w:cs="Arial"/>
                <w:color w:val="000000"/>
              </w:rPr>
              <w:t>19</w:t>
            </w:r>
          </w:p>
        </w:tc>
        <w:tc>
          <w:tcPr>
            <w:tcW w:w="1209" w:type="pct"/>
          </w:tcPr>
          <w:p w14:paraId="36C93560"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+10.5%</w:t>
            </w:r>
          </w:p>
        </w:tc>
        <w:tc>
          <w:tcPr>
            <w:tcW w:w="1105" w:type="pct"/>
          </w:tcPr>
          <w:p w14:paraId="60117F36"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hAnsi="Book Antiqua" w:cs="Arial"/>
                <w:color w:val="000000"/>
              </w:rPr>
              <w:t>12</w:t>
            </w:r>
          </w:p>
        </w:tc>
        <w:tc>
          <w:tcPr>
            <w:tcW w:w="818" w:type="pct"/>
          </w:tcPr>
          <w:p w14:paraId="1A4A2492"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0.600</w:t>
            </w:r>
          </w:p>
        </w:tc>
      </w:tr>
      <w:tr w:rsidR="00AC1585" w:rsidRPr="0061681A" w14:paraId="5FFE3078" w14:textId="77777777" w:rsidTr="00EF5FBF">
        <w:trPr>
          <w:trHeight w:val="423"/>
        </w:trPr>
        <w:tc>
          <w:tcPr>
            <w:tcW w:w="1089" w:type="pct"/>
            <w:tcBorders>
              <w:bottom w:val="single" w:sz="4" w:space="0" w:color="auto"/>
            </w:tcBorders>
          </w:tcPr>
          <w:p w14:paraId="5486EC3B"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 xml:space="preserve">2015-2019 </w:t>
            </w:r>
            <w:r w:rsidRPr="0035456E">
              <w:rPr>
                <w:rFonts w:ascii="Book Antiqua" w:eastAsia="Book Antiqua" w:hAnsi="Book Antiqua" w:cs="Book Antiqua"/>
                <w:bCs/>
                <w:color w:val="000000"/>
              </w:rPr>
              <w:t>average</w:t>
            </w:r>
          </w:p>
        </w:tc>
        <w:tc>
          <w:tcPr>
            <w:tcW w:w="779" w:type="pct"/>
            <w:tcBorders>
              <w:bottom w:val="single" w:sz="4" w:space="0" w:color="auto"/>
            </w:tcBorders>
          </w:tcPr>
          <w:p w14:paraId="5721657B"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hAnsi="Book Antiqua" w:cs="Arial"/>
                <w:color w:val="000000"/>
              </w:rPr>
              <w:t>17.2</w:t>
            </w:r>
          </w:p>
        </w:tc>
        <w:tc>
          <w:tcPr>
            <w:tcW w:w="1209" w:type="pct"/>
            <w:tcBorders>
              <w:bottom w:val="single" w:sz="4" w:space="0" w:color="auto"/>
            </w:tcBorders>
          </w:tcPr>
          <w:p w14:paraId="373EF58D" w14:textId="77777777" w:rsidR="00F50F85" w:rsidRPr="0061681A" w:rsidRDefault="00F50F85" w:rsidP="00AB1F7B">
            <w:pPr>
              <w:spacing w:line="360" w:lineRule="auto"/>
              <w:contextualSpacing/>
              <w:jc w:val="both"/>
              <w:rPr>
                <w:rFonts w:ascii="Book Antiqua" w:eastAsia="Times New Roman" w:hAnsi="Book Antiqua" w:cs="Arial"/>
              </w:rPr>
            </w:pPr>
          </w:p>
        </w:tc>
        <w:tc>
          <w:tcPr>
            <w:tcW w:w="1105" w:type="pct"/>
            <w:tcBorders>
              <w:bottom w:val="single" w:sz="4" w:space="0" w:color="auto"/>
            </w:tcBorders>
          </w:tcPr>
          <w:p w14:paraId="055F0236" w14:textId="77777777" w:rsidR="00F50F85" w:rsidRPr="0061681A" w:rsidRDefault="00F50F85" w:rsidP="00AB1F7B">
            <w:pPr>
              <w:spacing w:line="360" w:lineRule="auto"/>
              <w:contextualSpacing/>
              <w:jc w:val="both"/>
              <w:rPr>
                <w:rFonts w:ascii="Book Antiqua" w:eastAsia="Times New Roman" w:hAnsi="Book Antiqua" w:cs="Arial"/>
              </w:rPr>
            </w:pPr>
            <w:r w:rsidRPr="0061681A">
              <w:rPr>
                <w:rFonts w:ascii="Book Antiqua" w:eastAsia="Times New Roman" w:hAnsi="Book Antiqua" w:cs="Arial"/>
              </w:rPr>
              <w:t>13.6</w:t>
            </w:r>
          </w:p>
        </w:tc>
        <w:tc>
          <w:tcPr>
            <w:tcW w:w="818" w:type="pct"/>
            <w:tcBorders>
              <w:bottom w:val="single" w:sz="4" w:space="0" w:color="auto"/>
            </w:tcBorders>
          </w:tcPr>
          <w:p w14:paraId="28E478E2" w14:textId="77777777" w:rsidR="00F50F85" w:rsidRPr="0061681A" w:rsidRDefault="00F50F85" w:rsidP="00AB1F7B">
            <w:pPr>
              <w:spacing w:line="360" w:lineRule="auto"/>
              <w:contextualSpacing/>
              <w:jc w:val="both"/>
              <w:rPr>
                <w:rFonts w:ascii="Book Antiqua" w:eastAsia="Times New Roman" w:hAnsi="Book Antiqua" w:cs="Arial"/>
              </w:rPr>
            </w:pPr>
          </w:p>
        </w:tc>
      </w:tr>
    </w:tbl>
    <w:p w14:paraId="3596588A" w14:textId="77777777" w:rsidR="00F50F85" w:rsidRPr="00F67BAE" w:rsidRDefault="00F50F85" w:rsidP="00F50F85">
      <w:pPr>
        <w:spacing w:line="360" w:lineRule="auto"/>
        <w:contextualSpacing/>
        <w:jc w:val="both"/>
        <w:rPr>
          <w:rFonts w:ascii="Book Antiqua" w:eastAsia="Times New Roman" w:hAnsi="Book Antiqua" w:cs="Arial"/>
        </w:rPr>
      </w:pPr>
      <w:r>
        <w:rPr>
          <w:rFonts w:ascii="Book Antiqua" w:eastAsia="Times New Roman" w:hAnsi="Book Antiqua" w:cs="Arial"/>
          <w:vertAlign w:val="superscript"/>
        </w:rPr>
        <w:t>1</w:t>
      </w:r>
      <w:r w:rsidRPr="009103BA">
        <w:rPr>
          <w:rFonts w:ascii="Book Antiqua" w:eastAsia="Times New Roman" w:hAnsi="Book Antiqua" w:cs="Arial"/>
          <w:i/>
          <w:iCs/>
        </w:rPr>
        <w:t>P</w:t>
      </w:r>
      <w:r>
        <w:rPr>
          <w:rFonts w:ascii="Book Antiqua" w:eastAsia="Times New Roman" w:hAnsi="Book Antiqua" w:cs="Arial"/>
        </w:rPr>
        <w:t xml:space="preserve"> </w:t>
      </w:r>
      <w:r w:rsidRPr="0061681A">
        <w:rPr>
          <w:rFonts w:ascii="Book Antiqua" w:eastAsia="Times New Roman" w:hAnsi="Book Antiqua" w:cs="Arial"/>
        </w:rPr>
        <w:t>value calculated using Chi-squared analysis</w:t>
      </w:r>
      <w:r>
        <w:rPr>
          <w:rFonts w:ascii="Book Antiqua" w:eastAsia="Times New Roman" w:hAnsi="Book Antiqua" w:cs="Arial"/>
        </w:rPr>
        <w:t>.</w:t>
      </w:r>
      <w:r>
        <w:rPr>
          <w:rFonts w:ascii="Book Antiqua" w:hAnsi="Book Antiqua" w:cs="Arial" w:hint="eastAsia"/>
          <w:lang w:eastAsia="zh-CN"/>
        </w:rPr>
        <w:t xml:space="preserve"> </w:t>
      </w:r>
      <w:r w:rsidRPr="00F67BAE">
        <w:rPr>
          <w:rFonts w:ascii="Book Antiqua" w:eastAsia="Times New Roman" w:hAnsi="Book Antiqua" w:cs="Arial"/>
        </w:rPr>
        <w:t xml:space="preserve">Bold </w:t>
      </w:r>
      <w:r w:rsidRPr="0061681A">
        <w:rPr>
          <w:rFonts w:ascii="Book Antiqua" w:eastAsia="Times New Roman" w:hAnsi="Book Antiqua" w:cs="Arial"/>
        </w:rPr>
        <w:t>indicated statistical significance</w:t>
      </w:r>
      <w:r>
        <w:rPr>
          <w:rFonts w:ascii="Book Antiqua" w:eastAsia="Times New Roman" w:hAnsi="Book Antiqua" w:cs="Arial"/>
        </w:rPr>
        <w:t>. ACL:</w:t>
      </w:r>
      <w:r w:rsidRPr="00761E30">
        <w:t xml:space="preserve"> </w:t>
      </w:r>
      <w:r w:rsidRPr="00761E30">
        <w:rPr>
          <w:rFonts w:ascii="Book Antiqua" w:eastAsia="Times New Roman" w:hAnsi="Book Antiqua" w:cs="Arial"/>
        </w:rPr>
        <w:t>Anterior cruciate ligament</w:t>
      </w:r>
      <w:r>
        <w:rPr>
          <w:rFonts w:ascii="Book Antiqua" w:eastAsia="Times New Roman" w:hAnsi="Book Antiqua" w:cs="Arial"/>
        </w:rPr>
        <w:t>.</w:t>
      </w:r>
    </w:p>
    <w:bookmarkEnd w:id="0"/>
    <w:p w14:paraId="54A298D9" w14:textId="77777777" w:rsidR="008F1935" w:rsidRDefault="008F1935">
      <w:pPr>
        <w:spacing w:line="360" w:lineRule="auto"/>
        <w:jc w:val="both"/>
        <w:rPr>
          <w:rFonts w:ascii="Book Antiqua" w:eastAsia="Book Antiqua" w:hAnsi="Book Antiqua" w:cs="Book Antiqua"/>
          <w:b/>
          <w:color w:val="000000"/>
        </w:rPr>
        <w:sectPr w:rsidR="008F1935">
          <w:pgSz w:w="12240" w:h="15840"/>
          <w:pgMar w:top="1440" w:right="1440" w:bottom="1440" w:left="1440" w:header="720" w:footer="720" w:gutter="0"/>
          <w:cols w:space="720"/>
          <w:docGrid w:linePitch="360"/>
        </w:sectPr>
      </w:pPr>
    </w:p>
    <w:p w14:paraId="72E810B8" w14:textId="3591565C" w:rsidR="0035456E" w:rsidRPr="00B356C1" w:rsidRDefault="008F1935">
      <w:pPr>
        <w:spacing w:line="360" w:lineRule="auto"/>
        <w:jc w:val="both"/>
        <w:rPr>
          <w:rFonts w:ascii="Book Antiqua" w:eastAsia="Book Antiqua" w:hAnsi="Book Antiqua" w:cs="Book Antiqua"/>
          <w:b/>
          <w:bCs/>
          <w:color w:val="000000"/>
        </w:rPr>
      </w:pPr>
      <w:r w:rsidRPr="00B356C1">
        <w:rPr>
          <w:rFonts w:ascii="Book Antiqua" w:eastAsia="Times New Roman" w:hAnsi="Book Antiqua" w:cs="Arial"/>
          <w:b/>
          <w:bCs/>
        </w:rPr>
        <w:lastRenderedPageBreak/>
        <w:t xml:space="preserve">Table 2 Week by week comparison of cumulative </w:t>
      </w:r>
      <w:r w:rsidR="00B356C1" w:rsidRPr="00B356C1">
        <w:rPr>
          <w:rFonts w:ascii="Book Antiqua" w:eastAsia="Times New Roman" w:hAnsi="Book Antiqua" w:cs="Arial"/>
          <w:b/>
          <w:bCs/>
        </w:rPr>
        <w:t>anterior cruciate ligament</w:t>
      </w:r>
      <w:r w:rsidRPr="00B356C1">
        <w:rPr>
          <w:rFonts w:ascii="Book Antiqua" w:eastAsia="Times New Roman" w:hAnsi="Book Antiqua" w:cs="Arial"/>
          <w:b/>
          <w:bCs/>
        </w:rPr>
        <w:t xml:space="preserve"> tear rate for the first 8 games played</w:t>
      </w:r>
    </w:p>
    <w:tbl>
      <w:tblPr>
        <w:tblW w:w="5000" w:type="pct"/>
        <w:tblLook w:val="04A0" w:firstRow="1" w:lastRow="0" w:firstColumn="1" w:lastColumn="0" w:noHBand="0" w:noVBand="1"/>
      </w:tblPr>
      <w:tblGrid>
        <w:gridCol w:w="1195"/>
        <w:gridCol w:w="1652"/>
        <w:gridCol w:w="1233"/>
        <w:gridCol w:w="1231"/>
        <w:gridCol w:w="880"/>
        <w:gridCol w:w="756"/>
        <w:gridCol w:w="1376"/>
        <w:gridCol w:w="1037"/>
      </w:tblGrid>
      <w:tr w:rsidR="00A71B22" w:rsidRPr="00D74A42" w14:paraId="69D5E3B9" w14:textId="77777777" w:rsidTr="00A71B22">
        <w:trPr>
          <w:trHeight w:val="312"/>
        </w:trPr>
        <w:tc>
          <w:tcPr>
            <w:tcW w:w="646" w:type="pct"/>
            <w:tcBorders>
              <w:top w:val="single" w:sz="4" w:space="0" w:color="auto"/>
              <w:left w:val="nil"/>
              <w:bottom w:val="single" w:sz="4" w:space="0" w:color="auto"/>
              <w:right w:val="nil"/>
            </w:tcBorders>
            <w:shd w:val="clear" w:color="auto" w:fill="auto"/>
            <w:vAlign w:val="center"/>
            <w:hideMark/>
          </w:tcPr>
          <w:p w14:paraId="2633DACC" w14:textId="77777777" w:rsidR="00D74A42" w:rsidRPr="00D74A42" w:rsidRDefault="00D74A42" w:rsidP="00D74A42">
            <w:pPr>
              <w:spacing w:line="360" w:lineRule="auto"/>
              <w:jc w:val="both"/>
              <w:rPr>
                <w:rFonts w:ascii="宋体" w:eastAsia="宋体" w:hAnsi="宋体" w:cs="宋体"/>
                <w:sz w:val="20"/>
                <w:szCs w:val="20"/>
                <w:lang w:eastAsia="zh-CN"/>
              </w:rPr>
            </w:pPr>
            <w:bookmarkStart w:id="1" w:name="RANGE!A51"/>
            <w:bookmarkEnd w:id="1"/>
          </w:p>
        </w:tc>
        <w:tc>
          <w:tcPr>
            <w:tcW w:w="890" w:type="pct"/>
            <w:tcBorders>
              <w:top w:val="single" w:sz="4" w:space="0" w:color="auto"/>
              <w:left w:val="nil"/>
              <w:bottom w:val="single" w:sz="4" w:space="0" w:color="auto"/>
              <w:right w:val="nil"/>
            </w:tcBorders>
            <w:shd w:val="clear" w:color="auto" w:fill="auto"/>
            <w:vAlign w:val="center"/>
            <w:hideMark/>
          </w:tcPr>
          <w:p w14:paraId="2E5D811A" w14:textId="77777777" w:rsidR="00D74A42" w:rsidRPr="00D74A42" w:rsidRDefault="00D74A42" w:rsidP="00D74A42">
            <w:pPr>
              <w:spacing w:line="360" w:lineRule="auto"/>
              <w:jc w:val="both"/>
              <w:rPr>
                <w:rFonts w:ascii="Book Antiqua" w:eastAsia="等线" w:hAnsi="Book Antiqua" w:cs="宋体"/>
                <w:b/>
                <w:bCs/>
                <w:color w:val="000000"/>
                <w:lang w:eastAsia="zh-CN"/>
              </w:rPr>
            </w:pPr>
            <w:r w:rsidRPr="00D74A42">
              <w:rPr>
                <w:rFonts w:ascii="Book Antiqua" w:eastAsia="等线" w:hAnsi="Book Antiqua" w:cs="宋体"/>
                <w:b/>
                <w:bCs/>
                <w:color w:val="000000"/>
                <w:lang w:eastAsia="zh-CN"/>
              </w:rPr>
              <w:t>Year</w:t>
            </w:r>
          </w:p>
        </w:tc>
        <w:tc>
          <w:tcPr>
            <w:tcW w:w="666" w:type="pct"/>
            <w:tcBorders>
              <w:top w:val="single" w:sz="4" w:space="0" w:color="auto"/>
              <w:left w:val="nil"/>
              <w:bottom w:val="single" w:sz="4" w:space="0" w:color="auto"/>
              <w:right w:val="nil"/>
            </w:tcBorders>
            <w:shd w:val="clear" w:color="auto" w:fill="auto"/>
            <w:vAlign w:val="center"/>
            <w:hideMark/>
          </w:tcPr>
          <w:p w14:paraId="542E96BD" w14:textId="0695F146" w:rsidR="00D74A42" w:rsidRPr="00D74A42" w:rsidRDefault="00D74A42" w:rsidP="00D74A42">
            <w:pPr>
              <w:spacing w:line="360" w:lineRule="auto"/>
              <w:jc w:val="both"/>
              <w:rPr>
                <w:rFonts w:ascii="Book Antiqua" w:eastAsia="等线" w:hAnsi="Book Antiqua" w:cs="宋体"/>
                <w:b/>
                <w:bCs/>
                <w:color w:val="000000"/>
                <w:lang w:eastAsia="zh-CN"/>
              </w:rPr>
            </w:pPr>
            <w:r w:rsidRPr="00D74A42">
              <w:rPr>
                <w:rFonts w:ascii="Book Antiqua" w:eastAsia="等线" w:hAnsi="Book Antiqua" w:cs="宋体"/>
                <w:b/>
                <w:bCs/>
                <w:color w:val="000000"/>
                <w:lang w:eastAsia="zh-CN"/>
              </w:rPr>
              <w:t xml:space="preserve">Total </w:t>
            </w:r>
            <w:r w:rsidR="00AC19A6">
              <w:rPr>
                <w:rFonts w:ascii="Book Antiqua" w:eastAsia="等线" w:hAnsi="Book Antiqua" w:cs="宋体"/>
                <w:b/>
                <w:bCs/>
                <w:color w:val="000000"/>
                <w:lang w:eastAsia="zh-CN"/>
              </w:rPr>
              <w:t>i</w:t>
            </w:r>
            <w:r w:rsidRPr="00D74A42">
              <w:rPr>
                <w:rFonts w:ascii="Book Antiqua" w:eastAsia="等线" w:hAnsi="Book Antiqua" w:cs="宋体"/>
                <w:b/>
                <w:bCs/>
                <w:color w:val="000000"/>
                <w:lang w:eastAsia="zh-CN"/>
              </w:rPr>
              <w:t>njuries</w:t>
            </w:r>
          </w:p>
        </w:tc>
        <w:tc>
          <w:tcPr>
            <w:tcW w:w="665" w:type="pct"/>
            <w:tcBorders>
              <w:top w:val="single" w:sz="4" w:space="0" w:color="auto"/>
              <w:left w:val="nil"/>
              <w:bottom w:val="single" w:sz="4" w:space="0" w:color="auto"/>
              <w:right w:val="nil"/>
            </w:tcBorders>
            <w:shd w:val="clear" w:color="auto" w:fill="auto"/>
            <w:vAlign w:val="center"/>
            <w:hideMark/>
          </w:tcPr>
          <w:p w14:paraId="1A59B7C4" w14:textId="5EBFCD3D" w:rsidR="00D74A42" w:rsidRPr="00D74A42" w:rsidRDefault="00D74A42" w:rsidP="00D74A42">
            <w:pPr>
              <w:spacing w:line="360" w:lineRule="auto"/>
              <w:jc w:val="both"/>
              <w:rPr>
                <w:rFonts w:ascii="Book Antiqua" w:eastAsia="等线" w:hAnsi="Book Antiqua" w:cs="宋体"/>
                <w:b/>
                <w:bCs/>
                <w:color w:val="000000"/>
                <w:lang w:eastAsia="zh-CN"/>
              </w:rPr>
            </w:pPr>
            <w:r w:rsidRPr="00D74A42">
              <w:rPr>
                <w:rFonts w:ascii="Book Antiqua" w:eastAsia="等线" w:hAnsi="Book Antiqua" w:cs="宋体"/>
                <w:b/>
                <w:bCs/>
                <w:color w:val="000000"/>
                <w:lang w:eastAsia="zh-CN"/>
              </w:rPr>
              <w:t xml:space="preserve">Total </w:t>
            </w:r>
            <w:r w:rsidR="00AD1930">
              <w:rPr>
                <w:rFonts w:ascii="Book Antiqua" w:eastAsia="等线" w:hAnsi="Book Antiqua" w:cs="宋体"/>
                <w:b/>
                <w:bCs/>
                <w:color w:val="000000"/>
                <w:lang w:eastAsia="zh-CN"/>
              </w:rPr>
              <w:t>g</w:t>
            </w:r>
            <w:r w:rsidRPr="00D74A42">
              <w:rPr>
                <w:rFonts w:ascii="Book Antiqua" w:eastAsia="等线" w:hAnsi="Book Antiqua" w:cs="宋体"/>
                <w:b/>
                <w:bCs/>
                <w:color w:val="000000"/>
                <w:lang w:eastAsia="zh-CN"/>
              </w:rPr>
              <w:t>ames</w:t>
            </w:r>
          </w:p>
        </w:tc>
        <w:tc>
          <w:tcPr>
            <w:tcW w:w="477" w:type="pct"/>
            <w:tcBorders>
              <w:top w:val="single" w:sz="4" w:space="0" w:color="auto"/>
              <w:left w:val="nil"/>
              <w:bottom w:val="single" w:sz="4" w:space="0" w:color="auto"/>
              <w:right w:val="nil"/>
            </w:tcBorders>
            <w:shd w:val="clear" w:color="auto" w:fill="auto"/>
            <w:vAlign w:val="center"/>
            <w:hideMark/>
          </w:tcPr>
          <w:p w14:paraId="7EEB8B47" w14:textId="77777777" w:rsidR="00D74A42" w:rsidRPr="00D74A42" w:rsidRDefault="00D74A42" w:rsidP="00D74A42">
            <w:pPr>
              <w:spacing w:line="360" w:lineRule="auto"/>
              <w:jc w:val="both"/>
              <w:rPr>
                <w:rFonts w:ascii="Book Antiqua" w:eastAsia="等线" w:hAnsi="Book Antiqua" w:cs="宋体"/>
                <w:b/>
                <w:bCs/>
                <w:color w:val="000000"/>
                <w:lang w:eastAsia="zh-CN"/>
              </w:rPr>
            </w:pPr>
            <w:r w:rsidRPr="00D74A42">
              <w:rPr>
                <w:rFonts w:ascii="Book Antiqua" w:eastAsia="等线" w:hAnsi="Book Antiqua" w:cs="宋体"/>
                <w:b/>
                <w:bCs/>
                <w:color w:val="000000"/>
                <w:lang w:eastAsia="zh-CN"/>
              </w:rPr>
              <w:t>Rate</w:t>
            </w:r>
          </w:p>
        </w:tc>
        <w:tc>
          <w:tcPr>
            <w:tcW w:w="395" w:type="pct"/>
            <w:tcBorders>
              <w:top w:val="single" w:sz="4" w:space="0" w:color="auto"/>
              <w:left w:val="nil"/>
              <w:bottom w:val="single" w:sz="4" w:space="0" w:color="auto"/>
              <w:right w:val="nil"/>
            </w:tcBorders>
            <w:shd w:val="clear" w:color="auto" w:fill="auto"/>
            <w:noWrap/>
            <w:vAlign w:val="center"/>
            <w:hideMark/>
          </w:tcPr>
          <w:p w14:paraId="2D4B2206" w14:textId="77777777" w:rsidR="00D74A42" w:rsidRPr="00D74A42" w:rsidRDefault="00D74A42" w:rsidP="00D74A42">
            <w:pPr>
              <w:spacing w:line="360" w:lineRule="auto"/>
              <w:jc w:val="both"/>
              <w:rPr>
                <w:rFonts w:ascii="Book Antiqua" w:eastAsia="等线" w:hAnsi="Book Antiqua" w:cs="宋体"/>
                <w:b/>
                <w:bCs/>
                <w:color w:val="000000"/>
                <w:lang w:eastAsia="zh-CN"/>
              </w:rPr>
            </w:pPr>
            <w:r w:rsidRPr="00D74A42">
              <w:rPr>
                <w:rFonts w:ascii="Book Antiqua" w:eastAsia="等线" w:hAnsi="Book Antiqua" w:cs="宋体"/>
                <w:b/>
                <w:bCs/>
                <w:color w:val="000000"/>
                <w:lang w:eastAsia="zh-CN"/>
              </w:rPr>
              <w:t>RR</w:t>
            </w:r>
          </w:p>
        </w:tc>
        <w:tc>
          <w:tcPr>
            <w:tcW w:w="718" w:type="pct"/>
            <w:tcBorders>
              <w:top w:val="single" w:sz="4" w:space="0" w:color="auto"/>
              <w:left w:val="nil"/>
              <w:bottom w:val="single" w:sz="4" w:space="0" w:color="auto"/>
              <w:right w:val="nil"/>
            </w:tcBorders>
            <w:shd w:val="clear" w:color="auto" w:fill="auto"/>
            <w:noWrap/>
            <w:vAlign w:val="center"/>
            <w:hideMark/>
          </w:tcPr>
          <w:p w14:paraId="36650424" w14:textId="77777777" w:rsidR="00D74A42" w:rsidRPr="00D74A42" w:rsidRDefault="00D74A42" w:rsidP="00D74A42">
            <w:pPr>
              <w:spacing w:line="360" w:lineRule="auto"/>
              <w:jc w:val="both"/>
              <w:rPr>
                <w:rFonts w:ascii="Book Antiqua" w:eastAsia="等线" w:hAnsi="Book Antiqua" w:cs="宋体"/>
                <w:b/>
                <w:bCs/>
                <w:color w:val="000000"/>
                <w:lang w:eastAsia="zh-CN"/>
              </w:rPr>
            </w:pPr>
            <w:r w:rsidRPr="00D74A42">
              <w:rPr>
                <w:rFonts w:ascii="Book Antiqua" w:eastAsia="等线" w:hAnsi="Book Antiqua" w:cs="宋体"/>
                <w:b/>
                <w:bCs/>
                <w:color w:val="000000"/>
                <w:lang w:eastAsia="zh-CN"/>
              </w:rPr>
              <w:t xml:space="preserve">95%CI </w:t>
            </w:r>
          </w:p>
        </w:tc>
        <w:tc>
          <w:tcPr>
            <w:tcW w:w="541" w:type="pct"/>
            <w:tcBorders>
              <w:top w:val="single" w:sz="4" w:space="0" w:color="auto"/>
              <w:left w:val="nil"/>
              <w:bottom w:val="single" w:sz="4" w:space="0" w:color="auto"/>
              <w:right w:val="nil"/>
            </w:tcBorders>
            <w:shd w:val="clear" w:color="auto" w:fill="auto"/>
            <w:noWrap/>
            <w:vAlign w:val="center"/>
            <w:hideMark/>
          </w:tcPr>
          <w:p w14:paraId="5C5CA940" w14:textId="77777777" w:rsidR="00D74A42" w:rsidRPr="00D74A42" w:rsidRDefault="00D74A42" w:rsidP="00D74A42">
            <w:pPr>
              <w:spacing w:line="360" w:lineRule="auto"/>
              <w:jc w:val="both"/>
              <w:rPr>
                <w:rFonts w:ascii="Book Antiqua" w:eastAsia="等线" w:hAnsi="Book Antiqua" w:cs="宋体"/>
                <w:b/>
                <w:bCs/>
                <w:i/>
                <w:iCs/>
                <w:color w:val="000000"/>
                <w:lang w:eastAsia="zh-CN"/>
              </w:rPr>
            </w:pPr>
            <w:r w:rsidRPr="00D74A42">
              <w:rPr>
                <w:rFonts w:ascii="Book Antiqua" w:eastAsia="等线" w:hAnsi="Book Antiqua" w:cs="宋体"/>
                <w:b/>
                <w:bCs/>
                <w:i/>
                <w:iCs/>
                <w:color w:val="000000"/>
                <w:lang w:eastAsia="zh-CN"/>
              </w:rPr>
              <w:t>P</w:t>
            </w:r>
            <w:r w:rsidRPr="00D74A42">
              <w:rPr>
                <w:rFonts w:ascii="Book Antiqua" w:eastAsia="等线" w:hAnsi="Book Antiqua" w:cs="宋体"/>
                <w:b/>
                <w:bCs/>
                <w:color w:val="000000"/>
                <w:lang w:eastAsia="zh-CN"/>
              </w:rPr>
              <w:t xml:space="preserve"> value</w:t>
            </w:r>
          </w:p>
        </w:tc>
      </w:tr>
      <w:tr w:rsidR="00A71B22" w:rsidRPr="00D74A42" w14:paraId="3425E46F" w14:textId="77777777" w:rsidTr="00A71B22">
        <w:trPr>
          <w:trHeight w:val="624"/>
        </w:trPr>
        <w:tc>
          <w:tcPr>
            <w:tcW w:w="646" w:type="pct"/>
            <w:tcBorders>
              <w:top w:val="single" w:sz="4" w:space="0" w:color="auto"/>
              <w:left w:val="nil"/>
              <w:bottom w:val="nil"/>
              <w:right w:val="nil"/>
            </w:tcBorders>
            <w:shd w:val="clear" w:color="auto" w:fill="auto"/>
            <w:vAlign w:val="center"/>
            <w:hideMark/>
          </w:tcPr>
          <w:p w14:paraId="4D8E2A7D"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Game 1</w:t>
            </w:r>
          </w:p>
        </w:tc>
        <w:tc>
          <w:tcPr>
            <w:tcW w:w="890" w:type="pct"/>
            <w:tcBorders>
              <w:top w:val="single" w:sz="4" w:space="0" w:color="auto"/>
              <w:left w:val="nil"/>
              <w:bottom w:val="nil"/>
              <w:right w:val="nil"/>
            </w:tcBorders>
            <w:shd w:val="clear" w:color="auto" w:fill="auto"/>
            <w:vAlign w:val="center"/>
            <w:hideMark/>
          </w:tcPr>
          <w:p w14:paraId="6200E808"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2020</w:t>
            </w:r>
          </w:p>
        </w:tc>
        <w:tc>
          <w:tcPr>
            <w:tcW w:w="666" w:type="pct"/>
            <w:tcBorders>
              <w:top w:val="single" w:sz="4" w:space="0" w:color="auto"/>
              <w:left w:val="nil"/>
              <w:bottom w:val="nil"/>
              <w:right w:val="nil"/>
            </w:tcBorders>
            <w:shd w:val="clear" w:color="auto" w:fill="auto"/>
            <w:vAlign w:val="center"/>
            <w:hideMark/>
          </w:tcPr>
          <w:p w14:paraId="57D266F4"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3</w:t>
            </w:r>
          </w:p>
        </w:tc>
        <w:tc>
          <w:tcPr>
            <w:tcW w:w="665" w:type="pct"/>
            <w:tcBorders>
              <w:top w:val="single" w:sz="4" w:space="0" w:color="auto"/>
              <w:left w:val="nil"/>
              <w:bottom w:val="nil"/>
              <w:right w:val="nil"/>
            </w:tcBorders>
            <w:shd w:val="clear" w:color="auto" w:fill="auto"/>
            <w:vAlign w:val="center"/>
            <w:hideMark/>
          </w:tcPr>
          <w:p w14:paraId="3DC475A2"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16</w:t>
            </w:r>
          </w:p>
        </w:tc>
        <w:tc>
          <w:tcPr>
            <w:tcW w:w="477" w:type="pct"/>
            <w:tcBorders>
              <w:top w:val="single" w:sz="4" w:space="0" w:color="auto"/>
              <w:left w:val="nil"/>
              <w:bottom w:val="nil"/>
              <w:right w:val="nil"/>
            </w:tcBorders>
            <w:shd w:val="clear" w:color="auto" w:fill="auto"/>
            <w:vAlign w:val="center"/>
            <w:hideMark/>
          </w:tcPr>
          <w:p w14:paraId="34E19D45"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0.188</w:t>
            </w:r>
          </w:p>
        </w:tc>
        <w:tc>
          <w:tcPr>
            <w:tcW w:w="395" w:type="pct"/>
            <w:tcBorders>
              <w:top w:val="single" w:sz="4" w:space="0" w:color="auto"/>
              <w:left w:val="nil"/>
              <w:bottom w:val="nil"/>
              <w:right w:val="nil"/>
            </w:tcBorders>
            <w:shd w:val="clear" w:color="auto" w:fill="auto"/>
            <w:noWrap/>
            <w:vAlign w:val="center"/>
            <w:hideMark/>
          </w:tcPr>
          <w:p w14:paraId="4E5B3C9A"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1.071</w:t>
            </w:r>
          </w:p>
        </w:tc>
        <w:tc>
          <w:tcPr>
            <w:tcW w:w="718" w:type="pct"/>
            <w:tcBorders>
              <w:top w:val="single" w:sz="4" w:space="0" w:color="auto"/>
              <w:left w:val="nil"/>
              <w:bottom w:val="nil"/>
              <w:right w:val="nil"/>
            </w:tcBorders>
            <w:shd w:val="clear" w:color="auto" w:fill="auto"/>
            <w:noWrap/>
            <w:vAlign w:val="center"/>
            <w:hideMark/>
          </w:tcPr>
          <w:p w14:paraId="1D30C64D"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0.348-3.302</w:t>
            </w:r>
          </w:p>
        </w:tc>
        <w:tc>
          <w:tcPr>
            <w:tcW w:w="541" w:type="pct"/>
            <w:tcBorders>
              <w:top w:val="single" w:sz="4" w:space="0" w:color="auto"/>
              <w:left w:val="nil"/>
              <w:bottom w:val="nil"/>
              <w:right w:val="nil"/>
            </w:tcBorders>
            <w:shd w:val="clear" w:color="auto" w:fill="auto"/>
            <w:noWrap/>
            <w:vAlign w:val="center"/>
            <w:hideMark/>
          </w:tcPr>
          <w:p w14:paraId="73343017"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0.904</w:t>
            </w:r>
          </w:p>
        </w:tc>
      </w:tr>
      <w:tr w:rsidR="00A71B22" w:rsidRPr="00D74A42" w14:paraId="21FED463" w14:textId="77777777" w:rsidTr="00A71B22">
        <w:trPr>
          <w:trHeight w:val="312"/>
        </w:trPr>
        <w:tc>
          <w:tcPr>
            <w:tcW w:w="646" w:type="pct"/>
            <w:tcBorders>
              <w:top w:val="nil"/>
              <w:left w:val="nil"/>
              <w:bottom w:val="nil"/>
              <w:right w:val="nil"/>
            </w:tcBorders>
            <w:shd w:val="clear" w:color="auto" w:fill="auto"/>
            <w:vAlign w:val="center"/>
            <w:hideMark/>
          </w:tcPr>
          <w:p w14:paraId="2CB93664" w14:textId="77777777" w:rsidR="00D74A42" w:rsidRPr="00D74A42" w:rsidRDefault="00D74A42" w:rsidP="00D74A42">
            <w:pPr>
              <w:spacing w:line="360" w:lineRule="auto"/>
              <w:jc w:val="both"/>
              <w:rPr>
                <w:rFonts w:ascii="Book Antiqua" w:eastAsia="等线" w:hAnsi="Book Antiqua" w:cs="宋体"/>
                <w:color w:val="000000"/>
                <w:lang w:eastAsia="zh-CN"/>
              </w:rPr>
            </w:pPr>
          </w:p>
        </w:tc>
        <w:tc>
          <w:tcPr>
            <w:tcW w:w="890" w:type="pct"/>
            <w:tcBorders>
              <w:top w:val="nil"/>
              <w:left w:val="nil"/>
              <w:bottom w:val="nil"/>
              <w:right w:val="nil"/>
            </w:tcBorders>
            <w:shd w:val="clear" w:color="auto" w:fill="auto"/>
            <w:vAlign w:val="center"/>
            <w:hideMark/>
          </w:tcPr>
          <w:p w14:paraId="5868596B" w14:textId="6E6F629E"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2015-</w:t>
            </w:r>
            <w:r w:rsidR="00284420">
              <w:rPr>
                <w:rFonts w:ascii="Book Antiqua" w:eastAsia="等线" w:hAnsi="Book Antiqua" w:cs="宋体"/>
                <w:color w:val="000000"/>
                <w:lang w:eastAsia="zh-CN"/>
              </w:rPr>
              <w:t>20</w:t>
            </w:r>
            <w:r w:rsidRPr="00D74A42">
              <w:rPr>
                <w:rFonts w:ascii="Book Antiqua" w:eastAsia="等线" w:hAnsi="Book Antiqua" w:cs="宋体"/>
                <w:color w:val="000000"/>
                <w:lang w:eastAsia="zh-CN"/>
              </w:rPr>
              <w:t>19</w:t>
            </w:r>
          </w:p>
        </w:tc>
        <w:tc>
          <w:tcPr>
            <w:tcW w:w="666" w:type="pct"/>
            <w:tcBorders>
              <w:top w:val="nil"/>
              <w:left w:val="nil"/>
              <w:bottom w:val="nil"/>
              <w:right w:val="nil"/>
            </w:tcBorders>
            <w:shd w:val="clear" w:color="auto" w:fill="auto"/>
            <w:vAlign w:val="center"/>
            <w:hideMark/>
          </w:tcPr>
          <w:p w14:paraId="363B3577"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14</w:t>
            </w:r>
          </w:p>
        </w:tc>
        <w:tc>
          <w:tcPr>
            <w:tcW w:w="665" w:type="pct"/>
            <w:tcBorders>
              <w:top w:val="nil"/>
              <w:left w:val="nil"/>
              <w:bottom w:val="nil"/>
              <w:right w:val="nil"/>
            </w:tcBorders>
            <w:shd w:val="clear" w:color="auto" w:fill="auto"/>
            <w:vAlign w:val="center"/>
            <w:hideMark/>
          </w:tcPr>
          <w:p w14:paraId="187ED6AC"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80</w:t>
            </w:r>
          </w:p>
        </w:tc>
        <w:tc>
          <w:tcPr>
            <w:tcW w:w="477" w:type="pct"/>
            <w:tcBorders>
              <w:top w:val="nil"/>
              <w:left w:val="nil"/>
              <w:bottom w:val="nil"/>
              <w:right w:val="nil"/>
            </w:tcBorders>
            <w:shd w:val="clear" w:color="auto" w:fill="auto"/>
            <w:vAlign w:val="center"/>
            <w:hideMark/>
          </w:tcPr>
          <w:p w14:paraId="54FE400D"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0.175</w:t>
            </w:r>
          </w:p>
        </w:tc>
        <w:tc>
          <w:tcPr>
            <w:tcW w:w="395" w:type="pct"/>
            <w:tcBorders>
              <w:top w:val="nil"/>
              <w:left w:val="nil"/>
              <w:bottom w:val="nil"/>
              <w:right w:val="nil"/>
            </w:tcBorders>
            <w:shd w:val="clear" w:color="auto" w:fill="auto"/>
            <w:noWrap/>
            <w:vAlign w:val="center"/>
            <w:hideMark/>
          </w:tcPr>
          <w:p w14:paraId="38EC1C13" w14:textId="77777777" w:rsidR="00D74A42" w:rsidRPr="00D74A42" w:rsidRDefault="00D74A42" w:rsidP="00D74A42">
            <w:pPr>
              <w:spacing w:line="360" w:lineRule="auto"/>
              <w:jc w:val="both"/>
              <w:rPr>
                <w:rFonts w:ascii="Book Antiqua" w:eastAsia="等线" w:hAnsi="Book Antiqua" w:cs="宋体"/>
                <w:color w:val="000000"/>
                <w:lang w:eastAsia="zh-CN"/>
              </w:rPr>
            </w:pPr>
          </w:p>
        </w:tc>
        <w:tc>
          <w:tcPr>
            <w:tcW w:w="718" w:type="pct"/>
            <w:tcBorders>
              <w:top w:val="nil"/>
              <w:left w:val="nil"/>
              <w:bottom w:val="nil"/>
              <w:right w:val="nil"/>
            </w:tcBorders>
            <w:shd w:val="clear" w:color="auto" w:fill="auto"/>
            <w:noWrap/>
            <w:vAlign w:val="center"/>
            <w:hideMark/>
          </w:tcPr>
          <w:p w14:paraId="54FDC737" w14:textId="77777777" w:rsidR="00D74A42" w:rsidRPr="00D74A42" w:rsidRDefault="00D74A42" w:rsidP="00D74A42">
            <w:pPr>
              <w:spacing w:line="360" w:lineRule="auto"/>
              <w:jc w:val="both"/>
              <w:rPr>
                <w:rFonts w:eastAsia="Times New Roman"/>
                <w:sz w:val="20"/>
                <w:szCs w:val="20"/>
                <w:lang w:eastAsia="zh-CN"/>
              </w:rPr>
            </w:pPr>
          </w:p>
        </w:tc>
        <w:tc>
          <w:tcPr>
            <w:tcW w:w="541" w:type="pct"/>
            <w:tcBorders>
              <w:top w:val="nil"/>
              <w:left w:val="nil"/>
              <w:bottom w:val="nil"/>
              <w:right w:val="nil"/>
            </w:tcBorders>
            <w:shd w:val="clear" w:color="auto" w:fill="auto"/>
            <w:noWrap/>
            <w:vAlign w:val="center"/>
            <w:hideMark/>
          </w:tcPr>
          <w:p w14:paraId="26D0594E" w14:textId="77777777" w:rsidR="00D74A42" w:rsidRPr="00D74A42" w:rsidRDefault="00D74A42" w:rsidP="00D74A42">
            <w:pPr>
              <w:spacing w:line="360" w:lineRule="auto"/>
              <w:jc w:val="both"/>
              <w:rPr>
                <w:rFonts w:eastAsia="Times New Roman"/>
                <w:sz w:val="20"/>
                <w:szCs w:val="20"/>
                <w:lang w:eastAsia="zh-CN"/>
              </w:rPr>
            </w:pPr>
          </w:p>
        </w:tc>
      </w:tr>
      <w:tr w:rsidR="00A71B22" w:rsidRPr="00D74A42" w14:paraId="6E200130" w14:textId="77777777" w:rsidTr="00A71B22">
        <w:trPr>
          <w:trHeight w:val="624"/>
        </w:trPr>
        <w:tc>
          <w:tcPr>
            <w:tcW w:w="646" w:type="pct"/>
            <w:tcBorders>
              <w:top w:val="nil"/>
              <w:left w:val="nil"/>
              <w:bottom w:val="nil"/>
              <w:right w:val="nil"/>
            </w:tcBorders>
            <w:shd w:val="clear" w:color="auto" w:fill="auto"/>
            <w:vAlign w:val="center"/>
            <w:hideMark/>
          </w:tcPr>
          <w:p w14:paraId="4826A5A4"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Game 2</w:t>
            </w:r>
          </w:p>
        </w:tc>
        <w:tc>
          <w:tcPr>
            <w:tcW w:w="890" w:type="pct"/>
            <w:tcBorders>
              <w:top w:val="nil"/>
              <w:left w:val="nil"/>
              <w:bottom w:val="nil"/>
              <w:right w:val="nil"/>
            </w:tcBorders>
            <w:shd w:val="clear" w:color="auto" w:fill="auto"/>
            <w:vAlign w:val="center"/>
            <w:hideMark/>
          </w:tcPr>
          <w:p w14:paraId="0DAD6FF4"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2020</w:t>
            </w:r>
          </w:p>
        </w:tc>
        <w:tc>
          <w:tcPr>
            <w:tcW w:w="666" w:type="pct"/>
            <w:tcBorders>
              <w:top w:val="nil"/>
              <w:left w:val="nil"/>
              <w:bottom w:val="nil"/>
              <w:right w:val="nil"/>
            </w:tcBorders>
            <w:shd w:val="clear" w:color="auto" w:fill="auto"/>
            <w:vAlign w:val="center"/>
            <w:hideMark/>
          </w:tcPr>
          <w:p w14:paraId="51ACA248"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10</w:t>
            </w:r>
          </w:p>
        </w:tc>
        <w:tc>
          <w:tcPr>
            <w:tcW w:w="665" w:type="pct"/>
            <w:tcBorders>
              <w:top w:val="nil"/>
              <w:left w:val="nil"/>
              <w:bottom w:val="nil"/>
              <w:right w:val="nil"/>
            </w:tcBorders>
            <w:shd w:val="clear" w:color="auto" w:fill="auto"/>
            <w:vAlign w:val="center"/>
            <w:hideMark/>
          </w:tcPr>
          <w:p w14:paraId="66DA784C"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32</w:t>
            </w:r>
          </w:p>
        </w:tc>
        <w:tc>
          <w:tcPr>
            <w:tcW w:w="477" w:type="pct"/>
            <w:tcBorders>
              <w:top w:val="nil"/>
              <w:left w:val="nil"/>
              <w:bottom w:val="nil"/>
              <w:right w:val="nil"/>
            </w:tcBorders>
            <w:shd w:val="clear" w:color="auto" w:fill="auto"/>
            <w:vAlign w:val="center"/>
            <w:hideMark/>
          </w:tcPr>
          <w:p w14:paraId="6645FB23"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0.313</w:t>
            </w:r>
          </w:p>
        </w:tc>
        <w:tc>
          <w:tcPr>
            <w:tcW w:w="395" w:type="pct"/>
            <w:tcBorders>
              <w:top w:val="nil"/>
              <w:left w:val="nil"/>
              <w:bottom w:val="nil"/>
              <w:right w:val="nil"/>
            </w:tcBorders>
            <w:shd w:val="clear" w:color="auto" w:fill="auto"/>
            <w:noWrap/>
            <w:vAlign w:val="center"/>
            <w:hideMark/>
          </w:tcPr>
          <w:p w14:paraId="25C04D66"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1.724</w:t>
            </w:r>
          </w:p>
        </w:tc>
        <w:tc>
          <w:tcPr>
            <w:tcW w:w="718" w:type="pct"/>
            <w:tcBorders>
              <w:top w:val="nil"/>
              <w:left w:val="nil"/>
              <w:bottom w:val="nil"/>
              <w:right w:val="nil"/>
            </w:tcBorders>
            <w:shd w:val="clear" w:color="auto" w:fill="auto"/>
            <w:noWrap/>
            <w:vAlign w:val="center"/>
            <w:hideMark/>
          </w:tcPr>
          <w:p w14:paraId="5D661A2B"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0.937-3.174</w:t>
            </w:r>
          </w:p>
        </w:tc>
        <w:tc>
          <w:tcPr>
            <w:tcW w:w="541" w:type="pct"/>
            <w:tcBorders>
              <w:top w:val="nil"/>
              <w:left w:val="nil"/>
              <w:bottom w:val="nil"/>
              <w:right w:val="nil"/>
            </w:tcBorders>
            <w:shd w:val="clear" w:color="auto" w:fill="auto"/>
            <w:noWrap/>
            <w:vAlign w:val="center"/>
            <w:hideMark/>
          </w:tcPr>
          <w:p w14:paraId="3106D4D7"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0.08</w:t>
            </w:r>
          </w:p>
        </w:tc>
      </w:tr>
      <w:tr w:rsidR="00A71B22" w:rsidRPr="00D74A42" w14:paraId="4E930072" w14:textId="77777777" w:rsidTr="00A71B22">
        <w:trPr>
          <w:trHeight w:val="312"/>
        </w:trPr>
        <w:tc>
          <w:tcPr>
            <w:tcW w:w="646" w:type="pct"/>
            <w:tcBorders>
              <w:top w:val="nil"/>
              <w:left w:val="nil"/>
              <w:bottom w:val="nil"/>
              <w:right w:val="nil"/>
            </w:tcBorders>
            <w:shd w:val="clear" w:color="auto" w:fill="auto"/>
            <w:vAlign w:val="center"/>
            <w:hideMark/>
          </w:tcPr>
          <w:p w14:paraId="5CDA7A68" w14:textId="77777777" w:rsidR="00D74A42" w:rsidRPr="00D74A42" w:rsidRDefault="00D74A42" w:rsidP="00D74A42">
            <w:pPr>
              <w:spacing w:line="360" w:lineRule="auto"/>
              <w:jc w:val="both"/>
              <w:rPr>
                <w:rFonts w:ascii="Book Antiqua" w:eastAsia="等线" w:hAnsi="Book Antiqua" w:cs="宋体"/>
                <w:color w:val="000000"/>
                <w:lang w:eastAsia="zh-CN"/>
              </w:rPr>
            </w:pPr>
          </w:p>
        </w:tc>
        <w:tc>
          <w:tcPr>
            <w:tcW w:w="890" w:type="pct"/>
            <w:tcBorders>
              <w:top w:val="nil"/>
              <w:left w:val="nil"/>
              <w:bottom w:val="nil"/>
              <w:right w:val="nil"/>
            </w:tcBorders>
            <w:shd w:val="clear" w:color="auto" w:fill="auto"/>
            <w:vAlign w:val="center"/>
            <w:hideMark/>
          </w:tcPr>
          <w:p w14:paraId="4496DE3E" w14:textId="520BD6DE"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2015-</w:t>
            </w:r>
            <w:r w:rsidR="00284420">
              <w:rPr>
                <w:rFonts w:ascii="Book Antiqua" w:eastAsia="等线" w:hAnsi="Book Antiqua" w:cs="宋体"/>
                <w:color w:val="000000"/>
                <w:lang w:eastAsia="zh-CN"/>
              </w:rPr>
              <w:t>20</w:t>
            </w:r>
            <w:r w:rsidRPr="00D74A42">
              <w:rPr>
                <w:rFonts w:ascii="Book Antiqua" w:eastAsia="等线" w:hAnsi="Book Antiqua" w:cs="宋体"/>
                <w:color w:val="000000"/>
                <w:lang w:eastAsia="zh-CN"/>
              </w:rPr>
              <w:t>19</w:t>
            </w:r>
          </w:p>
        </w:tc>
        <w:tc>
          <w:tcPr>
            <w:tcW w:w="666" w:type="pct"/>
            <w:tcBorders>
              <w:top w:val="nil"/>
              <w:left w:val="nil"/>
              <w:bottom w:val="nil"/>
              <w:right w:val="nil"/>
            </w:tcBorders>
            <w:shd w:val="clear" w:color="auto" w:fill="auto"/>
            <w:vAlign w:val="center"/>
            <w:hideMark/>
          </w:tcPr>
          <w:p w14:paraId="6AD8D107"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29</w:t>
            </w:r>
          </w:p>
        </w:tc>
        <w:tc>
          <w:tcPr>
            <w:tcW w:w="665" w:type="pct"/>
            <w:tcBorders>
              <w:top w:val="nil"/>
              <w:left w:val="nil"/>
              <w:bottom w:val="nil"/>
              <w:right w:val="nil"/>
            </w:tcBorders>
            <w:shd w:val="clear" w:color="auto" w:fill="auto"/>
            <w:vAlign w:val="center"/>
            <w:hideMark/>
          </w:tcPr>
          <w:p w14:paraId="1AD7F7F3"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160</w:t>
            </w:r>
          </w:p>
        </w:tc>
        <w:tc>
          <w:tcPr>
            <w:tcW w:w="477" w:type="pct"/>
            <w:tcBorders>
              <w:top w:val="nil"/>
              <w:left w:val="nil"/>
              <w:bottom w:val="nil"/>
              <w:right w:val="nil"/>
            </w:tcBorders>
            <w:shd w:val="clear" w:color="auto" w:fill="auto"/>
            <w:vAlign w:val="center"/>
            <w:hideMark/>
          </w:tcPr>
          <w:p w14:paraId="6A4FE93C"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0.181</w:t>
            </w:r>
          </w:p>
        </w:tc>
        <w:tc>
          <w:tcPr>
            <w:tcW w:w="395" w:type="pct"/>
            <w:tcBorders>
              <w:top w:val="nil"/>
              <w:left w:val="nil"/>
              <w:bottom w:val="nil"/>
              <w:right w:val="nil"/>
            </w:tcBorders>
            <w:shd w:val="clear" w:color="auto" w:fill="auto"/>
            <w:noWrap/>
            <w:vAlign w:val="center"/>
            <w:hideMark/>
          </w:tcPr>
          <w:p w14:paraId="16B39956" w14:textId="77777777" w:rsidR="00D74A42" w:rsidRPr="00D74A42" w:rsidRDefault="00D74A42" w:rsidP="00D74A42">
            <w:pPr>
              <w:spacing w:line="360" w:lineRule="auto"/>
              <w:jc w:val="both"/>
              <w:rPr>
                <w:rFonts w:ascii="Book Antiqua" w:eastAsia="等线" w:hAnsi="Book Antiqua" w:cs="宋体"/>
                <w:color w:val="000000"/>
                <w:lang w:eastAsia="zh-CN"/>
              </w:rPr>
            </w:pPr>
          </w:p>
        </w:tc>
        <w:tc>
          <w:tcPr>
            <w:tcW w:w="718" w:type="pct"/>
            <w:tcBorders>
              <w:top w:val="nil"/>
              <w:left w:val="nil"/>
              <w:bottom w:val="nil"/>
              <w:right w:val="nil"/>
            </w:tcBorders>
            <w:shd w:val="clear" w:color="auto" w:fill="auto"/>
            <w:noWrap/>
            <w:vAlign w:val="center"/>
            <w:hideMark/>
          </w:tcPr>
          <w:p w14:paraId="030E395C" w14:textId="77777777" w:rsidR="00D74A42" w:rsidRPr="00D74A42" w:rsidRDefault="00D74A42" w:rsidP="00D74A42">
            <w:pPr>
              <w:spacing w:line="360" w:lineRule="auto"/>
              <w:jc w:val="both"/>
              <w:rPr>
                <w:rFonts w:eastAsia="Times New Roman"/>
                <w:sz w:val="20"/>
                <w:szCs w:val="20"/>
                <w:lang w:eastAsia="zh-CN"/>
              </w:rPr>
            </w:pPr>
          </w:p>
        </w:tc>
        <w:tc>
          <w:tcPr>
            <w:tcW w:w="541" w:type="pct"/>
            <w:tcBorders>
              <w:top w:val="nil"/>
              <w:left w:val="nil"/>
              <w:bottom w:val="nil"/>
              <w:right w:val="nil"/>
            </w:tcBorders>
            <w:shd w:val="clear" w:color="auto" w:fill="auto"/>
            <w:noWrap/>
            <w:vAlign w:val="center"/>
            <w:hideMark/>
          </w:tcPr>
          <w:p w14:paraId="53BB2BFA" w14:textId="77777777" w:rsidR="00D74A42" w:rsidRPr="00D74A42" w:rsidRDefault="00D74A42" w:rsidP="00D74A42">
            <w:pPr>
              <w:spacing w:line="360" w:lineRule="auto"/>
              <w:jc w:val="both"/>
              <w:rPr>
                <w:rFonts w:eastAsia="Times New Roman"/>
                <w:sz w:val="20"/>
                <w:szCs w:val="20"/>
                <w:lang w:eastAsia="zh-CN"/>
              </w:rPr>
            </w:pPr>
          </w:p>
        </w:tc>
      </w:tr>
      <w:tr w:rsidR="00A71B22" w:rsidRPr="00D74A42" w14:paraId="0DEA107F" w14:textId="77777777" w:rsidTr="00A71B22">
        <w:trPr>
          <w:trHeight w:val="624"/>
        </w:trPr>
        <w:tc>
          <w:tcPr>
            <w:tcW w:w="646" w:type="pct"/>
            <w:tcBorders>
              <w:top w:val="nil"/>
              <w:left w:val="nil"/>
              <w:bottom w:val="nil"/>
              <w:right w:val="nil"/>
            </w:tcBorders>
            <w:shd w:val="clear" w:color="auto" w:fill="auto"/>
            <w:vAlign w:val="center"/>
            <w:hideMark/>
          </w:tcPr>
          <w:p w14:paraId="7884F219"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Game 3</w:t>
            </w:r>
          </w:p>
        </w:tc>
        <w:tc>
          <w:tcPr>
            <w:tcW w:w="890" w:type="pct"/>
            <w:tcBorders>
              <w:top w:val="nil"/>
              <w:left w:val="nil"/>
              <w:bottom w:val="nil"/>
              <w:right w:val="nil"/>
            </w:tcBorders>
            <w:shd w:val="clear" w:color="auto" w:fill="auto"/>
            <w:vAlign w:val="center"/>
            <w:hideMark/>
          </w:tcPr>
          <w:p w14:paraId="1F489D60"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2020</w:t>
            </w:r>
          </w:p>
        </w:tc>
        <w:tc>
          <w:tcPr>
            <w:tcW w:w="666" w:type="pct"/>
            <w:tcBorders>
              <w:top w:val="nil"/>
              <w:left w:val="nil"/>
              <w:bottom w:val="nil"/>
              <w:right w:val="nil"/>
            </w:tcBorders>
            <w:shd w:val="clear" w:color="auto" w:fill="auto"/>
            <w:vAlign w:val="center"/>
            <w:hideMark/>
          </w:tcPr>
          <w:p w14:paraId="3FCA1BC1"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13</w:t>
            </w:r>
          </w:p>
        </w:tc>
        <w:tc>
          <w:tcPr>
            <w:tcW w:w="665" w:type="pct"/>
            <w:tcBorders>
              <w:top w:val="nil"/>
              <w:left w:val="nil"/>
              <w:bottom w:val="nil"/>
              <w:right w:val="nil"/>
            </w:tcBorders>
            <w:shd w:val="clear" w:color="auto" w:fill="auto"/>
            <w:vAlign w:val="center"/>
            <w:hideMark/>
          </w:tcPr>
          <w:p w14:paraId="47979793"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48</w:t>
            </w:r>
          </w:p>
        </w:tc>
        <w:tc>
          <w:tcPr>
            <w:tcW w:w="477" w:type="pct"/>
            <w:tcBorders>
              <w:top w:val="nil"/>
              <w:left w:val="nil"/>
              <w:bottom w:val="nil"/>
              <w:right w:val="nil"/>
            </w:tcBorders>
            <w:shd w:val="clear" w:color="auto" w:fill="auto"/>
            <w:vAlign w:val="center"/>
            <w:hideMark/>
          </w:tcPr>
          <w:p w14:paraId="1D9EC1CA"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0.271</w:t>
            </w:r>
          </w:p>
        </w:tc>
        <w:tc>
          <w:tcPr>
            <w:tcW w:w="395" w:type="pct"/>
            <w:tcBorders>
              <w:top w:val="nil"/>
              <w:left w:val="nil"/>
              <w:bottom w:val="nil"/>
              <w:right w:val="nil"/>
            </w:tcBorders>
            <w:shd w:val="clear" w:color="auto" w:fill="auto"/>
            <w:noWrap/>
            <w:vAlign w:val="center"/>
            <w:hideMark/>
          </w:tcPr>
          <w:p w14:paraId="6E7D1E9F"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1.477</w:t>
            </w:r>
          </w:p>
        </w:tc>
        <w:tc>
          <w:tcPr>
            <w:tcW w:w="718" w:type="pct"/>
            <w:tcBorders>
              <w:top w:val="nil"/>
              <w:left w:val="nil"/>
              <w:bottom w:val="nil"/>
              <w:right w:val="nil"/>
            </w:tcBorders>
            <w:shd w:val="clear" w:color="auto" w:fill="auto"/>
            <w:noWrap/>
            <w:vAlign w:val="center"/>
            <w:hideMark/>
          </w:tcPr>
          <w:p w14:paraId="510CBB76"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0.865-2.524</w:t>
            </w:r>
          </w:p>
        </w:tc>
        <w:tc>
          <w:tcPr>
            <w:tcW w:w="541" w:type="pct"/>
            <w:tcBorders>
              <w:top w:val="nil"/>
              <w:left w:val="nil"/>
              <w:bottom w:val="nil"/>
              <w:right w:val="nil"/>
            </w:tcBorders>
            <w:shd w:val="clear" w:color="auto" w:fill="auto"/>
            <w:noWrap/>
            <w:vAlign w:val="center"/>
            <w:hideMark/>
          </w:tcPr>
          <w:p w14:paraId="708087E3"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0.153</w:t>
            </w:r>
          </w:p>
        </w:tc>
      </w:tr>
      <w:tr w:rsidR="00A71B22" w:rsidRPr="00D74A42" w14:paraId="2D7CF7DF" w14:textId="77777777" w:rsidTr="00A71B22">
        <w:trPr>
          <w:trHeight w:val="312"/>
        </w:trPr>
        <w:tc>
          <w:tcPr>
            <w:tcW w:w="646" w:type="pct"/>
            <w:tcBorders>
              <w:top w:val="nil"/>
              <w:left w:val="nil"/>
              <w:bottom w:val="nil"/>
              <w:right w:val="nil"/>
            </w:tcBorders>
            <w:shd w:val="clear" w:color="auto" w:fill="auto"/>
            <w:vAlign w:val="center"/>
            <w:hideMark/>
          </w:tcPr>
          <w:p w14:paraId="67878385" w14:textId="77777777" w:rsidR="00D74A42" w:rsidRPr="00D74A42" w:rsidRDefault="00D74A42" w:rsidP="00D74A42">
            <w:pPr>
              <w:spacing w:line="360" w:lineRule="auto"/>
              <w:jc w:val="both"/>
              <w:rPr>
                <w:rFonts w:ascii="Book Antiqua" w:eastAsia="等线" w:hAnsi="Book Antiqua" w:cs="宋体"/>
                <w:color w:val="000000"/>
                <w:lang w:eastAsia="zh-CN"/>
              </w:rPr>
            </w:pPr>
          </w:p>
        </w:tc>
        <w:tc>
          <w:tcPr>
            <w:tcW w:w="890" w:type="pct"/>
            <w:tcBorders>
              <w:top w:val="nil"/>
              <w:left w:val="nil"/>
              <w:bottom w:val="nil"/>
              <w:right w:val="nil"/>
            </w:tcBorders>
            <w:shd w:val="clear" w:color="auto" w:fill="auto"/>
            <w:vAlign w:val="center"/>
            <w:hideMark/>
          </w:tcPr>
          <w:p w14:paraId="54CD65AC" w14:textId="25CE56E3"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2015-</w:t>
            </w:r>
            <w:r w:rsidR="00284420">
              <w:rPr>
                <w:rFonts w:ascii="Book Antiqua" w:eastAsia="等线" w:hAnsi="Book Antiqua" w:cs="宋体"/>
                <w:color w:val="000000"/>
                <w:lang w:eastAsia="zh-CN"/>
              </w:rPr>
              <w:t>20</w:t>
            </w:r>
            <w:r w:rsidRPr="00D74A42">
              <w:rPr>
                <w:rFonts w:ascii="Book Antiqua" w:eastAsia="等线" w:hAnsi="Book Antiqua" w:cs="宋体"/>
                <w:color w:val="000000"/>
                <w:lang w:eastAsia="zh-CN"/>
              </w:rPr>
              <w:t>19</w:t>
            </w:r>
          </w:p>
        </w:tc>
        <w:tc>
          <w:tcPr>
            <w:tcW w:w="666" w:type="pct"/>
            <w:tcBorders>
              <w:top w:val="nil"/>
              <w:left w:val="nil"/>
              <w:bottom w:val="nil"/>
              <w:right w:val="nil"/>
            </w:tcBorders>
            <w:shd w:val="clear" w:color="auto" w:fill="auto"/>
            <w:vAlign w:val="center"/>
            <w:hideMark/>
          </w:tcPr>
          <w:p w14:paraId="66C267F3"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44</w:t>
            </w:r>
          </w:p>
        </w:tc>
        <w:tc>
          <w:tcPr>
            <w:tcW w:w="665" w:type="pct"/>
            <w:tcBorders>
              <w:top w:val="nil"/>
              <w:left w:val="nil"/>
              <w:bottom w:val="nil"/>
              <w:right w:val="nil"/>
            </w:tcBorders>
            <w:shd w:val="clear" w:color="auto" w:fill="auto"/>
            <w:vAlign w:val="center"/>
            <w:hideMark/>
          </w:tcPr>
          <w:p w14:paraId="4B1AC7C4"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240</w:t>
            </w:r>
          </w:p>
        </w:tc>
        <w:tc>
          <w:tcPr>
            <w:tcW w:w="477" w:type="pct"/>
            <w:tcBorders>
              <w:top w:val="nil"/>
              <w:left w:val="nil"/>
              <w:bottom w:val="nil"/>
              <w:right w:val="nil"/>
            </w:tcBorders>
            <w:shd w:val="clear" w:color="auto" w:fill="auto"/>
            <w:vAlign w:val="center"/>
            <w:hideMark/>
          </w:tcPr>
          <w:p w14:paraId="5D6E9905"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0.183</w:t>
            </w:r>
          </w:p>
        </w:tc>
        <w:tc>
          <w:tcPr>
            <w:tcW w:w="395" w:type="pct"/>
            <w:tcBorders>
              <w:top w:val="nil"/>
              <w:left w:val="nil"/>
              <w:bottom w:val="nil"/>
              <w:right w:val="nil"/>
            </w:tcBorders>
            <w:shd w:val="clear" w:color="auto" w:fill="auto"/>
            <w:noWrap/>
            <w:vAlign w:val="center"/>
            <w:hideMark/>
          </w:tcPr>
          <w:p w14:paraId="76F14774" w14:textId="77777777" w:rsidR="00D74A42" w:rsidRPr="00D74A42" w:rsidRDefault="00D74A42" w:rsidP="00D74A42">
            <w:pPr>
              <w:spacing w:line="360" w:lineRule="auto"/>
              <w:jc w:val="both"/>
              <w:rPr>
                <w:rFonts w:ascii="Book Antiqua" w:eastAsia="等线" w:hAnsi="Book Antiqua" w:cs="宋体"/>
                <w:color w:val="000000"/>
                <w:lang w:eastAsia="zh-CN"/>
              </w:rPr>
            </w:pPr>
          </w:p>
        </w:tc>
        <w:tc>
          <w:tcPr>
            <w:tcW w:w="718" w:type="pct"/>
            <w:tcBorders>
              <w:top w:val="nil"/>
              <w:left w:val="nil"/>
              <w:bottom w:val="nil"/>
              <w:right w:val="nil"/>
            </w:tcBorders>
            <w:shd w:val="clear" w:color="auto" w:fill="auto"/>
            <w:noWrap/>
            <w:vAlign w:val="center"/>
            <w:hideMark/>
          </w:tcPr>
          <w:p w14:paraId="214F29E6" w14:textId="77777777" w:rsidR="00D74A42" w:rsidRPr="00D74A42" w:rsidRDefault="00D74A42" w:rsidP="00D74A42">
            <w:pPr>
              <w:spacing w:line="360" w:lineRule="auto"/>
              <w:jc w:val="both"/>
              <w:rPr>
                <w:rFonts w:eastAsia="Times New Roman"/>
                <w:sz w:val="20"/>
                <w:szCs w:val="20"/>
                <w:lang w:eastAsia="zh-CN"/>
              </w:rPr>
            </w:pPr>
          </w:p>
        </w:tc>
        <w:tc>
          <w:tcPr>
            <w:tcW w:w="541" w:type="pct"/>
            <w:tcBorders>
              <w:top w:val="nil"/>
              <w:left w:val="nil"/>
              <w:bottom w:val="nil"/>
              <w:right w:val="nil"/>
            </w:tcBorders>
            <w:shd w:val="clear" w:color="auto" w:fill="auto"/>
            <w:noWrap/>
            <w:vAlign w:val="center"/>
            <w:hideMark/>
          </w:tcPr>
          <w:p w14:paraId="750720A9" w14:textId="77777777" w:rsidR="00D74A42" w:rsidRPr="00D74A42" w:rsidRDefault="00D74A42" w:rsidP="00D74A42">
            <w:pPr>
              <w:spacing w:line="360" w:lineRule="auto"/>
              <w:jc w:val="both"/>
              <w:rPr>
                <w:rFonts w:eastAsia="Times New Roman"/>
                <w:sz w:val="20"/>
                <w:szCs w:val="20"/>
                <w:lang w:eastAsia="zh-CN"/>
              </w:rPr>
            </w:pPr>
          </w:p>
        </w:tc>
      </w:tr>
      <w:tr w:rsidR="00A71B22" w:rsidRPr="00D74A42" w14:paraId="4C07A57B" w14:textId="77777777" w:rsidTr="00A71B22">
        <w:trPr>
          <w:trHeight w:val="624"/>
        </w:trPr>
        <w:tc>
          <w:tcPr>
            <w:tcW w:w="646" w:type="pct"/>
            <w:tcBorders>
              <w:top w:val="nil"/>
              <w:left w:val="nil"/>
              <w:bottom w:val="nil"/>
              <w:right w:val="nil"/>
            </w:tcBorders>
            <w:shd w:val="clear" w:color="auto" w:fill="auto"/>
            <w:vAlign w:val="center"/>
            <w:hideMark/>
          </w:tcPr>
          <w:p w14:paraId="2E3DDEE2"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Game 4</w:t>
            </w:r>
          </w:p>
        </w:tc>
        <w:tc>
          <w:tcPr>
            <w:tcW w:w="890" w:type="pct"/>
            <w:tcBorders>
              <w:top w:val="nil"/>
              <w:left w:val="nil"/>
              <w:bottom w:val="nil"/>
              <w:right w:val="nil"/>
            </w:tcBorders>
            <w:shd w:val="clear" w:color="auto" w:fill="auto"/>
            <w:vAlign w:val="center"/>
            <w:hideMark/>
          </w:tcPr>
          <w:p w14:paraId="169C58C6"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2020</w:t>
            </w:r>
          </w:p>
        </w:tc>
        <w:tc>
          <w:tcPr>
            <w:tcW w:w="666" w:type="pct"/>
            <w:tcBorders>
              <w:top w:val="nil"/>
              <w:left w:val="nil"/>
              <w:bottom w:val="nil"/>
              <w:right w:val="nil"/>
            </w:tcBorders>
            <w:shd w:val="clear" w:color="auto" w:fill="auto"/>
            <w:vAlign w:val="center"/>
            <w:hideMark/>
          </w:tcPr>
          <w:p w14:paraId="07066126"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14</w:t>
            </w:r>
          </w:p>
        </w:tc>
        <w:tc>
          <w:tcPr>
            <w:tcW w:w="665" w:type="pct"/>
            <w:tcBorders>
              <w:top w:val="nil"/>
              <w:left w:val="nil"/>
              <w:bottom w:val="nil"/>
              <w:right w:val="nil"/>
            </w:tcBorders>
            <w:shd w:val="clear" w:color="auto" w:fill="auto"/>
            <w:vAlign w:val="center"/>
            <w:hideMark/>
          </w:tcPr>
          <w:p w14:paraId="1AC9B1A5"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63</w:t>
            </w:r>
          </w:p>
        </w:tc>
        <w:tc>
          <w:tcPr>
            <w:tcW w:w="477" w:type="pct"/>
            <w:tcBorders>
              <w:top w:val="nil"/>
              <w:left w:val="nil"/>
              <w:bottom w:val="nil"/>
              <w:right w:val="nil"/>
            </w:tcBorders>
            <w:shd w:val="clear" w:color="auto" w:fill="auto"/>
            <w:vAlign w:val="center"/>
            <w:hideMark/>
          </w:tcPr>
          <w:p w14:paraId="46B0BB51"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0.222</w:t>
            </w:r>
          </w:p>
        </w:tc>
        <w:tc>
          <w:tcPr>
            <w:tcW w:w="395" w:type="pct"/>
            <w:tcBorders>
              <w:top w:val="nil"/>
              <w:left w:val="nil"/>
              <w:bottom w:val="nil"/>
              <w:right w:val="nil"/>
            </w:tcBorders>
            <w:shd w:val="clear" w:color="auto" w:fill="auto"/>
            <w:noWrap/>
            <w:vAlign w:val="center"/>
            <w:hideMark/>
          </w:tcPr>
          <w:p w14:paraId="050EEAFF"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1.317</w:t>
            </w:r>
          </w:p>
        </w:tc>
        <w:tc>
          <w:tcPr>
            <w:tcW w:w="718" w:type="pct"/>
            <w:tcBorders>
              <w:top w:val="nil"/>
              <w:left w:val="nil"/>
              <w:bottom w:val="nil"/>
              <w:right w:val="nil"/>
            </w:tcBorders>
            <w:shd w:val="clear" w:color="auto" w:fill="auto"/>
            <w:noWrap/>
            <w:vAlign w:val="center"/>
            <w:hideMark/>
          </w:tcPr>
          <w:p w14:paraId="2859E093"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0.781-2.22</w:t>
            </w:r>
          </w:p>
        </w:tc>
        <w:tc>
          <w:tcPr>
            <w:tcW w:w="541" w:type="pct"/>
            <w:tcBorders>
              <w:top w:val="nil"/>
              <w:left w:val="nil"/>
              <w:bottom w:val="nil"/>
              <w:right w:val="nil"/>
            </w:tcBorders>
            <w:shd w:val="clear" w:color="auto" w:fill="auto"/>
            <w:noWrap/>
            <w:vAlign w:val="center"/>
            <w:hideMark/>
          </w:tcPr>
          <w:p w14:paraId="1B093A20"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0.301</w:t>
            </w:r>
          </w:p>
        </w:tc>
      </w:tr>
      <w:tr w:rsidR="00A71B22" w:rsidRPr="00D74A42" w14:paraId="2D654993" w14:textId="77777777" w:rsidTr="00A71B22">
        <w:trPr>
          <w:trHeight w:val="312"/>
        </w:trPr>
        <w:tc>
          <w:tcPr>
            <w:tcW w:w="646" w:type="pct"/>
            <w:tcBorders>
              <w:top w:val="nil"/>
              <w:left w:val="nil"/>
              <w:bottom w:val="nil"/>
              <w:right w:val="nil"/>
            </w:tcBorders>
            <w:shd w:val="clear" w:color="auto" w:fill="auto"/>
            <w:vAlign w:val="center"/>
            <w:hideMark/>
          </w:tcPr>
          <w:p w14:paraId="5C6440F0" w14:textId="77777777" w:rsidR="00D74A42" w:rsidRPr="00D74A42" w:rsidRDefault="00D74A42" w:rsidP="00D74A42">
            <w:pPr>
              <w:spacing w:line="360" w:lineRule="auto"/>
              <w:jc w:val="both"/>
              <w:rPr>
                <w:rFonts w:ascii="Book Antiqua" w:eastAsia="等线" w:hAnsi="Book Antiqua" w:cs="宋体"/>
                <w:color w:val="000000"/>
                <w:lang w:eastAsia="zh-CN"/>
              </w:rPr>
            </w:pPr>
          </w:p>
        </w:tc>
        <w:tc>
          <w:tcPr>
            <w:tcW w:w="890" w:type="pct"/>
            <w:tcBorders>
              <w:top w:val="nil"/>
              <w:left w:val="nil"/>
              <w:bottom w:val="nil"/>
              <w:right w:val="nil"/>
            </w:tcBorders>
            <w:shd w:val="clear" w:color="auto" w:fill="auto"/>
            <w:vAlign w:val="center"/>
            <w:hideMark/>
          </w:tcPr>
          <w:p w14:paraId="0D1C2E8D" w14:textId="19C1857E"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2015-</w:t>
            </w:r>
            <w:r w:rsidR="00284420">
              <w:rPr>
                <w:rFonts w:ascii="Book Antiqua" w:eastAsia="等线" w:hAnsi="Book Antiqua" w:cs="宋体"/>
                <w:color w:val="000000"/>
                <w:lang w:eastAsia="zh-CN"/>
              </w:rPr>
              <w:t>20</w:t>
            </w:r>
            <w:r w:rsidRPr="00D74A42">
              <w:rPr>
                <w:rFonts w:ascii="Book Antiqua" w:eastAsia="等线" w:hAnsi="Book Antiqua" w:cs="宋体"/>
                <w:color w:val="000000"/>
                <w:lang w:eastAsia="zh-CN"/>
              </w:rPr>
              <w:t>19</w:t>
            </w:r>
          </w:p>
        </w:tc>
        <w:tc>
          <w:tcPr>
            <w:tcW w:w="666" w:type="pct"/>
            <w:tcBorders>
              <w:top w:val="nil"/>
              <w:left w:val="nil"/>
              <w:bottom w:val="nil"/>
              <w:right w:val="nil"/>
            </w:tcBorders>
            <w:shd w:val="clear" w:color="auto" w:fill="auto"/>
            <w:vAlign w:val="center"/>
            <w:hideMark/>
          </w:tcPr>
          <w:p w14:paraId="0D329844"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54</w:t>
            </w:r>
          </w:p>
        </w:tc>
        <w:tc>
          <w:tcPr>
            <w:tcW w:w="665" w:type="pct"/>
            <w:tcBorders>
              <w:top w:val="nil"/>
              <w:left w:val="nil"/>
              <w:bottom w:val="nil"/>
              <w:right w:val="nil"/>
            </w:tcBorders>
            <w:shd w:val="clear" w:color="auto" w:fill="auto"/>
            <w:vAlign w:val="center"/>
            <w:hideMark/>
          </w:tcPr>
          <w:p w14:paraId="69080F4A"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320</w:t>
            </w:r>
          </w:p>
        </w:tc>
        <w:tc>
          <w:tcPr>
            <w:tcW w:w="477" w:type="pct"/>
            <w:tcBorders>
              <w:top w:val="nil"/>
              <w:left w:val="nil"/>
              <w:bottom w:val="nil"/>
              <w:right w:val="nil"/>
            </w:tcBorders>
            <w:shd w:val="clear" w:color="auto" w:fill="auto"/>
            <w:vAlign w:val="center"/>
            <w:hideMark/>
          </w:tcPr>
          <w:p w14:paraId="753F78A0"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0.169</w:t>
            </w:r>
          </w:p>
        </w:tc>
        <w:tc>
          <w:tcPr>
            <w:tcW w:w="395" w:type="pct"/>
            <w:tcBorders>
              <w:top w:val="nil"/>
              <w:left w:val="nil"/>
              <w:bottom w:val="nil"/>
              <w:right w:val="nil"/>
            </w:tcBorders>
            <w:shd w:val="clear" w:color="auto" w:fill="auto"/>
            <w:noWrap/>
            <w:vAlign w:val="center"/>
            <w:hideMark/>
          </w:tcPr>
          <w:p w14:paraId="1F037DCD" w14:textId="77777777" w:rsidR="00D74A42" w:rsidRPr="00D74A42" w:rsidRDefault="00D74A42" w:rsidP="00D74A42">
            <w:pPr>
              <w:spacing w:line="360" w:lineRule="auto"/>
              <w:jc w:val="both"/>
              <w:rPr>
                <w:rFonts w:ascii="Book Antiqua" w:eastAsia="等线" w:hAnsi="Book Antiqua" w:cs="宋体"/>
                <w:color w:val="000000"/>
                <w:lang w:eastAsia="zh-CN"/>
              </w:rPr>
            </w:pPr>
          </w:p>
        </w:tc>
        <w:tc>
          <w:tcPr>
            <w:tcW w:w="718" w:type="pct"/>
            <w:tcBorders>
              <w:top w:val="nil"/>
              <w:left w:val="nil"/>
              <w:bottom w:val="nil"/>
              <w:right w:val="nil"/>
            </w:tcBorders>
            <w:shd w:val="clear" w:color="auto" w:fill="auto"/>
            <w:noWrap/>
            <w:vAlign w:val="center"/>
            <w:hideMark/>
          </w:tcPr>
          <w:p w14:paraId="63FDD5B2" w14:textId="77777777" w:rsidR="00D74A42" w:rsidRPr="00D74A42" w:rsidRDefault="00D74A42" w:rsidP="00D74A42">
            <w:pPr>
              <w:spacing w:line="360" w:lineRule="auto"/>
              <w:jc w:val="both"/>
              <w:rPr>
                <w:rFonts w:eastAsia="Times New Roman"/>
                <w:sz w:val="20"/>
                <w:szCs w:val="20"/>
                <w:lang w:eastAsia="zh-CN"/>
              </w:rPr>
            </w:pPr>
          </w:p>
        </w:tc>
        <w:tc>
          <w:tcPr>
            <w:tcW w:w="541" w:type="pct"/>
            <w:tcBorders>
              <w:top w:val="nil"/>
              <w:left w:val="nil"/>
              <w:bottom w:val="nil"/>
              <w:right w:val="nil"/>
            </w:tcBorders>
            <w:shd w:val="clear" w:color="auto" w:fill="auto"/>
            <w:noWrap/>
            <w:vAlign w:val="center"/>
            <w:hideMark/>
          </w:tcPr>
          <w:p w14:paraId="1BFBFEA9" w14:textId="77777777" w:rsidR="00D74A42" w:rsidRPr="00D74A42" w:rsidRDefault="00D74A42" w:rsidP="00D74A42">
            <w:pPr>
              <w:spacing w:line="360" w:lineRule="auto"/>
              <w:jc w:val="both"/>
              <w:rPr>
                <w:rFonts w:eastAsia="Times New Roman"/>
                <w:sz w:val="20"/>
                <w:szCs w:val="20"/>
                <w:lang w:eastAsia="zh-CN"/>
              </w:rPr>
            </w:pPr>
          </w:p>
        </w:tc>
      </w:tr>
      <w:tr w:rsidR="00A71B22" w:rsidRPr="00D74A42" w14:paraId="704720A4" w14:textId="77777777" w:rsidTr="00A71B22">
        <w:trPr>
          <w:trHeight w:val="624"/>
        </w:trPr>
        <w:tc>
          <w:tcPr>
            <w:tcW w:w="646" w:type="pct"/>
            <w:tcBorders>
              <w:top w:val="nil"/>
              <w:left w:val="nil"/>
              <w:bottom w:val="nil"/>
              <w:right w:val="nil"/>
            </w:tcBorders>
            <w:shd w:val="clear" w:color="auto" w:fill="auto"/>
            <w:vAlign w:val="center"/>
            <w:hideMark/>
          </w:tcPr>
          <w:p w14:paraId="21C45E60"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Game 5</w:t>
            </w:r>
          </w:p>
        </w:tc>
        <w:tc>
          <w:tcPr>
            <w:tcW w:w="890" w:type="pct"/>
            <w:tcBorders>
              <w:top w:val="nil"/>
              <w:left w:val="nil"/>
              <w:bottom w:val="nil"/>
              <w:right w:val="nil"/>
            </w:tcBorders>
            <w:shd w:val="clear" w:color="auto" w:fill="auto"/>
            <w:vAlign w:val="center"/>
            <w:hideMark/>
          </w:tcPr>
          <w:p w14:paraId="056557C7"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2020</w:t>
            </w:r>
          </w:p>
        </w:tc>
        <w:tc>
          <w:tcPr>
            <w:tcW w:w="666" w:type="pct"/>
            <w:tcBorders>
              <w:top w:val="nil"/>
              <w:left w:val="nil"/>
              <w:bottom w:val="nil"/>
              <w:right w:val="nil"/>
            </w:tcBorders>
            <w:shd w:val="clear" w:color="auto" w:fill="auto"/>
            <w:vAlign w:val="center"/>
            <w:hideMark/>
          </w:tcPr>
          <w:p w14:paraId="1BE52B09"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15</w:t>
            </w:r>
          </w:p>
        </w:tc>
        <w:tc>
          <w:tcPr>
            <w:tcW w:w="665" w:type="pct"/>
            <w:tcBorders>
              <w:top w:val="nil"/>
              <w:left w:val="nil"/>
              <w:bottom w:val="nil"/>
              <w:right w:val="nil"/>
            </w:tcBorders>
            <w:shd w:val="clear" w:color="auto" w:fill="auto"/>
            <w:vAlign w:val="center"/>
            <w:hideMark/>
          </w:tcPr>
          <w:p w14:paraId="41B0C585"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77</w:t>
            </w:r>
          </w:p>
        </w:tc>
        <w:tc>
          <w:tcPr>
            <w:tcW w:w="477" w:type="pct"/>
            <w:tcBorders>
              <w:top w:val="nil"/>
              <w:left w:val="nil"/>
              <w:bottom w:val="nil"/>
              <w:right w:val="nil"/>
            </w:tcBorders>
            <w:shd w:val="clear" w:color="auto" w:fill="auto"/>
            <w:vAlign w:val="center"/>
            <w:hideMark/>
          </w:tcPr>
          <w:p w14:paraId="35966392"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0.195</w:t>
            </w:r>
          </w:p>
        </w:tc>
        <w:tc>
          <w:tcPr>
            <w:tcW w:w="395" w:type="pct"/>
            <w:tcBorders>
              <w:top w:val="nil"/>
              <w:left w:val="nil"/>
              <w:bottom w:val="nil"/>
              <w:right w:val="nil"/>
            </w:tcBorders>
            <w:shd w:val="clear" w:color="auto" w:fill="auto"/>
            <w:noWrap/>
            <w:vAlign w:val="center"/>
            <w:hideMark/>
          </w:tcPr>
          <w:p w14:paraId="6576B33A"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1.237</w:t>
            </w:r>
          </w:p>
        </w:tc>
        <w:tc>
          <w:tcPr>
            <w:tcW w:w="718" w:type="pct"/>
            <w:tcBorders>
              <w:top w:val="nil"/>
              <w:left w:val="nil"/>
              <w:bottom w:val="nil"/>
              <w:right w:val="nil"/>
            </w:tcBorders>
            <w:shd w:val="clear" w:color="auto" w:fill="auto"/>
            <w:noWrap/>
            <w:vAlign w:val="center"/>
            <w:hideMark/>
          </w:tcPr>
          <w:p w14:paraId="15C69416"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0.745-2.055</w:t>
            </w:r>
          </w:p>
        </w:tc>
        <w:tc>
          <w:tcPr>
            <w:tcW w:w="541" w:type="pct"/>
            <w:tcBorders>
              <w:top w:val="nil"/>
              <w:left w:val="nil"/>
              <w:bottom w:val="nil"/>
              <w:right w:val="nil"/>
            </w:tcBorders>
            <w:shd w:val="clear" w:color="auto" w:fill="auto"/>
            <w:noWrap/>
            <w:vAlign w:val="center"/>
            <w:hideMark/>
          </w:tcPr>
          <w:p w14:paraId="7E2BC590"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0.412</w:t>
            </w:r>
          </w:p>
        </w:tc>
      </w:tr>
      <w:tr w:rsidR="00A71B22" w:rsidRPr="00D74A42" w14:paraId="7D541012" w14:textId="77777777" w:rsidTr="00A71B22">
        <w:trPr>
          <w:trHeight w:val="312"/>
        </w:trPr>
        <w:tc>
          <w:tcPr>
            <w:tcW w:w="646" w:type="pct"/>
            <w:tcBorders>
              <w:top w:val="nil"/>
              <w:left w:val="nil"/>
              <w:bottom w:val="nil"/>
              <w:right w:val="nil"/>
            </w:tcBorders>
            <w:shd w:val="clear" w:color="auto" w:fill="auto"/>
            <w:vAlign w:val="center"/>
            <w:hideMark/>
          </w:tcPr>
          <w:p w14:paraId="73BC332E" w14:textId="77777777" w:rsidR="00D74A42" w:rsidRPr="00D74A42" w:rsidRDefault="00D74A42" w:rsidP="00D74A42">
            <w:pPr>
              <w:spacing w:line="360" w:lineRule="auto"/>
              <w:jc w:val="both"/>
              <w:rPr>
                <w:rFonts w:ascii="Book Antiqua" w:eastAsia="等线" w:hAnsi="Book Antiqua" w:cs="宋体"/>
                <w:color w:val="000000"/>
                <w:lang w:eastAsia="zh-CN"/>
              </w:rPr>
            </w:pPr>
          </w:p>
        </w:tc>
        <w:tc>
          <w:tcPr>
            <w:tcW w:w="890" w:type="pct"/>
            <w:tcBorders>
              <w:top w:val="nil"/>
              <w:left w:val="nil"/>
              <w:bottom w:val="nil"/>
              <w:right w:val="nil"/>
            </w:tcBorders>
            <w:shd w:val="clear" w:color="auto" w:fill="auto"/>
            <w:vAlign w:val="center"/>
            <w:hideMark/>
          </w:tcPr>
          <w:p w14:paraId="16045271" w14:textId="793D3201"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2015-</w:t>
            </w:r>
            <w:r w:rsidR="00284420">
              <w:rPr>
                <w:rFonts w:ascii="Book Antiqua" w:eastAsia="等线" w:hAnsi="Book Antiqua" w:cs="宋体"/>
                <w:color w:val="000000"/>
                <w:lang w:eastAsia="zh-CN"/>
              </w:rPr>
              <w:t>20</w:t>
            </w:r>
            <w:r w:rsidRPr="00D74A42">
              <w:rPr>
                <w:rFonts w:ascii="Book Antiqua" w:eastAsia="等线" w:hAnsi="Book Antiqua" w:cs="宋体"/>
                <w:color w:val="000000"/>
                <w:lang w:eastAsia="zh-CN"/>
              </w:rPr>
              <w:t>19</w:t>
            </w:r>
          </w:p>
        </w:tc>
        <w:tc>
          <w:tcPr>
            <w:tcW w:w="666" w:type="pct"/>
            <w:tcBorders>
              <w:top w:val="nil"/>
              <w:left w:val="nil"/>
              <w:bottom w:val="nil"/>
              <w:right w:val="nil"/>
            </w:tcBorders>
            <w:shd w:val="clear" w:color="auto" w:fill="auto"/>
            <w:vAlign w:val="center"/>
            <w:hideMark/>
          </w:tcPr>
          <w:p w14:paraId="3EDB6DBA"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63</w:t>
            </w:r>
          </w:p>
        </w:tc>
        <w:tc>
          <w:tcPr>
            <w:tcW w:w="665" w:type="pct"/>
            <w:tcBorders>
              <w:top w:val="nil"/>
              <w:left w:val="nil"/>
              <w:bottom w:val="nil"/>
              <w:right w:val="nil"/>
            </w:tcBorders>
            <w:shd w:val="clear" w:color="auto" w:fill="auto"/>
            <w:vAlign w:val="center"/>
            <w:hideMark/>
          </w:tcPr>
          <w:p w14:paraId="030D46A6"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400</w:t>
            </w:r>
          </w:p>
        </w:tc>
        <w:tc>
          <w:tcPr>
            <w:tcW w:w="477" w:type="pct"/>
            <w:tcBorders>
              <w:top w:val="nil"/>
              <w:left w:val="nil"/>
              <w:bottom w:val="nil"/>
              <w:right w:val="nil"/>
            </w:tcBorders>
            <w:shd w:val="clear" w:color="auto" w:fill="auto"/>
            <w:vAlign w:val="center"/>
            <w:hideMark/>
          </w:tcPr>
          <w:p w14:paraId="2F5C0C1F"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0.158</w:t>
            </w:r>
          </w:p>
        </w:tc>
        <w:tc>
          <w:tcPr>
            <w:tcW w:w="395" w:type="pct"/>
            <w:tcBorders>
              <w:top w:val="nil"/>
              <w:left w:val="nil"/>
              <w:bottom w:val="nil"/>
              <w:right w:val="nil"/>
            </w:tcBorders>
            <w:shd w:val="clear" w:color="auto" w:fill="auto"/>
            <w:noWrap/>
            <w:vAlign w:val="center"/>
            <w:hideMark/>
          </w:tcPr>
          <w:p w14:paraId="7949D57B" w14:textId="77777777" w:rsidR="00D74A42" w:rsidRPr="00D74A42" w:rsidRDefault="00D74A42" w:rsidP="00D74A42">
            <w:pPr>
              <w:spacing w:line="360" w:lineRule="auto"/>
              <w:jc w:val="both"/>
              <w:rPr>
                <w:rFonts w:ascii="Book Antiqua" w:eastAsia="等线" w:hAnsi="Book Antiqua" w:cs="宋体"/>
                <w:color w:val="000000"/>
                <w:lang w:eastAsia="zh-CN"/>
              </w:rPr>
            </w:pPr>
          </w:p>
        </w:tc>
        <w:tc>
          <w:tcPr>
            <w:tcW w:w="718" w:type="pct"/>
            <w:tcBorders>
              <w:top w:val="nil"/>
              <w:left w:val="nil"/>
              <w:bottom w:val="nil"/>
              <w:right w:val="nil"/>
            </w:tcBorders>
            <w:shd w:val="clear" w:color="auto" w:fill="auto"/>
            <w:noWrap/>
            <w:vAlign w:val="center"/>
            <w:hideMark/>
          </w:tcPr>
          <w:p w14:paraId="208FC6D2" w14:textId="77777777" w:rsidR="00D74A42" w:rsidRPr="00D74A42" w:rsidRDefault="00D74A42" w:rsidP="00D74A42">
            <w:pPr>
              <w:spacing w:line="360" w:lineRule="auto"/>
              <w:jc w:val="both"/>
              <w:rPr>
                <w:rFonts w:eastAsia="Times New Roman"/>
                <w:sz w:val="20"/>
                <w:szCs w:val="20"/>
                <w:lang w:eastAsia="zh-CN"/>
              </w:rPr>
            </w:pPr>
          </w:p>
        </w:tc>
        <w:tc>
          <w:tcPr>
            <w:tcW w:w="541" w:type="pct"/>
            <w:tcBorders>
              <w:top w:val="nil"/>
              <w:left w:val="nil"/>
              <w:bottom w:val="nil"/>
              <w:right w:val="nil"/>
            </w:tcBorders>
            <w:shd w:val="clear" w:color="auto" w:fill="auto"/>
            <w:noWrap/>
            <w:vAlign w:val="center"/>
            <w:hideMark/>
          </w:tcPr>
          <w:p w14:paraId="46CB38EF" w14:textId="77777777" w:rsidR="00D74A42" w:rsidRPr="00D74A42" w:rsidRDefault="00D74A42" w:rsidP="00D74A42">
            <w:pPr>
              <w:spacing w:line="360" w:lineRule="auto"/>
              <w:jc w:val="both"/>
              <w:rPr>
                <w:rFonts w:eastAsia="Times New Roman"/>
                <w:sz w:val="20"/>
                <w:szCs w:val="20"/>
                <w:lang w:eastAsia="zh-CN"/>
              </w:rPr>
            </w:pPr>
          </w:p>
        </w:tc>
      </w:tr>
      <w:tr w:rsidR="00A71B22" w:rsidRPr="00D74A42" w14:paraId="164637B5" w14:textId="77777777" w:rsidTr="00A71B22">
        <w:trPr>
          <w:trHeight w:val="624"/>
        </w:trPr>
        <w:tc>
          <w:tcPr>
            <w:tcW w:w="646" w:type="pct"/>
            <w:tcBorders>
              <w:top w:val="nil"/>
              <w:left w:val="nil"/>
              <w:bottom w:val="nil"/>
              <w:right w:val="nil"/>
            </w:tcBorders>
            <w:shd w:val="clear" w:color="auto" w:fill="auto"/>
            <w:vAlign w:val="center"/>
            <w:hideMark/>
          </w:tcPr>
          <w:p w14:paraId="1CF98E48"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Game 6</w:t>
            </w:r>
          </w:p>
        </w:tc>
        <w:tc>
          <w:tcPr>
            <w:tcW w:w="890" w:type="pct"/>
            <w:tcBorders>
              <w:top w:val="nil"/>
              <w:left w:val="nil"/>
              <w:bottom w:val="nil"/>
              <w:right w:val="nil"/>
            </w:tcBorders>
            <w:shd w:val="clear" w:color="auto" w:fill="auto"/>
            <w:vAlign w:val="center"/>
            <w:hideMark/>
          </w:tcPr>
          <w:p w14:paraId="2CD430DB"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2020</w:t>
            </w:r>
          </w:p>
        </w:tc>
        <w:tc>
          <w:tcPr>
            <w:tcW w:w="666" w:type="pct"/>
            <w:tcBorders>
              <w:top w:val="nil"/>
              <w:left w:val="nil"/>
              <w:bottom w:val="nil"/>
              <w:right w:val="nil"/>
            </w:tcBorders>
            <w:shd w:val="clear" w:color="auto" w:fill="auto"/>
            <w:vAlign w:val="center"/>
            <w:hideMark/>
          </w:tcPr>
          <w:p w14:paraId="63630D16"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17</w:t>
            </w:r>
          </w:p>
        </w:tc>
        <w:tc>
          <w:tcPr>
            <w:tcW w:w="665" w:type="pct"/>
            <w:tcBorders>
              <w:top w:val="nil"/>
              <w:left w:val="nil"/>
              <w:bottom w:val="nil"/>
              <w:right w:val="nil"/>
            </w:tcBorders>
            <w:shd w:val="clear" w:color="auto" w:fill="auto"/>
            <w:vAlign w:val="center"/>
            <w:hideMark/>
          </w:tcPr>
          <w:p w14:paraId="69F9E26D"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91</w:t>
            </w:r>
          </w:p>
        </w:tc>
        <w:tc>
          <w:tcPr>
            <w:tcW w:w="477" w:type="pct"/>
            <w:tcBorders>
              <w:top w:val="nil"/>
              <w:left w:val="nil"/>
              <w:bottom w:val="nil"/>
              <w:right w:val="nil"/>
            </w:tcBorders>
            <w:shd w:val="clear" w:color="auto" w:fill="auto"/>
            <w:vAlign w:val="center"/>
            <w:hideMark/>
          </w:tcPr>
          <w:p w14:paraId="32705CD8"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0.187</w:t>
            </w:r>
          </w:p>
        </w:tc>
        <w:tc>
          <w:tcPr>
            <w:tcW w:w="395" w:type="pct"/>
            <w:tcBorders>
              <w:top w:val="nil"/>
              <w:left w:val="nil"/>
              <w:bottom w:val="nil"/>
              <w:right w:val="nil"/>
            </w:tcBorders>
            <w:shd w:val="clear" w:color="auto" w:fill="auto"/>
            <w:noWrap/>
            <w:vAlign w:val="center"/>
            <w:hideMark/>
          </w:tcPr>
          <w:p w14:paraId="1BA69DDE"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1.338</w:t>
            </w:r>
          </w:p>
        </w:tc>
        <w:tc>
          <w:tcPr>
            <w:tcW w:w="718" w:type="pct"/>
            <w:tcBorders>
              <w:top w:val="nil"/>
              <w:left w:val="nil"/>
              <w:bottom w:val="nil"/>
              <w:right w:val="nil"/>
            </w:tcBorders>
            <w:shd w:val="clear" w:color="auto" w:fill="auto"/>
            <w:noWrap/>
            <w:vAlign w:val="center"/>
            <w:hideMark/>
          </w:tcPr>
          <w:p w14:paraId="6203077E"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0.826-2.169</w:t>
            </w:r>
          </w:p>
        </w:tc>
        <w:tc>
          <w:tcPr>
            <w:tcW w:w="541" w:type="pct"/>
            <w:tcBorders>
              <w:top w:val="nil"/>
              <w:left w:val="nil"/>
              <w:bottom w:val="nil"/>
              <w:right w:val="nil"/>
            </w:tcBorders>
            <w:shd w:val="clear" w:color="auto" w:fill="auto"/>
            <w:noWrap/>
            <w:vAlign w:val="center"/>
            <w:hideMark/>
          </w:tcPr>
          <w:p w14:paraId="29434F4E"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0.237</w:t>
            </w:r>
          </w:p>
        </w:tc>
      </w:tr>
      <w:tr w:rsidR="00A71B22" w:rsidRPr="00D74A42" w14:paraId="10C17CD1" w14:textId="77777777" w:rsidTr="00A71B22">
        <w:trPr>
          <w:trHeight w:val="312"/>
        </w:trPr>
        <w:tc>
          <w:tcPr>
            <w:tcW w:w="646" w:type="pct"/>
            <w:tcBorders>
              <w:top w:val="nil"/>
              <w:left w:val="nil"/>
              <w:bottom w:val="nil"/>
              <w:right w:val="nil"/>
            </w:tcBorders>
            <w:shd w:val="clear" w:color="auto" w:fill="auto"/>
            <w:vAlign w:val="center"/>
            <w:hideMark/>
          </w:tcPr>
          <w:p w14:paraId="1ED3E276" w14:textId="77777777" w:rsidR="00D74A42" w:rsidRPr="00D74A42" w:rsidRDefault="00D74A42" w:rsidP="00D74A42">
            <w:pPr>
              <w:spacing w:line="360" w:lineRule="auto"/>
              <w:jc w:val="both"/>
              <w:rPr>
                <w:rFonts w:ascii="Book Antiqua" w:eastAsia="等线" w:hAnsi="Book Antiqua" w:cs="宋体"/>
                <w:color w:val="000000"/>
                <w:lang w:eastAsia="zh-CN"/>
              </w:rPr>
            </w:pPr>
          </w:p>
        </w:tc>
        <w:tc>
          <w:tcPr>
            <w:tcW w:w="890" w:type="pct"/>
            <w:tcBorders>
              <w:top w:val="nil"/>
              <w:left w:val="nil"/>
              <w:bottom w:val="nil"/>
              <w:right w:val="nil"/>
            </w:tcBorders>
            <w:shd w:val="clear" w:color="auto" w:fill="auto"/>
            <w:vAlign w:val="center"/>
            <w:hideMark/>
          </w:tcPr>
          <w:p w14:paraId="41A39C30" w14:textId="0EF9A2A2"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2015-</w:t>
            </w:r>
            <w:r w:rsidR="00284420">
              <w:rPr>
                <w:rFonts w:ascii="Book Antiqua" w:eastAsia="等线" w:hAnsi="Book Antiqua" w:cs="宋体"/>
                <w:color w:val="000000"/>
                <w:lang w:eastAsia="zh-CN"/>
              </w:rPr>
              <w:t>20</w:t>
            </w:r>
            <w:r w:rsidRPr="00D74A42">
              <w:rPr>
                <w:rFonts w:ascii="Book Antiqua" w:eastAsia="等线" w:hAnsi="Book Antiqua" w:cs="宋体"/>
                <w:color w:val="000000"/>
                <w:lang w:eastAsia="zh-CN"/>
              </w:rPr>
              <w:t>19</w:t>
            </w:r>
          </w:p>
        </w:tc>
        <w:tc>
          <w:tcPr>
            <w:tcW w:w="666" w:type="pct"/>
            <w:tcBorders>
              <w:top w:val="nil"/>
              <w:left w:val="nil"/>
              <w:bottom w:val="nil"/>
              <w:right w:val="nil"/>
            </w:tcBorders>
            <w:shd w:val="clear" w:color="auto" w:fill="auto"/>
            <w:vAlign w:val="center"/>
            <w:hideMark/>
          </w:tcPr>
          <w:p w14:paraId="3CABB6AD"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67</w:t>
            </w:r>
          </w:p>
        </w:tc>
        <w:tc>
          <w:tcPr>
            <w:tcW w:w="665" w:type="pct"/>
            <w:tcBorders>
              <w:top w:val="nil"/>
              <w:left w:val="nil"/>
              <w:bottom w:val="nil"/>
              <w:right w:val="nil"/>
            </w:tcBorders>
            <w:shd w:val="clear" w:color="auto" w:fill="auto"/>
            <w:vAlign w:val="center"/>
            <w:hideMark/>
          </w:tcPr>
          <w:p w14:paraId="228BF180"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480</w:t>
            </w:r>
          </w:p>
        </w:tc>
        <w:tc>
          <w:tcPr>
            <w:tcW w:w="477" w:type="pct"/>
            <w:tcBorders>
              <w:top w:val="nil"/>
              <w:left w:val="nil"/>
              <w:bottom w:val="nil"/>
              <w:right w:val="nil"/>
            </w:tcBorders>
            <w:shd w:val="clear" w:color="auto" w:fill="auto"/>
            <w:vAlign w:val="center"/>
            <w:hideMark/>
          </w:tcPr>
          <w:p w14:paraId="6DBC8F7E" w14:textId="3B3DEE0E"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0.14</w:t>
            </w:r>
            <w:r w:rsidR="00AC19A6">
              <w:rPr>
                <w:rFonts w:ascii="Book Antiqua" w:eastAsia="等线" w:hAnsi="Book Antiqua" w:cs="宋体"/>
                <w:color w:val="000000"/>
                <w:lang w:eastAsia="zh-CN"/>
              </w:rPr>
              <w:t>0</w:t>
            </w:r>
          </w:p>
        </w:tc>
        <w:tc>
          <w:tcPr>
            <w:tcW w:w="395" w:type="pct"/>
            <w:tcBorders>
              <w:top w:val="nil"/>
              <w:left w:val="nil"/>
              <w:bottom w:val="nil"/>
              <w:right w:val="nil"/>
            </w:tcBorders>
            <w:shd w:val="clear" w:color="auto" w:fill="auto"/>
            <w:noWrap/>
            <w:vAlign w:val="center"/>
            <w:hideMark/>
          </w:tcPr>
          <w:p w14:paraId="75D9C65D" w14:textId="77777777" w:rsidR="00D74A42" w:rsidRPr="00D74A42" w:rsidRDefault="00D74A42" w:rsidP="00D74A42">
            <w:pPr>
              <w:spacing w:line="360" w:lineRule="auto"/>
              <w:jc w:val="both"/>
              <w:rPr>
                <w:rFonts w:ascii="Book Antiqua" w:eastAsia="等线" w:hAnsi="Book Antiqua" w:cs="宋体"/>
                <w:color w:val="000000"/>
                <w:lang w:eastAsia="zh-CN"/>
              </w:rPr>
            </w:pPr>
          </w:p>
        </w:tc>
        <w:tc>
          <w:tcPr>
            <w:tcW w:w="718" w:type="pct"/>
            <w:tcBorders>
              <w:top w:val="nil"/>
              <w:left w:val="nil"/>
              <w:bottom w:val="nil"/>
              <w:right w:val="nil"/>
            </w:tcBorders>
            <w:shd w:val="clear" w:color="auto" w:fill="auto"/>
            <w:noWrap/>
            <w:vAlign w:val="center"/>
            <w:hideMark/>
          </w:tcPr>
          <w:p w14:paraId="3E9BC5B6" w14:textId="77777777" w:rsidR="00D74A42" w:rsidRPr="00D74A42" w:rsidRDefault="00D74A42" w:rsidP="00D74A42">
            <w:pPr>
              <w:spacing w:line="360" w:lineRule="auto"/>
              <w:jc w:val="both"/>
              <w:rPr>
                <w:rFonts w:eastAsia="Times New Roman"/>
                <w:sz w:val="20"/>
                <w:szCs w:val="20"/>
                <w:lang w:eastAsia="zh-CN"/>
              </w:rPr>
            </w:pPr>
          </w:p>
        </w:tc>
        <w:tc>
          <w:tcPr>
            <w:tcW w:w="541" w:type="pct"/>
            <w:tcBorders>
              <w:top w:val="nil"/>
              <w:left w:val="nil"/>
              <w:bottom w:val="nil"/>
              <w:right w:val="nil"/>
            </w:tcBorders>
            <w:shd w:val="clear" w:color="auto" w:fill="auto"/>
            <w:noWrap/>
            <w:vAlign w:val="center"/>
            <w:hideMark/>
          </w:tcPr>
          <w:p w14:paraId="78FCAE8E" w14:textId="77777777" w:rsidR="00D74A42" w:rsidRPr="00D74A42" w:rsidRDefault="00D74A42" w:rsidP="00D74A42">
            <w:pPr>
              <w:spacing w:line="360" w:lineRule="auto"/>
              <w:jc w:val="both"/>
              <w:rPr>
                <w:rFonts w:eastAsia="Times New Roman"/>
                <w:sz w:val="20"/>
                <w:szCs w:val="20"/>
                <w:lang w:eastAsia="zh-CN"/>
              </w:rPr>
            </w:pPr>
          </w:p>
        </w:tc>
      </w:tr>
      <w:tr w:rsidR="00A71B22" w:rsidRPr="00D74A42" w14:paraId="570719B9" w14:textId="77777777" w:rsidTr="00A71B22">
        <w:trPr>
          <w:trHeight w:val="624"/>
        </w:trPr>
        <w:tc>
          <w:tcPr>
            <w:tcW w:w="646" w:type="pct"/>
            <w:tcBorders>
              <w:top w:val="nil"/>
              <w:left w:val="nil"/>
              <w:bottom w:val="nil"/>
              <w:right w:val="nil"/>
            </w:tcBorders>
            <w:shd w:val="clear" w:color="auto" w:fill="auto"/>
            <w:vAlign w:val="center"/>
            <w:hideMark/>
          </w:tcPr>
          <w:p w14:paraId="69DE21E2"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Game 7</w:t>
            </w:r>
          </w:p>
        </w:tc>
        <w:tc>
          <w:tcPr>
            <w:tcW w:w="890" w:type="pct"/>
            <w:tcBorders>
              <w:top w:val="nil"/>
              <w:left w:val="nil"/>
              <w:bottom w:val="nil"/>
              <w:right w:val="nil"/>
            </w:tcBorders>
            <w:shd w:val="clear" w:color="auto" w:fill="auto"/>
            <w:vAlign w:val="center"/>
            <w:hideMark/>
          </w:tcPr>
          <w:p w14:paraId="09C6D1A4"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2020</w:t>
            </w:r>
          </w:p>
        </w:tc>
        <w:tc>
          <w:tcPr>
            <w:tcW w:w="666" w:type="pct"/>
            <w:tcBorders>
              <w:top w:val="nil"/>
              <w:left w:val="nil"/>
              <w:bottom w:val="nil"/>
              <w:right w:val="nil"/>
            </w:tcBorders>
            <w:shd w:val="clear" w:color="auto" w:fill="auto"/>
            <w:vAlign w:val="center"/>
            <w:hideMark/>
          </w:tcPr>
          <w:p w14:paraId="2B6541B1"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19</w:t>
            </w:r>
          </w:p>
        </w:tc>
        <w:tc>
          <w:tcPr>
            <w:tcW w:w="665" w:type="pct"/>
            <w:tcBorders>
              <w:top w:val="nil"/>
              <w:left w:val="nil"/>
              <w:bottom w:val="nil"/>
              <w:right w:val="nil"/>
            </w:tcBorders>
            <w:shd w:val="clear" w:color="auto" w:fill="auto"/>
            <w:vAlign w:val="center"/>
            <w:hideMark/>
          </w:tcPr>
          <w:p w14:paraId="6695F738"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105</w:t>
            </w:r>
          </w:p>
        </w:tc>
        <w:tc>
          <w:tcPr>
            <w:tcW w:w="477" w:type="pct"/>
            <w:tcBorders>
              <w:top w:val="nil"/>
              <w:left w:val="nil"/>
              <w:bottom w:val="nil"/>
              <w:right w:val="nil"/>
            </w:tcBorders>
            <w:shd w:val="clear" w:color="auto" w:fill="auto"/>
            <w:vAlign w:val="center"/>
            <w:hideMark/>
          </w:tcPr>
          <w:p w14:paraId="223A09F8"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0.181</w:t>
            </w:r>
          </w:p>
        </w:tc>
        <w:tc>
          <w:tcPr>
            <w:tcW w:w="395" w:type="pct"/>
            <w:tcBorders>
              <w:top w:val="nil"/>
              <w:left w:val="nil"/>
              <w:bottom w:val="nil"/>
              <w:right w:val="nil"/>
            </w:tcBorders>
            <w:shd w:val="clear" w:color="auto" w:fill="auto"/>
            <w:noWrap/>
            <w:vAlign w:val="center"/>
            <w:hideMark/>
          </w:tcPr>
          <w:p w14:paraId="279D34C7"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1.333</w:t>
            </w:r>
          </w:p>
        </w:tc>
        <w:tc>
          <w:tcPr>
            <w:tcW w:w="718" w:type="pct"/>
            <w:tcBorders>
              <w:top w:val="nil"/>
              <w:left w:val="nil"/>
              <w:bottom w:val="nil"/>
              <w:right w:val="nil"/>
            </w:tcBorders>
            <w:shd w:val="clear" w:color="auto" w:fill="auto"/>
            <w:noWrap/>
            <w:vAlign w:val="center"/>
            <w:hideMark/>
          </w:tcPr>
          <w:p w14:paraId="54FE8D49"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0.844-2.107</w:t>
            </w:r>
          </w:p>
        </w:tc>
        <w:tc>
          <w:tcPr>
            <w:tcW w:w="541" w:type="pct"/>
            <w:tcBorders>
              <w:top w:val="nil"/>
              <w:left w:val="nil"/>
              <w:bottom w:val="nil"/>
              <w:right w:val="nil"/>
            </w:tcBorders>
            <w:shd w:val="clear" w:color="auto" w:fill="auto"/>
            <w:noWrap/>
            <w:vAlign w:val="center"/>
            <w:hideMark/>
          </w:tcPr>
          <w:p w14:paraId="447EFEF0"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0.218</w:t>
            </w:r>
          </w:p>
        </w:tc>
      </w:tr>
      <w:tr w:rsidR="00A71B22" w:rsidRPr="00D74A42" w14:paraId="7D2778A4" w14:textId="77777777" w:rsidTr="00A71B22">
        <w:trPr>
          <w:trHeight w:val="312"/>
        </w:trPr>
        <w:tc>
          <w:tcPr>
            <w:tcW w:w="646" w:type="pct"/>
            <w:tcBorders>
              <w:top w:val="nil"/>
              <w:left w:val="nil"/>
              <w:bottom w:val="nil"/>
              <w:right w:val="nil"/>
            </w:tcBorders>
            <w:shd w:val="clear" w:color="auto" w:fill="auto"/>
            <w:vAlign w:val="center"/>
            <w:hideMark/>
          </w:tcPr>
          <w:p w14:paraId="4672B48F" w14:textId="77777777" w:rsidR="00D74A42" w:rsidRPr="00D74A42" w:rsidRDefault="00D74A42" w:rsidP="00D74A42">
            <w:pPr>
              <w:spacing w:line="360" w:lineRule="auto"/>
              <w:jc w:val="both"/>
              <w:rPr>
                <w:rFonts w:ascii="Book Antiqua" w:eastAsia="等线" w:hAnsi="Book Antiqua" w:cs="宋体"/>
                <w:color w:val="000000"/>
                <w:lang w:eastAsia="zh-CN"/>
              </w:rPr>
            </w:pPr>
          </w:p>
        </w:tc>
        <w:tc>
          <w:tcPr>
            <w:tcW w:w="890" w:type="pct"/>
            <w:tcBorders>
              <w:top w:val="nil"/>
              <w:left w:val="nil"/>
              <w:bottom w:val="nil"/>
              <w:right w:val="nil"/>
            </w:tcBorders>
            <w:shd w:val="clear" w:color="auto" w:fill="auto"/>
            <w:vAlign w:val="center"/>
            <w:hideMark/>
          </w:tcPr>
          <w:p w14:paraId="3985B06F" w14:textId="631E769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2015-</w:t>
            </w:r>
            <w:r w:rsidR="00284420">
              <w:rPr>
                <w:rFonts w:ascii="Book Antiqua" w:eastAsia="等线" w:hAnsi="Book Antiqua" w:cs="宋体"/>
                <w:color w:val="000000"/>
                <w:lang w:eastAsia="zh-CN"/>
              </w:rPr>
              <w:t>20</w:t>
            </w:r>
            <w:r w:rsidRPr="00D74A42">
              <w:rPr>
                <w:rFonts w:ascii="Book Antiqua" w:eastAsia="等线" w:hAnsi="Book Antiqua" w:cs="宋体"/>
                <w:color w:val="000000"/>
                <w:lang w:eastAsia="zh-CN"/>
              </w:rPr>
              <w:t>19</w:t>
            </w:r>
          </w:p>
        </w:tc>
        <w:tc>
          <w:tcPr>
            <w:tcW w:w="666" w:type="pct"/>
            <w:tcBorders>
              <w:top w:val="nil"/>
              <w:left w:val="nil"/>
              <w:bottom w:val="nil"/>
              <w:right w:val="nil"/>
            </w:tcBorders>
            <w:shd w:val="clear" w:color="auto" w:fill="auto"/>
            <w:vAlign w:val="center"/>
            <w:hideMark/>
          </w:tcPr>
          <w:p w14:paraId="58CE6E09"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76</w:t>
            </w:r>
          </w:p>
        </w:tc>
        <w:tc>
          <w:tcPr>
            <w:tcW w:w="665" w:type="pct"/>
            <w:tcBorders>
              <w:top w:val="nil"/>
              <w:left w:val="nil"/>
              <w:bottom w:val="nil"/>
              <w:right w:val="nil"/>
            </w:tcBorders>
            <w:shd w:val="clear" w:color="auto" w:fill="auto"/>
            <w:vAlign w:val="center"/>
            <w:hideMark/>
          </w:tcPr>
          <w:p w14:paraId="026035B3"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560</w:t>
            </w:r>
          </w:p>
        </w:tc>
        <w:tc>
          <w:tcPr>
            <w:tcW w:w="477" w:type="pct"/>
            <w:tcBorders>
              <w:top w:val="nil"/>
              <w:left w:val="nil"/>
              <w:bottom w:val="nil"/>
              <w:right w:val="nil"/>
            </w:tcBorders>
            <w:shd w:val="clear" w:color="auto" w:fill="auto"/>
            <w:vAlign w:val="center"/>
            <w:hideMark/>
          </w:tcPr>
          <w:p w14:paraId="3FF8D31E"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0.136</w:t>
            </w:r>
          </w:p>
        </w:tc>
        <w:tc>
          <w:tcPr>
            <w:tcW w:w="395" w:type="pct"/>
            <w:tcBorders>
              <w:top w:val="nil"/>
              <w:left w:val="nil"/>
              <w:bottom w:val="nil"/>
              <w:right w:val="nil"/>
            </w:tcBorders>
            <w:shd w:val="clear" w:color="auto" w:fill="auto"/>
            <w:noWrap/>
            <w:vAlign w:val="center"/>
            <w:hideMark/>
          </w:tcPr>
          <w:p w14:paraId="47C7FD7E" w14:textId="77777777" w:rsidR="00D74A42" w:rsidRPr="00D74A42" w:rsidRDefault="00D74A42" w:rsidP="00D74A42">
            <w:pPr>
              <w:spacing w:line="360" w:lineRule="auto"/>
              <w:jc w:val="both"/>
              <w:rPr>
                <w:rFonts w:ascii="Book Antiqua" w:eastAsia="等线" w:hAnsi="Book Antiqua" w:cs="宋体"/>
                <w:color w:val="000000"/>
                <w:lang w:eastAsia="zh-CN"/>
              </w:rPr>
            </w:pPr>
          </w:p>
        </w:tc>
        <w:tc>
          <w:tcPr>
            <w:tcW w:w="718" w:type="pct"/>
            <w:tcBorders>
              <w:top w:val="nil"/>
              <w:left w:val="nil"/>
              <w:bottom w:val="nil"/>
              <w:right w:val="nil"/>
            </w:tcBorders>
            <w:shd w:val="clear" w:color="auto" w:fill="auto"/>
            <w:noWrap/>
            <w:vAlign w:val="center"/>
            <w:hideMark/>
          </w:tcPr>
          <w:p w14:paraId="5E54A237" w14:textId="77777777" w:rsidR="00D74A42" w:rsidRPr="00D74A42" w:rsidRDefault="00D74A42" w:rsidP="00D74A42">
            <w:pPr>
              <w:spacing w:line="360" w:lineRule="auto"/>
              <w:jc w:val="both"/>
              <w:rPr>
                <w:rFonts w:eastAsia="Times New Roman"/>
                <w:sz w:val="20"/>
                <w:szCs w:val="20"/>
                <w:lang w:eastAsia="zh-CN"/>
              </w:rPr>
            </w:pPr>
          </w:p>
        </w:tc>
        <w:tc>
          <w:tcPr>
            <w:tcW w:w="541" w:type="pct"/>
            <w:tcBorders>
              <w:top w:val="nil"/>
              <w:left w:val="nil"/>
              <w:bottom w:val="nil"/>
              <w:right w:val="nil"/>
            </w:tcBorders>
            <w:shd w:val="clear" w:color="auto" w:fill="auto"/>
            <w:noWrap/>
            <w:vAlign w:val="center"/>
            <w:hideMark/>
          </w:tcPr>
          <w:p w14:paraId="6FDFF0D8" w14:textId="77777777" w:rsidR="00D74A42" w:rsidRPr="00D74A42" w:rsidRDefault="00D74A42" w:rsidP="00D74A42">
            <w:pPr>
              <w:spacing w:line="360" w:lineRule="auto"/>
              <w:jc w:val="both"/>
              <w:rPr>
                <w:rFonts w:eastAsia="Times New Roman"/>
                <w:sz w:val="20"/>
                <w:szCs w:val="20"/>
                <w:lang w:eastAsia="zh-CN"/>
              </w:rPr>
            </w:pPr>
          </w:p>
        </w:tc>
      </w:tr>
      <w:tr w:rsidR="00A71B22" w:rsidRPr="00D74A42" w14:paraId="34A4B80B" w14:textId="77777777" w:rsidTr="00A71B22">
        <w:trPr>
          <w:trHeight w:val="624"/>
        </w:trPr>
        <w:tc>
          <w:tcPr>
            <w:tcW w:w="646" w:type="pct"/>
            <w:tcBorders>
              <w:top w:val="nil"/>
              <w:left w:val="nil"/>
              <w:bottom w:val="nil"/>
              <w:right w:val="nil"/>
            </w:tcBorders>
            <w:shd w:val="clear" w:color="auto" w:fill="auto"/>
            <w:vAlign w:val="center"/>
            <w:hideMark/>
          </w:tcPr>
          <w:p w14:paraId="6E4C1440"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Game 8</w:t>
            </w:r>
          </w:p>
        </w:tc>
        <w:tc>
          <w:tcPr>
            <w:tcW w:w="890" w:type="pct"/>
            <w:tcBorders>
              <w:top w:val="nil"/>
              <w:left w:val="nil"/>
              <w:bottom w:val="nil"/>
              <w:right w:val="nil"/>
            </w:tcBorders>
            <w:shd w:val="clear" w:color="auto" w:fill="auto"/>
            <w:vAlign w:val="center"/>
            <w:hideMark/>
          </w:tcPr>
          <w:p w14:paraId="77B1D202"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2020</w:t>
            </w:r>
          </w:p>
        </w:tc>
        <w:tc>
          <w:tcPr>
            <w:tcW w:w="666" w:type="pct"/>
            <w:tcBorders>
              <w:top w:val="nil"/>
              <w:left w:val="nil"/>
              <w:bottom w:val="nil"/>
              <w:right w:val="nil"/>
            </w:tcBorders>
            <w:shd w:val="clear" w:color="auto" w:fill="auto"/>
            <w:vAlign w:val="center"/>
            <w:hideMark/>
          </w:tcPr>
          <w:p w14:paraId="7BD2932E"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19</w:t>
            </w:r>
          </w:p>
        </w:tc>
        <w:tc>
          <w:tcPr>
            <w:tcW w:w="665" w:type="pct"/>
            <w:tcBorders>
              <w:top w:val="nil"/>
              <w:left w:val="nil"/>
              <w:bottom w:val="nil"/>
              <w:right w:val="nil"/>
            </w:tcBorders>
            <w:shd w:val="clear" w:color="auto" w:fill="auto"/>
            <w:vAlign w:val="center"/>
            <w:hideMark/>
          </w:tcPr>
          <w:p w14:paraId="586540AC"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119</w:t>
            </w:r>
          </w:p>
        </w:tc>
        <w:tc>
          <w:tcPr>
            <w:tcW w:w="477" w:type="pct"/>
            <w:tcBorders>
              <w:top w:val="nil"/>
              <w:left w:val="nil"/>
              <w:bottom w:val="nil"/>
              <w:right w:val="nil"/>
            </w:tcBorders>
            <w:shd w:val="clear" w:color="auto" w:fill="auto"/>
            <w:vAlign w:val="center"/>
            <w:hideMark/>
          </w:tcPr>
          <w:p w14:paraId="3F6EF527" w14:textId="51E26806"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0.16</w:t>
            </w:r>
            <w:r w:rsidR="00AC19A6">
              <w:rPr>
                <w:rFonts w:ascii="Book Antiqua" w:eastAsia="等线" w:hAnsi="Book Antiqua" w:cs="宋体"/>
                <w:color w:val="000000"/>
                <w:lang w:eastAsia="zh-CN"/>
              </w:rPr>
              <w:t>0</w:t>
            </w:r>
          </w:p>
        </w:tc>
        <w:tc>
          <w:tcPr>
            <w:tcW w:w="395" w:type="pct"/>
            <w:tcBorders>
              <w:top w:val="nil"/>
              <w:left w:val="nil"/>
              <w:bottom w:val="nil"/>
              <w:right w:val="nil"/>
            </w:tcBorders>
            <w:shd w:val="clear" w:color="auto" w:fill="auto"/>
            <w:noWrap/>
            <w:vAlign w:val="center"/>
            <w:hideMark/>
          </w:tcPr>
          <w:p w14:paraId="1EBFBDE0"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1.181</w:t>
            </w:r>
          </w:p>
        </w:tc>
        <w:tc>
          <w:tcPr>
            <w:tcW w:w="718" w:type="pct"/>
            <w:tcBorders>
              <w:top w:val="nil"/>
              <w:left w:val="nil"/>
              <w:bottom w:val="nil"/>
              <w:right w:val="nil"/>
            </w:tcBorders>
            <w:shd w:val="clear" w:color="auto" w:fill="auto"/>
            <w:noWrap/>
            <w:vAlign w:val="center"/>
            <w:hideMark/>
          </w:tcPr>
          <w:p w14:paraId="3CE3F2A6"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0.748-1.864</w:t>
            </w:r>
          </w:p>
        </w:tc>
        <w:tc>
          <w:tcPr>
            <w:tcW w:w="541" w:type="pct"/>
            <w:tcBorders>
              <w:top w:val="nil"/>
              <w:left w:val="nil"/>
              <w:bottom w:val="nil"/>
              <w:right w:val="nil"/>
            </w:tcBorders>
            <w:shd w:val="clear" w:color="auto" w:fill="auto"/>
            <w:noWrap/>
            <w:vAlign w:val="center"/>
            <w:hideMark/>
          </w:tcPr>
          <w:p w14:paraId="0FE08D98"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0.476</w:t>
            </w:r>
          </w:p>
        </w:tc>
      </w:tr>
      <w:tr w:rsidR="00A71B22" w:rsidRPr="00D74A42" w14:paraId="6D2E1629" w14:textId="77777777" w:rsidTr="00A71B22">
        <w:trPr>
          <w:trHeight w:val="324"/>
        </w:trPr>
        <w:tc>
          <w:tcPr>
            <w:tcW w:w="646" w:type="pct"/>
            <w:tcBorders>
              <w:top w:val="nil"/>
              <w:left w:val="nil"/>
              <w:bottom w:val="single" w:sz="8" w:space="0" w:color="auto"/>
              <w:right w:val="nil"/>
            </w:tcBorders>
            <w:shd w:val="clear" w:color="auto" w:fill="auto"/>
            <w:vAlign w:val="center"/>
            <w:hideMark/>
          </w:tcPr>
          <w:p w14:paraId="2E353DD6" w14:textId="1DBBF1E7" w:rsidR="00D74A42" w:rsidRPr="00D74A42" w:rsidRDefault="00D74A42" w:rsidP="00D74A42">
            <w:pPr>
              <w:spacing w:line="360" w:lineRule="auto"/>
              <w:jc w:val="both"/>
              <w:rPr>
                <w:rFonts w:ascii="Book Antiqua" w:eastAsia="等线" w:hAnsi="Book Antiqua" w:cs="宋体"/>
                <w:color w:val="000000"/>
                <w:lang w:eastAsia="zh-CN"/>
              </w:rPr>
            </w:pPr>
          </w:p>
        </w:tc>
        <w:tc>
          <w:tcPr>
            <w:tcW w:w="890" w:type="pct"/>
            <w:tcBorders>
              <w:top w:val="nil"/>
              <w:left w:val="nil"/>
              <w:bottom w:val="single" w:sz="8" w:space="0" w:color="auto"/>
              <w:right w:val="nil"/>
            </w:tcBorders>
            <w:shd w:val="clear" w:color="auto" w:fill="auto"/>
            <w:vAlign w:val="center"/>
            <w:hideMark/>
          </w:tcPr>
          <w:p w14:paraId="4B920B4A" w14:textId="1577531B"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2015-</w:t>
            </w:r>
            <w:r w:rsidR="00284420">
              <w:rPr>
                <w:rFonts w:ascii="Book Antiqua" w:eastAsia="等线" w:hAnsi="Book Antiqua" w:cs="宋体"/>
                <w:color w:val="000000"/>
                <w:lang w:eastAsia="zh-CN"/>
              </w:rPr>
              <w:t>20</w:t>
            </w:r>
            <w:r w:rsidRPr="00D74A42">
              <w:rPr>
                <w:rFonts w:ascii="Book Antiqua" w:eastAsia="等线" w:hAnsi="Book Antiqua" w:cs="宋体"/>
                <w:color w:val="000000"/>
                <w:lang w:eastAsia="zh-CN"/>
              </w:rPr>
              <w:t>19</w:t>
            </w:r>
          </w:p>
        </w:tc>
        <w:tc>
          <w:tcPr>
            <w:tcW w:w="666" w:type="pct"/>
            <w:tcBorders>
              <w:top w:val="nil"/>
              <w:left w:val="nil"/>
              <w:bottom w:val="single" w:sz="8" w:space="0" w:color="auto"/>
              <w:right w:val="nil"/>
            </w:tcBorders>
            <w:shd w:val="clear" w:color="auto" w:fill="auto"/>
            <w:vAlign w:val="center"/>
            <w:hideMark/>
          </w:tcPr>
          <w:p w14:paraId="3CC7F9D6"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86</w:t>
            </w:r>
          </w:p>
        </w:tc>
        <w:tc>
          <w:tcPr>
            <w:tcW w:w="665" w:type="pct"/>
            <w:tcBorders>
              <w:top w:val="nil"/>
              <w:left w:val="nil"/>
              <w:bottom w:val="single" w:sz="8" w:space="0" w:color="auto"/>
              <w:right w:val="nil"/>
            </w:tcBorders>
            <w:shd w:val="clear" w:color="auto" w:fill="auto"/>
            <w:vAlign w:val="center"/>
            <w:hideMark/>
          </w:tcPr>
          <w:p w14:paraId="5EC86C6B"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636</w:t>
            </w:r>
          </w:p>
        </w:tc>
        <w:tc>
          <w:tcPr>
            <w:tcW w:w="477" w:type="pct"/>
            <w:tcBorders>
              <w:top w:val="nil"/>
              <w:left w:val="nil"/>
              <w:bottom w:val="single" w:sz="8" w:space="0" w:color="auto"/>
              <w:right w:val="nil"/>
            </w:tcBorders>
            <w:shd w:val="clear" w:color="auto" w:fill="auto"/>
            <w:vAlign w:val="center"/>
            <w:hideMark/>
          </w:tcPr>
          <w:p w14:paraId="49F4315E" w14:textId="77777777" w:rsidR="00D74A42" w:rsidRPr="00D74A42" w:rsidRDefault="00D74A42" w:rsidP="00D74A42">
            <w:pPr>
              <w:spacing w:line="360" w:lineRule="auto"/>
              <w:jc w:val="both"/>
              <w:rPr>
                <w:rFonts w:ascii="Book Antiqua" w:eastAsia="等线" w:hAnsi="Book Antiqua" w:cs="宋体"/>
                <w:color w:val="000000"/>
                <w:lang w:eastAsia="zh-CN"/>
              </w:rPr>
            </w:pPr>
            <w:r w:rsidRPr="00D74A42">
              <w:rPr>
                <w:rFonts w:ascii="Book Antiqua" w:eastAsia="等线" w:hAnsi="Book Antiqua" w:cs="宋体"/>
                <w:color w:val="000000"/>
                <w:lang w:eastAsia="zh-CN"/>
              </w:rPr>
              <w:t>0.135</w:t>
            </w:r>
          </w:p>
        </w:tc>
        <w:tc>
          <w:tcPr>
            <w:tcW w:w="395" w:type="pct"/>
            <w:tcBorders>
              <w:top w:val="nil"/>
              <w:left w:val="nil"/>
              <w:bottom w:val="single" w:sz="8" w:space="0" w:color="auto"/>
              <w:right w:val="nil"/>
            </w:tcBorders>
            <w:shd w:val="clear" w:color="auto" w:fill="auto"/>
            <w:noWrap/>
            <w:vAlign w:val="center"/>
            <w:hideMark/>
          </w:tcPr>
          <w:p w14:paraId="3816BD96" w14:textId="1DC89DF9" w:rsidR="00D74A42" w:rsidRPr="00D74A42" w:rsidRDefault="00D74A42" w:rsidP="00D74A42">
            <w:pPr>
              <w:spacing w:line="360" w:lineRule="auto"/>
              <w:jc w:val="both"/>
              <w:rPr>
                <w:rFonts w:ascii="Book Antiqua" w:eastAsia="等线" w:hAnsi="Book Antiqua" w:cs="宋体"/>
                <w:color w:val="000000"/>
                <w:lang w:eastAsia="zh-CN"/>
              </w:rPr>
            </w:pPr>
          </w:p>
        </w:tc>
        <w:tc>
          <w:tcPr>
            <w:tcW w:w="718" w:type="pct"/>
            <w:tcBorders>
              <w:top w:val="nil"/>
              <w:left w:val="nil"/>
              <w:bottom w:val="single" w:sz="8" w:space="0" w:color="auto"/>
              <w:right w:val="nil"/>
            </w:tcBorders>
            <w:shd w:val="clear" w:color="auto" w:fill="auto"/>
            <w:noWrap/>
            <w:vAlign w:val="center"/>
            <w:hideMark/>
          </w:tcPr>
          <w:p w14:paraId="5B74068C" w14:textId="34612CDA" w:rsidR="00D74A42" w:rsidRPr="00D74A42" w:rsidRDefault="00D74A42" w:rsidP="00D74A42">
            <w:pPr>
              <w:spacing w:line="360" w:lineRule="auto"/>
              <w:jc w:val="both"/>
              <w:rPr>
                <w:rFonts w:ascii="Book Antiqua" w:eastAsia="等线" w:hAnsi="Book Antiqua" w:cs="宋体"/>
                <w:color w:val="000000"/>
                <w:lang w:eastAsia="zh-CN"/>
              </w:rPr>
            </w:pPr>
          </w:p>
        </w:tc>
        <w:tc>
          <w:tcPr>
            <w:tcW w:w="541" w:type="pct"/>
            <w:tcBorders>
              <w:top w:val="nil"/>
              <w:left w:val="nil"/>
              <w:bottom w:val="single" w:sz="8" w:space="0" w:color="auto"/>
              <w:right w:val="nil"/>
            </w:tcBorders>
            <w:shd w:val="clear" w:color="auto" w:fill="auto"/>
            <w:noWrap/>
            <w:vAlign w:val="center"/>
            <w:hideMark/>
          </w:tcPr>
          <w:p w14:paraId="0D2C07A6" w14:textId="0F028768" w:rsidR="00D74A42" w:rsidRPr="00D74A42" w:rsidRDefault="00D74A42" w:rsidP="00D74A42">
            <w:pPr>
              <w:spacing w:line="360" w:lineRule="auto"/>
              <w:jc w:val="both"/>
              <w:rPr>
                <w:rFonts w:ascii="Book Antiqua" w:eastAsia="等线" w:hAnsi="Book Antiqua" w:cs="宋体"/>
                <w:color w:val="000000"/>
                <w:lang w:eastAsia="zh-CN"/>
              </w:rPr>
            </w:pPr>
          </w:p>
        </w:tc>
      </w:tr>
    </w:tbl>
    <w:p w14:paraId="76819521" w14:textId="2C503E9E" w:rsidR="0035456E" w:rsidRPr="00733AAD" w:rsidRDefault="00D74A42">
      <w:pPr>
        <w:spacing w:line="360" w:lineRule="auto"/>
        <w:contextualSpacing/>
        <w:jc w:val="both"/>
        <w:rPr>
          <w:rFonts w:ascii="Book Antiqua" w:eastAsia="Times New Roman" w:hAnsi="Book Antiqua" w:cs="Arial"/>
        </w:rPr>
      </w:pPr>
      <w:r w:rsidRPr="0061681A">
        <w:rPr>
          <w:rFonts w:ascii="Book Antiqua" w:eastAsia="Times New Roman" w:hAnsi="Book Antiqua" w:cs="Arial"/>
        </w:rPr>
        <w:t xml:space="preserve">RR: Relative </w:t>
      </w:r>
      <w:r w:rsidR="003B444C">
        <w:rPr>
          <w:rFonts w:ascii="Book Antiqua" w:eastAsia="Times New Roman" w:hAnsi="Book Antiqua" w:cs="Arial"/>
        </w:rPr>
        <w:t>r</w:t>
      </w:r>
      <w:r w:rsidRPr="0061681A">
        <w:rPr>
          <w:rFonts w:ascii="Book Antiqua" w:eastAsia="Times New Roman" w:hAnsi="Book Antiqua" w:cs="Arial"/>
        </w:rPr>
        <w:t xml:space="preserve">isk; CI: Confidence </w:t>
      </w:r>
      <w:r w:rsidR="003B444C">
        <w:rPr>
          <w:rFonts w:ascii="Book Antiqua" w:eastAsia="Times New Roman" w:hAnsi="Book Antiqua" w:cs="Arial"/>
        </w:rPr>
        <w:t>i</w:t>
      </w:r>
      <w:r w:rsidRPr="0061681A">
        <w:rPr>
          <w:rFonts w:ascii="Book Antiqua" w:eastAsia="Times New Roman" w:hAnsi="Book Antiqua" w:cs="Arial"/>
        </w:rPr>
        <w:t>nterval</w:t>
      </w:r>
      <w:r w:rsidR="003B444C">
        <w:rPr>
          <w:rFonts w:ascii="Book Antiqua" w:eastAsia="Times New Roman" w:hAnsi="Book Antiqua" w:cs="Arial"/>
        </w:rPr>
        <w:t>.</w:t>
      </w:r>
    </w:p>
    <w:sectPr w:rsidR="0035456E" w:rsidRPr="00733AAD" w:rsidSect="00733A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9ABE" w14:textId="77777777" w:rsidR="0082018C" w:rsidRDefault="0082018C" w:rsidP="00C97F2D">
      <w:r>
        <w:separator/>
      </w:r>
    </w:p>
  </w:endnote>
  <w:endnote w:type="continuationSeparator" w:id="0">
    <w:p w14:paraId="1006E973" w14:textId="77777777" w:rsidR="0082018C" w:rsidRDefault="0082018C" w:rsidP="00C9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759E" w14:textId="4B6F611C" w:rsidR="00C97F2D" w:rsidRPr="00C97F2D" w:rsidRDefault="00C97F2D" w:rsidP="00C97F2D">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15</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B0EA" w14:textId="77777777" w:rsidR="0082018C" w:rsidRDefault="0082018C" w:rsidP="00C97F2D">
      <w:r>
        <w:separator/>
      </w:r>
    </w:p>
  </w:footnote>
  <w:footnote w:type="continuationSeparator" w:id="0">
    <w:p w14:paraId="72F93ACC" w14:textId="77777777" w:rsidR="0082018C" w:rsidRDefault="0082018C" w:rsidP="00C97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005"/>
    <w:rsid w:val="00006316"/>
    <w:rsid w:val="00024169"/>
    <w:rsid w:val="00025217"/>
    <w:rsid w:val="0005446F"/>
    <w:rsid w:val="00066EB4"/>
    <w:rsid w:val="0007236A"/>
    <w:rsid w:val="0007492F"/>
    <w:rsid w:val="000868D5"/>
    <w:rsid w:val="000968F3"/>
    <w:rsid w:val="000A606D"/>
    <w:rsid w:val="000B4A29"/>
    <w:rsid w:val="000B5BE7"/>
    <w:rsid w:val="000D7BD9"/>
    <w:rsid w:val="000E4DE0"/>
    <w:rsid w:val="000E5864"/>
    <w:rsid w:val="001106E9"/>
    <w:rsid w:val="0014751A"/>
    <w:rsid w:val="00173529"/>
    <w:rsid w:val="00187E38"/>
    <w:rsid w:val="00192607"/>
    <w:rsid w:val="001B1818"/>
    <w:rsid w:val="001B4BD5"/>
    <w:rsid w:val="001C5518"/>
    <w:rsid w:val="001D3091"/>
    <w:rsid w:val="001D63FB"/>
    <w:rsid w:val="001E58A8"/>
    <w:rsid w:val="00217793"/>
    <w:rsid w:val="00233157"/>
    <w:rsid w:val="00255A59"/>
    <w:rsid w:val="00260BC9"/>
    <w:rsid w:val="0027721D"/>
    <w:rsid w:val="00280228"/>
    <w:rsid w:val="0028368E"/>
    <w:rsid w:val="00284420"/>
    <w:rsid w:val="00287AA8"/>
    <w:rsid w:val="00291953"/>
    <w:rsid w:val="002C0A0F"/>
    <w:rsid w:val="002C10B2"/>
    <w:rsid w:val="002C2378"/>
    <w:rsid w:val="002D1DE2"/>
    <w:rsid w:val="002E2416"/>
    <w:rsid w:val="002E35B7"/>
    <w:rsid w:val="00317F2F"/>
    <w:rsid w:val="003317E9"/>
    <w:rsid w:val="00331C54"/>
    <w:rsid w:val="00347C70"/>
    <w:rsid w:val="0035456E"/>
    <w:rsid w:val="00355FCC"/>
    <w:rsid w:val="00391DCE"/>
    <w:rsid w:val="00394209"/>
    <w:rsid w:val="003B196A"/>
    <w:rsid w:val="003B444C"/>
    <w:rsid w:val="003C2EE8"/>
    <w:rsid w:val="003D34C1"/>
    <w:rsid w:val="003E244C"/>
    <w:rsid w:val="003F06EB"/>
    <w:rsid w:val="00432382"/>
    <w:rsid w:val="00436616"/>
    <w:rsid w:val="00452298"/>
    <w:rsid w:val="004806BB"/>
    <w:rsid w:val="00487F0F"/>
    <w:rsid w:val="004A12C0"/>
    <w:rsid w:val="004B30CB"/>
    <w:rsid w:val="004C2472"/>
    <w:rsid w:val="004D13BD"/>
    <w:rsid w:val="004E42CD"/>
    <w:rsid w:val="005014CA"/>
    <w:rsid w:val="0050211A"/>
    <w:rsid w:val="005026D4"/>
    <w:rsid w:val="00502EE3"/>
    <w:rsid w:val="005156C1"/>
    <w:rsid w:val="0051760C"/>
    <w:rsid w:val="00520A7C"/>
    <w:rsid w:val="005462C7"/>
    <w:rsid w:val="00552790"/>
    <w:rsid w:val="00552FCB"/>
    <w:rsid w:val="005622B0"/>
    <w:rsid w:val="00575BD6"/>
    <w:rsid w:val="005A25BA"/>
    <w:rsid w:val="005D7454"/>
    <w:rsid w:val="005E1451"/>
    <w:rsid w:val="00600454"/>
    <w:rsid w:val="00623AE8"/>
    <w:rsid w:val="00625944"/>
    <w:rsid w:val="006367AE"/>
    <w:rsid w:val="00647E75"/>
    <w:rsid w:val="00696447"/>
    <w:rsid w:val="006965B8"/>
    <w:rsid w:val="006F6DDD"/>
    <w:rsid w:val="006F6E65"/>
    <w:rsid w:val="00700AE7"/>
    <w:rsid w:val="0070210B"/>
    <w:rsid w:val="0070772B"/>
    <w:rsid w:val="0072286E"/>
    <w:rsid w:val="007242B6"/>
    <w:rsid w:val="00733AAD"/>
    <w:rsid w:val="00751240"/>
    <w:rsid w:val="00753718"/>
    <w:rsid w:val="0075389A"/>
    <w:rsid w:val="007677DE"/>
    <w:rsid w:val="00791236"/>
    <w:rsid w:val="007A055C"/>
    <w:rsid w:val="007C5341"/>
    <w:rsid w:val="007D46AA"/>
    <w:rsid w:val="007E03BB"/>
    <w:rsid w:val="007F43E3"/>
    <w:rsid w:val="007F67B0"/>
    <w:rsid w:val="007F7D96"/>
    <w:rsid w:val="00803A9B"/>
    <w:rsid w:val="0082018C"/>
    <w:rsid w:val="00827B75"/>
    <w:rsid w:val="00830B4E"/>
    <w:rsid w:val="00843BB5"/>
    <w:rsid w:val="00857BAC"/>
    <w:rsid w:val="0086564E"/>
    <w:rsid w:val="00882316"/>
    <w:rsid w:val="008A5A2E"/>
    <w:rsid w:val="008A5CD9"/>
    <w:rsid w:val="008F1935"/>
    <w:rsid w:val="0091149D"/>
    <w:rsid w:val="0093450F"/>
    <w:rsid w:val="0093776A"/>
    <w:rsid w:val="00940420"/>
    <w:rsid w:val="00943A71"/>
    <w:rsid w:val="009654C4"/>
    <w:rsid w:val="009729CF"/>
    <w:rsid w:val="00974624"/>
    <w:rsid w:val="00984B60"/>
    <w:rsid w:val="00986352"/>
    <w:rsid w:val="009875C8"/>
    <w:rsid w:val="0099671B"/>
    <w:rsid w:val="009C1B9A"/>
    <w:rsid w:val="009C1FE0"/>
    <w:rsid w:val="009C544F"/>
    <w:rsid w:val="009D1AFF"/>
    <w:rsid w:val="009D2F21"/>
    <w:rsid w:val="009D62ED"/>
    <w:rsid w:val="00A007F3"/>
    <w:rsid w:val="00A04824"/>
    <w:rsid w:val="00A21212"/>
    <w:rsid w:val="00A27667"/>
    <w:rsid w:val="00A569D3"/>
    <w:rsid w:val="00A71B22"/>
    <w:rsid w:val="00A74E13"/>
    <w:rsid w:val="00A77B3E"/>
    <w:rsid w:val="00A9324B"/>
    <w:rsid w:val="00AC1585"/>
    <w:rsid w:val="00AC19A6"/>
    <w:rsid w:val="00AD1930"/>
    <w:rsid w:val="00AD59BE"/>
    <w:rsid w:val="00AF5F39"/>
    <w:rsid w:val="00B147FB"/>
    <w:rsid w:val="00B25019"/>
    <w:rsid w:val="00B26D8C"/>
    <w:rsid w:val="00B3422B"/>
    <w:rsid w:val="00B356C1"/>
    <w:rsid w:val="00B73331"/>
    <w:rsid w:val="00B76779"/>
    <w:rsid w:val="00B81F78"/>
    <w:rsid w:val="00BA008C"/>
    <w:rsid w:val="00BA7177"/>
    <w:rsid w:val="00BB2D41"/>
    <w:rsid w:val="00BB4E30"/>
    <w:rsid w:val="00BD591B"/>
    <w:rsid w:val="00C007C2"/>
    <w:rsid w:val="00C026E0"/>
    <w:rsid w:val="00C108E4"/>
    <w:rsid w:val="00C214CE"/>
    <w:rsid w:val="00C23211"/>
    <w:rsid w:val="00C41824"/>
    <w:rsid w:val="00C45008"/>
    <w:rsid w:val="00C52C7C"/>
    <w:rsid w:val="00C53E48"/>
    <w:rsid w:val="00C61083"/>
    <w:rsid w:val="00C62335"/>
    <w:rsid w:val="00C65339"/>
    <w:rsid w:val="00C71C2E"/>
    <w:rsid w:val="00C724DA"/>
    <w:rsid w:val="00C801F4"/>
    <w:rsid w:val="00C97F2D"/>
    <w:rsid w:val="00CA2A55"/>
    <w:rsid w:val="00CB4A1E"/>
    <w:rsid w:val="00CB604E"/>
    <w:rsid w:val="00CD33AF"/>
    <w:rsid w:val="00D019CA"/>
    <w:rsid w:val="00D14B2E"/>
    <w:rsid w:val="00D74A42"/>
    <w:rsid w:val="00D82156"/>
    <w:rsid w:val="00D92AE3"/>
    <w:rsid w:val="00D96B20"/>
    <w:rsid w:val="00DB0A9A"/>
    <w:rsid w:val="00DC75EE"/>
    <w:rsid w:val="00DD6F50"/>
    <w:rsid w:val="00DF6ADD"/>
    <w:rsid w:val="00E05C12"/>
    <w:rsid w:val="00E21877"/>
    <w:rsid w:val="00E72D95"/>
    <w:rsid w:val="00E8543C"/>
    <w:rsid w:val="00EA3CB3"/>
    <w:rsid w:val="00EA474A"/>
    <w:rsid w:val="00EC359E"/>
    <w:rsid w:val="00EF2461"/>
    <w:rsid w:val="00EF5FBF"/>
    <w:rsid w:val="00F12D83"/>
    <w:rsid w:val="00F135DE"/>
    <w:rsid w:val="00F140F6"/>
    <w:rsid w:val="00F21A37"/>
    <w:rsid w:val="00F34E91"/>
    <w:rsid w:val="00F50F85"/>
    <w:rsid w:val="00F56649"/>
    <w:rsid w:val="00F62018"/>
    <w:rsid w:val="00F72787"/>
    <w:rsid w:val="00F82779"/>
    <w:rsid w:val="00F860F1"/>
    <w:rsid w:val="00F92AB4"/>
    <w:rsid w:val="00FA0081"/>
    <w:rsid w:val="00FA049F"/>
    <w:rsid w:val="00FA59C4"/>
    <w:rsid w:val="00FB065C"/>
    <w:rsid w:val="00FD635F"/>
    <w:rsid w:val="00FF6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C8094"/>
  <w15:docId w15:val="{287D9251-D6B0-4DEF-9319-0A1C06F7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97F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97F2D"/>
    <w:rPr>
      <w:sz w:val="18"/>
      <w:szCs w:val="18"/>
    </w:rPr>
  </w:style>
  <w:style w:type="paragraph" w:styleId="a5">
    <w:name w:val="footer"/>
    <w:basedOn w:val="a"/>
    <w:link w:val="a6"/>
    <w:unhideWhenUsed/>
    <w:rsid w:val="00C97F2D"/>
    <w:pPr>
      <w:tabs>
        <w:tab w:val="center" w:pos="4153"/>
        <w:tab w:val="right" w:pos="8306"/>
      </w:tabs>
      <w:snapToGrid w:val="0"/>
    </w:pPr>
    <w:rPr>
      <w:sz w:val="18"/>
      <w:szCs w:val="18"/>
    </w:rPr>
  </w:style>
  <w:style w:type="character" w:customStyle="1" w:styleId="a6">
    <w:name w:val="页脚 字符"/>
    <w:basedOn w:val="a0"/>
    <w:link w:val="a5"/>
    <w:rsid w:val="00C97F2D"/>
    <w:rPr>
      <w:sz w:val="18"/>
      <w:szCs w:val="18"/>
    </w:rPr>
  </w:style>
  <w:style w:type="character" w:styleId="a7">
    <w:name w:val="Strong"/>
    <w:uiPriority w:val="22"/>
    <w:qFormat/>
    <w:rsid w:val="00C724DA"/>
    <w:rPr>
      <w:rFonts w:cs="Times New Roman"/>
      <w:b/>
    </w:rPr>
  </w:style>
  <w:style w:type="table" w:styleId="a8">
    <w:name w:val="Table Grid"/>
    <w:basedOn w:val="a1"/>
    <w:uiPriority w:val="39"/>
    <w:rsid w:val="00F50F8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4789">
      <w:bodyDiv w:val="1"/>
      <w:marLeft w:val="0"/>
      <w:marRight w:val="0"/>
      <w:marTop w:val="0"/>
      <w:marBottom w:val="0"/>
      <w:divBdr>
        <w:top w:val="none" w:sz="0" w:space="0" w:color="auto"/>
        <w:left w:val="none" w:sz="0" w:space="0" w:color="auto"/>
        <w:bottom w:val="none" w:sz="0" w:space="0" w:color="auto"/>
        <w:right w:val="none" w:sz="0" w:space="0" w:color="auto"/>
      </w:divBdr>
    </w:div>
    <w:div w:id="402802865">
      <w:bodyDiv w:val="1"/>
      <w:marLeft w:val="0"/>
      <w:marRight w:val="0"/>
      <w:marTop w:val="0"/>
      <w:marBottom w:val="0"/>
      <w:divBdr>
        <w:top w:val="none" w:sz="0" w:space="0" w:color="auto"/>
        <w:left w:val="none" w:sz="0" w:space="0" w:color="auto"/>
        <w:bottom w:val="none" w:sz="0" w:space="0" w:color="auto"/>
        <w:right w:val="none" w:sz="0" w:space="0" w:color="auto"/>
      </w:divBdr>
    </w:div>
    <w:div w:id="1855420257">
      <w:bodyDiv w:val="1"/>
      <w:marLeft w:val="0"/>
      <w:marRight w:val="0"/>
      <w:marTop w:val="0"/>
      <w:marBottom w:val="0"/>
      <w:divBdr>
        <w:top w:val="none" w:sz="0" w:space="0" w:color="auto"/>
        <w:left w:val="none" w:sz="0" w:space="0" w:color="auto"/>
        <w:bottom w:val="none" w:sz="0" w:space="0" w:color="auto"/>
        <w:right w:val="none" w:sz="0" w:space="0" w:color="auto"/>
      </w:divBdr>
    </w:div>
    <w:div w:id="195894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2021-09-15T17:08:00Z</dcterms:created>
  <dcterms:modified xsi:type="dcterms:W3CDTF">2021-09-15T17:08:00Z</dcterms:modified>
</cp:coreProperties>
</file>