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C5FA6" w14:textId="6993483C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9C0C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9C0C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0B6E23AC" w14:textId="50277990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68885</w:t>
      </w:r>
    </w:p>
    <w:p w14:paraId="1B5B3216" w14:textId="080A197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ORIGINAL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ARTICLE</w:t>
      </w:r>
    </w:p>
    <w:p w14:paraId="149D3D1A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3DD061" w14:textId="5B16789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Prospective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31701373" w14:textId="7C8A5676" w:rsidR="008653E3" w:rsidRDefault="002B14C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Efficacy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134363">
        <w:rPr>
          <w:rFonts w:ascii="Book Antiqua" w:eastAsia="Book Antiqua" w:hAnsi="Book Antiqua" w:cs="Book Antiqua"/>
          <w:b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="00134363">
        <w:rPr>
          <w:rFonts w:ascii="Book Antiqua" w:eastAsia="Book Antiqua" w:hAnsi="Book Antiqua" w:cs="Book Antiqua"/>
          <w:b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 xml:space="preserve">in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b/>
          <w:color w:val="000000" w:themeColor="text1"/>
        </w:rPr>
        <w:t>operation</w:t>
      </w:r>
    </w:p>
    <w:p w14:paraId="33A6E025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F1BC37" w14:textId="13A4676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Li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Efficacy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</w:t>
      </w:r>
      <w:r>
        <w:rPr>
          <w:rFonts w:ascii="Book Antiqua" w:hAnsi="Book Antiqua" w:cs="Book Antiqua"/>
          <w:color w:val="000000" w:themeColor="text1"/>
          <w:lang w:eastAsia="zh-CN"/>
        </w:rPr>
        <w:t>r</w:t>
      </w:r>
      <w:r w:rsidR="002B14C3">
        <w:rPr>
          <w:rFonts w:ascii="Book Antiqua" w:hAnsi="Book Antiqua" w:cs="Book Antiqua"/>
          <w:color w:val="000000" w:themeColor="text1"/>
          <w:lang w:eastAsia="zh-CN"/>
        </w:rPr>
        <w:t xml:space="preserve"> prescription</w:t>
      </w:r>
    </w:p>
    <w:p w14:paraId="0BCE5C7B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E8DA3" w14:textId="74374AA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Dong-Feng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Yin,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Xin-Wei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Li-Jiang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Zhou,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Jun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Yang</w:t>
      </w:r>
    </w:p>
    <w:p w14:paraId="574C6D78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108AD5" w14:textId="4CD6E858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Graduate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School,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University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Shenyang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110847,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57AAD8FB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52F996" w14:textId="1661CA31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Wei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Xin-Wei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Zhang,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Department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Integrated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Western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Institute,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Shenyang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110042,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1A3DD89F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ABF92B" w14:textId="76D0FFF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Dong-Feng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Yin,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Li-Jiang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Zhou,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Jun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Yang,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Oncology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Department,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The </w:t>
      </w:r>
      <w:r>
        <w:rPr>
          <w:rFonts w:ascii="Book Antiqua" w:eastAsia="Book Antiqua" w:hAnsi="Book Antiqua" w:cs="Book Antiqua"/>
          <w:color w:val="000000" w:themeColor="text1"/>
        </w:rPr>
        <w:t>Affiliated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University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Shenyang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110032,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4D82C34F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8B7BA0" w14:textId="43C2629E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responsible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design,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analyzed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data,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drafted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manuscript;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analyzed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</w:t>
      </w:r>
      <w:r w:rsidR="002B14C3">
        <w:rPr>
          <w:rFonts w:ascii="Book Antiqua" w:eastAsia="Book Antiqua" w:hAnsi="Book Antiqua" w:cs="Book Antiqua"/>
          <w:color w:val="000000" w:themeColor="text1"/>
        </w:rPr>
        <w:t>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manuscript;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XW</w:t>
      </w:r>
      <w:r>
        <w:rPr>
          <w:rFonts w:ascii="Book Antiqua" w:hAnsi="Book Antiqua" w:cs="Book Antiqua"/>
          <w:color w:val="000000" w:themeColor="text1"/>
          <w:lang w:eastAsia="zh-CN"/>
        </w:rPr>
        <w:t>,</w:t>
      </w:r>
      <w:r w:rsidR="009C0C05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Zhou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LJ</w:t>
      </w:r>
      <w:r w:rsidR="002B14C3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responsible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manuscript;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responsible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2B14C3" w:rsidRPr="002B14C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co-design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2B14C3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manuscript;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approved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version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manuscript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submitted.</w:t>
      </w:r>
    </w:p>
    <w:p w14:paraId="7E127F5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6AD159D" w14:textId="470CC27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Dong-Feng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Yin,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Chief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Oncology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Department,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The </w:t>
      </w:r>
      <w:r>
        <w:rPr>
          <w:rFonts w:ascii="Book Antiqua" w:eastAsia="Book Antiqua" w:hAnsi="Book Antiqua" w:cs="Book Antiqua"/>
          <w:color w:val="000000" w:themeColor="text1"/>
        </w:rPr>
        <w:t>Affiliated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University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33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Beiling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Street,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Shenyang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110032,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Province,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148003642@qq.com</w:t>
      </w:r>
    </w:p>
    <w:p w14:paraId="5922E134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26786F" w14:textId="6DD54FD8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20E70D6C" w14:textId="1BA56DC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July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16,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5AFAAC91" w14:textId="61F2631C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9C0C05">
        <w:rPr>
          <w:rFonts w:ascii="Book Antiqua" w:eastAsia="宋体" w:hAnsi="Book Antiqua" w:hint="eastAsia"/>
          <w:color w:val="000000" w:themeColor="text1"/>
        </w:rPr>
        <w:t>Au</w:t>
      </w:r>
      <w:r w:rsidR="009C0C05">
        <w:rPr>
          <w:rFonts w:ascii="Book Antiqua" w:eastAsia="宋体" w:hAnsi="Book Antiqua"/>
          <w:color w:val="000000" w:themeColor="text1"/>
        </w:rPr>
        <w:t>gust</w:t>
      </w:r>
      <w:r w:rsidR="009C0C0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C0C05">
        <w:rPr>
          <w:rFonts w:ascii="Book Antiqua" w:eastAsia="宋体" w:hAnsi="Book Antiqua"/>
          <w:color w:val="000000" w:themeColor="text1"/>
        </w:rPr>
        <w:t>25</w:t>
      </w:r>
      <w:r w:rsidR="009C0C05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5DBB29B0" w14:textId="47E95D1C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03B3E2B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BCCF3C7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0B0F261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4F4F7251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35E169AA" w14:textId="09ABCA91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routinely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adjuvant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</w:t>
      </w:r>
      <w:r>
        <w:rPr>
          <w:rFonts w:ascii="Book Antiqua" w:eastAsia="Book Antiqua" w:hAnsi="Book Antiqua" w:cs="Book Antiqua"/>
          <w:color w:val="000000" w:themeColor="text1"/>
        </w:rPr>
        <w:t>operatively.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(AEs)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usually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interrupt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T</w:t>
      </w:r>
      <w:r>
        <w:rPr>
          <w:rFonts w:ascii="Book Antiqua" w:eastAsia="Book Antiqua" w:hAnsi="Book Antiqua" w:cs="Book Antiqua"/>
          <w:color w:val="000000" w:themeColor="text1"/>
        </w:rPr>
        <w:t>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(TCM)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great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potential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patients'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regulating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improving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reducing the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239F693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9511C4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AIM</w:t>
      </w:r>
    </w:p>
    <w:p w14:paraId="32D7666B" w14:textId="1E7799A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efficacy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operation.</w:t>
      </w:r>
    </w:p>
    <w:p w14:paraId="0C80E506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DEDBF7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METHODS</w:t>
      </w:r>
    </w:p>
    <w:p w14:paraId="4BA962D4" w14:textId="2C8FA96B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Data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January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February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Institute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Affiliated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University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</w:t>
      </w:r>
      <w:r>
        <w:rPr>
          <w:rFonts w:ascii="Book Antiqua" w:eastAsia="Book Antiqua" w:hAnsi="Book Antiqua" w:cs="Book Antiqua"/>
          <w:color w:val="000000" w:themeColor="text1"/>
        </w:rPr>
        <w:t>iving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chemothe</w:t>
      </w:r>
      <w:r>
        <w:rPr>
          <w:rFonts w:ascii="Book Antiqua" w:eastAsia="Book Antiqua" w:hAnsi="Book Antiqua" w:cs="Book Antiqua"/>
          <w:color w:val="000000" w:themeColor="text1"/>
        </w:rPr>
        <w:t>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capecitabine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plus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oxaliplatin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(CAPOX)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radical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prospectively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randomly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divided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</w:t>
      </w:r>
      <w:r>
        <w:rPr>
          <w:rFonts w:ascii="Book Antiqua" w:eastAsia="Book Antiqua" w:hAnsi="Book Antiqua" w:cs="Book Antiqua"/>
          <w:color w:val="000000" w:themeColor="text1"/>
        </w:rPr>
        <w:t>o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a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given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2B14C3" w:rsidRPr="002B14C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regimen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given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2B14C3" w:rsidRPr="002B14C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regimen alone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six </w:t>
      </w:r>
      <w:r>
        <w:rPr>
          <w:rFonts w:ascii="Book Antiqua" w:eastAsia="Book Antiqua" w:hAnsi="Book Antiqua" w:cs="Book Antiqua"/>
          <w:color w:val="000000" w:themeColor="text1"/>
        </w:rPr>
        <w:t>cycles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Karnofsky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performance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scale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(KPS)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T-cell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subsets,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compared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C413F86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E2ECFB9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RESULTS</w:t>
      </w:r>
    </w:p>
    <w:p w14:paraId="54E3B017" w14:textId="573089F2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rando</w:t>
      </w:r>
      <w:r>
        <w:rPr>
          <w:rFonts w:ascii="Book Antiqua" w:eastAsia="Book Antiqua" w:hAnsi="Book Antiqua" w:cs="Book Antiqua"/>
          <w:color w:val="000000" w:themeColor="text1"/>
        </w:rPr>
        <w:t>mly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divided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either 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dropout)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or 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33,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</w:t>
      </w:r>
      <w:r>
        <w:rPr>
          <w:rFonts w:ascii="Book Antiqua" w:eastAsia="Book Antiqua" w:hAnsi="Book Antiqua" w:cs="Book Antiqua"/>
          <w:color w:val="000000" w:themeColor="text1"/>
        </w:rPr>
        <w:t>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dropouts).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</w:t>
      </w:r>
      <w:r>
        <w:rPr>
          <w:rFonts w:ascii="Book Antiqua" w:eastAsia="Book Antiqua" w:hAnsi="Book Antiqua" w:cs="Book Antiqua"/>
          <w:color w:val="000000" w:themeColor="text1"/>
        </w:rPr>
        <w:t>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T-cell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subsets</w:t>
      </w:r>
      <w:r w:rsidR="002B14C3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</w:p>
    <w:p w14:paraId="3DE751E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3EB654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76E5AE6C" w14:textId="7C28DE41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effectively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regulate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alleviate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therapeutic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</w:t>
      </w:r>
      <w:r>
        <w:rPr>
          <w:rFonts w:ascii="Book Antiqua" w:eastAsia="Book Antiqua" w:hAnsi="Book Antiqua" w:cs="Book Antiqua"/>
          <w:color w:val="000000" w:themeColor="text1"/>
        </w:rPr>
        <w:t>lication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prospect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64615374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CB6A7A" w14:textId="342AD0A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</w:p>
    <w:p w14:paraId="0AC07BE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5EF004" w14:textId="106B6EE9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Li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DF,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XW,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Zhou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LJ,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</w:t>
      </w:r>
      <w:r>
        <w:rPr>
          <w:rFonts w:ascii="Book Antiqua" w:eastAsia="Book Antiqua" w:hAnsi="Book Antiqua" w:cs="Book Antiqua"/>
          <w:color w:val="000000" w:themeColor="text1"/>
        </w:rPr>
        <w:t>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Efficacy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in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</w:t>
      </w:r>
      <w:r>
        <w:rPr>
          <w:rFonts w:ascii="Book Antiqua" w:eastAsia="Book Antiqua" w:hAnsi="Book Antiqua" w:cs="Book Antiqua"/>
          <w:color w:val="000000" w:themeColor="text1"/>
        </w:rPr>
        <w:t>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operation.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press</w:t>
      </w:r>
    </w:p>
    <w:p w14:paraId="762A96C7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E73B84" w14:textId="69E454AA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authors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effectively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</w:t>
      </w:r>
      <w:r>
        <w:rPr>
          <w:rFonts w:ascii="Book Antiqua" w:eastAsia="Book Antiqua" w:hAnsi="Book Antiqua" w:cs="Book Antiqua"/>
          <w:color w:val="000000" w:themeColor="text1"/>
        </w:rPr>
        <w:t>ncy,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regulate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alleviate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(hand-foot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skin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reaction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and </w:t>
      </w:r>
      <w:r>
        <w:rPr>
          <w:rFonts w:ascii="Book Antiqua" w:eastAsia="Book Antiqua" w:hAnsi="Book Antiqua" w:cs="Book Antiqua"/>
          <w:color w:val="000000" w:themeColor="text1"/>
        </w:rPr>
        <w:t>gastrointestin</w:t>
      </w:r>
      <w:r>
        <w:rPr>
          <w:rFonts w:ascii="Book Antiqua" w:eastAsia="Book Antiqua" w:hAnsi="Book Antiqua" w:cs="Book Antiqua"/>
          <w:color w:val="000000" w:themeColor="text1"/>
        </w:rPr>
        <w:t>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reaction)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therapeutic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application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prospect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73E30E18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A09212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10B758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356A001" w14:textId="7DCA409D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</w:t>
      </w:r>
      <w:r>
        <w:rPr>
          <w:rFonts w:ascii="Book Antiqua" w:eastAsia="Book Antiqua" w:hAnsi="Book Antiqua" w:cs="Book Antiqua"/>
          <w:color w:val="000000" w:themeColor="text1"/>
        </w:rPr>
        <w:t>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gast</w:t>
      </w:r>
      <w:r>
        <w:rPr>
          <w:rFonts w:ascii="Book Antiqua" w:eastAsia="Book Antiqua" w:hAnsi="Book Antiqua" w:cs="Book Antiqua"/>
          <w:color w:val="000000" w:themeColor="text1"/>
        </w:rPr>
        <w:t>rointestinal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(G</w:t>
      </w:r>
      <w:r>
        <w:rPr>
          <w:rFonts w:ascii="Book Antiqua" w:eastAsia="Book Antiqua" w:hAnsi="Book Antiqua" w:cs="Book Antiqua"/>
          <w:color w:val="000000" w:themeColor="text1"/>
        </w:rPr>
        <w:t>I)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has </w:t>
      </w:r>
      <w:r>
        <w:rPr>
          <w:rFonts w:ascii="Book Antiqua" w:eastAsia="Book Antiqua" w:hAnsi="Book Antiqua" w:cs="Book Antiqua"/>
          <w:color w:val="000000" w:themeColor="text1"/>
        </w:rPr>
        <w:t>been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confirmed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1.4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million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cases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694000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deaths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worldwide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every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making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third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malignant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tumor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(stage</w:t>
      </w:r>
      <w:r w:rsidR="002B14C3">
        <w:rPr>
          <w:rFonts w:ascii="Book Antiqua" w:eastAsia="Book Antiqua" w:hAnsi="Book Antiqua" w:cs="Book Antiqua"/>
          <w:color w:val="000000" w:themeColor="text1"/>
        </w:rPr>
        <w:t>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I-III)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by </w:t>
      </w:r>
      <w:r>
        <w:rPr>
          <w:rFonts w:ascii="Book Antiqua" w:eastAsia="Book Antiqua" w:hAnsi="Book Antiqua" w:cs="Book Antiqua"/>
          <w:color w:val="000000" w:themeColor="text1"/>
        </w:rPr>
        <w:t>radical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resection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;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recurrence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metastasis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remain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causes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death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it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2]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Accordingly,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routinely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adjuvant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postoperatively.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damage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influence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addition,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(AEs)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usually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interrupt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</w:t>
      </w:r>
      <w:r>
        <w:rPr>
          <w:rFonts w:ascii="Book Antiqua" w:eastAsia="Book Antiqua" w:hAnsi="Book Antiqua" w:cs="Book Antiqua"/>
          <w:color w:val="000000" w:themeColor="text1"/>
        </w:rPr>
        <w:t>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well.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T</w:t>
      </w:r>
      <w:r>
        <w:rPr>
          <w:rFonts w:ascii="Book Antiqua" w:eastAsia="Book Antiqua" w:hAnsi="Book Antiqua" w:cs="Book Antiqua"/>
          <w:color w:val="000000" w:themeColor="text1"/>
        </w:rPr>
        <w:t>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(TCM)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great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potential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patients’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regulating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improving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reducing the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chemotherapy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controlled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evaluated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operation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January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February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2021.</w:t>
      </w:r>
    </w:p>
    <w:p w14:paraId="0D453C14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1E8C74" w14:textId="34DC738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9C0C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9C0C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2FF1908" w14:textId="6D7326EB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General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information</w:t>
      </w:r>
    </w:p>
    <w:p w14:paraId="5F70080B" w14:textId="3C889A8A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multicenter,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prospective,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randomized,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controlled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Data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January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February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collected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</w:t>
      </w:r>
      <w:r>
        <w:rPr>
          <w:rFonts w:ascii="Book Antiqua" w:eastAsia="Book Antiqua" w:hAnsi="Book Antiqua" w:cs="Book Antiqua"/>
          <w:color w:val="000000" w:themeColor="text1"/>
        </w:rPr>
        <w:t>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&amp;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Institute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and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Affiliated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University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>
        <w:rPr>
          <w:rFonts w:ascii="Book Antiqua" w:eastAsia="Book Antiqua" w:hAnsi="Book Antiqua" w:cs="Book Antiqua"/>
          <w:color w:val="000000" w:themeColor="text1"/>
        </w:rPr>
        <w:t>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hospitalized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receivi</w:t>
      </w:r>
      <w:r>
        <w:rPr>
          <w:rFonts w:ascii="Book Antiqua" w:eastAsia="Book Antiqua" w:hAnsi="Book Antiqua" w:cs="Book Antiqua"/>
          <w:color w:val="000000" w:themeColor="text1"/>
        </w:rPr>
        <w:t>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plus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oxaliplatin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(CAPOX)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order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hospitalization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random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numbers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generated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computer,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randomly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divided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two </w:t>
      </w:r>
      <w:r>
        <w:rPr>
          <w:rFonts w:ascii="Book Antiqua" w:eastAsia="Book Antiqua" w:hAnsi="Book Antiqua" w:cs="Book Antiqua"/>
          <w:color w:val="000000" w:themeColor="text1"/>
        </w:rPr>
        <w:t>groups: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E</w:t>
      </w:r>
      <w:r>
        <w:rPr>
          <w:rFonts w:ascii="Book Antiqua" w:eastAsia="Book Antiqua" w:hAnsi="Book Antiqua" w:cs="Book Antiqua"/>
          <w:color w:val="000000" w:themeColor="text1"/>
        </w:rPr>
        <w:t>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35,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dropout)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33,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dropouts).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females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females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routine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parameters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kidney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function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ions,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clotting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electrocardiogram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(ECG)</w:t>
      </w:r>
      <w:r w:rsidR="002B14C3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indicators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normal,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contraindications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gender,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age,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cancer type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or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&gt;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1.</w:t>
      </w:r>
    </w:p>
    <w:p w14:paraId="67F17A6A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5F22E58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Subjects</w:t>
      </w:r>
    </w:p>
    <w:p w14:paraId="26E8A6C9" w14:textId="0A8C4C9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Acco</w:t>
      </w:r>
      <w:r>
        <w:rPr>
          <w:rFonts w:ascii="Book Antiqua" w:eastAsia="Book Antiqua" w:hAnsi="Book Antiqua" w:cs="Book Antiqua"/>
          <w:color w:val="000000" w:themeColor="text1"/>
        </w:rPr>
        <w:t>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Internal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r>
        <w:rPr>
          <w:rFonts w:ascii="Book Antiqua" w:eastAsia="Book Antiqua" w:hAnsi="Book Antiqua" w:cs="Book Antiqua"/>
          <w:color w:val="000000" w:themeColor="text1"/>
        </w:rPr>
        <w:t>9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edition)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for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appetite,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abdominal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distention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eating,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loose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stool,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tired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lack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breath,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disinclination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talk,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fatigue,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emaciation</w:t>
      </w:r>
      <w:r w:rsidR="002B14C3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swelling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limbs.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Meanwhile,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lingual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channel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presents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tongue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teeth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tongue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coating,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weak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pulse.</w:t>
      </w:r>
    </w:p>
    <w:p w14:paraId="46532511" w14:textId="0D6D9C25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confirmed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pathology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time;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Standards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Malignant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compiled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Department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Administration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People’s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Republic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Karnofsky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performance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scale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(KPS)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&gt;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70;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routine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>blood parameters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coagulation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ECG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indicators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normal,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contraindications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</w:t>
      </w:r>
      <w:r>
        <w:rPr>
          <w:rFonts w:ascii="Book Antiqua" w:eastAsia="Book Antiqua" w:hAnsi="Book Antiqua" w:cs="Book Antiqua"/>
          <w:color w:val="000000" w:themeColor="text1"/>
        </w:rPr>
        <w:t>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(4)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24–70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old;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two </w:t>
      </w:r>
      <w:r>
        <w:rPr>
          <w:rFonts w:ascii="Book Antiqua" w:eastAsia="Book Antiqua" w:hAnsi="Book Antiqua" w:cs="Book Antiqua"/>
          <w:color w:val="000000" w:themeColor="text1"/>
        </w:rPr>
        <w:t>researchers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associate </w:t>
      </w:r>
      <w:r>
        <w:rPr>
          <w:rFonts w:ascii="Book Antiqua" w:eastAsia="Book Antiqua" w:hAnsi="Book Antiqua" w:cs="Book Antiqua"/>
          <w:color w:val="000000" w:themeColor="text1"/>
        </w:rPr>
        <w:t>chief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physician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above)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having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(6)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compliance,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accepted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signed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informed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consent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 form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7EC1D1EB" w14:textId="7CDB9B99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exclusion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serious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complications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heart,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brain,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kidney;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recent </w:t>
      </w:r>
      <w:r>
        <w:rPr>
          <w:rFonts w:ascii="Book Antiqua" w:eastAsia="Book Antiqua" w:hAnsi="Book Antiqua" w:cs="Book Antiqua"/>
          <w:color w:val="000000" w:themeColor="text1"/>
        </w:rPr>
        <w:t>participatio</w:t>
      </w:r>
      <w:r>
        <w:rPr>
          <w:rFonts w:ascii="Book Antiqua" w:eastAsia="Book Antiqua" w:hAnsi="Book Antiqua" w:cs="Book Antiqua"/>
          <w:color w:val="000000" w:themeColor="text1"/>
        </w:rPr>
        <w:t>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trials;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(</w:t>
      </w:r>
      <w:r>
        <w:rPr>
          <w:rFonts w:ascii="Book Antiqua" w:eastAsia="Book Antiqua" w:hAnsi="Book Antiqua" w:cs="Book Antiqua"/>
          <w:color w:val="000000" w:themeColor="text1"/>
        </w:rPr>
        <w:t>3)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B14C3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uncontrolled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pathological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changes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infections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organs,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cannot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tolerate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(4)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brain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metastasis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141B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>
        <w:rPr>
          <w:rFonts w:ascii="Book Antiqua" w:eastAsia="Book Antiqua" w:hAnsi="Book Antiqua" w:cs="Book Antiqua"/>
          <w:color w:val="000000" w:themeColor="text1"/>
        </w:rPr>
        <w:t>receiving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anti-tumor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drugs.</w:t>
      </w:r>
    </w:p>
    <w:p w14:paraId="6C9F0EEB" w14:textId="399C0FBB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Patient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dropout,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withdraw</w:t>
      </w:r>
      <w:r w:rsidR="0026257F">
        <w:rPr>
          <w:rFonts w:ascii="Book Antiqua" w:eastAsia="Book Antiqua" w:hAnsi="Book Antiqua" w:cs="Book Antiqua"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termination were determined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following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compliance,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cooperate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period;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(2)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allergy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(3)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sudden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dramatic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progression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requiring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changes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regimens;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(4)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withdrew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voluntarily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intolerance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personal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reasons;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(5)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previous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injury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desquamation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hands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feet,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influence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study.</w:t>
      </w:r>
    </w:p>
    <w:p w14:paraId="2D0C329A" w14:textId="54B848A5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family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members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fully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informed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objectives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provided </w:t>
      </w:r>
      <w:r>
        <w:rPr>
          <w:rFonts w:ascii="Book Antiqua" w:eastAsia="Book Antiqua" w:hAnsi="Book Antiqua" w:cs="Book Antiqua"/>
          <w:color w:val="000000" w:themeColor="text1"/>
        </w:rPr>
        <w:t>informed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start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approved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Ethics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Committee</w:t>
      </w:r>
      <w:r w:rsidR="0026257F">
        <w:rPr>
          <w:rFonts w:ascii="Book Antiqua" w:eastAsia="Book Antiqua" w:hAnsi="Book Antiqua" w:cs="Book Antiqua"/>
          <w:color w:val="000000" w:themeColor="text1"/>
        </w:rPr>
        <w:t>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</w:t>
      </w:r>
      <w:r>
        <w:rPr>
          <w:rFonts w:ascii="Book Antiqua" w:eastAsia="Book Antiqua" w:hAnsi="Book Antiqua" w:cs="Book Antiqua"/>
          <w:color w:val="000000" w:themeColor="text1"/>
        </w:rPr>
        <w:t>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&amp;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Institute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Second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Affiliated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University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TCM.</w:t>
      </w:r>
    </w:p>
    <w:p w14:paraId="47FE00B5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66DF385" w14:textId="14E3629F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treatments</w:t>
      </w:r>
    </w:p>
    <w:p w14:paraId="7324385D" w14:textId="52A0FA0C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>
        <w:rPr>
          <w:rFonts w:ascii="Book Antiqua" w:eastAsia="Book Antiqua" w:hAnsi="Book Antiqua" w:cs="Book Antiqua"/>
          <w:color w:val="000000" w:themeColor="text1"/>
        </w:rPr>
        <w:t>ivided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either an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or a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26257F">
        <w:rPr>
          <w:rFonts w:ascii="Book Antiqua" w:eastAsia="Book Antiqua" w:hAnsi="Book Antiqua" w:cs="Book Antiqua"/>
          <w:color w:val="000000" w:themeColor="text1"/>
        </w:rPr>
        <w:t>. In 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experimental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, the patients received the chemotherapy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consisting of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oxaliplatin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(130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administered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day </w:t>
      </w:r>
      <w:r>
        <w:rPr>
          <w:rFonts w:ascii="Book Antiqua" w:eastAsia="Book Antiqua" w:hAnsi="Book Antiqua" w:cs="Book Antiqua"/>
          <w:color w:val="000000" w:themeColor="text1"/>
        </w:rPr>
        <w:t>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capecitabine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(1000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mg/m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administered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days </w:t>
      </w:r>
      <w:r>
        <w:rPr>
          <w:rFonts w:ascii="Book Antiqua" w:eastAsia="Book Antiqua" w:hAnsi="Book Antiqua" w:cs="Book Antiqua"/>
          <w:color w:val="000000" w:themeColor="text1"/>
        </w:rPr>
        <w:t>1–14.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cancer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21-d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cycle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maximum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cycles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was </w:t>
      </w:r>
      <w:r>
        <w:rPr>
          <w:rFonts w:ascii="Book Antiqua" w:eastAsia="Book Antiqua" w:hAnsi="Book Antiqua" w:cs="Book Antiqua"/>
          <w:color w:val="000000" w:themeColor="text1"/>
        </w:rPr>
        <w:t>administered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Radix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pseudostellariae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Poria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Atractylodes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licorice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root,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Amomum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villosum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Lour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.,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pinellia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Iphigenia,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Tuckahoe,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Zhejiang,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Fritillaria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Hedyotis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diffusa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WILLD,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coix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seed,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Curcuma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phaeocaulis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Valeton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barbed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skullcap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herb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. In the control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,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patients received the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26257F">
        <w:rPr>
          <w:rFonts w:ascii="Book Antiqua" w:eastAsia="Book Antiqua" w:hAnsi="Book Antiqua" w:cs="Book Antiqua"/>
          <w:color w:val="000000" w:themeColor="text1"/>
        </w:rPr>
        <w:t xml:space="preserve"> only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4F933C26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E775B17" w14:textId="1F52887C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Observation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effects</w:t>
      </w:r>
    </w:p>
    <w:p w14:paraId="23EE60AB" w14:textId="7BB3B3EE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Indicators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</w:t>
      </w:r>
      <w:r>
        <w:rPr>
          <w:rFonts w:ascii="Book Antiqua" w:eastAsia="Book Antiqua" w:hAnsi="Book Antiqua" w:cs="Book Antiqua"/>
          <w:color w:val="000000" w:themeColor="text1"/>
        </w:rPr>
        <w:t>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T-cell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subsets,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indicators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assessed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recorded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treatments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(wit</w:t>
      </w:r>
      <w:r>
        <w:rPr>
          <w:rFonts w:ascii="Book Antiqua" w:eastAsia="Book Antiqua" w:hAnsi="Book Antiqua" w:cs="Book Antiqua"/>
          <w:color w:val="000000" w:themeColor="text1"/>
        </w:rPr>
        <w:t>hin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mo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).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scores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, the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tongue,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channel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recorded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Medicine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927389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. The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receiving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items: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Poor </w:t>
      </w:r>
      <w:r>
        <w:rPr>
          <w:rFonts w:ascii="Book Antiqua" w:eastAsia="Book Antiqua" w:hAnsi="Book Antiqua" w:cs="Book Antiqua"/>
          <w:color w:val="000000" w:themeColor="text1"/>
        </w:rPr>
        <w:t>appetite,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abdominal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distension,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loose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stool,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fatigue,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emaciation.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mild,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moderate</w:t>
      </w:r>
      <w:r w:rsidR="00927389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manifestations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respectively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. Regarding </w:t>
      </w:r>
      <w:r>
        <w:rPr>
          <w:rFonts w:ascii="Book Antiqua" w:eastAsia="Book Antiqua" w:hAnsi="Book Antiqua" w:cs="Book Antiqua"/>
          <w:color w:val="000000" w:themeColor="text1"/>
        </w:rPr>
        <w:t>KPS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927389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0–100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assigned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.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CD3+,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CD4+,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CD8+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 T-cell subsects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detected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flow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cytometry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, and CD4+/CD8+ ratio was calculated.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rashes,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hand-foot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skin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</w:t>
      </w:r>
      <w:r>
        <w:rPr>
          <w:rFonts w:ascii="Book Antiqua" w:eastAsia="Book Antiqua" w:hAnsi="Book Antiqua" w:cs="Book Antiqua"/>
          <w:color w:val="000000" w:themeColor="text1"/>
        </w:rPr>
        <w:t>eaction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(HFSR)</w:t>
      </w:r>
      <w:r w:rsidR="00927389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reactions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National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Institute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Terminology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Criteria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version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3.0,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s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. </w:t>
      </w:r>
      <w:r>
        <w:rPr>
          <w:rFonts w:ascii="Book Antiqua" w:eastAsia="Book Antiqua" w:hAnsi="Book Antiqua" w:cs="Book Antiqua"/>
          <w:color w:val="000000" w:themeColor="text1"/>
        </w:rPr>
        <w:t>Safety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indicators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 included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routine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tests,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kidney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coagulation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ECG.</w:t>
      </w:r>
    </w:p>
    <w:p w14:paraId="0AFF3566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BB04326" w14:textId="2B0158E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340CF261" w14:textId="66374C08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Da</w:t>
      </w:r>
      <w:r>
        <w:rPr>
          <w:rFonts w:ascii="Book Antiqua" w:eastAsia="Book Antiqua" w:hAnsi="Book Antiqua" w:cs="Book Antiqua"/>
          <w:color w:val="000000" w:themeColor="text1"/>
        </w:rPr>
        <w:t>ta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analyses were </w:t>
      </w:r>
      <w:r>
        <w:rPr>
          <w:rFonts w:ascii="Book Antiqua" w:eastAsia="Book Antiqua" w:hAnsi="Book Antiqua" w:cs="Book Antiqua"/>
          <w:color w:val="000000" w:themeColor="text1"/>
        </w:rPr>
        <w:t>performed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SPSS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22.0.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Categorical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described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absolute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numbers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proportions.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continuous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normality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performed,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a </w:t>
      </w:r>
      <w:r>
        <w:rPr>
          <w:rFonts w:ascii="Book Antiqua" w:eastAsia="Book Antiqua" w:hAnsi="Book Antiqua" w:cs="Book Antiqua"/>
          <w:color w:val="000000" w:themeColor="text1"/>
        </w:rPr>
        <w:t>normal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presented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mean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±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SD.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disordered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ordered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categorical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Pearson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9C0C05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Wilcoxon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tests,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respectively.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continuous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variables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Student’s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>
        <w:rPr>
          <w:rFonts w:ascii="Book Antiqua" w:eastAsia="Book Antiqua" w:hAnsi="Book Antiqua" w:cs="Book Antiqua"/>
          <w:color w:val="000000" w:themeColor="text1"/>
        </w:rPr>
        <w:t>-test.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>two</w:t>
      </w:r>
      <w:r>
        <w:rPr>
          <w:rFonts w:ascii="Book Antiqua" w:eastAsia="Book Antiqua" w:hAnsi="Book Antiqua" w:cs="Book Antiqua"/>
          <w:color w:val="000000" w:themeColor="text1"/>
        </w:rPr>
        <w:t>-sided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value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considered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statistically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significant.</w:t>
      </w:r>
    </w:p>
    <w:p w14:paraId="6FBB4A87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270E55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185DC54C" w14:textId="732B664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symptoms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tween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two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</w:p>
    <w:p w14:paraId="6066B62C" w14:textId="6DD94FA0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were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4.</w:t>
      </w:r>
    </w:p>
    <w:p w14:paraId="5F678D59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2A68798" w14:textId="3D8BA973" w:rsidR="008653E3" w:rsidRPr="009C0C05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Comparison</w:t>
      </w:r>
      <w:r w:rsidR="009C0C05"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KP</w:t>
      </w: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</w:t>
      </w:r>
      <w:r w:rsidR="009C0C05"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scores</w:t>
      </w:r>
      <w:r w:rsidR="009C0C05"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9C0C05"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two</w:t>
      </w:r>
      <w:r w:rsidR="009C0C05"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</w:p>
    <w:p w14:paraId="1DA28C08" w14:textId="7EB08A2F" w:rsidR="008653E3" w:rsidRDefault="00134363" w:rsidP="008743D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were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0.05).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was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two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&gt;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was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5.</w:t>
      </w:r>
    </w:p>
    <w:p w14:paraId="7FE2DBC7" w14:textId="77777777" w:rsidR="008653E3" w:rsidRDefault="008653E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3D166F6F" w14:textId="2209D2CD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serum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  <w:u w:color="0000FF"/>
        </w:rPr>
        <w:t>T-cell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  <w:u w:color="0000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  <w:u w:color="0000FF"/>
        </w:rPr>
        <w:t>subsets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treatments</w:t>
      </w:r>
    </w:p>
    <w:p w14:paraId="20BDBED5" w14:textId="2348B0CB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</w:t>
      </w:r>
      <w:r>
        <w:rPr>
          <w:rFonts w:ascii="Book Antiqua" w:eastAsia="Book Antiqua" w:hAnsi="Book Antiqua" w:cs="Book Antiqua"/>
          <w:color w:val="000000" w:themeColor="text1"/>
        </w:rPr>
        <w:t>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differences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u w:color="0000FF"/>
        </w:rPr>
        <w:t>T-cell</w:t>
      </w:r>
      <w:r w:rsidR="009C0C05">
        <w:rPr>
          <w:rFonts w:ascii="Book Antiqua" w:eastAsia="Book Antiqua" w:hAnsi="Book Antiqua" w:cs="Book Antiqua"/>
          <w:color w:val="000000" w:themeColor="text1"/>
          <w:u w:color="0000FF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u w:color="0000FF"/>
        </w:rPr>
        <w:t>subsets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were </w:t>
      </w:r>
      <w:r>
        <w:rPr>
          <w:rFonts w:ascii="Book Antiqua" w:eastAsia="Book Antiqua" w:hAnsi="Book Antiqua" w:cs="Book Antiqua"/>
          <w:color w:val="000000" w:themeColor="text1"/>
        </w:rPr>
        <w:t>observed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&gt;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CD3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+ and </w:t>
      </w:r>
      <w:r>
        <w:rPr>
          <w:rFonts w:ascii="Book Antiqua" w:eastAsia="Book Antiqua" w:hAnsi="Book Antiqua" w:cs="Book Antiqua"/>
          <w:color w:val="000000" w:themeColor="text1"/>
        </w:rPr>
        <w:t>CD4+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27389">
        <w:rPr>
          <w:rFonts w:ascii="Book Antiqua" w:eastAsia="Book Antiqua" w:hAnsi="Book Antiqua" w:cs="Book Antiqua"/>
          <w:color w:val="000000" w:themeColor="text1"/>
        </w:rPr>
        <w:t xml:space="preserve">T-cell subsets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CD4+/CD8+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ratio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both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were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increased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CD8+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 w:rsidRPr="00927389">
        <w:rPr>
          <w:rFonts w:ascii="Book Antiqua" w:eastAsia="Book Antiqua" w:hAnsi="Book Antiqua" w:cs="Book Antiqua"/>
          <w:color w:val="000000" w:themeColor="text1"/>
        </w:rPr>
        <w:t>T-cell subset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 was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those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addition,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serum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T-cell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subsets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higher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those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6.</w:t>
      </w:r>
    </w:p>
    <w:p w14:paraId="2A4EAC20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72E0AB0" w14:textId="57719590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chemotherapy</w:t>
      </w:r>
    </w:p>
    <w:p w14:paraId="2C5CCB38" w14:textId="421F0DA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grades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nause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grades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nausea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>two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was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grades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Z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-3.25,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7.</w:t>
      </w:r>
    </w:p>
    <w:p w14:paraId="7EECEF8B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62AE9D48" w14:textId="472B626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Comparison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grades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HFSR</w:t>
      </w:r>
      <w:r>
        <w:rPr>
          <w:rFonts w:ascii="Book Antiqua" w:hAnsi="Book Antiqua"/>
          <w:color w:val="000000" w:themeColor="text1"/>
          <w:lang w:eastAsia="zh-CN"/>
        </w:rPr>
        <w:t>:</w:t>
      </w:r>
      <w:r w:rsidR="009C0C05">
        <w:rPr>
          <w:rFonts w:ascii="Book Antiqua" w:hAnsi="Book Antiqua"/>
          <w:color w:val="000000" w:themeColor="text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grades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HFSR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>two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was </w:t>
      </w:r>
      <w:r>
        <w:rPr>
          <w:rFonts w:ascii="Book Antiqua" w:eastAsia="Book Antiqua" w:hAnsi="Book Antiqua" w:cs="Book Antiqua"/>
          <w:color w:val="000000" w:themeColor="text1"/>
        </w:rPr>
        <w:t>significant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lower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grades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(Z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=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-4.527,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&lt;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</w:t>
      </w:r>
      <w:r>
        <w:rPr>
          <w:rFonts w:ascii="Book Antiqua" w:eastAsia="Book Antiqua" w:hAnsi="Book Antiqua" w:cs="Book Antiqua"/>
          <w:color w:val="000000" w:themeColor="text1"/>
        </w:rPr>
        <w:t>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8.</w:t>
      </w:r>
    </w:p>
    <w:p w14:paraId="5FD4C1AD" w14:textId="77777777" w:rsidR="008653E3" w:rsidRDefault="008653E3">
      <w:pPr>
        <w:adjustRightInd w:val="0"/>
        <w:snapToGrid w:val="0"/>
        <w:spacing w:line="360" w:lineRule="auto"/>
        <w:ind w:firstLine="420"/>
        <w:jc w:val="both"/>
        <w:rPr>
          <w:rFonts w:ascii="Book Antiqua" w:hAnsi="Book Antiqua"/>
          <w:color w:val="000000" w:themeColor="text1"/>
        </w:rPr>
      </w:pPr>
    </w:p>
    <w:p w14:paraId="0016E09E" w14:textId="543C3889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Comparison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safety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between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groups</w:t>
      </w:r>
    </w:p>
    <w:p w14:paraId="08B3CDEA" w14:textId="1E7EA80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myelosuppression,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kidney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dysfunction,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coagulation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disorder,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ECG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abnorma</w:t>
      </w:r>
      <w:r>
        <w:rPr>
          <w:rFonts w:ascii="Book Antiqua" w:eastAsia="Book Antiqua" w:hAnsi="Book Antiqua" w:cs="Book Antiqua"/>
          <w:color w:val="000000" w:themeColor="text1"/>
        </w:rPr>
        <w:t>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was </w:t>
      </w:r>
      <w:r>
        <w:rPr>
          <w:rFonts w:ascii="Book Antiqua" w:eastAsia="Book Antiqua" w:hAnsi="Book Antiqua" w:cs="Book Antiqua"/>
          <w:color w:val="000000" w:themeColor="text1"/>
        </w:rPr>
        <w:t>not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389">
        <w:rPr>
          <w:rFonts w:ascii="Book Antiqua" w:eastAsia="Book Antiqua" w:hAnsi="Book Antiqua" w:cs="Book Antiqua"/>
          <w:color w:val="000000" w:themeColor="text1"/>
        </w:rPr>
        <w:t xml:space="preserve">of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&gt;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0.05),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</w:t>
      </w:r>
      <w:r>
        <w:rPr>
          <w:rFonts w:ascii="Book Antiqua" w:eastAsia="Book Antiqua" w:hAnsi="Book Antiqua" w:cs="Book Antiqua"/>
          <w:color w:val="000000" w:themeColor="text1"/>
        </w:rPr>
        <w:t>wn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9.</w:t>
      </w:r>
    </w:p>
    <w:p w14:paraId="74EF4C8B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586362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8E963D2" w14:textId="4AF57AA2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Statistics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ranks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third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(6.1%)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ranks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</w:t>
      </w:r>
      <w:r>
        <w:rPr>
          <w:rFonts w:ascii="Book Antiqua" w:eastAsia="Book Antiqua" w:hAnsi="Book Antiqua" w:cs="Book Antiqua"/>
          <w:color w:val="000000" w:themeColor="text1"/>
        </w:rPr>
        <w:t>cond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(9.1%)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among all malignancies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worldwide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million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people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worldwide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every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year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changes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lifestyle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dietary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habits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people,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increasing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yearly.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malignant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ranked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third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fifth</w:t>
      </w:r>
      <w:r w:rsidR="006039FB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respectively,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ranked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fourth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fifth,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respectively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likely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occur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rectum,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cecum.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remains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for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cancer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reported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</w:t>
      </w:r>
      <w:r>
        <w:rPr>
          <w:rFonts w:ascii="Book Antiqua" w:eastAsia="Book Antiqua" w:hAnsi="Book Antiqua" w:cs="Book Antiqua"/>
          <w:color w:val="000000" w:themeColor="text1"/>
        </w:rPr>
        <w:t>0%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might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recurrence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metastasis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Therefore,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5-year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rate,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adjuvant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FOLFOX,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recommended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guidelines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National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Comprehensive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Network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Society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Oncology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(CSCO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)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11]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recommend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first-line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</w:t>
      </w:r>
      <w:r>
        <w:rPr>
          <w:rFonts w:ascii="Book Antiqua" w:eastAsia="Book Antiqua" w:hAnsi="Book Antiqua" w:cs="Book Antiqua"/>
          <w:color w:val="000000" w:themeColor="text1"/>
        </w:rPr>
        <w:t>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CSCO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guidelines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2019,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consisting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plus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oxaliplatin.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Because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convenience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high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efficiency,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administration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capecitabine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with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presented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deficiencies.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adjuvant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damage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normal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addition,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HFSR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reactions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occur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during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affect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prognosis,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overall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survival,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patients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Thus,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problem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needs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>
        <w:rPr>
          <w:rFonts w:ascii="Book Antiqua" w:eastAsia="Book Antiqua" w:hAnsi="Book Antiqua" w:cs="Book Antiqua"/>
          <w:color w:val="000000" w:themeColor="text1"/>
        </w:rPr>
        <w:t>olved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urgency.</w:t>
      </w:r>
    </w:p>
    <w:p w14:paraId="1CA73221" w14:textId="7215336F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</w:t>
      </w:r>
      <w:r>
        <w:rPr>
          <w:rFonts w:ascii="Book Antiqua" w:eastAsia="Book Antiqua" w:hAnsi="Book Antiqua" w:cs="Book Antiqua"/>
          <w:color w:val="000000" w:themeColor="text1"/>
        </w:rPr>
        <w:t>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considered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belong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category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"intestinal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mass"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"loosening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bowels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blood."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earliest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understanding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ancient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physicians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found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Lingshu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(Spiritual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Pivo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t)-five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changes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"persons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susceptible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accumulates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intestine..."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Full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Book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Experience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Treating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Sore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Ulcer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"ma</w:t>
      </w:r>
      <w:r>
        <w:rPr>
          <w:rFonts w:ascii="Book Antiqua" w:eastAsia="Book Antiqua" w:hAnsi="Book Antiqua" w:cs="Book Antiqua"/>
          <w:color w:val="000000" w:themeColor="text1"/>
        </w:rPr>
        <w:t>ny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people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irregular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diet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habits...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do </w:t>
      </w:r>
      <w:r>
        <w:rPr>
          <w:rFonts w:ascii="Book Antiqua" w:eastAsia="Book Antiqua" w:hAnsi="Book Antiqua" w:cs="Book Antiqua"/>
          <w:color w:val="000000" w:themeColor="text1"/>
        </w:rPr>
        <w:t>not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defecate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time,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finally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leading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Yin-yang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>
        <w:rPr>
          <w:rFonts w:ascii="Book Antiqua" w:eastAsia="Book Antiqua" w:hAnsi="Book Antiqua" w:cs="Book Antiqua"/>
          <w:color w:val="000000" w:themeColor="text1"/>
        </w:rPr>
        <w:t>isharmony,"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attributing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irregular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diet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habits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infection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external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addition,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Shengji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Zonglu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-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Shouliumen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“qi-blood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circulation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runs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fluently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...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occurs",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emphasized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qi-blood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circulation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Duanmu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believed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caused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single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interaction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stagnation,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stasis,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phlegm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dampness,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resulting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accumulation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poison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intestine.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assumed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caused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spleen-kidney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asthenia,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chronic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diarrhea,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toxin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stagnation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rectum.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Malignant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Tumors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compiled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classified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types,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accumulation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damp-heat,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bookmarkStart w:id="3" w:name="_GoBack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stasis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toxin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3"/>
      <w:r>
        <w:rPr>
          <w:rFonts w:ascii="Book Antiqua" w:eastAsia="Book Antiqua" w:hAnsi="Book Antiqua" w:cs="Book Antiqua"/>
          <w:color w:val="000000" w:themeColor="text1"/>
        </w:rPr>
        <w:t>stagnation,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qi-blood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spleen-kidney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liver-kidney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Statistical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</w:t>
      </w:r>
      <w:r>
        <w:rPr>
          <w:rFonts w:ascii="Book Antiqua" w:eastAsia="Book Antiqua" w:hAnsi="Book Antiqua" w:cs="Book Antiqua"/>
          <w:color w:val="000000" w:themeColor="text1"/>
        </w:rPr>
        <w:t>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9FB">
        <w:rPr>
          <w:rFonts w:ascii="Book Antiqua" w:eastAsia="Book Antiqua" w:hAnsi="Book Antiqua" w:cs="Book Antiqua"/>
          <w:color w:val="000000" w:themeColor="text1"/>
        </w:rPr>
        <w:t xml:space="preserve">revealed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accumulation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damp-heat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experiencing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non-surgical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chemo-radiotherapy;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qi-blood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spleen-kidney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modern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society,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scholars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Western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medicine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17,18]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believed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first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locates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intestine,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then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progresses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stomach,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liver,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kidney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development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scholars,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have </w:t>
      </w:r>
      <w:r>
        <w:rPr>
          <w:rFonts w:ascii="Book Antiqua" w:eastAsia="Book Antiqua" w:hAnsi="Book Antiqua" w:cs="Book Antiqua"/>
          <w:color w:val="000000" w:themeColor="text1"/>
        </w:rPr>
        <w:t>body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deficiencies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evil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endogenous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Among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become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much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severe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stomach,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making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pathogenesis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Therefore,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spleen-qi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</w:t>
      </w:r>
      <w:r>
        <w:rPr>
          <w:rFonts w:ascii="Book Antiqua" w:eastAsia="Book Antiqua" w:hAnsi="Book Antiqua" w:cs="Book Antiqua"/>
          <w:color w:val="000000" w:themeColor="text1"/>
        </w:rPr>
        <w:t>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qi-blood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origin,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damp-heat,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phlegm-turbidity,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t>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summary,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 xml:space="preserve">is </w:t>
      </w:r>
      <w:r>
        <w:rPr>
          <w:rFonts w:ascii="Book Antiqua" w:eastAsia="Book Antiqua" w:hAnsi="Book Antiqua" w:cs="Book Antiqua"/>
          <w:color w:val="000000" w:themeColor="text1"/>
        </w:rPr>
        <w:t>deficient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origin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excessive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</w:t>
      </w:r>
      <w:r>
        <w:rPr>
          <w:rFonts w:ascii="Book Antiqua" w:eastAsia="Book Antiqua" w:hAnsi="Book Antiqua" w:cs="Book Antiqua"/>
          <w:color w:val="000000" w:themeColor="text1"/>
        </w:rPr>
        <w:t>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pathogenesis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administration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adopted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principles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nourishing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promoting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eliminating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53AD05D" w14:textId="058456AF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R.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pseudostellariae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Poria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Atractylodes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nourish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promote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monarch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drugs;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same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time,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Pinellia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Villous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Amomum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Fruit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regulate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eliminate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phlegm,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minister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Considering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usually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characterized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excess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asthenia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healthy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sthenia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Monarch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minister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beneficial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replenish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stagnate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addition,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barbed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skullcap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herb,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C.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phaeocaulis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Valeton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diffusa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WILLD,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Iphigenia,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coix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seed,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Zhejiang-Fritillaria,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tuckahoe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</w:t>
      </w:r>
      <w:r>
        <w:rPr>
          <w:rFonts w:ascii="Book Antiqua" w:eastAsia="Book Antiqua" w:hAnsi="Book Antiqua" w:cs="Book Antiqua"/>
          <w:color w:val="000000" w:themeColor="text1"/>
        </w:rPr>
        <w:t>lear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>detoxify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soften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hardness,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dissipate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dissolve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dampness,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adjuvant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resist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Finally,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licorice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served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guide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drug.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using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took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account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invigorated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promoting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resolving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phlegm,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softening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hardness,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dissipating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mass,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clearing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heat,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F654B">
        <w:rPr>
          <w:rFonts w:ascii="Book Antiqua" w:eastAsia="Book Antiqua" w:hAnsi="Book Antiqua" w:cs="Book Antiqua"/>
          <w:color w:val="000000" w:themeColor="text1"/>
        </w:rPr>
        <w:t>detoxifying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4C58585A" w14:textId="5C222BBB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R.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pseudostellariae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Poria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Atractylodes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licorice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root,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A.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villosum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Lour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.</w:t>
      </w:r>
      <w:r w:rsidR="009B02DF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Pinellia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obvious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enhancing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functions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, </w:t>
      </w:r>
      <w:r>
        <w:rPr>
          <w:rFonts w:ascii="Book Antiqua" w:eastAsia="Book Antiqua" w:hAnsi="Book Antiqua" w:cs="Book Antiqua"/>
          <w:color w:val="000000" w:themeColor="text1"/>
        </w:rPr>
        <w:t>while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barbed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skullcap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herb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C.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phaeocaulis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Valeton</w:t>
      </w:r>
      <w:proofErr w:type="spellEnd"/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H.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diffusa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WILLD,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Iphigenia,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coix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seed,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Zhejiang-Fritillaria,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tuckahoe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reduce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expression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Bcl-2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Bax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 regulate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angiogenesis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>molecules such 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vascular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endothelial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growth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factors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protein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Kinase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induce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apoptosis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cells,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inhibiting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Modern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pharmacological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definite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including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promoting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tissue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repair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 and </w:t>
      </w:r>
      <w:r>
        <w:rPr>
          <w:rFonts w:ascii="Book Antiqua" w:eastAsia="Book Antiqua" w:hAnsi="Book Antiqua" w:cs="Book Antiqua"/>
          <w:color w:val="000000" w:themeColor="text1"/>
        </w:rPr>
        <w:t>regulating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intestinal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flora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enhance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immunogenicity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 w:themeColor="text1"/>
        </w:rPr>
        <w:t>cells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the body’s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resist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immunosu</w:t>
      </w:r>
      <w:r>
        <w:rPr>
          <w:rFonts w:ascii="Book Antiqua" w:eastAsia="Book Antiqua" w:hAnsi="Book Antiqua" w:cs="Book Antiqua"/>
          <w:color w:val="000000" w:themeColor="text1"/>
        </w:rPr>
        <w:t>ppressive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</w:t>
      </w:r>
      <w:r>
        <w:rPr>
          <w:rFonts w:ascii="Book Antiqua" w:eastAsia="Book Antiqua" w:hAnsi="Book Antiqua" w:cs="Book Antiqua"/>
          <w:color w:val="000000" w:themeColor="text1"/>
        </w:rPr>
        <w:t>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clear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free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radicals.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Furthermore,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directly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inhibit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growth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promote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hematopoietic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</w:t>
      </w:r>
      <w:r>
        <w:rPr>
          <w:rFonts w:ascii="Book Antiqua" w:eastAsia="Book Antiqua" w:hAnsi="Book Antiqua" w:cs="Book Antiqua"/>
          <w:color w:val="000000" w:themeColor="text1"/>
        </w:rPr>
        <w:t>rrow,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are </w:t>
      </w:r>
      <w:r>
        <w:rPr>
          <w:rFonts w:ascii="Book Antiqua" w:eastAsia="Book Antiqua" w:hAnsi="Book Antiqua" w:cs="Book Antiqua"/>
          <w:color w:val="000000" w:themeColor="text1"/>
        </w:rPr>
        <w:lastRenderedPageBreak/>
        <w:t>suppressed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supplement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blood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invigorate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eliminate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pathogens.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radical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able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kill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cells,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inhibit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metastasis,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reduce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consolidate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efficacy,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prolonged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overall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survival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744242FE" w14:textId="2B618B3F" w:rsidR="008653E3" w:rsidRDefault="00134363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Our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postoperative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the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regimen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CAPOX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coul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effectively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reduce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HFSR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reactions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related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However,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mechanism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remains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unclear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should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studied.</w:t>
      </w:r>
    </w:p>
    <w:p w14:paraId="2D11035C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BAA848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3D68D0E" w14:textId="33FA523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effectively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regulate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alleviate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(HFSR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 and </w:t>
      </w:r>
      <w:r>
        <w:rPr>
          <w:rFonts w:ascii="Book Antiqua" w:eastAsia="Book Antiqua" w:hAnsi="Book Antiqua" w:cs="Book Antiqua"/>
          <w:color w:val="000000" w:themeColor="text1"/>
        </w:rPr>
        <w:t>GI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reaction)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</w:t>
      </w:r>
      <w:r>
        <w:rPr>
          <w:rFonts w:ascii="Book Antiqua" w:eastAsia="Book Antiqua" w:hAnsi="Book Antiqua" w:cs="Book Antiqua"/>
          <w:color w:val="000000" w:themeColor="text1"/>
        </w:rPr>
        <w:t>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therapeutic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application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prospect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28EDFCB9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0511BF" w14:textId="242CADA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9C0C05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5686A7FC" w14:textId="0A4360AE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06E75DBF" w14:textId="04295150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rise.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adjuvant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chemoradiotherapy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life.</w:t>
      </w:r>
    </w:p>
    <w:p w14:paraId="75040AC7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1E5C72" w14:textId="50C1F0F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22CD4779" w14:textId="15906275" w:rsidR="008653E3" w:rsidRDefault="009B02D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</w:t>
      </w:r>
      <w:r w:rsidR="00134363">
        <w:rPr>
          <w:rFonts w:ascii="Book Antiqua" w:eastAsia="Book Antiqua" w:hAnsi="Book Antiqua" w:cs="Book Antiqua"/>
          <w:color w:val="000000" w:themeColor="text1"/>
        </w:rPr>
        <w:t>radition</w:t>
      </w:r>
      <w:r w:rsidR="00134363">
        <w:rPr>
          <w:rFonts w:ascii="Book Antiqua" w:eastAsia="Book Antiqua" w:hAnsi="Book Antiqua" w:cs="Book Antiqua"/>
          <w:color w:val="000000" w:themeColor="text1"/>
        </w:rPr>
        <w:t>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medicine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(TCM)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has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demonstrated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great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potential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improving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patients’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sympto</w:t>
      </w:r>
      <w:r w:rsidR="00134363">
        <w:rPr>
          <w:rFonts w:ascii="Book Antiqua" w:eastAsia="Book Antiqua" w:hAnsi="Book Antiqua" w:cs="Book Antiqua"/>
          <w:color w:val="000000" w:themeColor="text1"/>
        </w:rPr>
        <w:t>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regulating </w:t>
      </w:r>
      <w:r w:rsidR="00134363"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improving </w:t>
      </w:r>
      <w:r w:rsidR="00134363"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quality,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reducing the </w:t>
      </w:r>
      <w:r w:rsidR="00134363">
        <w:rPr>
          <w:rFonts w:ascii="Book Antiqua" w:eastAsia="Book Antiqua" w:hAnsi="Book Antiqua" w:cs="Book Antiqua"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(AEs)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363"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83BC06E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51FCC6" w14:textId="4835AC8A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4F5B1657" w14:textId="2096353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aimed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efficacy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operation.</w:t>
      </w:r>
    </w:p>
    <w:p w14:paraId="7474DC59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362CE1" w14:textId="7FCA87EA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336498F8" w14:textId="0CCE21A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</w:t>
      </w:r>
      <w:r>
        <w:rPr>
          <w:rFonts w:ascii="Book Antiqua" w:eastAsia="Book Antiqua" w:hAnsi="Book Antiqua" w:cs="Book Antiqua"/>
          <w:color w:val="000000" w:themeColor="text1"/>
        </w:rPr>
        <w:t>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Karnofsky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performance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scale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(KPS)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T-cell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subsets,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02DF">
        <w:rPr>
          <w:rFonts w:ascii="Book Antiqua" w:eastAsia="Book Antiqua" w:hAnsi="Book Antiqua" w:cs="Book Antiqua"/>
          <w:color w:val="000000" w:themeColor="text1"/>
        </w:rPr>
        <w:t xml:space="preserve">and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two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observed.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54D24C8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88D975" w14:textId="618775A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7C0B3E4F" w14:textId="5AED513D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Compared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control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experimental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group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significantly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symptoms,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KPS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score,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levels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T-cell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subsets</w:t>
      </w:r>
      <w:r w:rsidR="009B02DF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662509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BB70E1" w14:textId="097425EF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75E6130B" w14:textId="5F1DE8B6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effectively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regulate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alleviate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good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therapeutic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application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prospect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</w:t>
      </w:r>
      <w:r>
        <w:rPr>
          <w:rFonts w:ascii="Book Antiqua" w:eastAsia="Book Antiqua" w:hAnsi="Book Antiqua" w:cs="Book Antiqua"/>
          <w:color w:val="000000" w:themeColor="text1"/>
        </w:rPr>
        <w:t>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16758CC0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A5700D" w14:textId="0005A289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3C87573" w14:textId="005588BE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anti-cance</w:t>
      </w:r>
      <w:r>
        <w:rPr>
          <w:rFonts w:ascii="Book Antiqua" w:eastAsia="Book Antiqua" w:hAnsi="Book Antiqua" w:cs="Book Antiqua"/>
          <w:color w:val="000000" w:themeColor="text1"/>
        </w:rPr>
        <w:t>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prescription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further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practice.</w:t>
      </w:r>
      <w:r w:rsidR="009C0C05">
        <w:rPr>
          <w:rFonts w:ascii="Book Antiqua" w:hAnsi="Book Antiqua"/>
          <w:color w:val="000000" w:themeColor="text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invigorate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60BD">
        <w:rPr>
          <w:rFonts w:ascii="Book Antiqua" w:eastAsia="Book Antiqua" w:hAnsi="Book Antiqua" w:cs="Book Antiqua"/>
          <w:color w:val="000000" w:themeColor="text1"/>
        </w:rPr>
        <w:t xml:space="preserve">promote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60BD">
        <w:rPr>
          <w:rFonts w:ascii="Book Antiqua" w:eastAsia="Book Antiqua" w:hAnsi="Book Antiqua" w:cs="Book Antiqua"/>
          <w:color w:val="000000" w:themeColor="text1"/>
        </w:rPr>
        <w:t xml:space="preserve">dissipate </w:t>
      </w:r>
      <w:r>
        <w:rPr>
          <w:rFonts w:ascii="Book Antiqua" w:eastAsia="Book Antiqua" w:hAnsi="Book Antiqua" w:cs="Book Antiqua"/>
          <w:color w:val="000000" w:themeColor="text1"/>
        </w:rPr>
        <w:t>mass</w:t>
      </w:r>
      <w:r w:rsidR="004460BD"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60BD">
        <w:rPr>
          <w:rFonts w:ascii="Book Antiqua" w:eastAsia="Book Antiqua" w:hAnsi="Book Antiqua" w:cs="Book Antiqua"/>
          <w:color w:val="000000" w:themeColor="text1"/>
        </w:rPr>
        <w:t>detoxify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9C0C05">
        <w:rPr>
          <w:rFonts w:ascii="Book Antiqua" w:hAnsi="Book Antiqua"/>
          <w:color w:val="000000" w:themeColor="text1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also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improve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4460BD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</w:t>
      </w:r>
      <w:r>
        <w:rPr>
          <w:rFonts w:ascii="Book Antiqua" w:eastAsia="Book Antiqua" w:hAnsi="Book Antiqua" w:cs="Book Antiqua"/>
          <w:color w:val="000000" w:themeColor="text1"/>
        </w:rPr>
        <w:t>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C4E5E45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835E53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BC66727" w14:textId="3856DECD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4" w:name="OLE_LINK1"/>
      <w:r>
        <w:rPr>
          <w:rFonts w:ascii="Book Antiqua" w:eastAsia="Book Antiqua" w:hAnsi="Book Antiqua" w:cs="Book Antiqua"/>
          <w:color w:val="000000" w:themeColor="text1"/>
        </w:rPr>
        <w:t>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Gastroenterology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Society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Medical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Association</w:t>
      </w:r>
      <w:r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[</w:t>
      </w:r>
      <w:r>
        <w:rPr>
          <w:rFonts w:ascii="Book Antiqua" w:eastAsia="Book Antiqua" w:hAnsi="Book Antiqua" w:cs="Book Antiqua"/>
          <w:color w:val="000000" w:themeColor="text1"/>
        </w:rPr>
        <w:t>Consensus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screening,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early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diagnosis,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comprehensive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prevention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(1)].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Xiaohua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2012;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color w:val="000000" w:themeColor="text1"/>
        </w:rPr>
        <w:t>32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1-10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10.3760/cma.j.issn.0254-1432.2021.01.001]</w:t>
      </w:r>
    </w:p>
    <w:p w14:paraId="45700435" w14:textId="72D25A6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Litle</w:t>
      </w:r>
      <w:proofErr w:type="spellEnd"/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VR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Warren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2nd,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Pallavicini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MG.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Molecular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cytogenetic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cytokeratin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20-labeled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cells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primary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tumors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marrow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aspirates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from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carcinoma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1997;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79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1664-1670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9128980]</w:t>
      </w:r>
    </w:p>
    <w:p w14:paraId="755E3234" w14:textId="7B78A162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3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GQ.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[Efficacy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analysis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nourishing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promoting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surgery].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Zhonguo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Xiandai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Yaowu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Yingyong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100-101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10.14164/j.cnki.cn11-5581/r.2018.07.056]</w:t>
      </w:r>
    </w:p>
    <w:p w14:paraId="39B8E3A3" w14:textId="0132D1D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  <w:highlight w:val="yellow"/>
        </w:rPr>
        <w:t>4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Department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Medical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Administration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the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People's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Republic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China.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Standards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Diagnosis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Common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Malignant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Tumors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(the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second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edition).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Beijing: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Beijing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Medical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University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  <w:highlight w:val="yellow"/>
        </w:rPr>
        <w:t>Peiking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Union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Medical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College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Press,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1991: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11-18</w:t>
      </w:r>
    </w:p>
    <w:p w14:paraId="0501A9AD" w14:textId="4CB62D00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  <w:highlight w:val="yellow"/>
        </w:rPr>
        <w:t>5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Wu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MH</w:t>
      </w:r>
      <w:r>
        <w:rPr>
          <w:rFonts w:ascii="Book Antiqua" w:eastAsia="宋体" w:hAnsi="Book Antiqua" w:cs="宋体"/>
          <w:b/>
          <w:bCs/>
          <w:color w:val="000000" w:themeColor="text1"/>
          <w:highlight w:val="yellow"/>
          <w:lang w:eastAsia="zh-CN"/>
        </w:rPr>
        <w:t>.</w:t>
      </w:r>
      <w:r w:rsidR="009C0C05">
        <w:rPr>
          <w:rFonts w:ascii="Book Antiqua" w:eastAsia="宋体" w:hAnsi="Book Antiqua" w:cs="宋体"/>
          <w:b/>
          <w:bCs/>
          <w:color w:val="000000" w:themeColor="text1"/>
          <w:highlight w:val="yellow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Internal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Medicine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Medicine.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Beijing: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China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Press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Medicine,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2012: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266</w:t>
      </w:r>
    </w:p>
    <w:p w14:paraId="2BD713F0" w14:textId="5056DA1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  <w:highlight w:val="yellow"/>
        </w:rPr>
        <w:t>6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Zheng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XY</w:t>
      </w:r>
      <w:r>
        <w:rPr>
          <w:rFonts w:ascii="Book Antiqua" w:eastAsia="宋体" w:hAnsi="Book Antiqua" w:cs="宋体"/>
          <w:b/>
          <w:bCs/>
          <w:color w:val="000000" w:themeColor="text1"/>
          <w:highlight w:val="yellow"/>
          <w:lang w:eastAsia="zh-CN"/>
        </w:rPr>
        <w:t>.</w:t>
      </w:r>
      <w:r w:rsidR="009C0C05">
        <w:rPr>
          <w:rFonts w:ascii="Book Antiqua" w:eastAsia="宋体" w:hAnsi="Book Antiqua" w:cs="宋体"/>
          <w:b/>
          <w:bCs/>
          <w:color w:val="000000" w:themeColor="text1"/>
          <w:highlight w:val="yellow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Guidelines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Research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New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Medicine</w:t>
      </w:r>
      <w:r>
        <w:rPr>
          <w:rFonts w:ascii="Book Antiqua" w:eastAsia="宋体" w:hAnsi="Book Antiqua" w:cs="宋体"/>
          <w:color w:val="000000" w:themeColor="text1"/>
          <w:highlight w:val="yellow"/>
          <w:lang w:eastAsia="zh-CN"/>
        </w:rPr>
        <w:t>.</w:t>
      </w:r>
      <w:r w:rsidR="009C0C05">
        <w:rPr>
          <w:rFonts w:ascii="Book Antiqua" w:eastAsia="宋体" w:hAnsi="Book Antiqua" w:cs="宋体"/>
          <w:color w:val="000000" w:themeColor="text1"/>
          <w:highlight w:val="yellow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Beijing: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China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Medical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Science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Press,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2002: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487</w:t>
      </w:r>
      <w:r>
        <w:rPr>
          <w:rFonts w:ascii="Book Antiqua" w:eastAsia="宋体" w:hAnsi="Book Antiqua" w:cs="宋体"/>
          <w:color w:val="000000" w:themeColor="text1"/>
          <w:highlight w:val="yellow"/>
          <w:lang w:eastAsia="zh-CN"/>
        </w:rPr>
        <w:t>-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496</w:t>
      </w:r>
    </w:p>
    <w:p w14:paraId="7524999A" w14:textId="71F9F49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7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Bray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Siegel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Torre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Jemal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statistics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GLOBOCAN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estimates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incidence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mortality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worldwide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36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185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countries.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394-424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30207593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10.3322/caac.21492]</w:t>
      </w:r>
    </w:p>
    <w:p w14:paraId="1825AAB9" w14:textId="094C3F12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8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Siegel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RL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Miller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KD,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Goding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Sauer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Fedewa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Butterly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LF,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Anderson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JC,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Cercek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Smith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Jemal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statistics,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2020.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2020;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145-164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32133645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10.3322/caac.21601]</w:t>
      </w:r>
    </w:p>
    <w:p w14:paraId="781345C2" w14:textId="7F63881E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color w:val="000000" w:themeColor="text1"/>
        </w:rPr>
        <w:t>9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SZ,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Huang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YQ</w:t>
      </w:r>
      <w:r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[</w:t>
      </w:r>
      <w:r>
        <w:rPr>
          <w:rFonts w:ascii="Book Antiqua" w:eastAsia="Book Antiqua" w:hAnsi="Book Antiqua" w:cs="Book Antiqua"/>
          <w:color w:val="000000" w:themeColor="text1"/>
        </w:rPr>
        <w:t>Review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current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over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years]</w:t>
      </w:r>
      <w:r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Shiyong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Zhongliu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9C0C05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2-</w:t>
      </w:r>
      <w:r>
        <w:rPr>
          <w:rFonts w:ascii="Book Antiqua" w:eastAsia="宋体" w:hAnsi="Book Antiqua" w:cs="宋体"/>
          <w:color w:val="000000" w:themeColor="text1"/>
          <w:lang w:eastAsia="zh-CN"/>
        </w:rPr>
        <w:t>4</w:t>
      </w:r>
    </w:p>
    <w:p w14:paraId="1668196B" w14:textId="57719EF1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Yi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Hong-Gang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Zhi-Heng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Bo-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Hao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Short-Term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Efficacy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Laparoscopic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Patients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Schistosomiasis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Japonica.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2016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8357025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27843449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10.1155/2016/8357025]</w:t>
      </w:r>
    </w:p>
    <w:p w14:paraId="32A3CDC0" w14:textId="0E278038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Kosugi</w:t>
      </w:r>
      <w:proofErr w:type="spellEnd"/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Koda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Ishibashi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Yoshimatsu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Tanaka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Kato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Kato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Oya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Narushima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Mori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Shuto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K,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Ishida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Safety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mFOLFOX6/XELOX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adjuvant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curative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stage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III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phase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FACOS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study).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809-817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[PMID: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29484450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10.1007/s00384-018-2979-9]</w:t>
      </w:r>
    </w:p>
    <w:p w14:paraId="51191B36" w14:textId="6277F159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12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Bai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SJ,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GL.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[Therapeutic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after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operation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large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intestine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clinical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reinforcing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deficiency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strengthening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spleen].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Shijie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Zhongxiyi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Jiehe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399-402</w:t>
      </w:r>
    </w:p>
    <w:p w14:paraId="4B35C600" w14:textId="467FF1C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13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 w:themeColor="text1"/>
        </w:rPr>
        <w:t>Duanmu</w:t>
      </w:r>
      <w:proofErr w:type="spellEnd"/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RP.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Ruiping's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Simplified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Compound].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Sichuan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Zhongyi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20-22</w:t>
      </w:r>
    </w:p>
    <w:p w14:paraId="68F9D09A" w14:textId="516692A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14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DJ,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WD.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[Discussion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Professor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Wei-Da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Zhongyi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Linchuang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Yanjiu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2015;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1-4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10.3969/j.issn.1674-7860.2015.30.001]</w:t>
      </w:r>
    </w:p>
    <w:p w14:paraId="52C4A5A5" w14:textId="17976399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  <w:highlight w:val="yellow"/>
        </w:rPr>
        <w:t>15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Gu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KX,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Li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WB.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malignant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tumor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Medicine.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Nanjing: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  <w:highlight w:val="yellow"/>
        </w:rPr>
        <w:t>Phonenix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science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press,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2005:</w:t>
      </w:r>
      <w:r w:rsidR="009C0C05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highlight w:val="yellow"/>
        </w:rPr>
        <w:t>293-395</w:t>
      </w:r>
    </w:p>
    <w:p w14:paraId="5D1394E3" w14:textId="1F893458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16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GJ,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[Research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TCM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syndrome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regularities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837-840</w:t>
      </w:r>
    </w:p>
    <w:p w14:paraId="5343C286" w14:textId="66437E62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17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Tao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LJ,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Zang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MQ,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Gui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YW,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Zhang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[Theory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traditional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"cure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disease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before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occurrence"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prevention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Jilin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897-900</w:t>
      </w:r>
    </w:p>
    <w:p w14:paraId="698A6465" w14:textId="158BAA26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18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X,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[Professor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Guo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Yong’s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Experience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Treating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Colorectal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Carcinoma].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Jiangxi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Daxue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Xuebao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17-20</w:t>
      </w:r>
    </w:p>
    <w:p w14:paraId="7D3A6F19" w14:textId="0C89D72B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19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Tang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GY,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Yin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DF,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ZZ.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effect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anticancer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expression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PKC,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PKCδ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PKCε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mice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colon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tissues].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Zhongguo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Zhongliu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Shengwuzhiliao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Zazhi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2016;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366-370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10.3872/j.issn.1007-385X.2016.03.012]</w:t>
      </w:r>
    </w:p>
    <w:p w14:paraId="45C50E50" w14:textId="1FC5C300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 Antiqua" w:hAnsi="Book Antiqua" w:cs="Book Antiqua"/>
          <w:color w:val="000000" w:themeColor="text1"/>
        </w:rPr>
        <w:t>20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Hua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YQ,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Duan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JA,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Qian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DW,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Jiang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SL,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Guo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JM</w:t>
      </w:r>
      <w:r>
        <w:rPr>
          <w:rFonts w:ascii="Book Antiqua" w:eastAsia="宋体" w:hAnsi="Book Antiqua" w:cs="宋体"/>
          <w:color w:val="000000" w:themeColor="text1"/>
          <w:lang w:eastAsia="zh-CN"/>
        </w:rPr>
        <w:t>.</w:t>
      </w:r>
      <w:r w:rsidR="009C0C0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[</w:t>
      </w:r>
      <w:r>
        <w:rPr>
          <w:rFonts w:ascii="Book Antiqua" w:eastAsia="Book Antiqua" w:hAnsi="Book Antiqua" w:cs="Book Antiqua"/>
          <w:color w:val="000000" w:themeColor="text1"/>
        </w:rPr>
        <w:t>Establishment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Gastrointestinal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Evaluation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System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Application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Research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Incompatibility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Chinese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Herbal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Medicine].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Shijie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Kexuejishu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 w:themeColor="text1"/>
        </w:rPr>
        <w:t>-</w:t>
      </w:r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Xiandaihua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2012;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1553-1561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[DOI:</w:t>
      </w:r>
      <w:r w:rsidR="009C0C05">
        <w:rPr>
          <w:rFonts w:ascii="Book Antiqua" w:eastAsia="宋体" w:hAnsi="Book Antiqua" w:cs="宋体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 w:cs="宋体"/>
          <w:color w:val="000000" w:themeColor="text1"/>
          <w:lang w:eastAsia="zh-CN"/>
        </w:rPr>
        <w:t>10.3969/j.issn.1674-3849.2012.03.003]</w:t>
      </w:r>
    </w:p>
    <w:p w14:paraId="33C2F332" w14:textId="595DC058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21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W,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Tu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JG,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Lai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XH,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AM.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[Effects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Yiqi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Jianpi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Decoction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Combined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Chemotherapy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Life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Immune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Function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Breast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Cancer].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Zhonghua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Zhongyiyao</w:t>
      </w:r>
      <w:proofErr w:type="spellEnd"/>
      <w:r w:rsidR="009C0C05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 w:themeColor="text1"/>
        </w:rPr>
        <w:t>Xuekan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2018;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>
        <w:rPr>
          <w:rFonts w:ascii="Book Antiqua" w:eastAsia="Book Antiqua" w:hAnsi="Book Antiqua" w:cs="Book Antiqua"/>
          <w:color w:val="000000" w:themeColor="text1"/>
        </w:rPr>
        <w:t>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1219-1221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[DOI: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10.13193/j.issn.1673-7717.2018.05.051]</w:t>
      </w:r>
    </w:p>
    <w:bookmarkEnd w:id="4"/>
    <w:p w14:paraId="58F8A0BA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8653E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3AD80F" w14:textId="7777777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D7FA525" w14:textId="6C6B8716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hAnsi="Book Antiqua" w:cs="Arial"/>
          <w:lang w:eastAsia="zh-CN"/>
        </w:rPr>
        <w:t>The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study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was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reviewed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and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approved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by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the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institutional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review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b</w:t>
      </w:r>
      <w:r>
        <w:rPr>
          <w:rFonts w:ascii="Book Antiqua" w:hAnsi="Book Antiqua" w:cs="Arial"/>
          <w:lang w:eastAsia="zh-CN"/>
        </w:rPr>
        <w:t>oard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Liaoning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Hospital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Institute.</w:t>
      </w:r>
    </w:p>
    <w:p w14:paraId="34EF5349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5ADF00" w14:textId="6476EE2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/>
          <w:b/>
          <w:lang w:eastAsia="zh-CN"/>
        </w:rPr>
        <w:t>Clinical</w:t>
      </w:r>
      <w:r w:rsidR="009C0C05">
        <w:rPr>
          <w:rFonts w:ascii="Book Antiqua" w:hAnsi="Book Antiqua" w:cs="Arial"/>
          <w:b/>
          <w:lang w:eastAsia="zh-CN"/>
        </w:rPr>
        <w:t xml:space="preserve"> </w:t>
      </w:r>
      <w:r>
        <w:rPr>
          <w:rFonts w:ascii="Book Antiqua" w:hAnsi="Book Antiqua" w:cs="Arial"/>
          <w:b/>
          <w:lang w:eastAsia="zh-CN"/>
        </w:rPr>
        <w:t>trial</w:t>
      </w:r>
      <w:r w:rsidR="009C0C05">
        <w:rPr>
          <w:rFonts w:ascii="Book Antiqua" w:hAnsi="Book Antiqua" w:cs="Arial"/>
          <w:b/>
          <w:lang w:eastAsia="zh-CN"/>
        </w:rPr>
        <w:t xml:space="preserve"> </w:t>
      </w:r>
      <w:r>
        <w:rPr>
          <w:rFonts w:ascii="Book Antiqua" w:hAnsi="Book Antiqua" w:cs="Arial"/>
          <w:b/>
          <w:lang w:eastAsia="zh-CN"/>
        </w:rPr>
        <w:t>registration</w:t>
      </w:r>
      <w:r w:rsidR="009C0C05">
        <w:rPr>
          <w:rFonts w:ascii="Book Antiqua" w:hAnsi="Book Antiqua" w:cs="Arial"/>
          <w:b/>
          <w:lang w:eastAsia="zh-CN"/>
        </w:rPr>
        <w:t xml:space="preserve"> </w:t>
      </w:r>
      <w:r>
        <w:rPr>
          <w:rFonts w:ascii="Book Antiqua" w:hAnsi="Book Antiqua" w:cs="Arial"/>
          <w:b/>
          <w:lang w:eastAsia="zh-CN"/>
        </w:rPr>
        <w:t>statement: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This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study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is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not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registered.</w:t>
      </w:r>
    </w:p>
    <w:p w14:paraId="2529E7C8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53ADA2E5" w14:textId="6853BB7A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>
        <w:rPr>
          <w:rFonts w:ascii="Book Antiqua" w:hAnsi="Book Antiqua" w:cs="Arial"/>
          <w:b/>
          <w:lang w:eastAsia="zh-CN"/>
        </w:rPr>
        <w:t>Informed</w:t>
      </w:r>
      <w:r w:rsidR="009C0C05">
        <w:rPr>
          <w:rFonts w:ascii="Book Antiqua" w:hAnsi="Book Antiqua" w:cs="Arial"/>
          <w:b/>
          <w:lang w:eastAsia="zh-CN"/>
        </w:rPr>
        <w:t xml:space="preserve"> </w:t>
      </w:r>
      <w:r>
        <w:rPr>
          <w:rFonts w:ascii="Book Antiqua" w:hAnsi="Book Antiqua" w:cs="Arial"/>
          <w:b/>
          <w:lang w:eastAsia="zh-CN"/>
        </w:rPr>
        <w:t>consent</w:t>
      </w:r>
      <w:r w:rsidR="009C0C05">
        <w:rPr>
          <w:rFonts w:ascii="Book Antiqua" w:hAnsi="Book Antiqua" w:cs="Arial"/>
          <w:b/>
          <w:lang w:eastAsia="zh-CN"/>
        </w:rPr>
        <w:t xml:space="preserve"> </w:t>
      </w:r>
      <w:r>
        <w:rPr>
          <w:rFonts w:ascii="Book Antiqua" w:hAnsi="Book Antiqua" w:cs="Arial"/>
          <w:b/>
          <w:lang w:eastAsia="zh-CN"/>
        </w:rPr>
        <w:t>statement: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All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study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participants,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or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their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legal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guardian,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provided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written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consent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prior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to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study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enrollment.</w:t>
      </w:r>
      <w:r w:rsidR="009C0C05">
        <w:rPr>
          <w:rFonts w:ascii="Book Antiqua" w:hAnsi="Book Antiqua" w:cs="Arial"/>
          <w:lang w:eastAsia="zh-CN"/>
        </w:rPr>
        <w:t xml:space="preserve"> </w:t>
      </w:r>
    </w:p>
    <w:p w14:paraId="474F10B8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F414167" w14:textId="5CA4A1C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There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conflict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interest</w:t>
      </w:r>
      <w:r w:rsidR="004460BD">
        <w:rPr>
          <w:rFonts w:ascii="Book Antiqua" w:eastAsia="Book Antiqua" w:hAnsi="Book Antiqua" w:cs="Book Antiqua"/>
          <w:color w:val="000000" w:themeColor="text1"/>
        </w:rPr>
        <w:t xml:space="preserve"> to disclose</w:t>
      </w:r>
      <w:r>
        <w:rPr>
          <w:rFonts w:ascii="Book Antiqua" w:eastAsia="Book Antiqua" w:hAnsi="Book Antiqua" w:cs="Book Antiqua"/>
          <w:color w:val="000000" w:themeColor="text1"/>
        </w:rPr>
        <w:t>.</w:t>
      </w:r>
    </w:p>
    <w:p w14:paraId="4576EF19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EBF7462" w14:textId="17AB5A9D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hAnsi="Book Antiqua" w:cs="Arial"/>
          <w:lang w:eastAsia="zh-CN"/>
        </w:rPr>
        <w:t>There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is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no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additional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data</w:t>
      </w:r>
      <w:r w:rsidR="009C0C05">
        <w:rPr>
          <w:rFonts w:ascii="Book Antiqua" w:hAnsi="Book Antiqua" w:cs="Arial"/>
          <w:lang w:eastAsia="zh-CN"/>
        </w:rPr>
        <w:t xml:space="preserve"> </w:t>
      </w:r>
      <w:r>
        <w:rPr>
          <w:rFonts w:ascii="Book Antiqua" w:hAnsi="Book Antiqua" w:cs="Arial"/>
          <w:lang w:eastAsia="zh-CN"/>
        </w:rPr>
        <w:t>available.</w:t>
      </w:r>
    </w:p>
    <w:p w14:paraId="11E0DFCC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F642E3" w14:textId="1DAD409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</w:rPr>
        <w:t>CONSORT</w:t>
      </w:r>
      <w:r w:rsidR="009C0C05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2010</w:t>
      </w:r>
      <w:r w:rsidR="009C0C05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statement:</w:t>
      </w:r>
      <w:r w:rsidR="009C0C05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manuscript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was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checked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revised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according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to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CONSORT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2010</w:t>
      </w:r>
      <w:r w:rsidR="009C0C05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statement.</w:t>
      </w:r>
    </w:p>
    <w:p w14:paraId="5470FDFE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0DCCD91C" w14:textId="5E514B4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9C0C05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article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open-access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article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that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selected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in-house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editor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fully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peer-reviewed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external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reviewers.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accordance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with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Creative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Commons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Attribution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(CC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BY-NC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4.0)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license,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which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permits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others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to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distribute,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remix,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adapt,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build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upon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work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non-commercially,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license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their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derivative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works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different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terms,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provided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original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work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properly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cited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and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the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use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is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non-commercial.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See: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6B1C6D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26CEE5" w14:textId="7F188127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Unsolicited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04DC1364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E0A1E6" w14:textId="0FB9D212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June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22,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09AF9B5F" w14:textId="713E591D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July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5,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2021</w:t>
      </w:r>
    </w:p>
    <w:p w14:paraId="30E8426F" w14:textId="2D36268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9497BA2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18D17C" w14:textId="28D3FEC3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lastRenderedPageBreak/>
        <w:t>Specialty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Oncology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A2987DF" w14:textId="60CE1C1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China</w:t>
      </w:r>
    </w:p>
    <w:p w14:paraId="464E395F" w14:textId="27D2316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1FBD6AA" w14:textId="3F4FBB6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(Excellent):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756719D6" w14:textId="34F107AD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(Very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good):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B</w:t>
      </w:r>
    </w:p>
    <w:p w14:paraId="0F571E08" w14:textId="358E03D1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(Good):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1C27D2FA" w14:textId="05E3CC36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(Fair):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3ED591E5" w14:textId="1CC1515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Grade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(Poor):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0</w:t>
      </w:r>
    </w:p>
    <w:p w14:paraId="224AC633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A25B5C" w14:textId="32DF496D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 w:themeColor="text1"/>
        </w:rPr>
        <w:t>Kalofonos</w:t>
      </w:r>
      <w:proofErr w:type="spellEnd"/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HP,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Shinozaki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Wang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JL</w:t>
      </w:r>
      <w:r w:rsidR="009C0C05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4460BD" w:rsidRPr="008743D1">
        <w:rPr>
          <w:rFonts w:ascii="Book Antiqua" w:eastAsia="Book Antiqua" w:hAnsi="Book Antiqua" w:cs="Book Antiqua"/>
          <w:color w:val="000000" w:themeColor="text1"/>
        </w:rPr>
        <w:t>Wang TQ</w:t>
      </w:r>
      <w:r w:rsidR="004460B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497A12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80F237F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</w:p>
    <w:p w14:paraId="57D1AB68" w14:textId="515A3AFB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  <w:r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1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general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information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patients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4460BD">
        <w:rPr>
          <w:rFonts w:ascii="Book Antiqua" w:eastAsia="Times" w:hAnsi="Book Antiqua" w:cs="Times"/>
          <w:b/>
          <w:shd w:val="clear" w:color="auto" w:fill="FFFFFF"/>
        </w:rPr>
        <w:t xml:space="preserve"> two </w:t>
      </w:r>
      <w:r>
        <w:rPr>
          <w:rFonts w:ascii="Book Antiqua" w:eastAsia="Times" w:hAnsi="Book Antiqua" w:cs="Times"/>
          <w:b/>
          <w:shd w:val="clear" w:color="auto" w:fill="FFFFFF"/>
        </w:rPr>
        <w:t>groups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8"/>
        <w:gridCol w:w="456"/>
        <w:gridCol w:w="776"/>
        <w:gridCol w:w="1003"/>
        <w:gridCol w:w="696"/>
        <w:gridCol w:w="683"/>
        <w:gridCol w:w="1443"/>
        <w:gridCol w:w="1174"/>
        <w:gridCol w:w="1081"/>
      </w:tblGrid>
      <w:tr w:rsidR="008653E3" w14:paraId="0368BEA9" w14:textId="77777777">
        <w:trPr>
          <w:trHeight w:val="90"/>
          <w:jc w:val="center"/>
        </w:trPr>
        <w:tc>
          <w:tcPr>
            <w:tcW w:w="1105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9A0AE" w14:textId="0D959BD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5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5FC45" w14:textId="2D5D0E5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  <w:r w:rsidR="009C0C05"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9A5D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Gender(n)</w:t>
            </w:r>
          </w:p>
        </w:tc>
        <w:tc>
          <w:tcPr>
            <w:tcW w:w="1504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DBD93" w14:textId="343AEAD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Age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(</w:t>
            </w:r>
            <w:proofErr w:type="spellStart"/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yr</w:t>
            </w:r>
            <w:proofErr w:type="spellEnd"/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E7770" w14:textId="4891B21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Colorectal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cancer</w:t>
            </w:r>
          </w:p>
        </w:tc>
      </w:tr>
      <w:tr w:rsidR="008653E3" w14:paraId="07D85C0D" w14:textId="77777777">
        <w:trPr>
          <w:trHeight w:val="308"/>
          <w:jc w:val="center"/>
        </w:trPr>
        <w:tc>
          <w:tcPr>
            <w:tcW w:w="1105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70AFF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251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DBBEA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403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EF3B2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Male</w:t>
            </w:r>
          </w:p>
        </w:tc>
        <w:tc>
          <w:tcPr>
            <w:tcW w:w="510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7DEE4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Female</w:t>
            </w:r>
          </w:p>
        </w:tc>
        <w:tc>
          <w:tcPr>
            <w:tcW w:w="36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E819B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Max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EFAAA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Min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3200E" w14:textId="33B6AE2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mean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</w:rPr>
              <w:t>±</w:t>
            </w:r>
            <w:r w:rsidR="009C0C05">
              <w:rPr>
                <w:rFonts w:ascii="Book Antiqua" w:eastAsia="Times" w:hAnsi="Book Antiqua" w:cs="Times"/>
                <w:b/>
                <w:bCs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</w:rPr>
              <w:t>SD</w:t>
            </w:r>
          </w:p>
        </w:tc>
        <w:tc>
          <w:tcPr>
            <w:tcW w:w="63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179D3" w14:textId="03F451B6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Colon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cancer</w:t>
            </w:r>
          </w:p>
        </w:tc>
        <w:tc>
          <w:tcPr>
            <w:tcW w:w="590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B6B19" w14:textId="501A8B13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Rectal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caner</w:t>
            </w:r>
          </w:p>
        </w:tc>
      </w:tr>
      <w:tr w:rsidR="008653E3" w14:paraId="7FC70837" w14:textId="77777777">
        <w:trPr>
          <w:trHeight w:val="1"/>
          <w:jc w:val="center"/>
        </w:trPr>
        <w:tc>
          <w:tcPr>
            <w:tcW w:w="110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01A85" w14:textId="5EEA6324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25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611D9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403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767C8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21</w:t>
            </w:r>
          </w:p>
        </w:tc>
        <w:tc>
          <w:tcPr>
            <w:tcW w:w="510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5351B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14</w:t>
            </w:r>
          </w:p>
        </w:tc>
        <w:tc>
          <w:tcPr>
            <w:tcW w:w="36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3114B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67</w:t>
            </w:r>
          </w:p>
        </w:tc>
        <w:tc>
          <w:tcPr>
            <w:tcW w:w="35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44D5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40</w:t>
            </w:r>
          </w:p>
        </w:tc>
        <w:tc>
          <w:tcPr>
            <w:tcW w:w="78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905E" w14:textId="3F57180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52.24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13.20</w:t>
            </w:r>
          </w:p>
        </w:tc>
        <w:tc>
          <w:tcPr>
            <w:tcW w:w="63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B630D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28</w:t>
            </w:r>
          </w:p>
        </w:tc>
        <w:tc>
          <w:tcPr>
            <w:tcW w:w="590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3E223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7</w:t>
            </w:r>
          </w:p>
        </w:tc>
      </w:tr>
      <w:tr w:rsidR="008653E3" w14:paraId="6D51AD1F" w14:textId="77777777">
        <w:trPr>
          <w:trHeight w:val="1"/>
          <w:jc w:val="center"/>
        </w:trPr>
        <w:tc>
          <w:tcPr>
            <w:tcW w:w="1105" w:type="pct"/>
            <w:shd w:val="clear" w:color="000000" w:fill="FFFFFF"/>
            <w:tcMar>
              <w:left w:w="108" w:type="dxa"/>
              <w:right w:w="108" w:type="dxa"/>
            </w:tcMar>
          </w:tcPr>
          <w:p w14:paraId="11932C54" w14:textId="14FDC03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251" w:type="pct"/>
            <w:shd w:val="clear" w:color="000000" w:fill="FFFFFF"/>
            <w:tcMar>
              <w:left w:w="108" w:type="dxa"/>
              <w:right w:w="108" w:type="dxa"/>
            </w:tcMar>
          </w:tcPr>
          <w:p w14:paraId="56186037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403" w:type="pct"/>
            <w:shd w:val="clear" w:color="000000" w:fill="FFFFFF"/>
            <w:tcMar>
              <w:left w:w="108" w:type="dxa"/>
              <w:right w:w="108" w:type="dxa"/>
            </w:tcMar>
          </w:tcPr>
          <w:p w14:paraId="003005AF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22</w:t>
            </w:r>
          </w:p>
        </w:tc>
        <w:tc>
          <w:tcPr>
            <w:tcW w:w="510" w:type="pct"/>
            <w:shd w:val="clear" w:color="000000" w:fill="FFFFFF"/>
            <w:tcMar>
              <w:left w:w="108" w:type="dxa"/>
              <w:right w:w="108" w:type="dxa"/>
            </w:tcMar>
          </w:tcPr>
          <w:p w14:paraId="4D56CD09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11</w:t>
            </w:r>
          </w:p>
        </w:tc>
        <w:tc>
          <w:tcPr>
            <w:tcW w:w="369" w:type="pct"/>
            <w:shd w:val="clear" w:color="000000" w:fill="FFFFFF"/>
            <w:tcMar>
              <w:left w:w="108" w:type="dxa"/>
              <w:right w:w="108" w:type="dxa"/>
            </w:tcMar>
          </w:tcPr>
          <w:p w14:paraId="1604B089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68</w:t>
            </w:r>
          </w:p>
        </w:tc>
        <w:tc>
          <w:tcPr>
            <w:tcW w:w="351" w:type="pct"/>
            <w:shd w:val="clear" w:color="000000" w:fill="FFFFFF"/>
            <w:tcMar>
              <w:left w:w="108" w:type="dxa"/>
              <w:right w:w="108" w:type="dxa"/>
            </w:tcMar>
          </w:tcPr>
          <w:p w14:paraId="4CF52699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42</w:t>
            </w:r>
          </w:p>
        </w:tc>
        <w:tc>
          <w:tcPr>
            <w:tcW w:w="785" w:type="pct"/>
            <w:shd w:val="clear" w:color="000000" w:fill="FFFFFF"/>
            <w:tcMar>
              <w:left w:w="108" w:type="dxa"/>
              <w:right w:w="108" w:type="dxa"/>
            </w:tcMar>
          </w:tcPr>
          <w:p w14:paraId="73D6A993" w14:textId="3BCB530A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55.63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12.39</w:t>
            </w:r>
          </w:p>
        </w:tc>
        <w:tc>
          <w:tcPr>
            <w:tcW w:w="638" w:type="pct"/>
            <w:shd w:val="clear" w:color="000000" w:fill="FFFFFF"/>
            <w:tcMar>
              <w:left w:w="108" w:type="dxa"/>
              <w:right w:w="108" w:type="dxa"/>
            </w:tcMar>
          </w:tcPr>
          <w:p w14:paraId="0D345F1F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25</w:t>
            </w:r>
          </w:p>
        </w:tc>
        <w:tc>
          <w:tcPr>
            <w:tcW w:w="590" w:type="pct"/>
            <w:shd w:val="clear" w:color="000000" w:fill="FFFFFF"/>
            <w:tcMar>
              <w:left w:w="108" w:type="dxa"/>
              <w:right w:w="108" w:type="dxa"/>
            </w:tcMar>
          </w:tcPr>
          <w:p w14:paraId="2D31DF56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8</w:t>
            </w:r>
          </w:p>
        </w:tc>
      </w:tr>
    </w:tbl>
    <w:p w14:paraId="716B7804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</w:p>
    <w:p w14:paraId="42E83819" w14:textId="0304FF7A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>
        <w:rPr>
          <w:rFonts w:ascii="Book Antiqua" w:eastAsia="Times" w:hAnsi="Book Antiqua" w:cs="Times"/>
          <w:b/>
          <w:shd w:val="clear" w:color="auto" w:fill="FFFFFF"/>
        </w:rPr>
        <w:br w:type="page"/>
      </w:r>
      <w:r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</w:rPr>
        <w:t>2</w:t>
      </w:r>
      <w:r w:rsidR="009C0C05">
        <w:rPr>
          <w:rFonts w:ascii="Book Antiqua" w:eastAsia="Times" w:hAnsi="Book Antiqua" w:cs="Times"/>
          <w:b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Hand-foot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skin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rea</w:t>
      </w:r>
      <w:r>
        <w:rPr>
          <w:rFonts w:ascii="Book Antiqua" w:eastAsia="Times" w:hAnsi="Book Antiqua" w:cs="Times"/>
          <w:b/>
          <w:shd w:val="clear" w:color="auto" w:fill="FFFFFF"/>
        </w:rPr>
        <w:t>ctions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</w:rPr>
        <w:t>(</w:t>
      </w:r>
      <w:r>
        <w:rPr>
          <w:rFonts w:ascii="Book Antiqua" w:eastAsia="Book Antiqua" w:hAnsi="Book Antiqua" w:cs="Book Antiqua"/>
          <w:b/>
          <w:color w:val="000000" w:themeColor="text1"/>
        </w:rPr>
        <w:t>National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Institute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Terminology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Criteria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Events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version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3.0</w:t>
      </w:r>
      <w:r>
        <w:rPr>
          <w:rFonts w:ascii="Book Antiqua" w:eastAsia="Times" w:hAnsi="Book Antiqua" w:cs="Times"/>
          <w:b/>
        </w:rPr>
        <w:t>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1"/>
        <w:gridCol w:w="7759"/>
      </w:tblGrid>
      <w:tr w:rsidR="008653E3" w14:paraId="62E2CF35" w14:textId="77777777">
        <w:trPr>
          <w:trHeight w:val="277"/>
          <w:jc w:val="center"/>
        </w:trPr>
        <w:tc>
          <w:tcPr>
            <w:tcW w:w="85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00A7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  <w:tc>
          <w:tcPr>
            <w:tcW w:w="4145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F0440" w14:textId="60143BD1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Item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description</w:t>
            </w:r>
          </w:p>
        </w:tc>
      </w:tr>
      <w:tr w:rsidR="008653E3" w14:paraId="2A7F31D8" w14:textId="77777777">
        <w:trPr>
          <w:trHeight w:val="1"/>
          <w:jc w:val="center"/>
        </w:trPr>
        <w:tc>
          <w:tcPr>
            <w:tcW w:w="85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41ACB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0</w:t>
            </w:r>
          </w:p>
        </w:tc>
        <w:tc>
          <w:tcPr>
            <w:tcW w:w="4145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49EDD" w14:textId="033E973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No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clinical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manifestations</w:t>
            </w:r>
          </w:p>
        </w:tc>
      </w:tr>
      <w:tr w:rsidR="008653E3" w14:paraId="2365EA8B" w14:textId="77777777">
        <w:trPr>
          <w:trHeight w:val="301"/>
          <w:jc w:val="center"/>
        </w:trPr>
        <w:tc>
          <w:tcPr>
            <w:tcW w:w="855" w:type="pct"/>
            <w:shd w:val="clear" w:color="000000" w:fill="FFFFFF"/>
            <w:tcMar>
              <w:left w:w="108" w:type="dxa"/>
              <w:right w:w="108" w:type="dxa"/>
            </w:tcMar>
          </w:tcPr>
          <w:p w14:paraId="6CA7EFBA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  <w:tc>
          <w:tcPr>
            <w:tcW w:w="4145" w:type="pct"/>
            <w:shd w:val="clear" w:color="000000" w:fill="FFFFFF"/>
            <w:tcMar>
              <w:left w:w="108" w:type="dxa"/>
              <w:right w:w="108" w:type="dxa"/>
            </w:tcMar>
          </w:tcPr>
          <w:p w14:paraId="01A49E9F" w14:textId="62AF15DD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Have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red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discolored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skin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painless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dermatitis</w:t>
            </w:r>
          </w:p>
        </w:tc>
      </w:tr>
      <w:tr w:rsidR="008653E3" w14:paraId="18C77AA5" w14:textId="77777777">
        <w:trPr>
          <w:trHeight w:val="1"/>
          <w:jc w:val="center"/>
        </w:trPr>
        <w:tc>
          <w:tcPr>
            <w:tcW w:w="855" w:type="pct"/>
            <w:shd w:val="clear" w:color="000000" w:fill="FFFFFF"/>
            <w:tcMar>
              <w:left w:w="108" w:type="dxa"/>
              <w:right w:w="108" w:type="dxa"/>
            </w:tcMar>
          </w:tcPr>
          <w:p w14:paraId="17E3937E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</w:t>
            </w:r>
          </w:p>
        </w:tc>
        <w:tc>
          <w:tcPr>
            <w:tcW w:w="4145" w:type="pct"/>
            <w:shd w:val="clear" w:color="000000" w:fill="FFFFFF"/>
            <w:tcMar>
              <w:left w:w="108" w:type="dxa"/>
              <w:right w:w="108" w:type="dxa"/>
            </w:tcMar>
          </w:tcPr>
          <w:p w14:paraId="109E0236" w14:textId="4649857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Show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changes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in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skin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(such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as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peeling,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bleeding,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4460BD">
              <w:rPr>
                <w:rFonts w:ascii="Book Antiqua" w:eastAsia="Times" w:hAnsi="Book Antiqua" w:cs="Times"/>
                <w:shd w:val="clear" w:color="auto" w:fill="FFFFFF"/>
              </w:rPr>
              <w:t xml:space="preserve">and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swollen)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have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blisters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sores,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without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any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dysfunction</w:t>
            </w:r>
          </w:p>
        </w:tc>
      </w:tr>
      <w:tr w:rsidR="008653E3" w14:paraId="78BFE0BE" w14:textId="77777777">
        <w:trPr>
          <w:trHeight w:val="156"/>
          <w:jc w:val="center"/>
        </w:trPr>
        <w:tc>
          <w:tcPr>
            <w:tcW w:w="855" w:type="pct"/>
            <w:shd w:val="clear" w:color="000000" w:fill="FFFFFF"/>
            <w:tcMar>
              <w:left w:w="108" w:type="dxa"/>
              <w:right w:w="108" w:type="dxa"/>
            </w:tcMar>
          </w:tcPr>
          <w:p w14:paraId="37B8BD6F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  <w:tc>
          <w:tcPr>
            <w:tcW w:w="4145" w:type="pct"/>
            <w:shd w:val="clear" w:color="000000" w:fill="FFFFFF"/>
            <w:tcMar>
              <w:left w:w="108" w:type="dxa"/>
              <w:right w:w="108" w:type="dxa"/>
            </w:tcMar>
          </w:tcPr>
          <w:p w14:paraId="454810F8" w14:textId="2438B09A" w:rsidR="008653E3" w:rsidRDefault="004460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 xml:space="preserve">Show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changes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in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skin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due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to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dysfunctions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caused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by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ulcerative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dermatitis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 w:rsidR="00134363">
              <w:rPr>
                <w:rFonts w:ascii="Book Antiqua" w:eastAsia="Times" w:hAnsi="Book Antiqua" w:cs="Times"/>
                <w:shd w:val="clear" w:color="auto" w:fill="FFFFFF"/>
              </w:rPr>
              <w:t>pain</w:t>
            </w:r>
          </w:p>
        </w:tc>
      </w:tr>
    </w:tbl>
    <w:p w14:paraId="741DD361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</w:rPr>
      </w:pPr>
    </w:p>
    <w:p w14:paraId="374321E8" w14:textId="1268A21C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3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Gastrointestinal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reactions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(</w:t>
      </w:r>
      <w:r>
        <w:rPr>
          <w:rFonts w:ascii="Book Antiqua" w:eastAsia="Book Antiqua" w:hAnsi="Book Antiqua" w:cs="Book Antiqua"/>
          <w:b/>
          <w:color w:val="000000" w:themeColor="text1"/>
        </w:rPr>
        <w:t>National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Cancer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Institute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Common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Terminology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Criteria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Adverse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Events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version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3.0</w:t>
      </w:r>
      <w:r>
        <w:rPr>
          <w:rFonts w:ascii="Book Antiqua" w:eastAsia="Times" w:hAnsi="Book Antiqua" w:cs="Times"/>
          <w:b/>
          <w:shd w:val="clear" w:color="auto" w:fill="FFFFFF"/>
        </w:rPr>
        <w:t>)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8126"/>
      </w:tblGrid>
      <w:tr w:rsidR="008653E3" w14:paraId="0FEA185D" w14:textId="77777777">
        <w:trPr>
          <w:trHeight w:val="277"/>
        </w:trPr>
        <w:tc>
          <w:tcPr>
            <w:tcW w:w="65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889E4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  <w:tc>
          <w:tcPr>
            <w:tcW w:w="434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EA3AE" w14:textId="05C5A0EF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Item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description</w:t>
            </w:r>
          </w:p>
        </w:tc>
      </w:tr>
      <w:tr w:rsidR="008653E3" w14:paraId="62203839" w14:textId="77777777">
        <w:trPr>
          <w:trHeight w:val="1"/>
        </w:trPr>
        <w:tc>
          <w:tcPr>
            <w:tcW w:w="65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56C92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0</w:t>
            </w:r>
          </w:p>
        </w:tc>
        <w:tc>
          <w:tcPr>
            <w:tcW w:w="434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2ED24" w14:textId="613CCC2F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No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clinical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manifestations</w:t>
            </w:r>
          </w:p>
        </w:tc>
      </w:tr>
      <w:tr w:rsidR="008653E3" w14:paraId="0D17056C" w14:textId="77777777">
        <w:trPr>
          <w:trHeight w:val="301"/>
        </w:trPr>
        <w:tc>
          <w:tcPr>
            <w:tcW w:w="659" w:type="pct"/>
            <w:shd w:val="clear" w:color="000000" w:fill="FFFFFF"/>
            <w:tcMar>
              <w:left w:w="108" w:type="dxa"/>
              <w:right w:w="108" w:type="dxa"/>
            </w:tcMar>
          </w:tcPr>
          <w:p w14:paraId="0919BAC0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  <w:tc>
          <w:tcPr>
            <w:tcW w:w="4341" w:type="pct"/>
            <w:shd w:val="clear" w:color="000000" w:fill="FFFFFF"/>
            <w:tcMar>
              <w:left w:w="108" w:type="dxa"/>
              <w:right w:w="108" w:type="dxa"/>
            </w:tcMar>
          </w:tcPr>
          <w:p w14:paraId="3B1E1BA3" w14:textId="3016A974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Lack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of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appetite,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without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any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change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in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eating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habits</w:t>
            </w:r>
          </w:p>
        </w:tc>
      </w:tr>
      <w:tr w:rsidR="008653E3" w14:paraId="1A380CDD" w14:textId="77777777">
        <w:trPr>
          <w:trHeight w:val="1"/>
        </w:trPr>
        <w:tc>
          <w:tcPr>
            <w:tcW w:w="659" w:type="pct"/>
            <w:shd w:val="clear" w:color="000000" w:fill="FFFFFF"/>
            <w:tcMar>
              <w:left w:w="108" w:type="dxa"/>
              <w:right w:w="108" w:type="dxa"/>
            </w:tcMar>
          </w:tcPr>
          <w:p w14:paraId="4737C578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</w:t>
            </w:r>
          </w:p>
        </w:tc>
        <w:tc>
          <w:tcPr>
            <w:tcW w:w="4341" w:type="pct"/>
            <w:shd w:val="clear" w:color="000000" w:fill="FFFFFF"/>
            <w:tcMar>
              <w:left w:w="108" w:type="dxa"/>
              <w:right w:w="108" w:type="dxa"/>
            </w:tcMar>
          </w:tcPr>
          <w:p w14:paraId="419F6024" w14:textId="6D9F066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Less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food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intake,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no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significant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weight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loss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malnutrition,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have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signs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of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intravenous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fluid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replacement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for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&lt;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24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h</w:t>
            </w:r>
          </w:p>
        </w:tc>
      </w:tr>
      <w:tr w:rsidR="008653E3" w14:paraId="1646ED53" w14:textId="77777777">
        <w:trPr>
          <w:trHeight w:val="156"/>
        </w:trPr>
        <w:tc>
          <w:tcPr>
            <w:tcW w:w="659" w:type="pct"/>
            <w:shd w:val="clear" w:color="000000" w:fill="FFFFFF"/>
            <w:tcMar>
              <w:left w:w="108" w:type="dxa"/>
              <w:right w:w="108" w:type="dxa"/>
            </w:tcMar>
          </w:tcPr>
          <w:p w14:paraId="73522E35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  <w:tc>
          <w:tcPr>
            <w:tcW w:w="4341" w:type="pct"/>
            <w:shd w:val="clear" w:color="000000" w:fill="FFFFFF"/>
            <w:tcMar>
              <w:left w:w="108" w:type="dxa"/>
              <w:right w:w="108" w:type="dxa"/>
            </w:tcMar>
          </w:tcPr>
          <w:p w14:paraId="32C3A2BD" w14:textId="253B97E3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Less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energy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and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water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intake,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ha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ve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signs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of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intravenous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fluid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rehydration,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tube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feeding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and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parenteral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nutrition</w:t>
            </w:r>
            <w:r w:rsidR="004460BD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≥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24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h</w:t>
            </w:r>
          </w:p>
        </w:tc>
      </w:tr>
    </w:tbl>
    <w:p w14:paraId="3A0B59A0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</w:rPr>
      </w:pPr>
    </w:p>
    <w:p w14:paraId="607A2C1C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49FB17F8" w14:textId="6E1C2DDA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  <w:lang w:eastAsia="zh-CN"/>
        </w:rPr>
      </w:pPr>
      <w:r>
        <w:rPr>
          <w:rFonts w:ascii="Book Antiqua" w:eastAsia="Times" w:hAnsi="Book Antiqua" w:cs="Times"/>
          <w:b/>
          <w:shd w:val="clear" w:color="auto" w:fill="FFFFFF"/>
        </w:rPr>
        <w:br w:type="page"/>
      </w:r>
      <w:r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4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Comparisons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sc</w:t>
      </w:r>
      <w:r>
        <w:rPr>
          <w:rFonts w:ascii="Book Antiqua" w:eastAsia="Times" w:hAnsi="Book Antiqua" w:cs="Times"/>
          <w:b/>
          <w:shd w:val="clear" w:color="auto" w:fill="FFFFFF"/>
        </w:rPr>
        <w:t>ores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traditional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Chinese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medicine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symptoms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groups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(</w:t>
      </w:r>
      <w:r>
        <w:rPr>
          <w:rFonts w:ascii="Book Antiqua" w:eastAsia="Times" w:hAnsi="Book Antiqua" w:cs="Times"/>
          <w:b/>
          <w:bCs/>
          <w:shd w:val="clear" w:color="auto" w:fill="FFFFFF"/>
        </w:rPr>
        <w:t>mean</w:t>
      </w:r>
      <w:r w:rsidR="009C0C05">
        <w:rPr>
          <w:rFonts w:ascii="Book Antiqua" w:eastAsia="Times" w:hAnsi="Book Antiqua" w:cs="Times"/>
          <w:b/>
          <w:bCs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bCs/>
        </w:rPr>
        <w:t>±</w:t>
      </w:r>
      <w:r w:rsidR="009C0C05">
        <w:rPr>
          <w:rFonts w:ascii="Book Antiqua" w:eastAsia="Times" w:hAnsi="Book Antiqua" w:cs="Times"/>
          <w:b/>
          <w:bCs/>
        </w:rPr>
        <w:t xml:space="preserve"> </w:t>
      </w:r>
      <w:r>
        <w:rPr>
          <w:rFonts w:ascii="Book Antiqua" w:eastAsia="Times" w:hAnsi="Book Antiqua" w:cs="Times"/>
          <w:b/>
          <w:bCs/>
        </w:rPr>
        <w:t>SD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points</w:t>
      </w:r>
      <w:r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56"/>
        <w:gridCol w:w="1387"/>
        <w:gridCol w:w="1653"/>
        <w:gridCol w:w="1363"/>
        <w:gridCol w:w="1364"/>
        <w:gridCol w:w="1443"/>
      </w:tblGrid>
      <w:tr w:rsidR="008653E3" w14:paraId="2F038940" w14:textId="77777777">
        <w:trPr>
          <w:trHeight w:val="424"/>
          <w:jc w:val="center"/>
        </w:trPr>
        <w:tc>
          <w:tcPr>
            <w:tcW w:w="906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37137" w14:textId="4A17E4A1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23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B28F2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74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E76D9" w14:textId="6321A87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Poor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appetite</w:t>
            </w: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23FBE" w14:textId="36C1B79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Abdominal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distention</w:t>
            </w:r>
          </w:p>
        </w:tc>
        <w:tc>
          <w:tcPr>
            <w:tcW w:w="72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43EDB" w14:textId="3737ADAB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Loose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stool</w:t>
            </w:r>
          </w:p>
        </w:tc>
        <w:tc>
          <w:tcPr>
            <w:tcW w:w="72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AC2170" w14:textId="3560C6C0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Fatigue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BA346" w14:textId="386DD4EA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Emaciation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8653E3" w14:paraId="64827F9D" w14:textId="77777777">
        <w:trPr>
          <w:trHeight w:val="589"/>
          <w:jc w:val="center"/>
        </w:trPr>
        <w:tc>
          <w:tcPr>
            <w:tcW w:w="906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52767" w14:textId="5F6CCD30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23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57B61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74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4AED5D" w14:textId="226E3C6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1.11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0.760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0DA50" w14:textId="0E6F296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1.40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0.728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72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3EB28" w14:textId="5897D48B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1.37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0.209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72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12AEE" w14:textId="4A3BD58C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1.37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0.501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8DEA8" w14:textId="1D7F14C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1.54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0.625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</w:tr>
      <w:tr w:rsidR="008653E3" w14:paraId="4DD4B9B0" w14:textId="77777777">
        <w:trPr>
          <w:trHeight w:val="417"/>
          <w:jc w:val="center"/>
        </w:trPr>
        <w:tc>
          <w:tcPr>
            <w:tcW w:w="90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686CB" w14:textId="205C8BB9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23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E1500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74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89990" w14:textId="18F7D363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2.75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0.741</w:t>
            </w:r>
          </w:p>
        </w:tc>
        <w:tc>
          <w:tcPr>
            <w:tcW w:w="88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7E6C2" w14:textId="0E6D97D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2.21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0.753</w:t>
            </w:r>
          </w:p>
        </w:tc>
        <w:tc>
          <w:tcPr>
            <w:tcW w:w="72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C51DB" w14:textId="7B9CC6E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2.64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0.521</w:t>
            </w:r>
          </w:p>
        </w:tc>
        <w:tc>
          <w:tcPr>
            <w:tcW w:w="72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D0CEF" w14:textId="4814DE2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2.24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1.122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60685" w14:textId="001A7F92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2.15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0.917</w:t>
            </w:r>
          </w:p>
        </w:tc>
      </w:tr>
    </w:tbl>
    <w:p w14:paraId="74E47691" w14:textId="2356CE58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  <w:proofErr w:type="spellStart"/>
      <w:r>
        <w:rPr>
          <w:rFonts w:ascii="Book Antiqua" w:eastAsia="Times" w:hAnsi="Book Antiqua" w:cs="Times"/>
          <w:shd w:val="clear" w:color="auto" w:fill="FFFFFF"/>
          <w:vertAlign w:val="superscript"/>
        </w:rPr>
        <w:t>a</w:t>
      </w:r>
      <w:r>
        <w:rPr>
          <w:rFonts w:ascii="Book Antiqua" w:eastAsia="Times" w:hAnsi="Book Antiqua" w:cs="Times"/>
          <w:i/>
          <w:shd w:val="clear" w:color="auto" w:fill="FFFFFF"/>
        </w:rPr>
        <w:t>P</w:t>
      </w:r>
      <w:proofErr w:type="spellEnd"/>
      <w:r w:rsidR="009C0C05">
        <w:rPr>
          <w:rFonts w:ascii="Book Antiqua" w:eastAsia="Times" w:hAnsi="Book Antiqua" w:cs="Times"/>
          <w:i/>
          <w:shd w:val="clear" w:color="auto" w:fill="FFFFFF"/>
        </w:rPr>
        <w:t xml:space="preserve"> </w:t>
      </w:r>
      <w:r>
        <w:rPr>
          <w:rFonts w:ascii="Book Antiqua" w:eastAsia="宋体" w:hAnsi="Book Antiqua" w:cs="宋体" w:hint="eastAsia"/>
          <w:shd w:val="clear" w:color="auto" w:fill="FFFFFF"/>
          <w:lang w:eastAsia="zh-CN"/>
        </w:rPr>
        <w:t>&lt;</w:t>
      </w:r>
      <w:r w:rsidR="009C0C05">
        <w:rPr>
          <w:rFonts w:ascii="Book Antiqua" w:eastAsia="宋体" w:hAnsi="Book Antiqua" w:cs="宋体"/>
          <w:shd w:val="clear" w:color="auto" w:fill="FFFFFF"/>
          <w:lang w:eastAsia="zh-CN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0.05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i/>
          <w:iCs/>
          <w:shd w:val="clear" w:color="auto" w:fill="FFFFFF"/>
        </w:rPr>
        <w:t>vs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control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group.</w:t>
      </w:r>
    </w:p>
    <w:p w14:paraId="7BA59AE6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1B345E12" w14:textId="05AC2694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 w:cs="Times"/>
          <w:b/>
          <w:shd w:val="clear" w:color="auto" w:fill="FFFFFF"/>
          <w:lang w:eastAsia="zh-CN"/>
        </w:rPr>
      </w:pPr>
      <w:r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5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</w:t>
      </w:r>
      <w:r>
        <w:rPr>
          <w:rFonts w:ascii="Book Antiqua" w:eastAsia="Times" w:hAnsi="Book Antiqua" w:cs="Times"/>
          <w:b/>
          <w:shd w:val="clear" w:color="auto" w:fill="FFFFFF"/>
        </w:rPr>
        <w:t>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 w:themeColor="text1"/>
        </w:rPr>
        <w:t>Karnofsky</w:t>
      </w:r>
      <w:proofErr w:type="spellEnd"/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performance</w:t>
      </w:r>
      <w:r w:rsidR="009C0C05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color w:val="000000" w:themeColor="text1"/>
        </w:rPr>
        <w:t>scale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scores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groups</w:t>
      </w:r>
      <w:r w:rsidR="009C0C05"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 xml:space="preserve"> </w:t>
      </w:r>
      <w:r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(</w:t>
      </w:r>
      <w:r>
        <w:rPr>
          <w:rFonts w:ascii="Book Antiqua" w:eastAsia="Times" w:hAnsi="Book Antiqua" w:cs="Times"/>
          <w:b/>
          <w:shd w:val="clear" w:color="auto" w:fill="FFFFFF"/>
        </w:rPr>
        <w:t>mean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</w:rPr>
        <w:t>±</w:t>
      </w:r>
      <w:r w:rsidR="009C0C05">
        <w:rPr>
          <w:rFonts w:ascii="Book Antiqua" w:eastAsia="Times" w:hAnsi="Book Antiqua" w:cs="Times"/>
          <w:b/>
        </w:rPr>
        <w:t xml:space="preserve"> </w:t>
      </w:r>
      <w:r>
        <w:rPr>
          <w:rFonts w:ascii="Book Antiqua" w:eastAsia="Times" w:hAnsi="Book Antiqua" w:cs="Times"/>
          <w:b/>
        </w:rPr>
        <w:t>SD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points</w:t>
      </w:r>
      <w:r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3"/>
        <w:gridCol w:w="657"/>
        <w:gridCol w:w="2993"/>
        <w:gridCol w:w="2797"/>
      </w:tblGrid>
      <w:tr w:rsidR="008653E3" w14:paraId="16B86793" w14:textId="77777777">
        <w:trPr>
          <w:trHeight w:val="477"/>
          <w:jc w:val="center"/>
        </w:trPr>
        <w:tc>
          <w:tcPr>
            <w:tcW w:w="1556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9D66" w14:textId="3850B66F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8291F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159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E66A5" w14:textId="5450C11B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Before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the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treatments</w:t>
            </w:r>
          </w:p>
        </w:tc>
        <w:tc>
          <w:tcPr>
            <w:tcW w:w="1494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4C6B9" w14:textId="57FDABF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After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the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treatments</w:t>
            </w:r>
          </w:p>
        </w:tc>
      </w:tr>
      <w:tr w:rsidR="008653E3" w14:paraId="7F4760FF" w14:textId="77777777">
        <w:trPr>
          <w:trHeight w:val="466"/>
          <w:jc w:val="center"/>
        </w:trPr>
        <w:tc>
          <w:tcPr>
            <w:tcW w:w="1556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2701" w14:textId="6E38A00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35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71878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159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29BE4" w14:textId="2FDE911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79.17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4.125</w:t>
            </w:r>
          </w:p>
        </w:tc>
        <w:tc>
          <w:tcPr>
            <w:tcW w:w="1494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37409" w14:textId="7D850FD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88.51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6.773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</w:p>
        </w:tc>
      </w:tr>
      <w:tr w:rsidR="008653E3" w14:paraId="3101B3E0" w14:textId="77777777">
        <w:trPr>
          <w:trHeight w:val="477"/>
          <w:jc w:val="center"/>
        </w:trPr>
        <w:tc>
          <w:tcPr>
            <w:tcW w:w="1556" w:type="pct"/>
            <w:shd w:val="clear" w:color="000000" w:fill="FFFFFF"/>
            <w:tcMar>
              <w:left w:w="108" w:type="dxa"/>
              <w:right w:w="108" w:type="dxa"/>
            </w:tcMar>
          </w:tcPr>
          <w:p w14:paraId="70610DC5" w14:textId="63C615BD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351" w:type="pct"/>
            <w:shd w:val="clear" w:color="000000" w:fill="FFFFFF"/>
            <w:tcMar>
              <w:left w:w="108" w:type="dxa"/>
              <w:right w:w="108" w:type="dxa"/>
            </w:tcMar>
          </w:tcPr>
          <w:p w14:paraId="565A3793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1599" w:type="pct"/>
            <w:shd w:val="clear" w:color="000000" w:fill="FFFFFF"/>
            <w:tcMar>
              <w:left w:w="108" w:type="dxa"/>
              <w:right w:w="108" w:type="dxa"/>
            </w:tcMar>
          </w:tcPr>
          <w:p w14:paraId="5E12E9BA" w14:textId="350511CC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78.75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3.475</w:t>
            </w:r>
          </w:p>
        </w:tc>
        <w:tc>
          <w:tcPr>
            <w:tcW w:w="1494" w:type="pct"/>
            <w:shd w:val="clear" w:color="000000" w:fill="FFFFFF"/>
            <w:tcMar>
              <w:left w:w="108" w:type="dxa"/>
              <w:right w:w="108" w:type="dxa"/>
            </w:tcMar>
          </w:tcPr>
          <w:p w14:paraId="169D70EB" w14:textId="79CF270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81.44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4.539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</w:tr>
    </w:tbl>
    <w:p w14:paraId="295E5D50" w14:textId="2CD858A7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  <w:proofErr w:type="spellStart"/>
      <w:proofErr w:type="gramStart"/>
      <w:r>
        <w:rPr>
          <w:rFonts w:ascii="Book Antiqua" w:eastAsia="Times" w:hAnsi="Book Antiqua" w:cs="Times"/>
          <w:shd w:val="clear" w:color="auto" w:fill="FFFFFF"/>
          <w:vertAlign w:val="superscript"/>
        </w:rPr>
        <w:t>a</w:t>
      </w:r>
      <w:r>
        <w:rPr>
          <w:rFonts w:ascii="Book Antiqua" w:eastAsia="Times" w:hAnsi="Book Antiqua" w:cs="Times"/>
          <w:i/>
          <w:iCs/>
          <w:shd w:val="clear" w:color="auto" w:fill="FFFFFF"/>
        </w:rPr>
        <w:t>P</w:t>
      </w:r>
      <w:proofErr w:type="spellEnd"/>
      <w:proofErr w:type="gramEnd"/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&lt;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0.05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i/>
          <w:iCs/>
          <w:shd w:val="clear" w:color="auto" w:fill="FFFFFF"/>
        </w:rPr>
        <w:t>vs</w:t>
      </w:r>
      <w:r w:rsidR="004460BD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before</w:t>
      </w:r>
      <w:r w:rsidR="004460BD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treatment</w:t>
      </w:r>
      <w:r w:rsidR="004460BD">
        <w:rPr>
          <w:rFonts w:ascii="Book Antiqua" w:eastAsia="Times" w:hAnsi="Book Antiqua" w:cs="Times"/>
          <w:shd w:val="clear" w:color="auto" w:fill="FFFFFF"/>
        </w:rPr>
        <w:t>;</w:t>
      </w:r>
      <w:r w:rsidR="009C0C05">
        <w:rPr>
          <w:rFonts w:ascii="Book Antiqua" w:eastAsia="宋体" w:hAnsi="Book Antiqua" w:cs="宋体"/>
          <w:shd w:val="clear" w:color="auto" w:fill="FFFFFF"/>
          <w:vertAlign w:val="superscript"/>
          <w:lang w:eastAsia="zh-CN"/>
        </w:rPr>
        <w:t xml:space="preserve"> </w:t>
      </w:r>
      <w:proofErr w:type="spellStart"/>
      <w:r>
        <w:rPr>
          <w:rFonts w:ascii="Book Antiqua" w:eastAsia="宋体" w:hAnsi="Book Antiqua" w:cs="宋体"/>
          <w:shd w:val="clear" w:color="auto" w:fill="FFFFFF"/>
          <w:vertAlign w:val="superscript"/>
          <w:lang w:eastAsia="zh-CN"/>
        </w:rPr>
        <w:t>d</w:t>
      </w:r>
      <w:r>
        <w:rPr>
          <w:rFonts w:ascii="Book Antiqua" w:eastAsia="Times" w:hAnsi="Book Antiqua" w:cs="Times"/>
          <w:i/>
          <w:iCs/>
          <w:shd w:val="clear" w:color="auto" w:fill="FFFFFF"/>
        </w:rPr>
        <w:t>P</w:t>
      </w:r>
      <w:proofErr w:type="spellEnd"/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&lt;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0.05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i/>
          <w:iCs/>
          <w:shd w:val="clear" w:color="auto" w:fill="FFFFFF"/>
        </w:rPr>
        <w:t>vs</w:t>
      </w:r>
      <w:r w:rsidR="004460BD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control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shd w:val="clear" w:color="auto" w:fill="FFFFFF"/>
        </w:rPr>
        <w:t>group.</w:t>
      </w:r>
    </w:p>
    <w:p w14:paraId="242E7DBC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269A6D90" w14:textId="5D5DD04C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  <w:lang w:eastAsia="zh-CN"/>
        </w:rPr>
      </w:pPr>
      <w:r>
        <w:rPr>
          <w:rFonts w:ascii="Book Antiqua" w:eastAsia="Times New Roman" w:hAnsi="Book Antiqua"/>
        </w:rPr>
        <w:br w:type="page"/>
      </w:r>
      <w:r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6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seru</w:t>
      </w:r>
      <w:r>
        <w:rPr>
          <w:rFonts w:ascii="Book Antiqua" w:eastAsia="Times" w:hAnsi="Book Antiqua" w:cs="Times"/>
          <w:b/>
          <w:shd w:val="clear" w:color="auto" w:fill="FFFFFF"/>
        </w:rPr>
        <w:t>m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levels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T-cell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subsets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groups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before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and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after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treatments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(mean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</w:rPr>
        <w:t>±</w:t>
      </w:r>
      <w:r w:rsidR="009C0C05">
        <w:rPr>
          <w:rFonts w:ascii="Book Antiqua" w:eastAsia="Times" w:hAnsi="Book Antiqua" w:cs="Times"/>
          <w:b/>
        </w:rPr>
        <w:t xml:space="preserve"> </w:t>
      </w:r>
      <w:r>
        <w:rPr>
          <w:rFonts w:ascii="Book Antiqua" w:eastAsia="Times" w:hAnsi="Book Antiqua" w:cs="Times"/>
          <w:b/>
        </w:rPr>
        <w:t>SD</w:t>
      </w:r>
      <w:r>
        <w:rPr>
          <w:rFonts w:ascii="Book Antiqua" w:eastAsia="宋体" w:hAnsi="Book Antiqua" w:cs="宋体" w:hint="eastAsia"/>
          <w:b/>
          <w:shd w:val="clear" w:color="auto" w:fill="FFFFFF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476"/>
        <w:gridCol w:w="1478"/>
        <w:gridCol w:w="1455"/>
        <w:gridCol w:w="1374"/>
        <w:gridCol w:w="1469"/>
        <w:gridCol w:w="1400"/>
      </w:tblGrid>
      <w:tr w:rsidR="008653E3" w14:paraId="51C2CFF5" w14:textId="77777777">
        <w:trPr>
          <w:trHeight w:val="352"/>
          <w:jc w:val="center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061B" w14:textId="02CDDCB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47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8F6A7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B2B07" w14:textId="2E98BDA8" w:rsidR="008653E3" w:rsidRDefault="004460B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Time</w:t>
            </w:r>
          </w:p>
        </w:tc>
        <w:tc>
          <w:tcPr>
            <w:tcW w:w="151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E7485" w14:textId="4D15D33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CD3+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0F60" w14:textId="16D51DF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CD4+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F8F7E" w14:textId="43AF0710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CD4+/CD8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0C8C4" w14:textId="4B13DE2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CD8+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hAnsi="Book Antiqua" w:cs="Times" w:hint="eastAsia"/>
                <w:b/>
                <w:bCs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%</w:t>
            </w:r>
            <w:r>
              <w:rPr>
                <w:rFonts w:ascii="Book Antiqua" w:hAnsi="Book Antiqua" w:cs="Times"/>
                <w:b/>
                <w:bCs/>
                <w:shd w:val="clear" w:color="auto" w:fill="FFFFFF"/>
                <w:lang w:eastAsia="zh-CN"/>
              </w:rPr>
              <w:t>)</w:t>
            </w:r>
          </w:p>
        </w:tc>
      </w:tr>
      <w:tr w:rsidR="008653E3" w14:paraId="2694CA4F" w14:textId="77777777">
        <w:trPr>
          <w:trHeight w:val="822"/>
          <w:jc w:val="center"/>
        </w:trPr>
        <w:tc>
          <w:tcPr>
            <w:tcW w:w="1714" w:type="dxa"/>
            <w:vMerge w:val="restar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0D228" w14:textId="792FA87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B0E70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5CA96" w14:textId="687FFBD3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Before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A58D" w14:textId="77074366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41.52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5.21</w:t>
            </w:r>
          </w:p>
        </w:tc>
        <w:tc>
          <w:tcPr>
            <w:tcW w:w="1433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0C984" w14:textId="37C919CB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32.07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3.31</w:t>
            </w:r>
          </w:p>
        </w:tc>
        <w:tc>
          <w:tcPr>
            <w:tcW w:w="1475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FCF1B" w14:textId="3112A940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0.51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0.15</w:t>
            </w:r>
          </w:p>
        </w:tc>
        <w:tc>
          <w:tcPr>
            <w:tcW w:w="1462" w:type="dxa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905EB" w14:textId="4F28F16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52.25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5.37</w:t>
            </w:r>
          </w:p>
        </w:tc>
      </w:tr>
      <w:tr w:rsidR="008653E3" w14:paraId="2A2F1640" w14:textId="77777777">
        <w:trPr>
          <w:trHeight w:val="956"/>
          <w:jc w:val="center"/>
        </w:trPr>
        <w:tc>
          <w:tcPr>
            <w:tcW w:w="171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5220C8C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47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6481426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14:paraId="4639E5F9" w14:textId="2531822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After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</w:p>
        </w:tc>
        <w:tc>
          <w:tcPr>
            <w:tcW w:w="1510" w:type="dxa"/>
            <w:shd w:val="clear" w:color="000000" w:fill="FFFFFF"/>
            <w:tcMar>
              <w:left w:w="108" w:type="dxa"/>
              <w:right w:w="108" w:type="dxa"/>
            </w:tcMar>
          </w:tcPr>
          <w:p w14:paraId="36385826" w14:textId="338BA11C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62.3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5.53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</w:p>
        </w:tc>
        <w:tc>
          <w:tcPr>
            <w:tcW w:w="1433" w:type="dxa"/>
            <w:shd w:val="clear" w:color="000000" w:fill="FFFFFF"/>
            <w:tcMar>
              <w:left w:w="108" w:type="dxa"/>
              <w:right w:w="108" w:type="dxa"/>
            </w:tcMar>
          </w:tcPr>
          <w:p w14:paraId="2A9A89B7" w14:textId="54D4CC03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43.4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4.99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05A1F824" w14:textId="70A14259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1.02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0.29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</w:p>
        </w:tc>
        <w:tc>
          <w:tcPr>
            <w:tcW w:w="1462" w:type="dxa"/>
            <w:shd w:val="clear" w:color="000000" w:fill="FFFFFF"/>
            <w:tcMar>
              <w:left w:w="108" w:type="dxa"/>
              <w:right w:w="108" w:type="dxa"/>
            </w:tcMar>
          </w:tcPr>
          <w:p w14:paraId="31B93B92" w14:textId="46996D7C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40.52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4.58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a,d</w:t>
            </w:r>
          </w:p>
        </w:tc>
      </w:tr>
      <w:tr w:rsidR="008653E3" w14:paraId="689606CD" w14:textId="77777777">
        <w:trPr>
          <w:trHeight w:val="789"/>
          <w:jc w:val="center"/>
        </w:trPr>
        <w:tc>
          <w:tcPr>
            <w:tcW w:w="171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6B75504B" w14:textId="7151719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47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E962C2F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14:paraId="3229BFF2" w14:textId="37C5D98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Before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</w:p>
        </w:tc>
        <w:tc>
          <w:tcPr>
            <w:tcW w:w="1510" w:type="dxa"/>
            <w:shd w:val="clear" w:color="000000" w:fill="FFFFFF"/>
            <w:tcMar>
              <w:left w:w="108" w:type="dxa"/>
              <w:right w:w="108" w:type="dxa"/>
            </w:tcMar>
          </w:tcPr>
          <w:p w14:paraId="06B57B96" w14:textId="137A19E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42.52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4.58</w:t>
            </w:r>
          </w:p>
        </w:tc>
        <w:tc>
          <w:tcPr>
            <w:tcW w:w="1433" w:type="dxa"/>
            <w:shd w:val="clear" w:color="000000" w:fill="FFFFFF"/>
            <w:tcMar>
              <w:left w:w="108" w:type="dxa"/>
              <w:right w:w="108" w:type="dxa"/>
            </w:tcMar>
          </w:tcPr>
          <w:p w14:paraId="7B52E6B5" w14:textId="0231B701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31.15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3.25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366996F4" w14:textId="6090F629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0.55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0.13</w:t>
            </w:r>
          </w:p>
        </w:tc>
        <w:tc>
          <w:tcPr>
            <w:tcW w:w="1462" w:type="dxa"/>
            <w:shd w:val="clear" w:color="000000" w:fill="FFFFFF"/>
            <w:tcMar>
              <w:left w:w="108" w:type="dxa"/>
              <w:right w:w="108" w:type="dxa"/>
            </w:tcMar>
          </w:tcPr>
          <w:p w14:paraId="0BD0E962" w14:textId="6B4F3366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52.12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6.59</w:t>
            </w:r>
          </w:p>
        </w:tc>
      </w:tr>
      <w:tr w:rsidR="008653E3" w14:paraId="6E9816D8" w14:textId="77777777">
        <w:trPr>
          <w:trHeight w:val="989"/>
          <w:jc w:val="center"/>
        </w:trPr>
        <w:tc>
          <w:tcPr>
            <w:tcW w:w="171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E8FDB22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47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FD6A06F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14:paraId="77D5B08A" w14:textId="221BD3AF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After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treatment</w:t>
            </w:r>
          </w:p>
        </w:tc>
        <w:tc>
          <w:tcPr>
            <w:tcW w:w="1510" w:type="dxa"/>
            <w:shd w:val="clear" w:color="000000" w:fill="FFFFFF"/>
            <w:tcMar>
              <w:left w:w="108" w:type="dxa"/>
              <w:right w:w="108" w:type="dxa"/>
            </w:tcMar>
          </w:tcPr>
          <w:p w14:paraId="5BE2A5C0" w14:textId="2EFDF6F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53.25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.6.62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433" w:type="dxa"/>
            <w:shd w:val="clear" w:color="000000" w:fill="FFFFFF"/>
            <w:tcMar>
              <w:left w:w="108" w:type="dxa"/>
              <w:right w:w="108" w:type="dxa"/>
            </w:tcMar>
          </w:tcPr>
          <w:p w14:paraId="20FDAE43" w14:textId="2DC81772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37.72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4.56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475" w:type="dxa"/>
            <w:shd w:val="clear" w:color="000000" w:fill="FFFFFF"/>
            <w:tcMar>
              <w:left w:w="108" w:type="dxa"/>
              <w:right w:w="108" w:type="dxa"/>
            </w:tcMar>
          </w:tcPr>
          <w:p w14:paraId="3F130F51" w14:textId="19A4E582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0.77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0.15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462" w:type="dxa"/>
            <w:shd w:val="clear" w:color="000000" w:fill="FFFFFF"/>
            <w:tcMar>
              <w:left w:w="108" w:type="dxa"/>
              <w:right w:w="108" w:type="dxa"/>
            </w:tcMar>
          </w:tcPr>
          <w:p w14:paraId="593F5B22" w14:textId="3F46A862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" w:hAnsi="Book Antiqua" w:cs="Times"/>
                <w:shd w:val="clear" w:color="auto" w:fill="FFFFFF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48.46</w:t>
            </w:r>
            <w:r w:rsidR="009C0C05">
              <w:rPr>
                <w:rFonts w:ascii="Book Antiqua" w:eastAsia="Times" w:hAnsi="Book Antiqua" w:cs="Times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±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5.58</w:t>
            </w:r>
            <w:r>
              <w:rPr>
                <w:rFonts w:ascii="Book Antiqua" w:eastAsia="Times" w:hAnsi="Book Antiqua" w:cs="Times"/>
                <w:shd w:val="clear" w:color="auto" w:fill="FFFFFF"/>
                <w:vertAlign w:val="superscript"/>
              </w:rPr>
              <w:t>a</w:t>
            </w:r>
          </w:p>
        </w:tc>
      </w:tr>
    </w:tbl>
    <w:p w14:paraId="5BB14119" w14:textId="0DC7F694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color w:val="000000" w:themeColor="text1"/>
          <w:shd w:val="clear" w:color="auto" w:fill="FFFFFF"/>
        </w:rPr>
      </w:pPr>
      <w:proofErr w:type="spellStart"/>
      <w:proofErr w:type="gramStart"/>
      <w:r>
        <w:rPr>
          <w:rFonts w:ascii="Book Antiqua" w:eastAsia="Times" w:hAnsi="Book Antiqua" w:cs="Times"/>
          <w:color w:val="000000" w:themeColor="text1"/>
          <w:shd w:val="clear" w:color="auto" w:fill="FFFFFF"/>
          <w:vertAlign w:val="superscript"/>
        </w:rPr>
        <w:t>a</w:t>
      </w:r>
      <w:r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P</w:t>
      </w:r>
      <w:proofErr w:type="spellEnd"/>
      <w:proofErr w:type="gramEnd"/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&lt;</w:t>
      </w:r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0.05</w:t>
      </w:r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vs</w:t>
      </w:r>
      <w:r w:rsidR="004460BD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before</w:t>
      </w:r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treatment</w:t>
      </w:r>
      <w:r w:rsidR="004460BD">
        <w:rPr>
          <w:rFonts w:ascii="Book Antiqua" w:eastAsia="Times" w:hAnsi="Book Antiqua" w:cs="Times"/>
          <w:color w:val="000000" w:themeColor="text1"/>
          <w:shd w:val="clear" w:color="auto" w:fill="FFFFFF"/>
        </w:rPr>
        <w:t>;</w:t>
      </w:r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Book Antiqua" w:eastAsia="宋体" w:hAnsi="Book Antiqua" w:cs="宋体"/>
          <w:color w:val="000000" w:themeColor="text1"/>
          <w:shd w:val="clear" w:color="auto" w:fill="FFFFFF"/>
          <w:vertAlign w:val="superscript"/>
          <w:lang w:eastAsia="zh-CN"/>
        </w:rPr>
        <w:t>d</w:t>
      </w:r>
      <w:r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P</w:t>
      </w:r>
      <w:proofErr w:type="spellEnd"/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&lt;</w:t>
      </w:r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0.05</w:t>
      </w:r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>vs</w:t>
      </w:r>
      <w:r w:rsidR="009C0C05">
        <w:rPr>
          <w:rFonts w:ascii="Book Antiqua" w:eastAsia="Times" w:hAnsi="Book Antiqua" w:cs="Times"/>
          <w:i/>
          <w:iCs/>
          <w:color w:val="000000" w:themeColor="text1"/>
          <w:shd w:val="clear" w:color="auto" w:fill="FFFFFF"/>
        </w:rPr>
        <w:t xml:space="preserve"> </w:t>
      </w:r>
      <w:r w:rsidR="004460BD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control</w:t>
      </w:r>
      <w:r w:rsidR="009C0C05">
        <w:rPr>
          <w:rFonts w:ascii="Book Antiqua" w:eastAsia="Times" w:hAnsi="Book Antiqua" w:cs="Times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color w:val="000000" w:themeColor="text1"/>
          <w:shd w:val="clear" w:color="auto" w:fill="FFFFFF"/>
        </w:rPr>
        <w:t>group.</w:t>
      </w:r>
    </w:p>
    <w:p w14:paraId="3A1B33D3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</w:p>
    <w:p w14:paraId="409FF407" w14:textId="7DFC8C91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7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Comparison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grades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nausea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groups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859"/>
        <w:gridCol w:w="1513"/>
        <w:gridCol w:w="1514"/>
        <w:gridCol w:w="1513"/>
        <w:gridCol w:w="1513"/>
      </w:tblGrid>
      <w:tr w:rsidR="008653E3" w14:paraId="4B5EDF1C" w14:textId="77777777">
        <w:trPr>
          <w:trHeight w:val="319"/>
        </w:trPr>
        <w:tc>
          <w:tcPr>
            <w:tcW w:w="1308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18A3B" w14:textId="5CA9983A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0E388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3233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5BA0A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</w:tr>
      <w:tr w:rsidR="008653E3" w14:paraId="0FC96106" w14:textId="77777777">
        <w:trPr>
          <w:trHeight w:val="325"/>
        </w:trPr>
        <w:tc>
          <w:tcPr>
            <w:tcW w:w="1308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207F9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459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883EC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9AB82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56B9A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DB075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80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77D94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3</w:t>
            </w:r>
          </w:p>
        </w:tc>
      </w:tr>
      <w:tr w:rsidR="008653E3" w14:paraId="61402927" w14:textId="77777777">
        <w:trPr>
          <w:trHeight w:val="340"/>
        </w:trPr>
        <w:tc>
          <w:tcPr>
            <w:tcW w:w="13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BD6E1" w14:textId="03357271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45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F5C50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8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D55C73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12</w:t>
            </w:r>
          </w:p>
        </w:tc>
        <w:tc>
          <w:tcPr>
            <w:tcW w:w="80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89D7E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15</w:t>
            </w:r>
          </w:p>
        </w:tc>
        <w:tc>
          <w:tcPr>
            <w:tcW w:w="8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CEAC08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7</w:t>
            </w:r>
          </w:p>
        </w:tc>
        <w:tc>
          <w:tcPr>
            <w:tcW w:w="80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AB720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</w:tr>
      <w:tr w:rsidR="008653E3" w14:paraId="7272C29E" w14:textId="77777777">
        <w:trPr>
          <w:trHeight w:val="319"/>
        </w:trPr>
        <w:tc>
          <w:tcPr>
            <w:tcW w:w="13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7B7E6" w14:textId="61B8783C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45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6E0A1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8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42D86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4</w:t>
            </w:r>
          </w:p>
        </w:tc>
        <w:tc>
          <w:tcPr>
            <w:tcW w:w="80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32786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7</w:t>
            </w:r>
          </w:p>
        </w:tc>
        <w:tc>
          <w:tcPr>
            <w:tcW w:w="8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02237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16</w:t>
            </w:r>
          </w:p>
        </w:tc>
        <w:tc>
          <w:tcPr>
            <w:tcW w:w="80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FD45FD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6</w:t>
            </w:r>
          </w:p>
        </w:tc>
      </w:tr>
    </w:tbl>
    <w:p w14:paraId="37A111B9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</w:p>
    <w:p w14:paraId="3931B675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43316E96" w14:textId="5AE78F11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>
        <w:rPr>
          <w:rFonts w:ascii="Book Antiqua" w:eastAsia="Times" w:hAnsi="Book Antiqua" w:cs="Times"/>
          <w:b/>
          <w:shd w:val="clear" w:color="auto" w:fill="FFFFFF"/>
        </w:rPr>
        <w:br w:type="page"/>
      </w:r>
      <w:r>
        <w:rPr>
          <w:rFonts w:ascii="Book Antiqua" w:eastAsia="Times" w:hAnsi="Book Antiqua" w:cs="Times"/>
          <w:b/>
          <w:shd w:val="clear" w:color="auto" w:fill="FFFFFF"/>
        </w:rPr>
        <w:lastRenderedPageBreak/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8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Grades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of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hand-f</w:t>
      </w:r>
      <w:r>
        <w:rPr>
          <w:rFonts w:ascii="Book Antiqua" w:eastAsia="Times" w:hAnsi="Book Antiqua" w:cs="Times"/>
          <w:b/>
          <w:shd w:val="clear" w:color="auto" w:fill="FFFFFF"/>
        </w:rPr>
        <w:t>oot</w:t>
      </w:r>
      <w:r w:rsidR="009C0C05">
        <w:rPr>
          <w:rFonts w:ascii="Book Antiqua" w:eastAsia="宋体" w:hAnsi="Book Antiqua" w:cs="宋体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skin</w:t>
      </w:r>
      <w:r w:rsidR="009C0C05">
        <w:rPr>
          <w:rFonts w:ascii="Book Antiqua" w:eastAsia="宋体" w:hAnsi="Book Antiqua" w:cs="宋体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reactions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>
        <w:rPr>
          <w:rFonts w:ascii="Book Antiqua" w:eastAsia="Times" w:hAnsi="Book Antiqua" w:cs="Times"/>
          <w:b/>
          <w:shd w:val="clear" w:color="auto" w:fill="FFFFFF"/>
        </w:rPr>
        <w:t>two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groups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1131"/>
        <w:gridCol w:w="1443"/>
        <w:gridCol w:w="1445"/>
        <w:gridCol w:w="1443"/>
        <w:gridCol w:w="1443"/>
      </w:tblGrid>
      <w:tr w:rsidR="008653E3" w14:paraId="3A7A1C17" w14:textId="77777777">
        <w:trPr>
          <w:trHeight w:val="319"/>
        </w:trPr>
        <w:tc>
          <w:tcPr>
            <w:tcW w:w="131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C404A" w14:textId="00685B44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B41E2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3084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B3D44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Grade</w:t>
            </w:r>
          </w:p>
        </w:tc>
      </w:tr>
      <w:tr w:rsidR="008653E3" w14:paraId="1E33DFE1" w14:textId="77777777">
        <w:trPr>
          <w:trHeight w:val="325"/>
        </w:trPr>
        <w:tc>
          <w:tcPr>
            <w:tcW w:w="1311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475A5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604" w:type="pct"/>
            <w:vMerge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22C3B" w14:textId="77777777" w:rsidR="008653E3" w:rsidRDefault="008653E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</w:rPr>
            </w:pP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7C5D9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0</w:t>
            </w:r>
          </w:p>
        </w:tc>
        <w:tc>
          <w:tcPr>
            <w:tcW w:w="77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DFDAF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9F2FA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7B107A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3</w:t>
            </w:r>
          </w:p>
        </w:tc>
      </w:tr>
      <w:tr w:rsidR="008653E3" w14:paraId="767CE09B" w14:textId="77777777">
        <w:trPr>
          <w:trHeight w:val="302"/>
        </w:trPr>
        <w:tc>
          <w:tcPr>
            <w:tcW w:w="131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0801F" w14:textId="1BB6CDBD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604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006BE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F8CED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10</w:t>
            </w:r>
          </w:p>
        </w:tc>
        <w:tc>
          <w:tcPr>
            <w:tcW w:w="77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E3B24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13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F7BC9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11</w:t>
            </w:r>
          </w:p>
        </w:tc>
        <w:tc>
          <w:tcPr>
            <w:tcW w:w="77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CD88F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</w:t>
            </w:r>
          </w:p>
        </w:tc>
      </w:tr>
      <w:tr w:rsidR="008653E3" w14:paraId="00A81E5C" w14:textId="77777777">
        <w:trPr>
          <w:trHeight w:val="319"/>
        </w:trPr>
        <w:tc>
          <w:tcPr>
            <w:tcW w:w="131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1817C" w14:textId="3CD6BB34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60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915088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B4D1E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  <w:tc>
          <w:tcPr>
            <w:tcW w:w="77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A5E54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8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17B9B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19</w:t>
            </w:r>
          </w:p>
        </w:tc>
        <w:tc>
          <w:tcPr>
            <w:tcW w:w="77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4FC0E7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</w:t>
            </w:r>
          </w:p>
        </w:tc>
      </w:tr>
    </w:tbl>
    <w:p w14:paraId="4CA16AFD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shd w:val="clear" w:color="auto" w:fill="FFFFFF"/>
        </w:rPr>
      </w:pPr>
    </w:p>
    <w:p w14:paraId="67925542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</w:rPr>
      </w:pPr>
    </w:p>
    <w:p w14:paraId="73DDB91D" w14:textId="0D3B39F1" w:rsidR="008653E3" w:rsidRDefault="00134363">
      <w:pPr>
        <w:adjustRightInd w:val="0"/>
        <w:snapToGrid w:val="0"/>
        <w:spacing w:line="360" w:lineRule="auto"/>
        <w:jc w:val="both"/>
        <w:rPr>
          <w:rFonts w:ascii="Book Antiqua" w:eastAsia="Times" w:hAnsi="Book Antiqua" w:cs="Times"/>
          <w:b/>
          <w:shd w:val="clear" w:color="auto" w:fill="FFFFFF"/>
        </w:rPr>
      </w:pPr>
      <w:r>
        <w:rPr>
          <w:rFonts w:ascii="Book Antiqua" w:eastAsia="Times" w:hAnsi="Book Antiqua" w:cs="Times"/>
          <w:b/>
          <w:shd w:val="clear" w:color="auto" w:fill="FFFFFF"/>
        </w:rPr>
        <w:t>Table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9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Adverse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effects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between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the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 w:rsidR="004460BD">
        <w:rPr>
          <w:rFonts w:ascii="Book Antiqua" w:eastAsia="Times" w:hAnsi="Book Antiqua" w:cs="Times"/>
          <w:b/>
          <w:shd w:val="clear" w:color="auto" w:fill="FFFFFF"/>
        </w:rPr>
        <w:t xml:space="preserve">two </w:t>
      </w:r>
      <w:r>
        <w:rPr>
          <w:rFonts w:ascii="Book Antiqua" w:eastAsia="Times" w:hAnsi="Book Antiqua" w:cs="Times"/>
          <w:b/>
          <w:shd w:val="clear" w:color="auto" w:fill="FFFFFF"/>
        </w:rPr>
        <w:t>groups,</w:t>
      </w:r>
      <w:r w:rsidR="009C0C05">
        <w:rPr>
          <w:rFonts w:ascii="Book Antiqua" w:eastAsia="Times" w:hAnsi="Book Antiqua" w:cs="Times"/>
          <w:b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i/>
          <w:iCs/>
          <w:shd w:val="clear" w:color="auto" w:fill="FFFFFF"/>
        </w:rPr>
        <w:t>n</w:t>
      </w:r>
      <w:r w:rsidR="009C0C05">
        <w:rPr>
          <w:rFonts w:ascii="Book Antiqua" w:eastAsia="Times" w:hAnsi="Book Antiqua" w:cs="Times"/>
          <w:b/>
          <w:i/>
          <w:iCs/>
          <w:shd w:val="clear" w:color="auto" w:fill="FFFFFF"/>
        </w:rPr>
        <w:t xml:space="preserve"> </w:t>
      </w:r>
      <w:r>
        <w:rPr>
          <w:rFonts w:ascii="Book Antiqua" w:eastAsia="Times" w:hAnsi="Book Antiqua" w:cs="Times"/>
          <w:b/>
          <w:shd w:val="clear" w:color="auto" w:fill="FFFFFF"/>
        </w:rPr>
        <w:t>(%)</w:t>
      </w: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424"/>
        <w:gridCol w:w="1986"/>
        <w:gridCol w:w="1362"/>
        <w:gridCol w:w="1362"/>
        <w:gridCol w:w="1385"/>
        <w:gridCol w:w="1385"/>
      </w:tblGrid>
      <w:tr w:rsidR="008653E3" w14:paraId="35D52143" w14:textId="77777777">
        <w:trPr>
          <w:trHeight w:val="471"/>
          <w:jc w:val="center"/>
        </w:trPr>
        <w:tc>
          <w:tcPr>
            <w:tcW w:w="798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37C35" w14:textId="342A78B1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Group</w:t>
            </w:r>
          </w:p>
        </w:tc>
        <w:tc>
          <w:tcPr>
            <w:tcW w:w="221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0BBAC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eastAsia="Times" w:hAnsi="Book Antiqua" w:cs="Times"/>
                <w:b/>
                <w:bCs/>
                <w:i/>
                <w:iCs/>
                <w:shd w:val="clear" w:color="auto" w:fill="FFFFFF"/>
              </w:rPr>
              <w:t>n</w:t>
            </w:r>
          </w:p>
        </w:tc>
        <w:tc>
          <w:tcPr>
            <w:tcW w:w="1059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C74B9" w14:textId="12FEB222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Myelosuppression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6C2BC" w14:textId="57AA465B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Liver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dysfunction</w:t>
            </w:r>
          </w:p>
        </w:tc>
        <w:tc>
          <w:tcPr>
            <w:tcW w:w="722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984EF" w14:textId="29FF23EA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Renal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dysfunction</w:t>
            </w:r>
          </w:p>
        </w:tc>
        <w:tc>
          <w:tcPr>
            <w:tcW w:w="740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D881C" w14:textId="07A3BFBD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Coagulation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disorder</w:t>
            </w:r>
          </w:p>
        </w:tc>
        <w:tc>
          <w:tcPr>
            <w:tcW w:w="737" w:type="pct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B785B" w14:textId="72DEC77D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ECG</w:t>
            </w:r>
            <w:r w:rsidR="009C0C05"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Book Antiqua" w:eastAsia="Times" w:hAnsi="Book Antiqua" w:cs="Times"/>
                <w:b/>
                <w:bCs/>
                <w:shd w:val="clear" w:color="auto" w:fill="FFFFFF"/>
              </w:rPr>
              <w:t>abnormality</w:t>
            </w:r>
          </w:p>
        </w:tc>
      </w:tr>
      <w:tr w:rsidR="008653E3" w14:paraId="648AD574" w14:textId="77777777">
        <w:trPr>
          <w:trHeight w:val="364"/>
          <w:jc w:val="center"/>
        </w:trPr>
        <w:tc>
          <w:tcPr>
            <w:tcW w:w="798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9D7E3" w14:textId="256E52D5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Experimental</w:t>
            </w:r>
          </w:p>
        </w:tc>
        <w:tc>
          <w:tcPr>
            <w:tcW w:w="221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8C036C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35</w:t>
            </w:r>
          </w:p>
        </w:tc>
        <w:tc>
          <w:tcPr>
            <w:tcW w:w="1059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C058C" w14:textId="0D29D166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8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22.8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1DB85B" w14:textId="41E6C048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7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20.0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6557F" w14:textId="502FB091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1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2.8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40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ACC32" w14:textId="118E1EB3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8.5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852BC" w14:textId="6E129769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8.5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</w:tr>
      <w:tr w:rsidR="008653E3" w14:paraId="23E3EE29" w14:textId="77777777">
        <w:trPr>
          <w:trHeight w:val="417"/>
          <w:jc w:val="center"/>
        </w:trPr>
        <w:tc>
          <w:tcPr>
            <w:tcW w:w="79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BB734" w14:textId="2382CBBC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Control</w:t>
            </w:r>
          </w:p>
        </w:tc>
        <w:tc>
          <w:tcPr>
            <w:tcW w:w="22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02D97" w14:textId="7777777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33</w:t>
            </w:r>
          </w:p>
        </w:tc>
        <w:tc>
          <w:tcPr>
            <w:tcW w:w="105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1E2AE" w14:textId="3A4A0847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6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18.1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20B79" w14:textId="4FC5D1BE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5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15.1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2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EE7C3" w14:textId="3A4258B4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6.0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40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6E16A1" w14:textId="43FC9BF3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3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9.1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  <w:tc>
          <w:tcPr>
            <w:tcW w:w="7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6702D1" w14:textId="5032BED0" w:rsidR="008653E3" w:rsidRDefault="0013436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Times" w:hAnsi="Book Antiqua" w:cs="Times"/>
                <w:shd w:val="clear" w:color="auto" w:fill="FFFFFF"/>
              </w:rPr>
              <w:t>2</w:t>
            </w:r>
            <w:r w:rsidR="009C0C05">
              <w:rPr>
                <w:rFonts w:ascii="Book Antiqua" w:eastAsia="宋体" w:hAnsi="Book Antiqua" w:cs="宋体"/>
                <w:shd w:val="clear" w:color="auto" w:fill="FFFFFF"/>
              </w:rPr>
              <w:t xml:space="preserve"> 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(</w:t>
            </w:r>
            <w:r>
              <w:rPr>
                <w:rFonts w:ascii="Book Antiqua" w:eastAsia="Times" w:hAnsi="Book Antiqua" w:cs="Times"/>
                <w:shd w:val="clear" w:color="auto" w:fill="FFFFFF"/>
              </w:rPr>
              <w:t>6.1</w:t>
            </w:r>
            <w:r>
              <w:rPr>
                <w:rFonts w:ascii="Book Antiqua" w:eastAsia="宋体" w:hAnsi="Book Antiqua" w:cs="宋体"/>
                <w:shd w:val="clear" w:color="auto" w:fill="FFFFFF"/>
              </w:rPr>
              <w:t>)</w:t>
            </w:r>
          </w:p>
        </w:tc>
      </w:tr>
    </w:tbl>
    <w:p w14:paraId="7A345376" w14:textId="32FAFFD5" w:rsidR="008653E3" w:rsidRDefault="0013436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Times" w:hAnsi="Book Antiqua" w:cs="Times"/>
          <w:shd w:val="clear" w:color="auto" w:fill="FFFFFF"/>
        </w:rPr>
        <w:t>ECG:</w:t>
      </w:r>
      <w:r w:rsidR="009C0C05">
        <w:rPr>
          <w:rFonts w:ascii="Book Antiqua" w:eastAsia="Times" w:hAnsi="Book Antiqua" w:cs="Times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Electrocardiogram.</w:t>
      </w:r>
    </w:p>
    <w:p w14:paraId="4472DB64" w14:textId="77777777" w:rsidR="008653E3" w:rsidRDefault="008653E3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86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13AAD" w14:textId="77777777" w:rsidR="00ED0390" w:rsidRDefault="00ED0390">
      <w:r>
        <w:separator/>
      </w:r>
    </w:p>
  </w:endnote>
  <w:endnote w:type="continuationSeparator" w:id="0">
    <w:p w14:paraId="0F1A40F3" w14:textId="77777777" w:rsidR="00ED0390" w:rsidRDefault="00ED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048306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14:paraId="27C70A56" w14:textId="77777777" w:rsidR="002B14C3" w:rsidRDefault="002B14C3">
            <w:pPr>
              <w:pStyle w:val="a3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3D1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3D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E45FAF" w14:textId="77777777" w:rsidR="002B14C3" w:rsidRDefault="002B14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0E6CF" w14:textId="77777777" w:rsidR="00ED0390" w:rsidRDefault="00ED0390">
      <w:r>
        <w:separator/>
      </w:r>
    </w:p>
  </w:footnote>
  <w:footnote w:type="continuationSeparator" w:id="0">
    <w:p w14:paraId="7A6DCE6C" w14:textId="77777777" w:rsidR="00ED0390" w:rsidRDefault="00ED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7E5D"/>
    <w:rsid w:val="00067140"/>
    <w:rsid w:val="00093EA6"/>
    <w:rsid w:val="000D28C3"/>
    <w:rsid w:val="000E4881"/>
    <w:rsid w:val="000E7BB3"/>
    <w:rsid w:val="000F5C8F"/>
    <w:rsid w:val="001222C1"/>
    <w:rsid w:val="00134363"/>
    <w:rsid w:val="00164057"/>
    <w:rsid w:val="001E03D1"/>
    <w:rsid w:val="0022078A"/>
    <w:rsid w:val="0022607F"/>
    <w:rsid w:val="0026257F"/>
    <w:rsid w:val="002656D1"/>
    <w:rsid w:val="002B14C3"/>
    <w:rsid w:val="002C05FF"/>
    <w:rsid w:val="002C3552"/>
    <w:rsid w:val="002D09AB"/>
    <w:rsid w:val="002D1F03"/>
    <w:rsid w:val="002D3FA9"/>
    <w:rsid w:val="002E1C1C"/>
    <w:rsid w:val="00335A36"/>
    <w:rsid w:val="003412FF"/>
    <w:rsid w:val="0036368C"/>
    <w:rsid w:val="00397971"/>
    <w:rsid w:val="003C233B"/>
    <w:rsid w:val="00401CDF"/>
    <w:rsid w:val="00426232"/>
    <w:rsid w:val="00427BE0"/>
    <w:rsid w:val="00445002"/>
    <w:rsid w:val="004460BD"/>
    <w:rsid w:val="00451B84"/>
    <w:rsid w:val="004617CE"/>
    <w:rsid w:val="00485512"/>
    <w:rsid w:val="00546409"/>
    <w:rsid w:val="005564DD"/>
    <w:rsid w:val="00591B05"/>
    <w:rsid w:val="005955F0"/>
    <w:rsid w:val="006039FB"/>
    <w:rsid w:val="00630D15"/>
    <w:rsid w:val="006B2966"/>
    <w:rsid w:val="006D6CA5"/>
    <w:rsid w:val="00707920"/>
    <w:rsid w:val="0075284F"/>
    <w:rsid w:val="00771AEE"/>
    <w:rsid w:val="007A4A2F"/>
    <w:rsid w:val="007D7A66"/>
    <w:rsid w:val="007F654B"/>
    <w:rsid w:val="0081461C"/>
    <w:rsid w:val="008653E3"/>
    <w:rsid w:val="008743D1"/>
    <w:rsid w:val="0089304F"/>
    <w:rsid w:val="00904300"/>
    <w:rsid w:val="00927389"/>
    <w:rsid w:val="0095222B"/>
    <w:rsid w:val="009528E0"/>
    <w:rsid w:val="0096029F"/>
    <w:rsid w:val="00964855"/>
    <w:rsid w:val="0097030C"/>
    <w:rsid w:val="009A62E7"/>
    <w:rsid w:val="009B02DF"/>
    <w:rsid w:val="009C0C05"/>
    <w:rsid w:val="009D5B62"/>
    <w:rsid w:val="009E3077"/>
    <w:rsid w:val="009F3307"/>
    <w:rsid w:val="009F75E9"/>
    <w:rsid w:val="00A07C2D"/>
    <w:rsid w:val="00A342E6"/>
    <w:rsid w:val="00A47EEC"/>
    <w:rsid w:val="00A5527B"/>
    <w:rsid w:val="00A77B3E"/>
    <w:rsid w:val="00A83C73"/>
    <w:rsid w:val="00A95DDA"/>
    <w:rsid w:val="00AE6B2F"/>
    <w:rsid w:val="00AF0266"/>
    <w:rsid w:val="00B039A0"/>
    <w:rsid w:val="00B2158F"/>
    <w:rsid w:val="00B90885"/>
    <w:rsid w:val="00BA012B"/>
    <w:rsid w:val="00BA3F36"/>
    <w:rsid w:val="00BA715F"/>
    <w:rsid w:val="00BC25D9"/>
    <w:rsid w:val="00BD0010"/>
    <w:rsid w:val="00C0033F"/>
    <w:rsid w:val="00C666B3"/>
    <w:rsid w:val="00CA2A55"/>
    <w:rsid w:val="00CF7A21"/>
    <w:rsid w:val="00D01118"/>
    <w:rsid w:val="00D247E2"/>
    <w:rsid w:val="00D30233"/>
    <w:rsid w:val="00D458BC"/>
    <w:rsid w:val="00D7141B"/>
    <w:rsid w:val="00DA41A4"/>
    <w:rsid w:val="00DE5304"/>
    <w:rsid w:val="00E76937"/>
    <w:rsid w:val="00EA1BEB"/>
    <w:rsid w:val="00ED0390"/>
    <w:rsid w:val="00EE75E0"/>
    <w:rsid w:val="00F630F8"/>
    <w:rsid w:val="00F65E5E"/>
    <w:rsid w:val="00F71A92"/>
    <w:rsid w:val="00F77AF6"/>
    <w:rsid w:val="00FA0901"/>
    <w:rsid w:val="00FC127F"/>
    <w:rsid w:val="00FF60B9"/>
    <w:rsid w:val="1ED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E1CCB"/>
  <w15:docId w15:val="{CDB036FF-831C-4AAA-8CCE-5075364B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rsid w:val="00F77AF6"/>
    <w:rPr>
      <w:sz w:val="18"/>
      <w:szCs w:val="18"/>
    </w:rPr>
  </w:style>
  <w:style w:type="character" w:customStyle="1" w:styleId="Char1">
    <w:name w:val="批注框文本 Char"/>
    <w:basedOn w:val="a0"/>
    <w:link w:val="a5"/>
    <w:rsid w:val="00F77AF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89FB71-1172-4BED-BBD4-278EBB76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4990</Words>
  <Characters>28447</Characters>
  <Application>Microsoft Office Word</Application>
  <DocSecurity>0</DocSecurity>
  <Lines>237</Lines>
  <Paragraphs>66</Paragraphs>
  <ScaleCrop>false</ScaleCrop>
  <Company/>
  <LinksUpToDate>false</LinksUpToDate>
  <CharactersWithSpaces>33371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lizheng</dc:creator>
  <cp:lastModifiedBy>ibm</cp:lastModifiedBy>
  <cp:revision>3</cp:revision>
  <dcterms:created xsi:type="dcterms:W3CDTF">2021-09-11T02:23:00Z</dcterms:created>
  <dcterms:modified xsi:type="dcterms:W3CDTF">2021-09-11T02:28:00Z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