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68886</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Crouzon syndrome in a fraternal twin: A case report and review of the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Li X</w:t>
      </w:r>
      <w:r>
        <w:rPr>
          <w:rFonts w:ascii="Book Antiqua" w:hAnsi="Book Antiqua" w:cs="Book Antiqua"/>
          <w:color w:val="000000"/>
          <w:lang w:eastAsia="zh-CN"/>
        </w:rPr>
        <w:t>J</w:t>
      </w:r>
      <w:r>
        <w:rPr>
          <w:rFonts w:ascii="Book Antiqua" w:hAnsi="Book Antiqua" w:eastAsia="Book Antiqua" w:cs="Book Antiqua"/>
          <w:color w:val="000000"/>
        </w:rPr>
        <w:t xml:space="preserve"> </w:t>
      </w:r>
      <w:r>
        <w:rPr>
          <w:rFonts w:ascii="Book Antiqua" w:hAnsi="Book Antiqua" w:eastAsia="Book Antiqua" w:cs="Book Antiqua"/>
          <w:i/>
          <w:iCs/>
          <w:color w:val="000000"/>
        </w:rPr>
        <w:t xml:space="preserve">et al. </w:t>
      </w:r>
      <w:r>
        <w:rPr>
          <w:rFonts w:ascii="Book Antiqua" w:hAnsi="Book Antiqua" w:cs="Book Antiqua"/>
          <w:color w:val="000000"/>
          <w:lang w:eastAsia="zh-CN"/>
        </w:rPr>
        <w:t>CS</w:t>
      </w:r>
      <w:r>
        <w:rPr>
          <w:rFonts w:ascii="Book Antiqua" w:hAnsi="Book Antiqua" w:eastAsia="Book Antiqua" w:cs="Book Antiqua"/>
          <w:color w:val="000000"/>
        </w:rPr>
        <w:t xml:space="preserve"> of a fraternal twin</w:t>
      </w:r>
    </w:p>
    <w:p>
      <w:pPr>
        <w:spacing w:line="360" w:lineRule="auto"/>
        <w:jc w:val="both"/>
        <w:rPr>
          <w:rFonts w:ascii="Book Antiqua" w:hAnsi="Book Antiqua"/>
        </w:rPr>
      </w:pPr>
    </w:p>
    <w:p>
      <w:pPr>
        <w:spacing w:line="360" w:lineRule="auto"/>
        <w:jc w:val="both"/>
        <w:rPr>
          <w:rFonts w:ascii="Book Antiqua" w:hAnsi="Book Antiqua"/>
          <w:color w:val="000000"/>
          <w:lang w:eastAsia="zh-CN"/>
        </w:rPr>
      </w:pPr>
      <w:r>
        <w:rPr>
          <w:rFonts w:ascii="Book Antiqua" w:hAnsi="Book Antiqua"/>
          <w:color w:val="000000"/>
        </w:rPr>
        <w:t>Xiao-Jing Li, Ji-Mei Su, Xiao-Wei Ye</w:t>
      </w:r>
    </w:p>
    <w:p>
      <w:pPr>
        <w:spacing w:line="360" w:lineRule="auto"/>
        <w:jc w:val="both"/>
        <w:rPr>
          <w:rFonts w:ascii="Book Antiqua" w:hAnsi="Book Antiqua"/>
          <w:lang w:eastAsia="zh-CN"/>
        </w:rPr>
      </w:pPr>
    </w:p>
    <w:p>
      <w:pPr>
        <w:spacing w:line="360" w:lineRule="auto"/>
        <w:jc w:val="both"/>
        <w:rPr>
          <w:rFonts w:ascii="Book Antiqua" w:hAnsi="Book Antiqua"/>
          <w:color w:val="3C3C3C"/>
          <w:lang w:eastAsia="zh-CN"/>
        </w:rPr>
      </w:pPr>
      <w:r>
        <w:rPr>
          <w:rFonts w:ascii="Book Antiqua" w:hAnsi="Book Antiqua"/>
          <w:b/>
          <w:bCs/>
          <w:color w:val="3C3C3C"/>
        </w:rPr>
        <w:t xml:space="preserve">Xiao-Jing Li, Ji-Mei Su, Xiao-Wei Ye, </w:t>
      </w:r>
      <w:r>
        <w:rPr>
          <w:rFonts w:ascii="Book Antiqua" w:hAnsi="Book Antiqua"/>
          <w:color w:val="3C3C3C"/>
        </w:rPr>
        <w:t>Department of Stomatology, The Children’s Hospital, Zhejiang University School of Medicine, National Clinical Research Center for Child Health, Hangzhou 31005</w:t>
      </w:r>
      <w:r>
        <w:rPr>
          <w:rFonts w:ascii="Book Antiqua" w:hAnsi="Book Antiqua"/>
          <w:color w:val="3C3C3C"/>
          <w:lang w:eastAsia="zh-CN"/>
        </w:rPr>
        <w:t>2</w:t>
      </w:r>
      <w:r>
        <w:rPr>
          <w:rFonts w:ascii="Book Antiqua" w:hAnsi="Book Antiqua"/>
          <w:color w:val="3C3C3C"/>
        </w:rPr>
        <w:t>, Zhejiang Province, China</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Li XJ and Su JM performed the initial review and data collection, reviewed the literature and contributed to the manuscript drafting and </w:t>
      </w:r>
      <w:r>
        <w:rPr>
          <w:rFonts w:ascii="Book Antiqua" w:hAnsi="Book Antiqua" w:cs="Book Antiqua"/>
          <w:color w:val="000000"/>
          <w:lang w:eastAsia="zh-CN"/>
        </w:rPr>
        <w:t>revision</w:t>
      </w:r>
      <w:r>
        <w:rPr>
          <w:rFonts w:ascii="Book Antiqua" w:hAnsi="Book Antiqua" w:eastAsia="Book Antiqua" w:cs="Book Antiqua"/>
          <w:color w:val="000000"/>
        </w:rPr>
        <w:t>; Ye XW analyzed and interpreted the imaging findings; all authors issued final approval for the version to be submitted.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Jimei Su, MD, Chief Doctor, </w:t>
      </w:r>
      <w:r>
        <w:rPr>
          <w:rFonts w:ascii="Book Antiqua" w:hAnsi="Book Antiqua"/>
          <w:color w:val="3C3C3C"/>
        </w:rPr>
        <w:t>Department of Stomatology, The Children’s Hospital, Zhejiang University School of Medicine, National Clinical Research Center for Child Health, No. 3333 Binsheng Road , Hangzhou 31005</w:t>
      </w:r>
      <w:r>
        <w:rPr>
          <w:rFonts w:ascii="Book Antiqua" w:hAnsi="Book Antiqua"/>
          <w:color w:val="3C3C3C"/>
          <w:lang w:eastAsia="zh-CN"/>
        </w:rPr>
        <w:t>2</w:t>
      </w:r>
      <w:r>
        <w:rPr>
          <w:rFonts w:ascii="Book Antiqua" w:hAnsi="Book Antiqua"/>
          <w:color w:val="3C3C3C"/>
        </w:rPr>
        <w:t>, Zhejiang Province, China. 6198003@zju.edu.cn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December 13,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color w:val="000000"/>
        </w:rPr>
        <w:t>January 21, 2022</w:t>
      </w:r>
    </w:p>
    <w:p>
      <w:pPr>
        <w:spacing w:line="360" w:lineRule="auto"/>
        <w:jc w:val="both"/>
        <w:rPr>
          <w:rFonts w:ascii="Book Antiqua" w:hAnsi="Book Antiqua"/>
          <w:b w:val="0"/>
          <w:bCs w:val="0"/>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April 2,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i w:val="0"/>
          <w:iCs w:val="0"/>
          <w:caps w:val="0"/>
          <w:color w:val="000000"/>
          <w:spacing w:val="0"/>
          <w:sz w:val="24"/>
          <w:szCs w:val="24"/>
          <w:shd w:val="clear" w:fill="FFFFFF"/>
        </w:rPr>
        <w:t>June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Crouzon syndrome (CS; OMIM 123500) is an autosomal dominant inherited craniofacial disorder caused by mutations in the </w:t>
      </w:r>
      <w:r>
        <w:rPr>
          <w:rFonts w:ascii="Book Antiqua" w:hAnsi="Book Antiqua"/>
          <w:i/>
          <w:color w:val="000000"/>
        </w:rPr>
        <w:t>fibroblast</w:t>
      </w:r>
      <w:r>
        <w:rPr>
          <w:rFonts w:ascii="Book Antiqua" w:hAnsi="Book Antiqua" w:eastAsia="Book Antiqua" w:cs="Book Antiqua"/>
          <w:i/>
          <w:iCs/>
          <w:color w:val="000000"/>
        </w:rPr>
        <w:t xml:space="preserve"> </w:t>
      </w:r>
      <w:r>
        <w:rPr>
          <w:rFonts w:ascii="Book Antiqua" w:hAnsi="Book Antiqua"/>
          <w:i/>
          <w:color w:val="000000"/>
        </w:rPr>
        <w:t>growth</w:t>
      </w:r>
      <w:r>
        <w:rPr>
          <w:rFonts w:ascii="Book Antiqua" w:hAnsi="Book Antiqua" w:eastAsia="Book Antiqua" w:cs="Book Antiqua"/>
          <w:i/>
          <w:iCs/>
          <w:color w:val="000000"/>
        </w:rPr>
        <w:t xml:space="preserve"> </w:t>
      </w:r>
      <w:r>
        <w:rPr>
          <w:rFonts w:ascii="Book Antiqua" w:hAnsi="Book Antiqua"/>
          <w:i/>
          <w:color w:val="000000"/>
        </w:rPr>
        <w:t>factor</w:t>
      </w:r>
      <w:r>
        <w:rPr>
          <w:rFonts w:ascii="Book Antiqua" w:hAnsi="Book Antiqua" w:eastAsia="Book Antiqua" w:cs="Book Antiqua"/>
          <w:i/>
          <w:iCs/>
          <w:color w:val="000000"/>
        </w:rPr>
        <w:t xml:space="preserve"> </w:t>
      </w:r>
      <w:r>
        <w:rPr>
          <w:rFonts w:ascii="Book Antiqua" w:hAnsi="Book Antiqua"/>
          <w:i/>
          <w:color w:val="000000"/>
        </w:rPr>
        <w:t xml:space="preserve">receptor 2 </w:t>
      </w:r>
      <w:r>
        <w:rPr>
          <w:rFonts w:ascii="Book Antiqua" w:hAnsi="Book Antiqua"/>
          <w:color w:val="000000"/>
          <w:lang w:eastAsia="zh-CN"/>
        </w:rPr>
        <w:t>(</w:t>
      </w:r>
      <w:r>
        <w:rPr>
          <w:rFonts w:ascii="Book Antiqua" w:hAnsi="Book Antiqua"/>
          <w:i/>
          <w:color w:val="000000"/>
          <w:lang w:eastAsia="zh-CN"/>
        </w:rPr>
        <w:t>FGFR2</w:t>
      </w:r>
      <w:r>
        <w:rPr>
          <w:rFonts w:ascii="Book Antiqua" w:hAnsi="Book Antiqua"/>
          <w:color w:val="000000"/>
          <w:lang w:eastAsia="zh-CN"/>
        </w:rPr>
        <w:t xml:space="preserve">) </w:t>
      </w:r>
      <w:r>
        <w:rPr>
          <w:rFonts w:ascii="Book Antiqua" w:hAnsi="Book Antiqua" w:eastAsia="Book Antiqua" w:cs="Book Antiqua"/>
          <w:color w:val="000000"/>
        </w:rPr>
        <w:t>gene. C</w:t>
      </w:r>
      <w:r>
        <w:rPr>
          <w:rFonts w:ascii="Book Antiqua" w:hAnsi="Book Antiqua" w:cs="Book Antiqua"/>
          <w:color w:val="000000"/>
          <w:lang w:eastAsia="zh-CN"/>
        </w:rPr>
        <w:t>S</w:t>
      </w:r>
      <w:r>
        <w:rPr>
          <w:rFonts w:ascii="Book Antiqua" w:hAnsi="Book Antiqua" w:eastAsia="Book Antiqua" w:cs="Book Antiqua"/>
          <w:color w:val="000000"/>
        </w:rPr>
        <w:t xml:space="preserve"> is characterized by craniofacial dysostosis, exophthalmos, and facial anomalies with hypoplastic maxilla and relative mandibular prognathism.</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 xml:space="preserve">Our report involves a 6-year-old fraternal twin boy with many caries in the oral cavity who presented with characteristic features of </w:t>
      </w:r>
      <w:r>
        <w:rPr>
          <w:rFonts w:ascii="Book Antiqua" w:hAnsi="Book Antiqua" w:cs="Book Antiqua"/>
          <w:color w:val="000000"/>
          <w:lang w:eastAsia="zh-CN"/>
        </w:rPr>
        <w:t>CS</w:t>
      </w:r>
      <w:r>
        <w:rPr>
          <w:rFonts w:ascii="Book Antiqua" w:hAnsi="Book Antiqua" w:eastAsia="Book Antiqua" w:cs="Book Antiqua"/>
          <w:color w:val="000000"/>
        </w:rPr>
        <w:t xml:space="preserve"> based on clinical and radiographic examinations along with Sanger sequencing. The fraternal girl did not show any abnormalities indicating </w:t>
      </w:r>
      <w:r>
        <w:rPr>
          <w:rFonts w:ascii="Book Antiqua" w:hAnsi="Book Antiqua" w:cs="Book Antiqua"/>
          <w:color w:val="000000"/>
          <w:lang w:eastAsia="zh-CN"/>
        </w:rPr>
        <w:t>CS</w:t>
      </w:r>
      <w:r>
        <w:rPr>
          <w:rFonts w:ascii="Book Antiqua" w:hAnsi="Book Antiqua" w:eastAsia="Book Antiqua" w:cs="Book Antiqua"/>
          <w:color w:val="000000"/>
        </w:rPr>
        <w:t>. Carious teeth and poor oral hygiene were managed promptly through administering appropriate behavior guidance, orthodontic treatment was planned, and preventive procedures were described.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cs="Book Antiqua"/>
          <w:color w:val="000000"/>
          <w:lang w:eastAsia="zh-CN"/>
        </w:rPr>
        <w:t>CS</w:t>
      </w:r>
      <w:r>
        <w:rPr>
          <w:rFonts w:ascii="Book Antiqua" w:hAnsi="Book Antiqua" w:eastAsia="Book Antiqua" w:cs="Book Antiqua"/>
          <w:color w:val="000000"/>
        </w:rPr>
        <w:t xml:space="preserve"> could occur in a fraternal twin caused by a de novo mutation of the </w:t>
      </w:r>
      <w:r>
        <w:rPr>
          <w:rFonts w:ascii="Book Antiqua" w:hAnsi="Book Antiqua" w:eastAsia="Book Antiqua" w:cs="Book Antiqua"/>
          <w:i/>
          <w:iCs/>
          <w:color w:val="000000"/>
          <w:shd w:val="clear" w:color="auto" w:fill="FFFFFF"/>
        </w:rPr>
        <w:t xml:space="preserve">FGFR2 </w:t>
      </w:r>
      <w:r>
        <w:rPr>
          <w:rFonts w:ascii="Book Antiqua" w:hAnsi="Book Antiqua" w:eastAsia="Book Antiqua" w:cs="Book Antiqua"/>
          <w:color w:val="000000"/>
          <w:shd w:val="clear" w:color="auto" w:fill="FFFFFF"/>
        </w:rPr>
        <w:t>gene</w:t>
      </w:r>
      <w:r>
        <w:rPr>
          <w:rFonts w:ascii="Book Antiqua" w:hAnsi="Book Antiqua" w:eastAsia="Book Antiqua" w:cs="Book Antiqua"/>
          <w:color w:val="000000"/>
        </w:rPr>
        <w:t xml:space="preserve">. </w:t>
      </w:r>
      <w:r>
        <w:rPr>
          <w:rFonts w:ascii="Book Antiqua" w:hAnsi="Book Antiqua" w:cs="Book Antiqua"/>
          <w:color w:val="000000"/>
          <w:lang w:eastAsia="zh-CN"/>
        </w:rPr>
        <w:t>O</w:t>
      </w:r>
      <w:r>
        <w:rPr>
          <w:rFonts w:ascii="Book Antiqua" w:hAnsi="Book Antiqua" w:eastAsia="Book Antiqua" w:cs="Book Antiqua"/>
          <w:color w:val="000000"/>
        </w:rPr>
        <w:t>ral hygiene instruction</w:t>
      </w:r>
      <w:r>
        <w:rPr>
          <w:rFonts w:ascii="Book Antiqua" w:hAnsi="Book Antiqua" w:cs="Book Antiqua"/>
          <w:color w:val="000000"/>
          <w:lang w:eastAsia="zh-CN"/>
        </w:rPr>
        <w:t>,</w:t>
      </w:r>
      <w:r>
        <w:rPr>
          <w:rFonts w:ascii="Book Antiqua" w:hAnsi="Book Antiqua" w:eastAsia="Book Antiqua" w:cs="Book Antiqua"/>
          <w:color w:val="000000"/>
        </w:rPr>
        <w:t xml:space="preserve"> preventive programs on oral hygiene</w:t>
      </w:r>
      <w:r>
        <w:rPr>
          <w:rFonts w:ascii="Book Antiqua" w:hAnsi="Book Antiqua" w:cs="Book Antiqua"/>
          <w:color w:val="000000"/>
          <w:lang w:eastAsia="zh-CN"/>
        </w:rPr>
        <w:t>, orthodontic treatment, and</w:t>
      </w:r>
      <w:r>
        <w:rPr>
          <w:rFonts w:ascii="Book Antiqua" w:hAnsi="Book Antiqua" w:eastAsia="Book Antiqua" w:cs="Book Antiqua"/>
          <w:color w:val="000000"/>
        </w:rPr>
        <w:t xml:space="preserve"> </w:t>
      </w:r>
      <w:r>
        <w:rPr>
          <w:rFonts w:ascii="Book Antiqua" w:hAnsi="Book Antiqua" w:cs="Book Antiqua"/>
          <w:color w:val="000000"/>
          <w:lang w:eastAsia="zh-CN"/>
        </w:rPr>
        <w:t>maxillary osteotomy were</w:t>
      </w:r>
      <w:r>
        <w:rPr>
          <w:rFonts w:ascii="Book Antiqua" w:hAnsi="Book Antiqua" w:eastAsia="Book Antiqua" w:cs="Book Antiqua"/>
          <w:color w:val="000000"/>
        </w:rPr>
        <w:t xml:space="preserve"> required for treatment.</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Crouzon syndrome; Craniosynostosis; </w:t>
      </w:r>
      <w:r>
        <w:rPr>
          <w:rFonts w:ascii="Book Antiqua" w:hAnsi="Book Antiqua"/>
          <w:i/>
          <w:color w:val="000000"/>
        </w:rPr>
        <w:t>Fibroblast growth factor receptor 2</w:t>
      </w:r>
      <w:r>
        <w:rPr>
          <w:rFonts w:ascii="Book Antiqua" w:hAnsi="Book Antiqua" w:eastAsia="Book Antiqua" w:cs="Book Antiqua"/>
          <w:color w:val="000000"/>
        </w:rPr>
        <w:t>; Mutation; Fraternal twin</w:t>
      </w:r>
      <w:r>
        <w:rPr>
          <w:rFonts w:ascii="Book Antiqua" w:hAnsi="Book Antiqua" w:cs="Book Antiqua"/>
          <w:color w:val="000000"/>
          <w:lang w:eastAsia="zh-CN"/>
        </w:rPr>
        <w:t>;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Li X</w:t>
      </w:r>
      <w:r>
        <w:rPr>
          <w:rFonts w:ascii="Book Antiqua" w:hAnsi="Book Antiqua" w:cs="Book Antiqua"/>
          <w:color w:val="000000"/>
          <w:lang w:eastAsia="zh-CN"/>
        </w:rPr>
        <w:t>J</w:t>
      </w:r>
      <w:r>
        <w:rPr>
          <w:rFonts w:ascii="Book Antiqua" w:hAnsi="Book Antiqua" w:eastAsia="Book Antiqua" w:cs="Book Antiqua"/>
          <w:color w:val="000000"/>
        </w:rPr>
        <w:t>, Su J</w:t>
      </w:r>
      <w:r>
        <w:rPr>
          <w:rFonts w:ascii="Book Antiqua" w:hAnsi="Book Antiqua" w:cs="Book Antiqua"/>
          <w:color w:val="000000"/>
          <w:lang w:eastAsia="zh-CN"/>
        </w:rPr>
        <w:t>M</w:t>
      </w:r>
      <w:r>
        <w:rPr>
          <w:rFonts w:ascii="Book Antiqua" w:hAnsi="Book Antiqua" w:eastAsia="Book Antiqua" w:cs="Book Antiqua"/>
          <w:color w:val="000000"/>
        </w:rPr>
        <w:t>, Ye X</w:t>
      </w:r>
      <w:r>
        <w:rPr>
          <w:rFonts w:ascii="Book Antiqua" w:hAnsi="Book Antiqua" w:cs="Book Antiqua"/>
          <w:color w:val="000000"/>
          <w:lang w:eastAsia="zh-CN"/>
        </w:rPr>
        <w:t>W</w:t>
      </w:r>
      <w:r>
        <w:rPr>
          <w:rFonts w:ascii="Book Antiqua" w:hAnsi="Book Antiqua" w:eastAsia="Book Antiqua" w:cs="Book Antiqua"/>
          <w:color w:val="000000"/>
        </w:rPr>
        <w:t xml:space="preserve">. Crouzon syndrome in a fraternal twin: A case report and review of the literature.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10(16): </w:t>
      </w:r>
      <w:r>
        <w:rPr>
          <w:rFonts w:hint="default" w:ascii="Book Antiqua" w:hAnsi="Book Antiqua" w:eastAsia="Book Antiqua" w:cs="Book Antiqua"/>
          <w:i w:val="0"/>
          <w:iCs w:val="0"/>
          <w:color w:val="000000"/>
          <w:kern w:val="0"/>
          <w:sz w:val="24"/>
          <w:szCs w:val="24"/>
          <w:u w:val="none"/>
          <w:lang w:val="en-US" w:eastAsia="zh-CN" w:bidi="ar"/>
        </w:rPr>
        <w:t>5317-5323</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https://www.wjgnet.com/2307-8960/full/v10/i16/</w:t>
      </w:r>
      <w:r>
        <w:rPr>
          <w:rFonts w:hint="default" w:ascii="Book Antiqua" w:hAnsi="Book Antiqua" w:eastAsia="Book Antiqua" w:cs="Book Antiqua"/>
          <w:i w:val="0"/>
          <w:iCs w:val="0"/>
          <w:color w:val="000000"/>
          <w:kern w:val="0"/>
          <w:sz w:val="24"/>
          <w:szCs w:val="24"/>
          <w:u w:val="none"/>
          <w:lang w:val="en-US" w:eastAsia="zh-CN" w:bidi="ar"/>
        </w:rPr>
        <w:t>5317</w:t>
      </w:r>
      <w:r>
        <w:rPr>
          <w:rFonts w:hint="eastAsia" w:ascii="Book Antiqua" w:hAnsi="Book Antiqua" w:eastAsia="Book Antiqua" w:cs="Book Antiqua"/>
          <w:color w:val="000000"/>
        </w:rPr>
        <w:t xml:space="preserve">.htm  </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https://dx.doi.org/10.12998/wjcc.v10.i16.</w:t>
      </w:r>
      <w:r>
        <w:rPr>
          <w:rFonts w:hint="default" w:ascii="Book Antiqua" w:hAnsi="Book Antiqua" w:eastAsia="Book Antiqua" w:cs="Book Antiqua"/>
          <w:i w:val="0"/>
          <w:iCs w:val="0"/>
          <w:color w:val="000000"/>
          <w:kern w:val="0"/>
          <w:sz w:val="24"/>
          <w:szCs w:val="24"/>
          <w:u w:val="none"/>
          <w:lang w:val="en-US" w:eastAsia="zh-CN" w:bidi="ar"/>
        </w:rPr>
        <w:t>5317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Crouzon syndrome</w:t>
      </w:r>
      <w:r>
        <w:rPr>
          <w:rFonts w:ascii="Book Antiqua" w:hAnsi="Book Antiqua" w:cs="Book Antiqua"/>
          <w:color w:val="000000"/>
          <w:lang w:eastAsia="zh-CN"/>
        </w:rPr>
        <w:t xml:space="preserve"> (CS)</w:t>
      </w:r>
      <w:r>
        <w:rPr>
          <w:rFonts w:ascii="Book Antiqua" w:hAnsi="Book Antiqua" w:eastAsia="Book Antiqua" w:cs="Book Antiqua"/>
          <w:color w:val="000000"/>
        </w:rPr>
        <w:t xml:space="preserve"> is an autosomal dominant inherited craniofacial disorder caused by mutations in </w:t>
      </w:r>
      <w:r>
        <w:rPr>
          <w:rFonts w:ascii="Book Antiqua" w:hAnsi="Book Antiqua"/>
          <w:i/>
          <w:color w:val="000000"/>
        </w:rPr>
        <w:t>fibroblast growth factor receptor 2</w:t>
      </w:r>
      <w:r>
        <w:rPr>
          <w:rFonts w:ascii="Book Antiqua" w:hAnsi="Book Antiqua" w:eastAsia="Book Antiqua" w:cs="Book Antiqua"/>
          <w:color w:val="000000"/>
        </w:rPr>
        <w:t xml:space="preserve">, but approximately 50% of cases result from de novo mutations. This syndrome has been rarely seen and evaluated in fraternal twins, only one of whom has </w:t>
      </w:r>
      <w:r>
        <w:rPr>
          <w:rFonts w:ascii="Book Antiqua" w:hAnsi="Book Antiqua" w:cs="Book Antiqua"/>
          <w:color w:val="000000"/>
          <w:lang w:eastAsia="zh-CN"/>
        </w:rPr>
        <w:t>CS</w:t>
      </w:r>
      <w:r>
        <w:rPr>
          <w:rFonts w:ascii="Book Antiqua" w:hAnsi="Book Antiqua" w:eastAsia="Book Antiqua" w:cs="Book Antiqua"/>
          <w:color w:val="000000"/>
        </w:rPr>
        <w:t xml:space="preserve">. We </w:t>
      </w:r>
      <w:r>
        <w:rPr>
          <w:rFonts w:ascii="Book Antiqua" w:hAnsi="Book Antiqua" w:cs="Book Antiqua"/>
          <w:color w:val="000000"/>
          <w:lang w:eastAsia="zh-CN"/>
        </w:rPr>
        <w:t>presented</w:t>
      </w:r>
      <w:r>
        <w:rPr>
          <w:rFonts w:ascii="Book Antiqua" w:hAnsi="Book Antiqua" w:eastAsia="Book Antiqua" w:cs="Book Antiqua"/>
          <w:color w:val="000000"/>
        </w:rPr>
        <w:t xml:space="preserve"> a 6-year-old fraternal twin boy </w:t>
      </w:r>
      <w:r>
        <w:rPr>
          <w:rFonts w:ascii="Book Antiqua" w:hAnsi="Book Antiqua" w:cs="Book Antiqua"/>
          <w:color w:val="000000"/>
          <w:lang w:eastAsia="zh-CN"/>
        </w:rPr>
        <w:t>diagnosed with</w:t>
      </w:r>
      <w:r>
        <w:rPr>
          <w:rFonts w:ascii="Book Antiqua" w:hAnsi="Book Antiqua" w:eastAsia="Book Antiqua" w:cs="Book Antiqua"/>
          <w:color w:val="000000"/>
        </w:rPr>
        <w:t xml:space="preserve"> </w:t>
      </w:r>
      <w:r>
        <w:rPr>
          <w:rFonts w:ascii="Book Antiqua" w:hAnsi="Book Antiqua" w:cs="Book Antiqua"/>
          <w:color w:val="000000"/>
          <w:lang w:eastAsia="zh-CN"/>
        </w:rPr>
        <w:t>CS</w:t>
      </w:r>
      <w:r>
        <w:rPr>
          <w:rFonts w:ascii="Book Antiqua" w:hAnsi="Book Antiqua" w:eastAsia="Book Antiqua" w:cs="Book Antiqua"/>
          <w:color w:val="000000"/>
        </w:rPr>
        <w:t xml:space="preserve"> who had many caries and enamel hypomineralization in the oral cavity. The boy’s parents and his fraternal twin sister did not show any abnormalities indicating </w:t>
      </w:r>
      <w:r>
        <w:rPr>
          <w:rFonts w:ascii="Book Antiqua" w:hAnsi="Book Antiqua" w:cs="Book Antiqua"/>
          <w:color w:val="000000"/>
          <w:lang w:eastAsia="zh-CN"/>
        </w:rPr>
        <w:t>CS</w:t>
      </w:r>
      <w:r>
        <w:rPr>
          <w:rFonts w:ascii="Book Antiqua" w:hAnsi="Book Antiqua" w:eastAsia="Book Antiqua" w:cs="Book Antiqua"/>
          <w:color w:val="000000"/>
        </w:rPr>
        <w:t>, so we hypothesize that the fraternal twin boy’s gene mutation arose from a de novo mutation.</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Crouzon syndrome (CS) is an autosomal dominant </w:t>
      </w:r>
      <w:r>
        <w:rPr>
          <w:rFonts w:ascii="Book Antiqua" w:hAnsi="Book Antiqua" w:cs="Book Antiqua"/>
          <w:color w:val="000000"/>
          <w:lang w:eastAsia="zh-CN"/>
        </w:rPr>
        <w:t xml:space="preserve">inherited disorder </w:t>
      </w:r>
      <w:r>
        <w:rPr>
          <w:rFonts w:ascii="Book Antiqua" w:hAnsi="Book Antiqua" w:eastAsia="Book Antiqua" w:cs="Book Antiqua"/>
          <w:color w:val="000000"/>
        </w:rPr>
        <w:t>and characterized by calvarial deformities with craniofacial dysostosis, exophthalmos, and facial anomalies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"_ENREF_1" \o "Bowling, 2006 #26" </w:instrText>
      </w:r>
      <w:r>
        <w:rPr>
          <w:rFonts w:ascii="Book Antiqua" w:hAnsi="Book Antiqua"/>
        </w:rPr>
        <w:fldChar w:fldCharType="separate"/>
      </w:r>
      <w:r>
        <w:rPr>
          <w:rFonts w:ascii="Book Antiqua" w:hAnsi="Book Antiqua" w:eastAsia="Book Antiqua" w:cs="Book Antiqua"/>
          <w:color w:val="000000"/>
          <w:vertAlign w:val="superscript"/>
        </w:rPr>
        <w:t>1</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"_ENREF_2" \o "Khandelwal, 2012 #34" </w:instrText>
      </w:r>
      <w:r>
        <w:fldChar w:fldCharType="separate"/>
      </w:r>
      <w:r>
        <w:rPr>
          <w:rFonts w:ascii="Book Antiqua" w:hAnsi="Book Antiqua" w:eastAsia="Book Antiqua" w:cs="Book Antiqua"/>
          <w:color w:val="000000"/>
          <w:vertAlign w:val="superscript"/>
        </w:rPr>
        <w:t>2</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In 1912, </w:t>
      </w:r>
      <w:r>
        <w:rPr>
          <w:rFonts w:ascii="Book Antiqua" w:hAnsi="Book Antiqua" w:eastAsia="Book Antiqua" w:cs="Book Antiqua"/>
          <w:color w:val="000000"/>
        </w:rPr>
        <w:t xml:space="preserve">the French physician Louis Edouard Octave Crouzon </w:t>
      </w:r>
      <w:r>
        <w:rPr>
          <w:rFonts w:ascii="Book Antiqua" w:hAnsi="Book Antiqua" w:cs="Book Antiqua"/>
          <w:color w:val="000000"/>
          <w:lang w:eastAsia="zh-CN"/>
        </w:rPr>
        <w:t xml:space="preserve">first reported this syndrome and </w:t>
      </w:r>
      <w:r>
        <w:rPr>
          <w:rFonts w:ascii="Book Antiqua" w:hAnsi="Book Antiqua" w:eastAsia="Book Antiqua" w:cs="Book Antiqua"/>
          <w:color w:val="000000"/>
        </w:rPr>
        <w:t>identified a mother and her son with craniosynostosis that resulted in skull and facial deformities</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w:t>
      </w:r>
      <w:r>
        <w:rPr>
          <w:rFonts w:ascii="Book Antiqua" w:hAnsi="Book Antiqua" w:cs="Book Antiqua"/>
          <w:color w:val="000000"/>
          <w:lang w:eastAsia="zh-CN"/>
        </w:rPr>
        <w:t xml:space="preserve">This syndrome is described as the mildest type of many </w:t>
      </w:r>
      <w:r>
        <w:rPr>
          <w:rFonts w:ascii="Book Antiqua" w:hAnsi="Book Antiqua" w:eastAsia="Book Antiqua" w:cs="Book Antiqua"/>
          <w:color w:val="000000"/>
        </w:rPr>
        <w:t>craniosynostosis syndromes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"_ENREF_3" \o "Padmanabhan, 2011 #17" </w:instrText>
      </w:r>
      <w:r>
        <w:rPr>
          <w:rFonts w:ascii="Book Antiqua" w:hAnsi="Book Antiqua"/>
        </w:rPr>
        <w:fldChar w:fldCharType="separate"/>
      </w:r>
      <w:r>
        <w:rPr>
          <w:rFonts w:ascii="Book Antiqua" w:hAnsi="Book Antiqua" w:eastAsia="Book Antiqua" w:cs="Book Antiqua"/>
          <w:color w:val="000000"/>
          <w:vertAlign w:val="superscript"/>
        </w:rPr>
        <w:t>3</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w:t>
      </w:r>
      <w:r>
        <w:rPr>
          <w:rFonts w:ascii="Book Antiqua" w:hAnsi="Book Antiqua" w:cs="Book Antiqua"/>
          <w:color w:val="000000"/>
          <w:lang w:eastAsia="zh-CN"/>
        </w:rPr>
        <w:t>The birth incidence of CS</w:t>
      </w:r>
      <w:r>
        <w:rPr>
          <w:rFonts w:ascii="Book Antiqua" w:hAnsi="Book Antiqua" w:eastAsia="Book Antiqua" w:cs="Book Antiqua"/>
          <w:color w:val="000000"/>
        </w:rPr>
        <w:t xml:space="preserve"> </w:t>
      </w:r>
      <w:r>
        <w:rPr>
          <w:rFonts w:ascii="Book Antiqua" w:hAnsi="Book Antiqua" w:cs="Book Antiqua"/>
          <w:color w:val="000000"/>
          <w:lang w:eastAsia="zh-CN"/>
        </w:rPr>
        <w:t>is</w:t>
      </w:r>
      <w:r>
        <w:rPr>
          <w:rFonts w:ascii="Book Antiqua" w:hAnsi="Book Antiqua" w:eastAsia="Book Antiqua" w:cs="Book Antiqua"/>
          <w:color w:val="000000"/>
        </w:rPr>
        <w:t xml:space="preserve"> </w:t>
      </w:r>
      <w:bookmarkStart w:id="0" w:name="OLE_LINK2"/>
      <w:bookmarkStart w:id="1" w:name="OLE_LINK1"/>
      <w:r>
        <w:rPr>
          <w:rFonts w:ascii="Book Antiqua" w:hAnsi="Book Antiqua" w:eastAsia="Book Antiqua" w:cs="Book Antiqua"/>
          <w:color w:val="000000"/>
        </w:rPr>
        <w:t>approximately</w:t>
      </w:r>
      <w:bookmarkEnd w:id="0"/>
      <w:bookmarkEnd w:id="1"/>
      <w:r>
        <w:rPr>
          <w:rFonts w:ascii="Book Antiqua" w:hAnsi="Book Antiqua" w:eastAsia="Book Antiqua" w:cs="Book Antiqua"/>
          <w:color w:val="000000"/>
        </w:rPr>
        <w:t xml:space="preserve"> </w:t>
      </w:r>
      <w:r>
        <w:rPr>
          <w:rFonts w:ascii="Book Antiqua" w:hAnsi="Book Antiqua" w:cs="Book Antiqua"/>
          <w:color w:val="000000"/>
          <w:lang w:eastAsia="zh-CN"/>
        </w:rPr>
        <w:t>1:25000</w:t>
      </w:r>
      <w:r>
        <w:rPr>
          <w:rFonts w:ascii="Book Antiqua" w:hAnsi="Book Antiqua" w:eastAsia="Book Antiqua" w:cs="Book Antiqua"/>
          <w:color w:val="000000"/>
          <w:vertAlign w:val="superscript"/>
        </w:rPr>
        <w:t>[</w:t>
      </w:r>
      <w:r>
        <w:fldChar w:fldCharType="begin"/>
      </w:r>
      <w:r>
        <w:instrText xml:space="preserve"> HYPERLINK \l "_ENREF_4" \o "R.I.Aviv, 2002 #1" </w:instrText>
      </w:r>
      <w:r>
        <w:fldChar w:fldCharType="separate"/>
      </w:r>
      <w:r>
        <w:rPr>
          <w:rFonts w:ascii="Book Antiqua" w:hAnsi="Book Antiqua" w:eastAsia="Book Antiqua" w:cs="Book Antiqua"/>
          <w:color w:val="000000"/>
          <w:vertAlign w:val="superscript"/>
        </w:rPr>
        <w:t>4</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It is </w:t>
      </w:r>
      <w:r>
        <w:rPr>
          <w:rFonts w:ascii="Book Antiqua" w:hAnsi="Book Antiqua" w:cs="Book Antiqua"/>
          <w:color w:val="000000"/>
          <w:lang w:eastAsia="zh-CN"/>
        </w:rPr>
        <w:t xml:space="preserve">proven </w:t>
      </w:r>
      <w:r>
        <w:rPr>
          <w:rFonts w:ascii="Book Antiqua" w:hAnsi="Book Antiqua" w:eastAsia="Book Antiqua" w:cs="Book Antiqua"/>
          <w:color w:val="000000"/>
        </w:rPr>
        <w:t xml:space="preserve">to be the most common </w:t>
      </w:r>
      <w:r>
        <w:rPr>
          <w:rFonts w:ascii="Book Antiqua" w:hAnsi="Book Antiqua" w:cs="Book Antiqua"/>
          <w:color w:val="000000"/>
          <w:lang w:eastAsia="zh-CN"/>
        </w:rPr>
        <w:t>craniosynostosis</w:t>
      </w:r>
      <w:r>
        <w:rPr>
          <w:rFonts w:ascii="Book Antiqua" w:hAnsi="Book Antiqua" w:eastAsia="Book Antiqua" w:cs="Book Antiqua"/>
          <w:color w:val="000000"/>
        </w:rPr>
        <w:t xml:space="preserve"> syndrome, as it </w:t>
      </w:r>
      <w:r>
        <w:rPr>
          <w:rFonts w:ascii="Book Antiqua" w:hAnsi="Book Antiqua" w:cs="Book Antiqua"/>
          <w:color w:val="000000"/>
          <w:lang w:eastAsia="zh-CN"/>
        </w:rPr>
        <w:t>accounts for</w:t>
      </w:r>
      <w:r>
        <w:rPr>
          <w:rFonts w:ascii="Book Antiqua" w:hAnsi="Book Antiqua" w:eastAsia="Book Antiqua" w:cs="Book Antiqua"/>
          <w:color w:val="000000"/>
        </w:rPr>
        <w:t xml:space="preserve"> </w:t>
      </w:r>
      <w:r>
        <w:rPr>
          <w:rFonts w:ascii="Book Antiqua" w:hAnsi="Book Antiqua" w:cs="Book Antiqua"/>
          <w:color w:val="000000"/>
          <w:lang w:eastAsia="zh-CN"/>
        </w:rPr>
        <w:t xml:space="preserve">nearly </w:t>
      </w:r>
      <w:r>
        <w:rPr>
          <w:rFonts w:ascii="Book Antiqua" w:hAnsi="Book Antiqua" w:eastAsia="Book Antiqua" w:cs="Book Antiqua"/>
          <w:color w:val="000000"/>
        </w:rPr>
        <w:t>4.8% of all craniosynostosis cases at birth</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"_ENREF_1" \o "Bowling, 2006 #26" </w:instrText>
      </w:r>
      <w:r>
        <w:rPr>
          <w:rFonts w:ascii="Book Antiqua" w:hAnsi="Book Antiqua"/>
        </w:rPr>
        <w:fldChar w:fldCharType="separate"/>
      </w:r>
      <w:r>
        <w:rPr>
          <w:rFonts w:ascii="Book Antiqua" w:hAnsi="Book Antiqua" w:eastAsia="Book Antiqua" w:cs="Book Antiqua"/>
          <w:color w:val="000000"/>
          <w:vertAlign w:val="superscript"/>
        </w:rPr>
        <w:t>1</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"_ENREF_5" \o "Wang, 2016 #35" </w:instrText>
      </w:r>
      <w:r>
        <w:fldChar w:fldCharType="separate"/>
      </w:r>
      <w:r>
        <w:rPr>
          <w:rFonts w:ascii="Book Antiqua" w:hAnsi="Book Antiqua" w:eastAsia="Book Antiqua" w:cs="Book Antiqua"/>
          <w:color w:val="000000"/>
          <w:vertAlign w:val="superscript"/>
        </w:rPr>
        <w:t>5</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It is more common in males than females (3:1)</w:t>
      </w:r>
      <w:r>
        <w:rPr>
          <w:rFonts w:ascii="Book Antiqua" w:hAnsi="Book Antiqua" w:eastAsia="Book Antiqua" w:cs="Book Antiqua"/>
          <w:color w:val="000000"/>
          <w:vertAlign w:val="superscript"/>
        </w:rPr>
        <w:t>[6]</w:t>
      </w:r>
      <w:r>
        <w:rPr>
          <w:rFonts w:ascii="Book Antiqua" w:hAnsi="Book Antiqua" w:eastAsia="Book Antiqua" w:cs="Book Antiqua"/>
          <w:color w:val="000000"/>
        </w:rPr>
        <w:t xml:space="preserve">. Mutations in the </w:t>
      </w:r>
      <w:r>
        <w:rPr>
          <w:rFonts w:ascii="Book Antiqua" w:hAnsi="Book Antiqua"/>
          <w:i/>
          <w:color w:val="000000"/>
        </w:rPr>
        <w:t>fibroblast growth factor receptor 2</w:t>
      </w:r>
      <w:r>
        <w:rPr>
          <w:rFonts w:ascii="Book Antiqua" w:hAnsi="Book Antiqua" w:eastAsia="Book Antiqua" w:cs="Book Antiqua"/>
          <w:i/>
          <w:iCs/>
          <w:color w:val="000000"/>
        </w:rPr>
        <w:t xml:space="preserve"> </w:t>
      </w:r>
      <w:r>
        <w:rPr>
          <w:rFonts w:ascii="Book Antiqua" w:hAnsi="Book Antiqua" w:eastAsia="Book Antiqua" w:cs="Book Antiqua"/>
          <w:color w:val="000000"/>
        </w:rPr>
        <w:t>(</w:t>
      </w:r>
      <w:r>
        <w:rPr>
          <w:rFonts w:ascii="Book Antiqua" w:hAnsi="Book Antiqua" w:eastAsia="Book Antiqua" w:cs="Book Antiqua"/>
          <w:i/>
          <w:iCs/>
          <w:color w:val="000000"/>
        </w:rPr>
        <w:t>FGFR2</w:t>
      </w:r>
      <w:r>
        <w:rPr>
          <w:rFonts w:ascii="Book Antiqua" w:hAnsi="Book Antiqua" w:eastAsia="Book Antiqua" w:cs="Book Antiqua"/>
          <w:color w:val="000000"/>
        </w:rPr>
        <w:t xml:space="preserve">) gene on chromosome locus 10q25.3-q26 are related to </w:t>
      </w:r>
      <w:r>
        <w:rPr>
          <w:rFonts w:ascii="Book Antiqua" w:hAnsi="Book Antiqua" w:cs="Book Antiqua"/>
          <w:color w:val="000000"/>
          <w:lang w:eastAsia="zh-CN"/>
        </w:rPr>
        <w:t>CS</w:t>
      </w:r>
      <w:r>
        <w:rPr>
          <w:rFonts w:ascii="Book Antiqua" w:hAnsi="Book Antiqua" w:eastAsia="Book Antiqua" w:cs="Book Antiqua"/>
          <w:color w:val="000000"/>
          <w:vertAlign w:val="superscript"/>
        </w:rPr>
        <w:t>[7]</w:t>
      </w:r>
      <w:r>
        <w:rPr>
          <w:rFonts w:ascii="Book Antiqua" w:hAnsi="Book Antiqua" w:eastAsia="Book Antiqua" w:cs="Book Antiqua"/>
          <w:color w:val="000000"/>
        </w:rPr>
        <w:t xml:space="preserve">. Families with </w:t>
      </w:r>
      <w:r>
        <w:rPr>
          <w:rFonts w:ascii="Book Antiqua" w:hAnsi="Book Antiqua" w:cs="Book Antiqua"/>
          <w:color w:val="000000"/>
          <w:lang w:eastAsia="zh-CN"/>
        </w:rPr>
        <w:t>CS</w:t>
      </w:r>
      <w:r>
        <w:rPr>
          <w:rFonts w:ascii="Book Antiqua" w:hAnsi="Book Antiqua" w:eastAsia="Book Antiqua" w:cs="Book Antiqua"/>
          <w:color w:val="000000"/>
        </w:rPr>
        <w:t xml:space="preserve"> </w:t>
      </w:r>
      <w:r>
        <w:rPr>
          <w:rFonts w:ascii="Book Antiqua" w:hAnsi="Book Antiqua" w:cs="Book Antiqua"/>
          <w:color w:val="000000"/>
          <w:lang w:eastAsia="zh-CN"/>
        </w:rPr>
        <w:t>commonly suggest</w:t>
      </w:r>
      <w:r>
        <w:rPr>
          <w:rFonts w:ascii="Book Antiqua" w:hAnsi="Book Antiqua" w:eastAsia="Book Antiqua" w:cs="Book Antiqua"/>
          <w:color w:val="000000"/>
        </w:rPr>
        <w:t xml:space="preserve"> an autosomal dominant inheritance pattern</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"_ENREF_8" \o "Lin, 2017 #8" </w:instrText>
      </w:r>
      <w:r>
        <w:rPr>
          <w:rFonts w:ascii="Book Antiqua" w:hAnsi="Book Antiqua"/>
        </w:rPr>
        <w:fldChar w:fldCharType="separate"/>
      </w:r>
      <w:r>
        <w:rPr>
          <w:rFonts w:ascii="Book Antiqua" w:hAnsi="Book Antiqua" w:eastAsia="Book Antiqua" w:cs="Book Antiqua"/>
          <w:color w:val="000000"/>
          <w:vertAlign w:val="superscript"/>
        </w:rPr>
        <w:t>8</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The syndrome </w:t>
      </w:r>
      <w:r>
        <w:rPr>
          <w:rFonts w:ascii="Book Antiqua" w:hAnsi="Book Antiqua" w:cs="Book Antiqua"/>
          <w:color w:val="000000"/>
          <w:lang w:eastAsia="zh-CN"/>
        </w:rPr>
        <w:t>presents incomplete</w:t>
      </w:r>
      <w:r>
        <w:rPr>
          <w:rFonts w:ascii="Book Antiqua" w:hAnsi="Book Antiqua" w:eastAsia="Book Antiqua" w:cs="Book Antiqua"/>
          <w:color w:val="000000"/>
        </w:rPr>
        <w:t xml:space="preserve"> penetrance </w:t>
      </w:r>
      <w:r>
        <w:rPr>
          <w:rFonts w:ascii="Book Antiqua" w:hAnsi="Book Antiqua" w:cs="Book Antiqua"/>
          <w:color w:val="000000"/>
          <w:lang w:eastAsia="zh-CN"/>
        </w:rPr>
        <w:t>and</w:t>
      </w:r>
      <w:r>
        <w:rPr>
          <w:rFonts w:ascii="Book Antiqua" w:hAnsi="Book Antiqua" w:eastAsia="Book Antiqua" w:cs="Book Antiqua"/>
          <w:color w:val="000000"/>
        </w:rPr>
        <w:t xml:space="preserve"> variable expressivity </w:t>
      </w:r>
      <w:r>
        <w:rPr>
          <w:rFonts w:ascii="Book Antiqua" w:hAnsi="Book Antiqua" w:cs="Book Antiqua"/>
          <w:color w:val="000000"/>
          <w:lang w:eastAsia="zh-CN"/>
        </w:rPr>
        <w:t>leading to phenotypical characteristics varying from mild to severe</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"_ENREF_7" \o "Al-Namnam, 2019 #3" </w:instrText>
      </w:r>
      <w:r>
        <w:rPr>
          <w:rFonts w:ascii="Book Antiqua" w:hAnsi="Book Antiqua"/>
        </w:rPr>
        <w:fldChar w:fldCharType="separate"/>
      </w:r>
      <w:r>
        <w:rPr>
          <w:rFonts w:ascii="Book Antiqua" w:hAnsi="Book Antiqua" w:eastAsia="Book Antiqua" w:cs="Book Antiqua"/>
          <w:color w:val="000000"/>
          <w:vertAlign w:val="superscript"/>
        </w:rPr>
        <w:t>7</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w:t>
      </w:r>
      <w:r>
        <w:rPr>
          <w:rFonts w:ascii="Book Antiqua" w:hAnsi="Book Antiqua" w:cs="Book Antiqua"/>
          <w:color w:val="000000"/>
          <w:lang w:eastAsia="zh-CN"/>
        </w:rPr>
        <w:t xml:space="preserve">About </w:t>
      </w:r>
      <w:r>
        <w:rPr>
          <w:rFonts w:ascii="Book Antiqua" w:hAnsi="Book Antiqua" w:eastAsia="Book Antiqua" w:cs="Book Antiqua"/>
          <w:color w:val="000000"/>
        </w:rPr>
        <w:t>50%</w:t>
      </w:r>
      <w:r>
        <w:rPr>
          <w:rFonts w:ascii="Book Antiqua" w:hAnsi="Book Antiqua" w:cs="Book Antiqua"/>
          <w:color w:val="000000"/>
          <w:lang w:eastAsia="zh-CN"/>
        </w:rPr>
        <w:t xml:space="preserve"> of cases result from</w:t>
      </w:r>
      <w:r>
        <w:rPr>
          <w:rFonts w:ascii="Book Antiqua" w:hAnsi="Book Antiqua" w:eastAsia="Book Antiqua" w:cs="Book Antiqua"/>
          <w:color w:val="000000"/>
        </w:rPr>
        <w:t xml:space="preserve"> de novo mutations</w:t>
      </w:r>
      <w:r>
        <w:rPr>
          <w:rFonts w:ascii="Book Antiqua" w:hAnsi="Book Antiqua" w:cs="Book Antiqua"/>
          <w:color w:val="000000"/>
          <w:lang w:eastAsia="zh-CN"/>
        </w:rPr>
        <w:t xml:space="preserve"> of the </w:t>
      </w:r>
      <w:r>
        <w:rPr>
          <w:rFonts w:ascii="Book Antiqua" w:hAnsi="Book Antiqua" w:eastAsia="Book Antiqua" w:cs="Book Antiqua"/>
          <w:i/>
          <w:iCs/>
          <w:color w:val="000000"/>
        </w:rPr>
        <w:t>FGFR2</w:t>
      </w:r>
      <w:r>
        <w:rPr>
          <w:rFonts w:ascii="Book Antiqua" w:hAnsi="Book Antiqua" w:eastAsia="Book Antiqua" w:cs="Book Antiqua"/>
          <w:color w:val="000000"/>
        </w:rPr>
        <w:t xml:space="preserve"> gene</w:t>
      </w:r>
      <w:r>
        <w:rPr>
          <w:rFonts w:ascii="Book Antiqua" w:hAnsi="Book Antiqua" w:eastAsia="Book Antiqua" w:cs="Book Antiqua"/>
          <w:color w:val="000000"/>
          <w:vertAlign w:val="superscript"/>
        </w:rPr>
        <w:t>[11]</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cs="Book Antiqua"/>
          <w:color w:val="000000"/>
          <w:lang w:eastAsia="zh-CN"/>
        </w:rPr>
        <w:t>CS</w:t>
      </w:r>
      <w:r>
        <w:rPr>
          <w:rFonts w:ascii="Book Antiqua" w:hAnsi="Book Antiqua" w:eastAsia="Book Antiqua" w:cs="Book Antiqua"/>
          <w:color w:val="000000"/>
        </w:rPr>
        <w:t xml:space="preserve"> is </w:t>
      </w:r>
      <w:r>
        <w:rPr>
          <w:rFonts w:ascii="Book Antiqua" w:hAnsi="Book Antiqua" w:cs="Book Antiqua"/>
          <w:color w:val="000000"/>
          <w:lang w:eastAsia="zh-CN"/>
        </w:rPr>
        <w:t xml:space="preserve">commonly observed </w:t>
      </w:r>
      <w:r>
        <w:rPr>
          <w:rFonts w:ascii="Book Antiqua" w:hAnsi="Book Antiqua" w:eastAsia="Book Antiqua" w:cs="Book Antiqua"/>
          <w:color w:val="000000"/>
        </w:rPr>
        <w:t xml:space="preserve">at birth </w:t>
      </w:r>
      <w:r>
        <w:rPr>
          <w:rFonts w:ascii="Book Antiqua" w:hAnsi="Book Antiqua" w:cs="Book Antiqua"/>
          <w:color w:val="000000"/>
          <w:lang w:eastAsia="zh-CN"/>
        </w:rPr>
        <w:t xml:space="preserve">owing </w:t>
      </w:r>
      <w:r>
        <w:rPr>
          <w:rFonts w:ascii="Book Antiqua" w:hAnsi="Book Antiqua" w:eastAsia="Book Antiqua" w:cs="Book Antiqua"/>
          <w:color w:val="000000"/>
        </w:rPr>
        <w:t xml:space="preserve">to characteristic facial and cranial deformities and a positive family history. </w:t>
      </w:r>
      <w:r>
        <w:rPr>
          <w:rFonts w:ascii="Book Antiqua" w:hAnsi="Book Antiqua" w:cs="Book Antiqua"/>
          <w:color w:val="000000"/>
          <w:lang w:eastAsia="zh-CN"/>
        </w:rPr>
        <w:t>The prominent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manifestations </w:t>
      </w:r>
      <w:r>
        <w:rPr>
          <w:rFonts w:ascii="Book Antiqua" w:hAnsi="Book Antiqua" w:eastAsia="Book Antiqua" w:cs="Book Antiqua"/>
          <w:color w:val="000000"/>
        </w:rPr>
        <w:t xml:space="preserve">of </w:t>
      </w:r>
      <w:r>
        <w:rPr>
          <w:rFonts w:ascii="Book Antiqua" w:hAnsi="Book Antiqua" w:cs="Book Antiqua"/>
          <w:color w:val="000000"/>
          <w:lang w:eastAsia="zh-CN"/>
        </w:rPr>
        <w:t xml:space="preserve">these patients </w:t>
      </w:r>
      <w:r>
        <w:rPr>
          <w:rFonts w:ascii="Book Antiqua" w:hAnsi="Book Antiqua" w:eastAsia="Book Antiqua" w:cs="Book Antiqua"/>
          <w:color w:val="000000"/>
        </w:rPr>
        <w:t xml:space="preserve">can be </w:t>
      </w:r>
      <w:r>
        <w:rPr>
          <w:rFonts w:ascii="Book Antiqua" w:hAnsi="Book Antiqua" w:cs="Book Antiqua"/>
          <w:color w:val="000000"/>
          <w:lang w:eastAsia="zh-CN"/>
        </w:rPr>
        <w:t>detected</w:t>
      </w:r>
      <w:r>
        <w:rPr>
          <w:rFonts w:ascii="Book Antiqua" w:hAnsi="Book Antiqua" w:eastAsia="Book Antiqua" w:cs="Book Antiqua"/>
          <w:color w:val="000000"/>
        </w:rPr>
        <w:t xml:space="preserve"> upon physical examination. </w:t>
      </w:r>
      <w:r>
        <w:rPr>
          <w:rFonts w:ascii="Book Antiqua" w:hAnsi="Book Antiqua" w:cs="Book Antiqua"/>
          <w:color w:val="000000"/>
          <w:lang w:eastAsia="zh-CN"/>
        </w:rPr>
        <w:t>Brachycephaly</w:t>
      </w:r>
      <w:r>
        <w:rPr>
          <w:rFonts w:ascii="Book Antiqua" w:hAnsi="Book Antiqua" w:eastAsia="Book Antiqua" w:cs="Book Antiqua"/>
          <w:color w:val="000000"/>
        </w:rPr>
        <w:t>, hypertelorism, proptosis, flattened forehead, beaked noses, and maxillary</w:t>
      </w:r>
      <w:r>
        <w:rPr>
          <w:rFonts w:ascii="Book Antiqua" w:hAnsi="Book Antiqua" w:cs="Book Antiqua"/>
          <w:color w:val="000000"/>
          <w:lang w:eastAsia="zh-CN"/>
        </w:rPr>
        <w:t>/</w:t>
      </w:r>
      <w:r>
        <w:rPr>
          <w:rFonts w:ascii="Book Antiqua" w:hAnsi="Book Antiqua" w:eastAsia="Book Antiqua" w:cs="Book Antiqua"/>
          <w:color w:val="000000"/>
        </w:rPr>
        <w:t>midface hypoplasia</w:t>
      </w:r>
      <w:r>
        <w:rPr>
          <w:rFonts w:ascii="Book Antiqua" w:hAnsi="Book Antiqua" w:cs="Book Antiqua"/>
          <w:color w:val="000000"/>
          <w:lang w:eastAsia="zh-CN"/>
        </w:rPr>
        <w:t xml:space="preserve"> are the most common features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"_ENREF_3" \o "Padmanabhan, 2011 #17" </w:instrText>
      </w:r>
      <w:r>
        <w:rPr>
          <w:rFonts w:ascii="Book Antiqua" w:hAnsi="Book Antiqua"/>
        </w:rPr>
        <w:fldChar w:fldCharType="separate"/>
      </w:r>
      <w:r>
        <w:rPr>
          <w:rFonts w:ascii="Book Antiqua" w:hAnsi="Book Antiqua" w:eastAsia="Book Antiqua" w:cs="Book Antiqua"/>
          <w:color w:val="000000"/>
          <w:vertAlign w:val="superscript"/>
        </w:rPr>
        <w:t>3</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"_ENREF_12" \o "Torun, 2017 #5" </w:instrText>
      </w:r>
      <w:r>
        <w:fldChar w:fldCharType="separate"/>
      </w:r>
      <w:r>
        <w:rPr>
          <w:rFonts w:ascii="Book Antiqua" w:hAnsi="Book Antiqua" w:eastAsia="Book Antiqua" w:cs="Book Antiqua"/>
          <w:color w:val="000000"/>
          <w:vertAlign w:val="superscript"/>
        </w:rPr>
        <w:t>12-14</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cs="Book Antiqua"/>
          <w:color w:val="000000"/>
          <w:lang w:eastAsia="zh-CN"/>
        </w:rPr>
        <w:t>Hearing loss, strabismus (misaligned eyes), a cleft lip and palate, and dental problems can be also seen from these patients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"_ENREF_12" \o "Torun, 2017 #5" </w:instrText>
      </w:r>
      <w:r>
        <w:rPr>
          <w:rFonts w:ascii="Book Antiqua" w:hAnsi="Book Antiqua"/>
        </w:rPr>
        <w:fldChar w:fldCharType="separate"/>
      </w:r>
      <w:r>
        <w:rPr>
          <w:rFonts w:ascii="Book Antiqua" w:hAnsi="Book Antiqua" w:eastAsia="Book Antiqua" w:cs="Book Antiqua"/>
          <w:color w:val="000000"/>
          <w:vertAlign w:val="superscript"/>
        </w:rPr>
        <w:t>12</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,15,</w:t>
      </w:r>
      <w:r>
        <w:fldChar w:fldCharType="begin"/>
      </w:r>
      <w:r>
        <w:instrText xml:space="preserve"> HYPERLINK \l "_ENREF_16" \o "Reitsma, 2014 #37" </w:instrText>
      </w:r>
      <w:r>
        <w:fldChar w:fldCharType="separate"/>
      </w:r>
      <w:r>
        <w:rPr>
          <w:rFonts w:ascii="Book Antiqua" w:hAnsi="Book Antiqua" w:eastAsia="Book Antiqua" w:cs="Book Antiqua"/>
          <w:color w:val="000000"/>
          <w:vertAlign w:val="superscript"/>
        </w:rPr>
        <w:t>16</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However, Crouzon </w:t>
      </w:r>
      <w:r>
        <w:rPr>
          <w:rFonts w:ascii="Book Antiqua" w:hAnsi="Book Antiqua" w:cs="Book Antiqua"/>
          <w:color w:val="000000"/>
          <w:lang w:eastAsia="zh-CN"/>
        </w:rPr>
        <w:t xml:space="preserve">syndrome </w:t>
      </w:r>
      <w:r>
        <w:rPr>
          <w:rFonts w:ascii="Book Antiqua" w:hAnsi="Book Antiqua" w:eastAsia="Book Antiqua" w:cs="Book Antiqua"/>
          <w:color w:val="000000"/>
        </w:rPr>
        <w:t>patients have normal hands and feet in contrast to Apert syndrome patients and other craniosynostosis syndromes</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"_ENREF_17" \o "Ko, 2016 #9" </w:instrText>
      </w:r>
      <w:r>
        <w:rPr>
          <w:rFonts w:ascii="Book Antiqua" w:hAnsi="Book Antiqua"/>
        </w:rPr>
        <w:fldChar w:fldCharType="separate"/>
      </w:r>
      <w:r>
        <w:rPr>
          <w:rFonts w:ascii="Book Antiqua" w:hAnsi="Book Antiqua" w:eastAsia="Book Antiqua" w:cs="Book Antiqua"/>
          <w:color w:val="000000"/>
          <w:vertAlign w:val="superscript"/>
        </w:rPr>
        <w:t>17</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,18]</w:t>
      </w:r>
      <w:r>
        <w:rPr>
          <w:rFonts w:ascii="Book Antiqua" w:hAnsi="Book Antiqua" w:eastAsia="Book Antiqua" w:cs="Book Antiqua"/>
          <w:color w:val="000000"/>
        </w:rPr>
        <w:t>. The different characteristics of the more common syndromic craniosynostosis syndromes are shown in Table 1</w:t>
      </w:r>
      <w:r>
        <w:rPr>
          <w:rFonts w:ascii="Book Antiqua" w:hAnsi="Book Antiqua" w:eastAsia="Book Antiqua" w:cs="Book Antiqua"/>
          <w:color w:val="000000"/>
          <w:vertAlign w:val="superscript"/>
        </w:rPr>
        <w:t>[</w:t>
      </w:r>
      <w:r>
        <w:fldChar w:fldCharType="begin"/>
      </w:r>
      <w:r>
        <w:instrText xml:space="preserve"> HYPERLINK \l "_ENREF_17" \o "Ko, 2016 #9" </w:instrText>
      </w:r>
      <w:r>
        <w:fldChar w:fldCharType="separate"/>
      </w:r>
      <w:r>
        <w:rPr>
          <w:rFonts w:ascii="Book Antiqua" w:hAnsi="Book Antiqua" w:eastAsia="Book Antiqua" w:cs="Book Antiqua"/>
          <w:color w:val="000000"/>
          <w:vertAlign w:val="superscript"/>
        </w:rPr>
        <w:t>17</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,19-22]</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The most common dental problems in craniosynostosis are supernumerary teeth, hypodontia, delayed eruption, and macrodontia</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"_ENREF_23" \o "Ye, 2016 #24" </w:instrText>
      </w:r>
      <w:r>
        <w:rPr>
          <w:rFonts w:ascii="Book Antiqua" w:hAnsi="Book Antiqua"/>
        </w:rPr>
        <w:fldChar w:fldCharType="separate"/>
      </w:r>
      <w:r>
        <w:rPr>
          <w:rFonts w:ascii="Book Antiqua" w:hAnsi="Book Antiqua" w:eastAsia="Book Antiqua" w:cs="Book Antiqua"/>
          <w:color w:val="000000"/>
          <w:vertAlign w:val="superscript"/>
        </w:rPr>
        <w:t>23</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"_ENREF_24" \o "Khominsky, 2018 #40" </w:instrText>
      </w:r>
      <w:r>
        <w:fldChar w:fldCharType="separate"/>
      </w:r>
      <w:r>
        <w:rPr>
          <w:rFonts w:ascii="Book Antiqua" w:hAnsi="Book Antiqua" w:eastAsia="Book Antiqua" w:cs="Book Antiqua"/>
          <w:color w:val="000000"/>
          <w:vertAlign w:val="superscript"/>
        </w:rPr>
        <w:t>24</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We report a 6-year-old fraternal twin boy with </w:t>
      </w:r>
      <w:r>
        <w:rPr>
          <w:rFonts w:ascii="Book Antiqua" w:hAnsi="Book Antiqua" w:cs="Book Antiqua"/>
          <w:color w:val="000000"/>
          <w:lang w:eastAsia="zh-CN"/>
        </w:rPr>
        <w:t>CS</w:t>
      </w:r>
      <w:r>
        <w:rPr>
          <w:rFonts w:ascii="Book Antiqua" w:hAnsi="Book Antiqua" w:eastAsia="Book Antiqua" w:cs="Book Antiqua"/>
          <w:color w:val="000000"/>
        </w:rPr>
        <w:t xml:space="preserve"> who had many caries and enamel hypomineralization in the oral cavity. The boy’s parents and his fraternal twin sister did not show any abnormalities indicating </w:t>
      </w:r>
      <w:r>
        <w:rPr>
          <w:rFonts w:ascii="Book Antiqua" w:hAnsi="Book Antiqua" w:cs="Book Antiqua"/>
          <w:color w:val="000000"/>
          <w:lang w:eastAsia="zh-CN"/>
        </w:rPr>
        <w:t>CS</w:t>
      </w:r>
      <w:r>
        <w:rPr>
          <w:rFonts w:ascii="Book Antiqua" w:hAnsi="Book Antiqua" w:eastAsia="Book Antiqua" w:cs="Book Antiqua"/>
          <w:color w:val="000000"/>
        </w:rPr>
        <w:t>. Therefore, we hypothesize that the twin boy’s gene mutation arose from a de novo mutation.</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6-year-old Chinese boy was referred to the stomatology department of the Children’s Hospital, Zhejiang University School of Medicine, with a chief complaint of dental caries.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Dental caries were observed since the patient was 4-years-old and gradually became progressively larger.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lang w:eastAsia="zh-CN"/>
        </w:rPr>
      </w:pPr>
      <w:r>
        <w:rPr>
          <w:rFonts w:ascii="Book Antiqua" w:hAnsi="Book Antiqua" w:eastAsia="Book Antiqua" w:cs="Book Antiqua"/>
          <w:color w:val="000000"/>
        </w:rPr>
        <w:t>The patient underwent intracranial decompression surgery at the age of 1 due to hydrocephalus. Posterior cranial vault distraction was performed when he was 2-years-old. The patient underwent a ventriculoperitoneal shunt operation for hydrocephalus at the age of 3. One year later, the patient had cranial vault remodeling as a result of craniofacial dysostosis.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lang w:eastAsia="zh-CN"/>
        </w:rPr>
      </w:pPr>
      <w:r>
        <w:rPr>
          <w:rFonts w:ascii="Book Antiqua" w:hAnsi="Book Antiqua" w:eastAsia="Book Antiqua" w:cs="Book Antiqua"/>
          <w:color w:val="000000"/>
        </w:rPr>
        <w:t xml:space="preserve">His medical and developmental history </w:t>
      </w:r>
      <w:r>
        <w:rPr>
          <w:rFonts w:ascii="Book Antiqua" w:hAnsi="Book Antiqua" w:cs="Book Antiqua"/>
          <w:color w:val="000000"/>
          <w:lang w:eastAsia="zh-CN"/>
        </w:rPr>
        <w:t>showed</w:t>
      </w:r>
      <w:r>
        <w:rPr>
          <w:rFonts w:ascii="Book Antiqua" w:hAnsi="Book Antiqua" w:eastAsia="Book Antiqua" w:cs="Book Antiqua"/>
          <w:color w:val="000000"/>
        </w:rPr>
        <w:t xml:space="preserve"> that he was born at full-term by cesarean delivery after an uneventful pregnancy with a 48 cm height and 2.35 kg weight, along with his fraternal twin sister with a 48 cm height and 1.8 kg weight. The family history of going back for three generations was negative for similar conditions, and his fraternal twin sister had no medical issues.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lang w:eastAsia="zh-CN"/>
        </w:rPr>
      </w:pPr>
      <w:r>
        <w:rPr>
          <w:rFonts w:ascii="Book Antiqua" w:hAnsi="Book Antiqua" w:eastAsia="Book Antiqua" w:cs="Book Antiqua"/>
          <w:color w:val="000000"/>
        </w:rPr>
        <w:t>Physical examination showed normal height (108 cm) and weight (20.4 kg) compared with that of children of the same age. Clinically normal hands and feet were found. Extraoral examination revealed a prominent forehead, eyelid ptosis, ocular proptosis, shallow eye sockets, hypertelorism, midface hypoplasia, and a retrusive upper lip and protrusive lower lip</w:t>
      </w:r>
      <w:r>
        <w:rPr>
          <w:rFonts w:ascii="Book Antiqua" w:hAnsi="Book Antiqua" w:cs="Book Antiqua"/>
          <w:color w:val="000000"/>
          <w:lang w:eastAsia="zh-CN"/>
        </w:rPr>
        <w:t xml:space="preserve"> (</w:t>
      </w:r>
      <w:r>
        <w:rPr>
          <w:rFonts w:ascii="Book Antiqua" w:hAnsi="Book Antiqua" w:eastAsia="Book Antiqua" w:cs="Book Antiqua"/>
          <w:color w:val="000000"/>
        </w:rPr>
        <w:t>Figure 1</w:t>
      </w:r>
      <w:r>
        <w:rPr>
          <w:rFonts w:ascii="Book Antiqua" w:hAnsi="Book Antiqua" w:cs="Book Antiqua"/>
          <w:color w:val="000000"/>
          <w:lang w:eastAsia="zh-CN"/>
        </w:rPr>
        <w:t>)</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Intraoral examination showed that the patient was in early mixed dentition, with all deciduous canines and molar teeth present in the maxillary and mandibular arch. The chronology of eruption and eruption status was </w:t>
      </w:r>
      <w:r>
        <w:rPr>
          <w:rFonts w:ascii="Book Antiqua" w:hAnsi="Book Antiqua" w:cs="Book Antiqua"/>
          <w:color w:val="000000"/>
          <w:lang w:eastAsia="zh-CN"/>
        </w:rPr>
        <w:t>in accordance with</w:t>
      </w:r>
      <w:r>
        <w:rPr>
          <w:rFonts w:ascii="Book Antiqua" w:hAnsi="Book Antiqua" w:eastAsia="Book Antiqua" w:cs="Book Antiqua"/>
          <w:color w:val="000000"/>
        </w:rPr>
        <w:t xml:space="preserve"> the child’s age </w:t>
      </w:r>
      <w:r>
        <w:rPr>
          <w:rFonts w:ascii="Book Antiqua" w:hAnsi="Book Antiqua" w:cs="Book Antiqua"/>
          <w:color w:val="000000"/>
          <w:lang w:eastAsia="zh-CN"/>
        </w:rPr>
        <w:t>(</w:t>
      </w:r>
      <w:r>
        <w:rPr>
          <w:rFonts w:ascii="Book Antiqua" w:hAnsi="Book Antiqua" w:eastAsia="Book Antiqua" w:cs="Book Antiqua"/>
          <w:color w:val="000000"/>
        </w:rPr>
        <w:t>Figure 1</w:t>
      </w:r>
      <w:r>
        <w:rPr>
          <w:rFonts w:ascii="Book Antiqua" w:hAnsi="Book Antiqua" w:cs="Book Antiqua"/>
          <w:color w:val="000000"/>
          <w:lang w:eastAsia="zh-CN"/>
        </w:rPr>
        <w:t>)</w:t>
      </w:r>
      <w:r>
        <w:rPr>
          <w:rFonts w:ascii="Book Antiqua" w:hAnsi="Book Antiqua" w:eastAsia="Book Antiqua" w:cs="Book Antiqua"/>
          <w:color w:val="000000"/>
        </w:rPr>
        <w:t>. The oral hygiene of the child was poor with scattered pigmentation on the teeth, and permanent teeth 36 and 46 and deciduous teeth 54, 55, 65, 74, 75, and 85 were mostly decayed. The eruptive permanent teeth, including 11, 21, 36, and 46, showed enamel</w:t>
      </w:r>
      <w:r>
        <w:rPr>
          <w:rFonts w:ascii="Book Antiqua" w:hAnsi="Book Antiqua"/>
          <w:lang w:eastAsia="zh-CN"/>
        </w:rPr>
        <w:t xml:space="preserve"> </w:t>
      </w:r>
      <w:r>
        <w:rPr>
          <w:rFonts w:ascii="Book Antiqua" w:hAnsi="Book Antiqua" w:eastAsia="Book Antiqua" w:cs="Book Antiqua"/>
          <w:color w:val="000000"/>
        </w:rPr>
        <w:t>hypomineralization. The maxillary arch was constricted, and the anterior cross bite and open bite are shown.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Sanger sequencing showed that the pathogenic variant c.1026C</w:t>
      </w:r>
      <w:r>
        <w:rPr>
          <w:rFonts w:ascii="Book Antiqua" w:hAnsi="Book Antiqua" w:cs="Book Antiqua"/>
          <w:color w:val="000000"/>
          <w:lang w:eastAsia="zh-CN"/>
        </w:rPr>
        <w:t xml:space="preserve"> </w:t>
      </w:r>
      <w:r>
        <w:rPr>
          <w:rFonts w:ascii="Book Antiqua" w:hAnsi="Book Antiqua" w:eastAsia="Book Antiqua" w:cs="Book Antiqua"/>
          <w:color w:val="000000"/>
        </w:rPr>
        <w:t>&gt;</w:t>
      </w:r>
      <w:r>
        <w:rPr>
          <w:rFonts w:ascii="Book Antiqua" w:hAnsi="Book Antiqua" w:cs="Book Antiqua"/>
          <w:color w:val="000000"/>
          <w:lang w:eastAsia="zh-CN"/>
        </w:rPr>
        <w:t xml:space="preserve"> </w:t>
      </w:r>
      <w:r>
        <w:rPr>
          <w:rFonts w:ascii="Book Antiqua" w:hAnsi="Book Antiqua" w:eastAsia="Book Antiqua" w:cs="Book Antiqua"/>
          <w:color w:val="000000"/>
        </w:rPr>
        <w:t>G</w:t>
      </w:r>
      <w:r>
        <w:rPr>
          <w:rFonts w:ascii="Book Antiqua" w:hAnsi="Book Antiqua" w:cs="Book Antiqua"/>
          <w:color w:val="000000"/>
          <w:lang w:eastAsia="zh-CN"/>
        </w:rPr>
        <w:t xml:space="preserve"> </w:t>
      </w:r>
      <w:r>
        <w:rPr>
          <w:rFonts w:ascii="Book Antiqua" w:hAnsi="Book Antiqua" w:eastAsia="Book Antiqua" w:cs="Book Antiqua"/>
          <w:color w:val="000000"/>
        </w:rPr>
        <w:t xml:space="preserve">(p.Cys342Trp) was present on the </w:t>
      </w:r>
      <w:r>
        <w:rPr>
          <w:rFonts w:ascii="Book Antiqua" w:hAnsi="Book Antiqua" w:eastAsia="Book Antiqua" w:cs="Book Antiqua"/>
          <w:i/>
          <w:iCs/>
          <w:color w:val="000000"/>
        </w:rPr>
        <w:t xml:space="preserve">FGFR2 </w:t>
      </w:r>
      <w:r>
        <w:rPr>
          <w:rFonts w:ascii="Book Antiqua" w:hAnsi="Book Antiqua" w:eastAsia="Book Antiqua" w:cs="Book Antiqua"/>
          <w:color w:val="000000"/>
        </w:rPr>
        <w:t>gene for the patient</w:t>
      </w:r>
      <w:r>
        <w:rPr>
          <w:rFonts w:ascii="Book Antiqua" w:hAnsi="Book Antiqua" w:eastAsia="Book Antiqua" w:cs="Book Antiqua"/>
          <w:i/>
          <w:iCs/>
          <w:color w:val="000000"/>
        </w:rPr>
        <w:t xml:space="preserve">. </w:t>
      </w:r>
      <w:r>
        <w:rPr>
          <w:rFonts w:ascii="Book Antiqua" w:hAnsi="Book Antiqua" w:eastAsia="Book Antiqua" w:cs="Book Antiqua"/>
          <w:color w:val="000000"/>
        </w:rPr>
        <w:t>The mutation was not present in any of the family members.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lang w:eastAsia="zh-CN"/>
        </w:rPr>
      </w:pPr>
      <w:r>
        <w:rPr>
          <w:rFonts w:ascii="Book Antiqua" w:hAnsi="Book Antiqua" w:eastAsia="Book Antiqua" w:cs="Book Antiqua"/>
          <w:color w:val="000000"/>
        </w:rPr>
        <w:t>The panoramic radiograph showed that there were no supernumerary teeth or normal permanent tooth germ development. Deciduous carious teeth 55, 64, 65, 75, and 85 had once been restored and displayed further second caries at the time of the study. Permanent teeth 36 and 46 and deciduous teeth 54 and 74 were decayed</w:t>
      </w:r>
      <w:r>
        <w:rPr>
          <w:rFonts w:ascii="Book Antiqua" w:hAnsi="Book Antiqua" w:cs="Book Antiqua"/>
          <w:color w:val="000000"/>
          <w:lang w:eastAsia="zh-CN"/>
        </w:rPr>
        <w:t xml:space="preserve"> (</w:t>
      </w:r>
      <w:r>
        <w:rPr>
          <w:rFonts w:ascii="Book Antiqua" w:hAnsi="Book Antiqua" w:eastAsia="Book Antiqua" w:cs="Book Antiqua"/>
          <w:color w:val="000000"/>
        </w:rPr>
        <w:t>Figure 2</w:t>
      </w:r>
      <w:r>
        <w:rPr>
          <w:rFonts w:ascii="Book Antiqua" w:hAnsi="Book Antiqua" w:cs="Book Antiqua"/>
          <w:color w:val="000000"/>
          <w:lang w:eastAsia="zh-CN"/>
        </w:rPr>
        <w:t>A)</w:t>
      </w:r>
      <w:r>
        <w:rPr>
          <w:rFonts w:ascii="Book Antiqua" w:hAnsi="Book Antiqua" w:eastAsia="Book Antiqua" w:cs="Book Antiqua"/>
          <w:color w:val="000000"/>
        </w:rPr>
        <w:t>.</w:t>
      </w:r>
    </w:p>
    <w:p>
      <w:pPr>
        <w:spacing w:line="360" w:lineRule="auto"/>
        <w:ind w:firstLine="240" w:firstLineChars="100"/>
        <w:jc w:val="both"/>
        <w:rPr>
          <w:rFonts w:ascii="Book Antiqua" w:hAnsi="Book Antiqua"/>
        </w:rPr>
      </w:pPr>
      <w:r>
        <w:rPr>
          <w:rFonts w:ascii="Book Antiqua" w:hAnsi="Book Antiqua" w:eastAsia="Book Antiqua" w:cs="Book Antiqua"/>
          <w:color w:val="000000"/>
        </w:rPr>
        <w:t xml:space="preserve">Based on the lateral cephalometric analysis, a </w:t>
      </w:r>
      <w:r>
        <w:rPr>
          <w:rFonts w:ascii="Book Antiqua" w:hAnsi="Book Antiqua" w:cs="Book Antiqua"/>
          <w:color w:val="000000"/>
          <w:lang w:eastAsia="zh-CN"/>
        </w:rPr>
        <w:t xml:space="preserve">severe </w:t>
      </w:r>
      <w:r>
        <w:rPr>
          <w:rFonts w:ascii="Book Antiqua" w:hAnsi="Book Antiqua" w:eastAsia="Book Antiqua" w:cs="Book Antiqua"/>
          <w:color w:val="000000"/>
        </w:rPr>
        <w:t xml:space="preserve">skeletal Class III relationship was diagnosed </w:t>
      </w:r>
      <w:r>
        <w:rPr>
          <w:rFonts w:ascii="Book Antiqua" w:hAnsi="Book Antiqua" w:cs="Book Antiqua"/>
          <w:color w:val="000000"/>
          <w:lang w:eastAsia="zh-CN"/>
        </w:rPr>
        <w:t xml:space="preserve">with </w:t>
      </w:r>
      <w:r>
        <w:rPr>
          <w:rFonts w:ascii="Book Antiqua" w:hAnsi="Book Antiqua" w:eastAsia="Book Antiqua" w:cs="Book Antiqua"/>
          <w:color w:val="000000"/>
        </w:rPr>
        <w:t>Sella-Nasion-A point angle: 63.8°, Sella-Nasion-B point angle: 71.6° and A point-Nasion-B point angle: -7.8°</w:t>
      </w:r>
      <w:r>
        <w:rPr>
          <w:rFonts w:ascii="Book Antiqua" w:hAnsi="Book Antiqua" w:cs="Book Antiqua"/>
          <w:color w:val="000000"/>
          <w:lang w:eastAsia="zh-CN"/>
        </w:rPr>
        <w:t xml:space="preserve"> (</w:t>
      </w:r>
      <w:r>
        <w:rPr>
          <w:rFonts w:ascii="Book Antiqua" w:hAnsi="Book Antiqua" w:eastAsia="Book Antiqua" w:cs="Book Antiqua"/>
          <w:color w:val="000000"/>
        </w:rPr>
        <w:t xml:space="preserve">Figure </w:t>
      </w:r>
      <w:r>
        <w:rPr>
          <w:rFonts w:ascii="Book Antiqua" w:hAnsi="Book Antiqua" w:cs="Book Antiqua"/>
          <w:color w:val="000000"/>
          <w:lang w:eastAsia="zh-CN"/>
        </w:rPr>
        <w:t>2B)</w:t>
      </w:r>
      <w:r>
        <w:rPr>
          <w:rFonts w:ascii="Book Antiqua" w:hAnsi="Book Antiqua" w:eastAsia="Book Antiqua" w:cs="Book Antiqua"/>
          <w:color w:val="000000"/>
        </w:rPr>
        <w:t xml:space="preserve">. A hypodivergent </w:t>
      </w:r>
      <w:r>
        <w:rPr>
          <w:rFonts w:ascii="Book Antiqua" w:hAnsi="Book Antiqua" w:cs="Book Antiqua"/>
          <w:color w:val="000000"/>
          <w:lang w:eastAsia="zh-CN"/>
        </w:rPr>
        <w:t xml:space="preserve">facial </w:t>
      </w:r>
      <w:r>
        <w:rPr>
          <w:rFonts w:ascii="Book Antiqua" w:hAnsi="Book Antiqua" w:eastAsia="Book Antiqua" w:cs="Book Antiqua"/>
          <w:color w:val="000000"/>
        </w:rPr>
        <w:t xml:space="preserve">pattern was </w:t>
      </w:r>
      <w:r>
        <w:rPr>
          <w:rFonts w:ascii="Book Antiqua" w:hAnsi="Book Antiqua" w:cs="Book Antiqua"/>
          <w:color w:val="000000"/>
          <w:lang w:eastAsia="zh-CN"/>
        </w:rPr>
        <w:t>shown</w:t>
      </w:r>
      <w:r>
        <w:rPr>
          <w:rFonts w:ascii="Book Antiqua" w:hAnsi="Book Antiqua" w:eastAsia="Book Antiqua" w:cs="Book Antiqua"/>
          <w:color w:val="000000"/>
        </w:rPr>
        <w:t xml:space="preserve"> </w:t>
      </w:r>
      <w:r>
        <w:rPr>
          <w:rFonts w:ascii="Book Antiqua" w:hAnsi="Book Antiqua" w:cs="Book Antiqua"/>
          <w:color w:val="000000"/>
          <w:lang w:eastAsia="zh-CN"/>
        </w:rPr>
        <w:t xml:space="preserve">with </w:t>
      </w:r>
      <w:r>
        <w:rPr>
          <w:rFonts w:ascii="Book Antiqua" w:hAnsi="Book Antiqua" w:eastAsia="Book Antiqua" w:cs="Book Antiqua"/>
          <w:color w:val="000000"/>
        </w:rPr>
        <w:t xml:space="preserve">Sella-Nasion/Gonion-Gnathion: 35.1°. </w:t>
      </w:r>
      <w:r>
        <w:rPr>
          <w:rFonts w:ascii="Book Antiqua" w:hAnsi="Book Antiqua" w:cs="Book Antiqua"/>
          <w:color w:val="000000"/>
          <w:lang w:eastAsia="zh-CN"/>
        </w:rPr>
        <w:t>The cephalometric analysis also revealed the</w:t>
      </w:r>
      <w:r>
        <w:rPr>
          <w:rFonts w:ascii="Book Antiqua" w:hAnsi="Book Antiqua" w:eastAsia="Book Antiqua" w:cs="Book Antiqua"/>
          <w:color w:val="000000"/>
        </w:rPr>
        <w:t xml:space="preserve"> maxillary skeletal size (condylion to point A) was diminished. The upper central incisors leaned toward the lip (U1/Sella-Nasion: 112.8°).</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 xml:space="preserve">The final diagnosis of the presented case was </w:t>
      </w:r>
      <w:r>
        <w:rPr>
          <w:rFonts w:ascii="Book Antiqua" w:hAnsi="Book Antiqua" w:cs="Book Antiqua"/>
          <w:color w:val="000000"/>
          <w:lang w:eastAsia="zh-CN"/>
        </w:rPr>
        <w:t>CS</w:t>
      </w:r>
      <w:r>
        <w:rPr>
          <w:rFonts w:ascii="Book Antiqua" w:hAnsi="Book Antiqua" w:eastAsia="Book Antiqua" w:cs="Book Antiqua"/>
          <w:color w:val="000000"/>
        </w:rPr>
        <w:t xml:space="preserve">, caries, </w:t>
      </w:r>
      <w:r>
        <w:rPr>
          <w:rFonts w:ascii="Book Antiqua" w:hAnsi="Book Antiqua" w:cs="Book Antiqua"/>
          <w:color w:val="000000"/>
          <w:lang w:eastAsia="zh-CN"/>
        </w:rPr>
        <w:t xml:space="preserve">and </w:t>
      </w:r>
      <w:r>
        <w:rPr>
          <w:rFonts w:ascii="Book Antiqua" w:hAnsi="Book Antiqua" w:eastAsia="Book Antiqua" w:cs="Book Antiqua"/>
          <w:color w:val="000000"/>
        </w:rPr>
        <w:t>enamel hypomineralization.</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 xml:space="preserve">A comprehensive treatment plan was made. The initial treatment involved improving the patient’s oral hygiene and restoring his carious teeth. The dental caries in teeth 54, 55, 64, 65, 74, 75, 85, 36, and 46 were treated with resin-based restorations. Topical fluoride was regularly applied to enamel hypomineralization in teeth 11, 21, 36, and 46 to promote enamel remineralization. The Skeletal Class III malocclusion was treated by orthodontic treatment and </w:t>
      </w:r>
      <w:r>
        <w:rPr>
          <w:rFonts w:ascii="Book Antiqua" w:hAnsi="Book Antiqua" w:cs="Book Antiqua"/>
          <w:color w:val="000000"/>
          <w:lang w:eastAsia="zh-CN"/>
        </w:rPr>
        <w:t>orthognathic surgery</w:t>
      </w:r>
      <w:r>
        <w:rPr>
          <w:rFonts w:ascii="Book Antiqua" w:hAnsi="Book Antiqua" w:eastAsia="Book Antiqua" w:cs="Book Antiqua"/>
          <w:color w:val="000000"/>
        </w:rPr>
        <w:t xml:space="preserve">. Multidisciplinary approaches involving pediatric dentists, dental surgeons, oral and maxillofacial surgeons, and orthodontists were </w:t>
      </w:r>
      <w:r>
        <w:rPr>
          <w:rFonts w:ascii="Book Antiqua" w:hAnsi="Book Antiqua" w:cs="Book Antiqua"/>
          <w:color w:val="000000"/>
          <w:lang w:eastAsia="zh-CN"/>
        </w:rPr>
        <w:t>indispensable</w:t>
      </w:r>
      <w:r>
        <w:rPr>
          <w:rFonts w:ascii="Book Antiqua" w:hAnsi="Book Antiqua" w:eastAsia="Book Antiqua" w:cs="Book Antiqua"/>
          <w:color w:val="000000"/>
        </w:rPr>
        <w:t xml:space="preserve"> for this treatment.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At the first dental visit, the patient was nervous and fearful and was unwilling to open his mouth. Appropriately administered behavior management and guidance</w:t>
      </w:r>
      <w:r>
        <w:rPr>
          <w:rFonts w:ascii="Book Antiqua" w:hAnsi="Book Antiqua" w:eastAsia="Book Antiqua" w:cs="Book Antiqua"/>
          <w:color w:val="000000"/>
          <w:vertAlign w:val="superscript"/>
        </w:rPr>
        <w:t>[</w:t>
      </w:r>
      <w:r>
        <w:fldChar w:fldCharType="begin"/>
      </w:r>
      <w:r>
        <w:instrText xml:space="preserve"> HYPERLINK \l "_ENREF_25" \o "Nelson, 2013 #20" </w:instrText>
      </w:r>
      <w:r>
        <w:fldChar w:fldCharType="separate"/>
      </w:r>
      <w:r>
        <w:rPr>
          <w:rFonts w:ascii="Book Antiqua" w:hAnsi="Book Antiqua" w:eastAsia="Book Antiqua" w:cs="Book Antiqua"/>
          <w:color w:val="000000"/>
          <w:vertAlign w:val="superscript"/>
        </w:rPr>
        <w:t>25</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"_ENREF_26" \o "Karekar, 2019 #19" </w:instrText>
      </w:r>
      <w:r>
        <w:fldChar w:fldCharType="separate"/>
      </w:r>
      <w:r>
        <w:rPr>
          <w:rFonts w:ascii="Book Antiqua" w:hAnsi="Book Antiqua" w:eastAsia="Book Antiqua" w:cs="Book Antiqua"/>
          <w:color w:val="000000"/>
          <w:vertAlign w:val="superscript"/>
        </w:rPr>
        <w:t>26</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including show-and-tell tactics, positive reinforcement, sound communication, and modeling, were used to manage the patient’s anxieties. Oral examination, radiographic assessment, oral prophylaxis, and polishing of the teeth with the rubber cup were performed during the first dental appointment. For the latter dental appointments, carious restoration was successfully completed utilizing show-and-tell tactics, positive reinforcement, and distracting the patient by showing movies during the procedure. After the procedure, the patient was praised and given a post-visit sticker, and he was agreeable for a future visit.</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Three months later, the oral hygiene of the patient was good, and topical fluoride was applied in teeth 11, 21, 36, and 46 to promote enamel remineralization.</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b/>
          <w:caps/>
          <w:color w:val="000000"/>
          <w:u w:val="single"/>
        </w:rPr>
        <w:t>DISCUSSION</w:t>
      </w:r>
    </w:p>
    <w:p>
      <w:pPr>
        <w:spacing w:line="360" w:lineRule="auto"/>
        <w:jc w:val="both"/>
        <w:rPr>
          <w:rFonts w:ascii="Book Antiqua" w:hAnsi="Book Antiqua"/>
          <w:lang w:eastAsia="zh-CN"/>
        </w:rPr>
      </w:pPr>
      <w:r>
        <w:rPr>
          <w:rFonts w:ascii="Book Antiqua" w:hAnsi="Book Antiqua" w:eastAsia="Book Antiqua" w:cs="Book Antiqua"/>
          <w:color w:val="000000"/>
        </w:rPr>
        <w:t xml:space="preserve">Craniosynostosis results from the premature fusion of one or multiple cranial sutures, </w:t>
      </w:r>
      <w:r>
        <w:rPr>
          <w:rFonts w:ascii="Book Antiqua" w:hAnsi="Book Antiqua" w:cs="Book Antiqua"/>
          <w:color w:val="000000"/>
          <w:lang w:eastAsia="zh-CN"/>
        </w:rPr>
        <w:t>resulting in</w:t>
      </w:r>
      <w:r>
        <w:rPr>
          <w:rFonts w:ascii="Book Antiqua" w:hAnsi="Book Antiqua" w:eastAsia="Book Antiqua" w:cs="Book Antiqua"/>
          <w:color w:val="000000"/>
        </w:rPr>
        <w:t xml:space="preserve"> restricted growth of the skull, brain, face, and central nervous system development</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"_ENREF_4" \o "R.I.Aviv, 2002 #1" </w:instrText>
      </w:r>
      <w:r>
        <w:rPr>
          <w:rFonts w:ascii="Book Antiqua" w:hAnsi="Book Antiqua"/>
        </w:rPr>
        <w:fldChar w:fldCharType="separate"/>
      </w:r>
      <w:r>
        <w:rPr>
          <w:rFonts w:ascii="Book Antiqua" w:hAnsi="Book Antiqua" w:eastAsia="Book Antiqua" w:cs="Book Antiqua"/>
          <w:color w:val="000000"/>
          <w:vertAlign w:val="superscript"/>
        </w:rPr>
        <w:t>4</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cs="Book Antiqua"/>
          <w:color w:val="000000"/>
          <w:lang w:eastAsia="zh-CN"/>
        </w:rPr>
        <w:t>CS</w:t>
      </w:r>
      <w:r>
        <w:rPr>
          <w:rFonts w:ascii="Book Antiqua" w:hAnsi="Book Antiqua" w:eastAsia="Book Antiqua" w:cs="Book Antiqua"/>
          <w:color w:val="000000"/>
        </w:rPr>
        <w:t xml:space="preserve"> is the most </w:t>
      </w:r>
      <w:r>
        <w:rPr>
          <w:rFonts w:ascii="Book Antiqua" w:hAnsi="Book Antiqua" w:cs="Book Antiqua"/>
          <w:color w:val="000000"/>
          <w:lang w:eastAsia="zh-CN"/>
        </w:rPr>
        <w:t>common</w:t>
      </w:r>
      <w:r>
        <w:rPr>
          <w:rFonts w:ascii="Book Antiqua" w:hAnsi="Book Antiqua" w:eastAsia="Book Antiqua" w:cs="Book Antiqua"/>
          <w:color w:val="000000"/>
        </w:rPr>
        <w:t xml:space="preserve"> syndromic craniosynostosis and is caused by the mutation of </w:t>
      </w:r>
      <w:r>
        <w:rPr>
          <w:rFonts w:ascii="Book Antiqua" w:hAnsi="Book Antiqua" w:eastAsia="Book Antiqua" w:cs="Book Antiqua"/>
          <w:i/>
          <w:iCs/>
          <w:color w:val="000000"/>
        </w:rPr>
        <w:t>FGFR2</w:t>
      </w:r>
      <w:r>
        <w:rPr>
          <w:rFonts w:ascii="Book Antiqua" w:hAnsi="Book Antiqua" w:eastAsia="Book Antiqua" w:cs="Book Antiqua"/>
          <w:color w:val="000000"/>
          <w:vertAlign w:val="superscript"/>
        </w:rPr>
        <w:t>[</w:t>
      </w:r>
      <w:r>
        <w:fldChar w:fldCharType="begin"/>
      </w:r>
      <w:r>
        <w:instrText xml:space="preserve"> HYPERLINK \l "_ENREF_17" \o "Ko, 2016 #9" </w:instrText>
      </w:r>
      <w:r>
        <w:fldChar w:fldCharType="separate"/>
      </w:r>
      <w:r>
        <w:rPr>
          <w:rFonts w:ascii="Book Antiqua" w:hAnsi="Book Antiqua" w:eastAsia="Book Antiqua" w:cs="Book Antiqua"/>
          <w:color w:val="000000"/>
          <w:vertAlign w:val="superscript"/>
        </w:rPr>
        <w:t>17</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w:t>
      </w:r>
      <w:r>
        <w:rPr>
          <w:rFonts w:ascii="Book Antiqua" w:hAnsi="Book Antiqua" w:eastAsia="Book Antiqua" w:cs="Book Antiqua"/>
          <w:i/>
          <w:iCs/>
          <w:color w:val="000000"/>
        </w:rPr>
        <w:t xml:space="preserve">FGFR2 </w:t>
      </w:r>
      <w:r>
        <w:rPr>
          <w:rFonts w:ascii="Book Antiqua" w:hAnsi="Book Antiqua" w:eastAsia="Book Antiqua" w:cs="Book Antiqua"/>
          <w:color w:val="000000"/>
        </w:rPr>
        <w:t xml:space="preserve">belongs to a family of four </w:t>
      </w:r>
      <w:r>
        <w:rPr>
          <w:rFonts w:ascii="Book Antiqua" w:hAnsi="Book Antiqua" w:eastAsia="Book Antiqua" w:cs="Book Antiqua"/>
          <w:i/>
          <w:iCs/>
          <w:color w:val="000000"/>
        </w:rPr>
        <w:t>FGFR</w:t>
      </w:r>
      <w:r>
        <w:rPr>
          <w:rFonts w:ascii="Book Antiqua" w:hAnsi="Book Antiqua"/>
          <w:color w:val="000000"/>
        </w:rPr>
        <w:t>s</w:t>
      </w:r>
      <w:r>
        <w:rPr>
          <w:rFonts w:ascii="Book Antiqua" w:hAnsi="Book Antiqua" w:eastAsia="Book Antiqua" w:cs="Book Antiqua"/>
          <w:color w:val="000000"/>
        </w:rPr>
        <w:t>. The FGFR</w:t>
      </w:r>
      <w:r>
        <w:rPr>
          <w:rFonts w:ascii="Book Antiqua" w:hAnsi="Book Antiqua" w:eastAsia="Book Antiqua" w:cs="Book Antiqua"/>
          <w:i/>
          <w:iCs/>
          <w:color w:val="000000"/>
        </w:rPr>
        <w:t xml:space="preserve"> </w:t>
      </w:r>
      <w:r>
        <w:rPr>
          <w:rFonts w:ascii="Book Antiqua" w:hAnsi="Book Antiqua" w:eastAsia="Book Antiqua" w:cs="Book Antiqua"/>
          <w:color w:val="000000"/>
        </w:rPr>
        <w:t xml:space="preserve">family plays a </w:t>
      </w:r>
      <w:r>
        <w:rPr>
          <w:rFonts w:ascii="Book Antiqua" w:hAnsi="Book Antiqua" w:cs="Book Antiqua"/>
          <w:color w:val="000000"/>
          <w:lang w:eastAsia="zh-CN"/>
        </w:rPr>
        <w:t xml:space="preserve">primary </w:t>
      </w:r>
      <w:r>
        <w:rPr>
          <w:rFonts w:ascii="Book Antiqua" w:hAnsi="Book Antiqua" w:eastAsia="Book Antiqua" w:cs="Book Antiqua"/>
          <w:color w:val="000000"/>
        </w:rPr>
        <w:t xml:space="preserve">role in the growth and differentiation of mesenchymal and neuroectodermal cells by binding to FGF and initiating signal transduction. Additionally, the </w:t>
      </w:r>
      <w:r>
        <w:rPr>
          <w:rFonts w:ascii="Book Antiqua" w:hAnsi="Book Antiqua" w:eastAsia="Book Antiqua" w:cs="Book Antiqua"/>
          <w:i/>
          <w:color w:val="000000"/>
        </w:rPr>
        <w:t>FGFR</w:t>
      </w:r>
      <w:r>
        <w:rPr>
          <w:rFonts w:ascii="Book Antiqua" w:hAnsi="Book Antiqua" w:eastAsia="Book Antiqua" w:cs="Book Antiqua"/>
          <w:color w:val="000000"/>
        </w:rPr>
        <w:t xml:space="preserve"> family regulates cranial suture fusion on a macroscopic level</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"_ENREF_7" \o "Al-Namnam, 2019 #3" </w:instrText>
      </w:r>
      <w:r>
        <w:rPr>
          <w:rFonts w:ascii="Book Antiqua" w:hAnsi="Book Antiqua"/>
        </w:rPr>
        <w:fldChar w:fldCharType="separate"/>
      </w:r>
      <w:r>
        <w:rPr>
          <w:rFonts w:ascii="Book Antiqua" w:hAnsi="Book Antiqua" w:eastAsia="Book Antiqua" w:cs="Book Antiqua"/>
          <w:color w:val="000000"/>
          <w:vertAlign w:val="superscript"/>
        </w:rPr>
        <w:t>7</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For our patient the c.1026 C</w:t>
      </w:r>
      <w:r>
        <w:rPr>
          <w:rFonts w:ascii="Book Antiqua" w:hAnsi="Book Antiqua" w:cs="Book Antiqua"/>
          <w:color w:val="000000"/>
          <w:lang w:eastAsia="zh-CN"/>
        </w:rPr>
        <w:t xml:space="preserve"> </w:t>
      </w:r>
      <w:r>
        <w:rPr>
          <w:rFonts w:ascii="Book Antiqua" w:hAnsi="Book Antiqua" w:eastAsia="Book Antiqua" w:cs="Book Antiqua"/>
          <w:color w:val="000000"/>
        </w:rPr>
        <w:t>&gt;</w:t>
      </w:r>
      <w:r>
        <w:rPr>
          <w:rFonts w:ascii="Book Antiqua" w:hAnsi="Book Antiqua" w:cs="Book Antiqua"/>
          <w:color w:val="000000"/>
          <w:lang w:eastAsia="zh-CN"/>
        </w:rPr>
        <w:t xml:space="preserve"> </w:t>
      </w:r>
      <w:r>
        <w:rPr>
          <w:rFonts w:ascii="Book Antiqua" w:hAnsi="Book Antiqua" w:eastAsia="Book Antiqua" w:cs="Book Antiqua"/>
          <w:color w:val="000000"/>
        </w:rPr>
        <w:t>G</w:t>
      </w:r>
      <w:r>
        <w:rPr>
          <w:rFonts w:ascii="Book Antiqua" w:hAnsi="Book Antiqua" w:cs="Book Antiqua"/>
          <w:color w:val="000000"/>
          <w:lang w:eastAsia="zh-CN"/>
        </w:rPr>
        <w:t xml:space="preserve"> </w:t>
      </w:r>
      <w:r>
        <w:rPr>
          <w:rFonts w:ascii="Book Antiqua" w:hAnsi="Book Antiqua" w:eastAsia="Book Antiqua" w:cs="Book Antiqua"/>
          <w:color w:val="000000"/>
        </w:rPr>
        <w:t xml:space="preserve">(p.Cys342Trp) mutation on the </w:t>
      </w:r>
      <w:r>
        <w:rPr>
          <w:rFonts w:ascii="Book Antiqua" w:hAnsi="Book Antiqua" w:eastAsia="Book Antiqua" w:cs="Book Antiqua"/>
          <w:i/>
          <w:iCs/>
          <w:color w:val="000000"/>
        </w:rPr>
        <w:t xml:space="preserve">FGFR2 </w:t>
      </w:r>
      <w:r>
        <w:rPr>
          <w:rFonts w:ascii="Book Antiqua" w:hAnsi="Book Antiqua" w:eastAsia="Book Antiqua" w:cs="Book Antiqua"/>
          <w:color w:val="000000"/>
        </w:rPr>
        <w:t xml:space="preserve">gene caused a cysteine-to-tryptophan substitution at amino acid 342. Mutations at amino acid 342 can cause </w:t>
      </w:r>
      <w:r>
        <w:rPr>
          <w:rFonts w:ascii="Book Antiqua" w:hAnsi="Book Antiqua" w:cs="Book Antiqua"/>
          <w:color w:val="000000"/>
          <w:lang w:eastAsia="zh-CN"/>
        </w:rPr>
        <w:t>CS</w:t>
      </w:r>
      <w:r>
        <w:rPr>
          <w:rFonts w:ascii="Book Antiqua" w:hAnsi="Book Antiqua" w:eastAsia="Book Antiqua" w:cs="Book Antiqua"/>
          <w:color w:val="000000"/>
        </w:rPr>
        <w:t xml:space="preserve"> and Pfeiffer syndrome. Normal hands and feet can be observed with </w:t>
      </w:r>
      <w:r>
        <w:rPr>
          <w:rFonts w:ascii="Book Antiqua" w:hAnsi="Book Antiqua" w:cs="Book Antiqua"/>
          <w:color w:val="000000"/>
          <w:lang w:eastAsia="zh-CN"/>
        </w:rPr>
        <w:t>CS</w:t>
      </w:r>
      <w:r>
        <w:rPr>
          <w:rFonts w:ascii="Book Antiqua" w:hAnsi="Book Antiqua" w:eastAsia="Book Antiqua" w:cs="Book Antiqua"/>
          <w:color w:val="000000"/>
        </w:rPr>
        <w:t xml:space="preserve">, which differentiates it from Pfeiffer syndrome. The loss of this cysteine residue is one of the most </w:t>
      </w:r>
      <w:r>
        <w:rPr>
          <w:rFonts w:ascii="Book Antiqua" w:hAnsi="Book Antiqua" w:cs="Book Antiqua"/>
          <w:color w:val="000000"/>
          <w:lang w:eastAsia="zh-CN"/>
        </w:rPr>
        <w:t>common</w:t>
      </w:r>
      <w:r>
        <w:rPr>
          <w:rFonts w:ascii="Book Antiqua" w:hAnsi="Book Antiqua" w:eastAsia="Book Antiqua" w:cs="Book Antiqua"/>
          <w:color w:val="000000"/>
        </w:rPr>
        <w:t xml:space="preserve"> mutations in </w:t>
      </w:r>
      <w:r>
        <w:rPr>
          <w:rFonts w:ascii="Book Antiqua" w:hAnsi="Book Antiqua" w:cs="Book Antiqua"/>
          <w:color w:val="000000"/>
          <w:lang w:eastAsia="zh-CN"/>
        </w:rPr>
        <w:t>CS</w:t>
      </w:r>
      <w:r>
        <w:rPr>
          <w:rFonts w:ascii="Book Antiqua" w:hAnsi="Book Antiqua" w:eastAsia="Book Antiqua" w:cs="Book Antiqua"/>
          <w:color w:val="000000"/>
        </w:rPr>
        <w:t xml:space="preserve"> patients and has previously been reported in a Chinese family, a Japanese sporadic case, and 4 Caucasian cases</w:t>
      </w:r>
      <w:r>
        <w:rPr>
          <w:rFonts w:ascii="Book Antiqua" w:hAnsi="Book Antiqua" w:eastAsia="Book Antiqua" w:cs="Book Antiqua"/>
          <w:color w:val="000000"/>
          <w:vertAlign w:val="superscript"/>
        </w:rPr>
        <w:t>[</w:t>
      </w:r>
      <w:r>
        <w:fldChar w:fldCharType="begin"/>
      </w:r>
      <w:r>
        <w:instrText xml:space="preserve"> HYPERLINK \l "_ENREF_9" \o "Li, 2016 #7" </w:instrText>
      </w:r>
      <w:r>
        <w:fldChar w:fldCharType="separate"/>
      </w:r>
      <w:r>
        <w:rPr>
          <w:rFonts w:ascii="Book Antiqua" w:hAnsi="Book Antiqua" w:eastAsia="Book Antiqua" w:cs="Book Antiqua"/>
          <w:color w:val="000000"/>
          <w:vertAlign w:val="superscript"/>
        </w:rPr>
        <w:t>9</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"_ENREF_27" \o "Ma, 1995 #21" </w:instrText>
      </w:r>
      <w:r>
        <w:fldChar w:fldCharType="separate"/>
      </w:r>
      <w:r>
        <w:rPr>
          <w:rFonts w:ascii="Book Antiqua" w:hAnsi="Book Antiqua" w:eastAsia="Book Antiqua" w:cs="Book Antiqua"/>
          <w:color w:val="000000"/>
          <w:vertAlign w:val="superscript"/>
        </w:rPr>
        <w:t>27-29</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Chinese family and 1 Caucasian family with </w:t>
      </w:r>
      <w:r>
        <w:rPr>
          <w:rFonts w:ascii="Book Antiqua" w:hAnsi="Book Antiqua" w:cs="Book Antiqua"/>
          <w:color w:val="000000"/>
          <w:lang w:eastAsia="zh-CN"/>
        </w:rPr>
        <w:t>CS</w:t>
      </w:r>
      <w:r>
        <w:rPr>
          <w:rFonts w:ascii="Book Antiqua" w:hAnsi="Book Antiqua" w:eastAsia="Book Antiqua" w:cs="Book Antiqua"/>
          <w:color w:val="000000"/>
        </w:rPr>
        <w:t xml:space="preserve"> have a dominant inherited amino acid 342 mutation</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"_ENREF_9" \o "Li, 2016 #7" </w:instrText>
      </w:r>
      <w:r>
        <w:rPr>
          <w:rFonts w:ascii="Book Antiqua" w:hAnsi="Book Antiqua"/>
        </w:rPr>
        <w:fldChar w:fldCharType="separate"/>
      </w:r>
      <w:r>
        <w:rPr>
          <w:rFonts w:ascii="Book Antiqua" w:hAnsi="Book Antiqua" w:eastAsia="Book Antiqua" w:cs="Book Antiqua"/>
          <w:color w:val="000000"/>
          <w:vertAlign w:val="superscript"/>
        </w:rPr>
        <w:t>9</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"_ENREF_27" \o "Ma, 1995 #21" </w:instrText>
      </w:r>
      <w:r>
        <w:fldChar w:fldCharType="separate"/>
      </w:r>
      <w:r>
        <w:rPr>
          <w:rFonts w:ascii="Book Antiqua" w:hAnsi="Book Antiqua" w:eastAsia="Book Antiqua" w:cs="Book Antiqua"/>
          <w:color w:val="000000"/>
          <w:vertAlign w:val="superscript"/>
        </w:rPr>
        <w:t>27</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Japanese case and the German patients with </w:t>
      </w:r>
      <w:r>
        <w:rPr>
          <w:rFonts w:ascii="Book Antiqua" w:hAnsi="Book Antiqua" w:cs="Book Antiqua"/>
          <w:color w:val="000000"/>
          <w:lang w:eastAsia="zh-CN"/>
        </w:rPr>
        <w:t>CS</w:t>
      </w:r>
      <w:r>
        <w:rPr>
          <w:rFonts w:ascii="Book Antiqua" w:hAnsi="Book Antiqua" w:eastAsia="Book Antiqua" w:cs="Book Antiqua"/>
          <w:color w:val="000000"/>
        </w:rPr>
        <w:t xml:space="preserve"> were sporadic</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"_ENREF_28" \o "Nagase, 1998 #23" </w:instrText>
      </w:r>
      <w:r>
        <w:rPr>
          <w:rFonts w:ascii="Book Antiqua" w:hAnsi="Book Antiqua"/>
        </w:rPr>
        <w:fldChar w:fldCharType="separate"/>
      </w:r>
      <w:r>
        <w:rPr>
          <w:rFonts w:ascii="Book Antiqua" w:hAnsi="Book Antiqua" w:eastAsia="Book Antiqua" w:cs="Book Antiqua"/>
          <w:color w:val="000000"/>
          <w:vertAlign w:val="superscript"/>
        </w:rPr>
        <w:t>28</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\l "_ENREF_29" \o "Kress, 2000 #22" </w:instrText>
      </w:r>
      <w:r>
        <w:fldChar w:fldCharType="separate"/>
      </w:r>
      <w:r>
        <w:rPr>
          <w:rFonts w:ascii="Book Antiqua" w:hAnsi="Book Antiqua" w:eastAsia="Book Antiqua" w:cs="Book Antiqua"/>
          <w:color w:val="000000"/>
          <w:vertAlign w:val="superscript"/>
        </w:rPr>
        <w:t>29</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Since the fraternal twin sister and the parents did not present gene mutations and similar presentations, our patient’s mutation was considered to be a de novo mutation. </w:t>
      </w:r>
      <w:r>
        <w:rPr>
          <w:rFonts w:ascii="Book Antiqua" w:hAnsi="Book Antiqua" w:eastAsia="Book Antiqua" w:cs="Book Antiqua"/>
          <w:color w:val="000000"/>
          <w:shd w:val="clear" w:color="auto" w:fill="FFFFFF"/>
        </w:rPr>
        <w:t xml:space="preserve">In 11 of the 21 families with </w:t>
      </w:r>
      <w:r>
        <w:rPr>
          <w:rFonts w:ascii="Book Antiqua" w:hAnsi="Book Antiqua" w:cs="Book Antiqua"/>
          <w:color w:val="000000"/>
          <w:lang w:eastAsia="zh-CN"/>
        </w:rPr>
        <w:t>CS</w:t>
      </w:r>
      <w:r>
        <w:rPr>
          <w:rFonts w:ascii="Book Antiqua" w:hAnsi="Book Antiqua" w:eastAsia="Book Antiqua" w:cs="Book Antiqua"/>
          <w:color w:val="000000"/>
          <w:shd w:val="clear" w:color="auto" w:fill="FFFFFF"/>
        </w:rPr>
        <w:t xml:space="preserve"> who underwent tracing to determine the origin of the mutation by analyzing parents and </w:t>
      </w:r>
      <w:r>
        <w:rPr>
          <w:rFonts w:ascii="Book Antiqua" w:hAnsi="Book Antiqua" w:cs="Book Antiqua"/>
          <w:color w:val="000000"/>
          <w:shd w:val="clear" w:color="auto" w:fill="FFFFFF"/>
          <w:lang w:eastAsia="zh-CN"/>
        </w:rPr>
        <w:t>the other family members</w:t>
      </w:r>
      <w:r>
        <w:rPr>
          <w:rFonts w:ascii="Book Antiqua" w:hAnsi="Book Antiqua" w:eastAsia="Book Antiqua" w:cs="Book Antiqua"/>
          <w:color w:val="000000"/>
          <w:shd w:val="clear" w:color="auto" w:fill="FFFFFF"/>
        </w:rPr>
        <w:t xml:space="preserve">, </w:t>
      </w:r>
      <w:r>
        <w:rPr>
          <w:rFonts w:ascii="Book Antiqua" w:hAnsi="Book Antiqua" w:eastAsia="Book Antiqua" w:cs="Book Antiqua"/>
          <w:i/>
          <w:iCs/>
          <w:color w:val="000000"/>
          <w:shd w:val="clear" w:color="auto" w:fill="FFFFFF"/>
        </w:rPr>
        <w:t>FGFR2</w:t>
      </w:r>
      <w:r>
        <w:rPr>
          <w:rFonts w:ascii="Book Antiqua" w:hAnsi="Book Antiqua" w:eastAsia="Book Antiqua" w:cs="Book Antiqua"/>
          <w:color w:val="000000"/>
          <w:shd w:val="clear" w:color="auto" w:fill="FFFFFF"/>
        </w:rPr>
        <w:t xml:space="preserve"> mutations arose </w:t>
      </w:r>
      <w:r>
        <w:rPr>
          <w:rFonts w:ascii="Book Antiqua" w:hAnsi="Book Antiqua" w:eastAsia="Book Antiqua" w:cs="Book Antiqua"/>
          <w:i/>
          <w:color w:val="000000"/>
          <w:shd w:val="clear" w:color="auto" w:fill="FFFFFF"/>
        </w:rPr>
        <w:t>de novo</w:t>
      </w:r>
      <w:r>
        <w:rPr>
          <w:rFonts w:ascii="Book Antiqua" w:hAnsi="Book Antiqua" w:eastAsia="Book Antiqua" w:cs="Book Antiqua"/>
          <w:color w:val="000000"/>
          <w:shd w:val="clear" w:color="auto" w:fill="FFFFFF"/>
        </w:rPr>
        <w:t xml:space="preserve">, </w:t>
      </w:r>
      <w:r>
        <w:rPr>
          <w:rFonts w:ascii="Book Antiqua" w:hAnsi="Book Antiqua" w:cs="Book Antiqua"/>
          <w:color w:val="000000"/>
          <w:shd w:val="clear" w:color="auto" w:fill="FFFFFF"/>
          <w:lang w:eastAsia="zh-CN"/>
        </w:rPr>
        <w:t>representing</w:t>
      </w:r>
      <w:r>
        <w:rPr>
          <w:rFonts w:ascii="Book Antiqua" w:hAnsi="Book Antiqua" w:eastAsia="Book Antiqua" w:cs="Book Antiqua"/>
          <w:color w:val="000000"/>
          <w:shd w:val="clear" w:color="auto" w:fill="FFFFFF"/>
        </w:rPr>
        <w:t xml:space="preserve"> a high mutation rate for </w:t>
      </w:r>
      <w:r>
        <w:rPr>
          <w:rFonts w:ascii="Book Antiqua" w:hAnsi="Book Antiqua" w:eastAsia="Book Antiqua" w:cs="Book Antiqua"/>
          <w:i/>
          <w:iCs/>
          <w:color w:val="000000"/>
          <w:shd w:val="clear" w:color="auto" w:fill="FFFFFF"/>
        </w:rPr>
        <w:t>FGFR2</w:t>
      </w:r>
      <w:r>
        <w:rPr>
          <w:rFonts w:ascii="Book Antiqua" w:hAnsi="Book Antiqua" w:eastAsia="Book Antiqua" w:cs="Book Antiqua"/>
          <w:color w:val="000000"/>
          <w:shd w:val="clear" w:color="auto" w:fill="FFFFFF"/>
          <w:vertAlign w:val="superscript"/>
        </w:rPr>
        <w:t>[</w:t>
      </w:r>
      <w:r>
        <w:fldChar w:fldCharType="begin"/>
      </w:r>
      <w:r>
        <w:instrText xml:space="preserve"> HYPERLINK \l "_ENREF_29" \o "Kress, 2000 #22" </w:instrText>
      </w:r>
      <w:r>
        <w:fldChar w:fldCharType="separate"/>
      </w:r>
      <w:r>
        <w:rPr>
          <w:rFonts w:ascii="Book Antiqua" w:hAnsi="Book Antiqua" w:eastAsia="Book Antiqua" w:cs="Book Antiqua"/>
          <w:color w:val="000000"/>
          <w:shd w:val="clear" w:color="auto" w:fill="FFFFFF"/>
          <w:vertAlign w:val="superscript"/>
        </w:rPr>
        <w:t>29</w:t>
      </w:r>
      <w:r>
        <w:rPr>
          <w:rFonts w:ascii="Book Antiqua" w:hAnsi="Book Antiqua" w:eastAsia="Book Antiqua" w:cs="Book Antiqua"/>
          <w:color w:val="000000"/>
          <w:shd w:val="clear" w:color="auto" w:fill="FFFFFF"/>
          <w:vertAlign w:val="superscript"/>
        </w:rPr>
        <w:fldChar w:fldCharType="end"/>
      </w:r>
      <w:r>
        <w:rPr>
          <w:rFonts w:ascii="Book Antiqua" w:hAnsi="Book Antiqua" w:eastAsia="Book Antiqua" w:cs="Book Antiqua"/>
          <w:color w:val="000000"/>
          <w:shd w:val="clear" w:color="auto" w:fill="FFFFFF"/>
          <w:vertAlign w:val="superscript"/>
        </w:rPr>
        <w:t>]</w:t>
      </w:r>
      <w:r>
        <w:rPr>
          <w:rFonts w:ascii="Book Antiqua" w:hAnsi="Book Antiqua" w:eastAsia="Book Antiqua" w:cs="Book Antiqua"/>
          <w:color w:val="000000"/>
          <w:shd w:val="clear" w:color="auto" w:fill="FFFFFF"/>
        </w:rPr>
        <w:t>.</w:t>
      </w:r>
    </w:p>
    <w:p>
      <w:pPr>
        <w:spacing w:line="360" w:lineRule="auto"/>
        <w:ind w:firstLine="240" w:firstLineChars="100"/>
        <w:jc w:val="both"/>
        <w:rPr>
          <w:rFonts w:ascii="Book Antiqua" w:hAnsi="Book Antiqua"/>
          <w:lang w:eastAsia="zh-CN"/>
        </w:rPr>
      </w:pPr>
      <w:r>
        <w:rPr>
          <w:rFonts w:ascii="Book Antiqua" w:hAnsi="Book Antiqua" w:eastAsia="Book Antiqua" w:cs="Book Antiqua"/>
          <w:color w:val="000000"/>
        </w:rPr>
        <w:t xml:space="preserve">This case report describes a patient with </w:t>
      </w:r>
      <w:r>
        <w:rPr>
          <w:rFonts w:ascii="Book Antiqua" w:hAnsi="Book Antiqua" w:cs="Book Antiqua"/>
          <w:color w:val="000000"/>
          <w:lang w:eastAsia="zh-CN"/>
        </w:rPr>
        <w:t>CS</w:t>
      </w:r>
      <w:r>
        <w:rPr>
          <w:rFonts w:ascii="Book Antiqua" w:hAnsi="Book Antiqua" w:eastAsia="Book Antiqua" w:cs="Book Antiqua"/>
          <w:color w:val="000000"/>
        </w:rPr>
        <w:t>, who presented with a high forehead, ocular proptosis, shallow eye sockets, hypertelorism, palpebral ptosis, and a skeletal Class III relationship. The carious teeth were fully restored, and oral hygiene instruction was performed in the clinic under behavior management and guidance. The child was advised to follow-up regularly with preventive care for teeth. The boy was satisfied with his good oral hygiene. Interceptive orthodontics was contemplated. Midfacial advancement with a Le Fort III, Le Fort II plus zygomatic repositioning, monobloc, or facial bipartition is required for midface retrusion</w:t>
      </w:r>
      <w:r>
        <w:rPr>
          <w:rFonts w:ascii="Book Antiqua" w:hAnsi="Book Antiqua" w:eastAsia="Book Antiqua" w:cs="Book Antiqua"/>
          <w:color w:val="000000"/>
          <w:vertAlign w:val="superscript"/>
        </w:rPr>
        <w:t>[</w:t>
      </w:r>
      <w:r>
        <w:rPr>
          <w:rFonts w:ascii="Book Antiqua" w:hAnsi="Book Antiqua"/>
        </w:rPr>
        <w:fldChar w:fldCharType="begin"/>
      </w:r>
      <w:r>
        <w:rPr>
          <w:rFonts w:ascii="Book Antiqua" w:hAnsi="Book Antiqua"/>
        </w:rPr>
        <w:instrText xml:space="preserve"> HYPERLINK \l "_ENREF_30" \o "Taylor, 2017 #15" </w:instrText>
      </w:r>
      <w:r>
        <w:rPr>
          <w:rFonts w:ascii="Book Antiqua" w:hAnsi="Book Antiqua"/>
        </w:rPr>
        <w:fldChar w:fldCharType="separate"/>
      </w:r>
      <w:r>
        <w:rPr>
          <w:rFonts w:ascii="Book Antiqua" w:hAnsi="Book Antiqua" w:eastAsia="Book Antiqua" w:cs="Book Antiqua"/>
          <w:color w:val="000000"/>
          <w:vertAlign w:val="superscript"/>
        </w:rPr>
        <w:t>30</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The appropriate time of surgery is deemed at 8 years of age</w:t>
      </w:r>
      <w:r>
        <w:rPr>
          <w:rFonts w:ascii="Book Antiqua" w:hAnsi="Book Antiqua" w:eastAsia="Book Antiqua" w:cs="Book Antiqua"/>
          <w:color w:val="000000"/>
          <w:vertAlign w:val="superscript"/>
        </w:rPr>
        <w:t>[</w:t>
      </w:r>
      <w:r>
        <w:fldChar w:fldCharType="begin"/>
      </w:r>
      <w:r>
        <w:instrText xml:space="preserve"> HYPERLINK \l "_ENREF_31" \o "Lloyd, 2017 #10" </w:instrText>
      </w:r>
      <w:r>
        <w:fldChar w:fldCharType="separate"/>
      </w:r>
      <w:r>
        <w:rPr>
          <w:rFonts w:ascii="Book Antiqua" w:hAnsi="Book Antiqua" w:eastAsia="Book Antiqua" w:cs="Book Antiqua"/>
          <w:color w:val="000000"/>
          <w:vertAlign w:val="superscript"/>
        </w:rPr>
        <w:t>31</w:t>
      </w:r>
      <w:r>
        <w:rPr>
          <w:rFonts w:ascii="Book Antiqua" w:hAnsi="Book Antiqua" w:eastAsia="Book Antiqua" w:cs="Book Antiqua"/>
          <w:color w:val="000000"/>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He has been referred to the Department of Oral and Maxillofacial Surgery for orthognathic surgical procedures in the next few years. He has also been referred to the Departments of Neurosurgery, Ophthalmology, Otolaryngology, and Psychology to prevent complications.</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b/>
          <w:caps/>
          <w:color w:val="000000"/>
          <w:u w:val="single"/>
        </w:rPr>
        <w:t>CONCLUSION</w:t>
      </w:r>
    </w:p>
    <w:p>
      <w:pPr>
        <w:spacing w:line="360" w:lineRule="auto"/>
        <w:jc w:val="both"/>
        <w:rPr>
          <w:rFonts w:ascii="Book Antiqua" w:hAnsi="Book Antiqua"/>
          <w:lang w:eastAsia="zh-CN"/>
        </w:rPr>
      </w:pPr>
      <w:r>
        <w:rPr>
          <w:rFonts w:ascii="Book Antiqua" w:hAnsi="Book Antiqua" w:eastAsia="Book Antiqua" w:cs="Book Antiqua"/>
          <w:color w:val="000000"/>
        </w:rPr>
        <w:t xml:space="preserve">In summary, </w:t>
      </w:r>
      <w:r>
        <w:rPr>
          <w:rFonts w:ascii="Book Antiqua" w:hAnsi="Book Antiqua" w:cs="Book Antiqua"/>
          <w:color w:val="000000"/>
          <w:lang w:eastAsia="zh-CN"/>
        </w:rPr>
        <w:t>CS</w:t>
      </w:r>
      <w:r>
        <w:rPr>
          <w:rFonts w:ascii="Book Antiqua" w:hAnsi="Book Antiqua" w:eastAsia="Book Antiqua" w:cs="Book Antiqua"/>
          <w:color w:val="000000"/>
        </w:rPr>
        <w:t xml:space="preserve"> could occur in a fraternal twin caused by a de novo mutation of the </w:t>
      </w:r>
      <w:r>
        <w:rPr>
          <w:rFonts w:ascii="Book Antiqua" w:hAnsi="Book Antiqua" w:eastAsia="Book Antiqua" w:cs="Book Antiqua"/>
          <w:i/>
          <w:iCs/>
          <w:color w:val="000000"/>
          <w:shd w:val="clear" w:color="auto" w:fill="FFFFFF"/>
        </w:rPr>
        <w:t xml:space="preserve">FGFR2 </w:t>
      </w:r>
      <w:r>
        <w:rPr>
          <w:rFonts w:ascii="Book Antiqua" w:hAnsi="Book Antiqua" w:eastAsia="Book Antiqua" w:cs="Book Antiqua"/>
          <w:color w:val="000000"/>
          <w:shd w:val="clear" w:color="auto" w:fill="FFFFFF"/>
        </w:rPr>
        <w:t>gene</w:t>
      </w:r>
      <w:r>
        <w:rPr>
          <w:rFonts w:ascii="Book Antiqua" w:hAnsi="Book Antiqua" w:eastAsia="Book Antiqua" w:cs="Book Antiqua"/>
          <w:color w:val="000000"/>
        </w:rPr>
        <w:t xml:space="preserve"> and is characterized by craniosynostosis, a prominent forehead, midface hypoplasia, and </w:t>
      </w:r>
      <w:r>
        <w:rPr>
          <w:rFonts w:ascii="Book Antiqua" w:hAnsi="Book Antiqua" w:cs="Book Antiqua"/>
          <w:color w:val="000000"/>
          <w:lang w:eastAsia="zh-CN"/>
        </w:rPr>
        <w:t>proptosis</w:t>
      </w:r>
      <w:r>
        <w:rPr>
          <w:rFonts w:ascii="Book Antiqua" w:hAnsi="Book Antiqua" w:eastAsia="Book Antiqua" w:cs="Book Antiqua"/>
          <w:color w:val="000000"/>
        </w:rPr>
        <w:t xml:space="preserve">. Oral hygiene instruction and preventive programs on oral hygiene should be performed regularly. A multidisciplinary approach involving oral and maxillofacial surgeons and orthodontists was </w:t>
      </w:r>
      <w:r>
        <w:rPr>
          <w:rFonts w:ascii="Book Antiqua" w:hAnsi="Book Antiqua" w:cs="Book Antiqua"/>
          <w:color w:val="000000"/>
          <w:lang w:eastAsia="zh-CN"/>
        </w:rPr>
        <w:t>necessary</w:t>
      </w:r>
      <w:r>
        <w:rPr>
          <w:rFonts w:ascii="Book Antiqua" w:hAnsi="Book Antiqua" w:eastAsia="Book Antiqua" w:cs="Book Antiqua"/>
          <w:color w:val="000000"/>
        </w:rPr>
        <w:t xml:space="preserve"> for the treatment of midface hypoplasia.</w:t>
      </w:r>
    </w:p>
    <w:p>
      <w:pPr>
        <w:spacing w:line="360" w:lineRule="auto"/>
        <w:jc w:val="both"/>
        <w:rPr>
          <w:rFonts w:ascii="Book Antiqua" w:hAnsi="Book Antiqua"/>
        </w:rPr>
      </w:pPr>
    </w:p>
    <w:p>
      <w:pPr>
        <w:spacing w:line="360" w:lineRule="auto"/>
        <w:jc w:val="both"/>
        <w:rPr>
          <w:rFonts w:ascii="Book Antiqua" w:hAnsi="Book Antiqua"/>
          <w:u w:val="single"/>
        </w:rPr>
      </w:pPr>
      <w:r>
        <w:rPr>
          <w:rFonts w:ascii="Book Antiqua" w:hAnsi="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 xml:space="preserve">We </w:t>
      </w:r>
      <w:r>
        <w:rPr>
          <w:rFonts w:ascii="Book Antiqua" w:hAnsi="Book Antiqua" w:cs="Book Antiqua"/>
          <w:color w:val="000000"/>
          <w:lang w:eastAsia="zh-CN"/>
        </w:rPr>
        <w:t>sincerely</w:t>
      </w:r>
      <w:r>
        <w:rPr>
          <w:rFonts w:ascii="Book Antiqua" w:hAnsi="Book Antiqua" w:eastAsia="Book Antiqua" w:cs="Book Antiqua"/>
          <w:color w:val="000000"/>
        </w:rPr>
        <w:t xml:space="preserve"> thank the patient and his parents for their participation and permission to publish this </w:t>
      </w:r>
      <w:r>
        <w:rPr>
          <w:rFonts w:ascii="Book Antiqua" w:hAnsi="Book Antiqua" w:cs="Book Antiqua"/>
          <w:color w:val="000000"/>
          <w:lang w:eastAsia="zh-CN"/>
        </w:rPr>
        <w:t>paper</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eastAsia="宋体"/>
        </w:rPr>
      </w:pPr>
      <w:r>
        <w:rPr>
          <w:rFonts w:ascii="Book Antiqua" w:hAnsi="Book Antiqua" w:eastAsia="宋体"/>
        </w:rPr>
        <w:t xml:space="preserve">1 </w:t>
      </w:r>
      <w:r>
        <w:rPr>
          <w:rFonts w:ascii="Book Antiqua" w:hAnsi="Book Antiqua" w:eastAsia="宋体"/>
          <w:b/>
          <w:bCs/>
        </w:rPr>
        <w:t>Bowling EL</w:t>
      </w:r>
      <w:r>
        <w:rPr>
          <w:rFonts w:ascii="Book Antiqua" w:hAnsi="Book Antiqua" w:eastAsia="宋体"/>
        </w:rPr>
        <w:t xml:space="preserve">, Burstein FD. Crouzon syndrome. </w:t>
      </w:r>
      <w:r>
        <w:rPr>
          <w:rFonts w:ascii="Book Antiqua" w:hAnsi="Book Antiqua" w:eastAsia="宋体"/>
          <w:i/>
          <w:iCs/>
        </w:rPr>
        <w:t>Optometry</w:t>
      </w:r>
      <w:r>
        <w:rPr>
          <w:rFonts w:ascii="Book Antiqua" w:hAnsi="Book Antiqua" w:eastAsia="宋体"/>
        </w:rPr>
        <w:t xml:space="preserve"> 2006; </w:t>
      </w:r>
      <w:r>
        <w:rPr>
          <w:rFonts w:ascii="Book Antiqua" w:hAnsi="Book Antiqua" w:eastAsia="宋体"/>
          <w:b/>
          <w:bCs/>
        </w:rPr>
        <w:t>77</w:t>
      </w:r>
      <w:r>
        <w:rPr>
          <w:rFonts w:ascii="Book Antiqua" w:hAnsi="Book Antiqua" w:eastAsia="宋体"/>
        </w:rPr>
        <w:t>: 217-222 [PMID: 16651211 DOI: 10.1016/j.optm.2006.03.005]</w:t>
      </w:r>
    </w:p>
    <w:p>
      <w:pPr>
        <w:spacing w:line="360" w:lineRule="auto"/>
        <w:jc w:val="both"/>
        <w:rPr>
          <w:rFonts w:ascii="Book Antiqua" w:hAnsi="Book Antiqua" w:eastAsia="宋体"/>
        </w:rPr>
      </w:pPr>
      <w:r>
        <w:rPr>
          <w:rFonts w:ascii="Book Antiqua" w:hAnsi="Book Antiqua" w:eastAsia="宋体"/>
        </w:rPr>
        <w:t xml:space="preserve">2 </w:t>
      </w:r>
      <w:r>
        <w:rPr>
          <w:rFonts w:ascii="Book Antiqua" w:hAnsi="Book Antiqua" w:eastAsia="宋体"/>
          <w:b/>
          <w:bCs/>
        </w:rPr>
        <w:t>Khandelwal R</w:t>
      </w:r>
      <w:r>
        <w:rPr>
          <w:rFonts w:ascii="Book Antiqua" w:hAnsi="Book Antiqua" w:eastAsia="宋体"/>
        </w:rPr>
        <w:t xml:space="preserve">, Agrawal P, Majumdar MR. Crouzon syndrome. </w:t>
      </w:r>
      <w:r>
        <w:rPr>
          <w:rFonts w:ascii="Book Antiqua" w:hAnsi="Book Antiqua" w:eastAsia="宋体"/>
          <w:i/>
          <w:iCs/>
        </w:rPr>
        <w:t>BMJ Case Rep</w:t>
      </w:r>
      <w:r>
        <w:rPr>
          <w:rFonts w:ascii="Book Antiqua" w:hAnsi="Book Antiqua" w:eastAsia="宋体"/>
        </w:rPr>
        <w:t xml:space="preserve"> 2012; </w:t>
      </w:r>
      <w:r>
        <w:rPr>
          <w:rFonts w:ascii="Book Antiqua" w:hAnsi="Book Antiqua" w:eastAsia="宋体"/>
          <w:b/>
          <w:bCs/>
        </w:rPr>
        <w:t>2012</w:t>
      </w:r>
      <w:r>
        <w:rPr>
          <w:rFonts w:ascii="Book Antiqua" w:hAnsi="Book Antiqua" w:eastAsia="宋体"/>
        </w:rPr>
        <w:t xml:space="preserve"> [PMID: 22605842 DOI: 10.1136/bcr.05.2011.4196]</w:t>
      </w:r>
    </w:p>
    <w:p>
      <w:pPr>
        <w:spacing w:line="360" w:lineRule="auto"/>
        <w:jc w:val="both"/>
        <w:rPr>
          <w:rFonts w:ascii="Book Antiqua" w:hAnsi="Book Antiqua" w:eastAsia="宋体"/>
        </w:rPr>
      </w:pPr>
      <w:r>
        <w:rPr>
          <w:rFonts w:ascii="Book Antiqua" w:hAnsi="Book Antiqua" w:eastAsia="宋体"/>
        </w:rPr>
        <w:t xml:space="preserve">3 </w:t>
      </w:r>
      <w:r>
        <w:rPr>
          <w:rFonts w:ascii="Book Antiqua" w:hAnsi="Book Antiqua" w:eastAsia="宋体"/>
          <w:b/>
          <w:bCs/>
        </w:rPr>
        <w:t>Padmanabhan V</w:t>
      </w:r>
      <w:r>
        <w:rPr>
          <w:rFonts w:ascii="Book Antiqua" w:hAnsi="Book Antiqua" w:eastAsia="宋体"/>
        </w:rPr>
        <w:t xml:space="preserve">, Hegde AM, Rai K. Crouzon's syndrome: A review of literature and case report. </w:t>
      </w:r>
      <w:r>
        <w:rPr>
          <w:rFonts w:ascii="Book Antiqua" w:hAnsi="Book Antiqua" w:eastAsia="宋体"/>
          <w:i/>
          <w:iCs/>
        </w:rPr>
        <w:t>Contemp Clin Dent</w:t>
      </w:r>
      <w:r>
        <w:rPr>
          <w:rFonts w:ascii="Book Antiqua" w:hAnsi="Book Antiqua" w:eastAsia="宋体"/>
        </w:rPr>
        <w:t xml:space="preserve"> 2011; </w:t>
      </w:r>
      <w:r>
        <w:rPr>
          <w:rFonts w:ascii="Book Antiqua" w:hAnsi="Book Antiqua" w:eastAsia="宋体"/>
          <w:b/>
          <w:bCs/>
        </w:rPr>
        <w:t>2</w:t>
      </w:r>
      <w:r>
        <w:rPr>
          <w:rFonts w:ascii="Book Antiqua" w:hAnsi="Book Antiqua" w:eastAsia="宋体"/>
        </w:rPr>
        <w:t>: 211-214 [PMID: 22215936 DOI: 10.4103/0976-237X.86464]</w:t>
      </w:r>
    </w:p>
    <w:p>
      <w:pPr>
        <w:spacing w:line="360" w:lineRule="auto"/>
        <w:jc w:val="both"/>
        <w:rPr>
          <w:rFonts w:ascii="Book Antiqua" w:hAnsi="Book Antiqua" w:eastAsia="宋体"/>
        </w:rPr>
      </w:pPr>
      <w:r>
        <w:rPr>
          <w:rFonts w:ascii="Book Antiqua" w:hAnsi="Book Antiqua" w:eastAsia="宋体"/>
        </w:rPr>
        <w:t xml:space="preserve">4 </w:t>
      </w:r>
      <w:r>
        <w:rPr>
          <w:rFonts w:ascii="Book Antiqua" w:hAnsi="Book Antiqua" w:eastAsia="宋体"/>
          <w:b/>
          <w:bCs/>
        </w:rPr>
        <w:t>Aviv RI</w:t>
      </w:r>
      <w:r>
        <w:rPr>
          <w:rFonts w:ascii="Book Antiqua" w:hAnsi="Book Antiqua" w:eastAsia="宋体"/>
        </w:rPr>
        <w:t xml:space="preserve">, Rodger E, Hall CM. Craniosynostosis. </w:t>
      </w:r>
      <w:r>
        <w:rPr>
          <w:rFonts w:ascii="Book Antiqua" w:hAnsi="Book Antiqua" w:eastAsia="宋体"/>
          <w:i/>
          <w:iCs/>
        </w:rPr>
        <w:t>Clin Radiol</w:t>
      </w:r>
      <w:r>
        <w:rPr>
          <w:rFonts w:ascii="Book Antiqua" w:hAnsi="Book Antiqua" w:eastAsia="宋体"/>
        </w:rPr>
        <w:t xml:space="preserve"> 2002; </w:t>
      </w:r>
      <w:r>
        <w:rPr>
          <w:rFonts w:ascii="Book Antiqua" w:hAnsi="Book Antiqua" w:eastAsia="宋体"/>
          <w:b/>
          <w:bCs/>
        </w:rPr>
        <w:t>57</w:t>
      </w:r>
      <w:r>
        <w:rPr>
          <w:rFonts w:ascii="Book Antiqua" w:hAnsi="Book Antiqua" w:eastAsia="宋体"/>
        </w:rPr>
        <w:t>: 93-102 [PMID: 11977940 DOI: 10.1053/crad.2001.0836]</w:t>
      </w:r>
    </w:p>
    <w:p>
      <w:pPr>
        <w:spacing w:line="360" w:lineRule="auto"/>
        <w:jc w:val="both"/>
        <w:rPr>
          <w:rFonts w:ascii="Book Antiqua" w:hAnsi="Book Antiqua" w:eastAsia="宋体"/>
        </w:rPr>
      </w:pPr>
      <w:r>
        <w:rPr>
          <w:rFonts w:ascii="Book Antiqua" w:hAnsi="Book Antiqua" w:eastAsia="宋体"/>
        </w:rPr>
        <w:t xml:space="preserve">5 </w:t>
      </w:r>
      <w:r>
        <w:rPr>
          <w:rFonts w:ascii="Book Antiqua" w:hAnsi="Book Antiqua" w:eastAsia="宋体"/>
          <w:b/>
          <w:bCs/>
        </w:rPr>
        <w:t>Wang JC</w:t>
      </w:r>
      <w:r>
        <w:rPr>
          <w:rFonts w:ascii="Book Antiqua" w:hAnsi="Book Antiqua" w:eastAsia="宋体"/>
        </w:rPr>
        <w:t xml:space="preserve">, Nagy L, Demke JC. Syndromic Craniosynostosis. </w:t>
      </w:r>
      <w:r>
        <w:rPr>
          <w:rFonts w:ascii="Book Antiqua" w:hAnsi="Book Antiqua" w:eastAsia="宋体"/>
          <w:i/>
          <w:iCs/>
        </w:rPr>
        <w:t>Facial Plast Surg Clin North Am</w:t>
      </w:r>
      <w:r>
        <w:rPr>
          <w:rFonts w:ascii="Book Antiqua" w:hAnsi="Book Antiqua" w:eastAsia="宋体"/>
        </w:rPr>
        <w:t xml:space="preserve"> 2016; </w:t>
      </w:r>
      <w:r>
        <w:rPr>
          <w:rFonts w:ascii="Book Antiqua" w:hAnsi="Book Antiqua" w:eastAsia="宋体"/>
          <w:b/>
          <w:bCs/>
        </w:rPr>
        <w:t>24</w:t>
      </w:r>
      <w:r>
        <w:rPr>
          <w:rFonts w:ascii="Book Antiqua" w:hAnsi="Book Antiqua" w:eastAsia="宋体"/>
        </w:rPr>
        <w:t>: 531-543 [PMID: 27712819 DOI: 10.1016/j.fsc.2016.06.008]</w:t>
      </w:r>
    </w:p>
    <w:p>
      <w:pPr>
        <w:spacing w:line="360" w:lineRule="auto"/>
        <w:jc w:val="both"/>
        <w:rPr>
          <w:rFonts w:ascii="Book Antiqua" w:hAnsi="Book Antiqua" w:eastAsia="宋体"/>
        </w:rPr>
      </w:pPr>
      <w:r>
        <w:rPr>
          <w:rFonts w:ascii="Book Antiqua" w:hAnsi="Book Antiqua" w:eastAsia="宋体"/>
        </w:rPr>
        <w:t xml:space="preserve">6 </w:t>
      </w:r>
      <w:r>
        <w:rPr>
          <w:rFonts w:ascii="Book Antiqua" w:hAnsi="Book Antiqua" w:eastAsia="宋体"/>
          <w:b/>
          <w:bCs/>
        </w:rPr>
        <w:t>Gothwal S</w:t>
      </w:r>
      <w:r>
        <w:rPr>
          <w:rFonts w:ascii="Book Antiqua" w:hAnsi="Book Antiqua" w:eastAsia="宋体"/>
        </w:rPr>
        <w:t xml:space="preserve">, Nayan S, Kumar J. Crouzon syndrome with bony upper airway obstruction: case report and review literature. </w:t>
      </w:r>
      <w:r>
        <w:rPr>
          <w:rFonts w:ascii="Book Antiqua" w:hAnsi="Book Antiqua" w:eastAsia="宋体"/>
          <w:i/>
          <w:iCs/>
        </w:rPr>
        <w:t>Fetal Pediatr Pathol</w:t>
      </w:r>
      <w:r>
        <w:rPr>
          <w:rFonts w:ascii="Book Antiqua" w:hAnsi="Book Antiqua" w:eastAsia="宋体"/>
        </w:rPr>
        <w:t xml:space="preserve"> 2014; </w:t>
      </w:r>
      <w:r>
        <w:rPr>
          <w:rFonts w:ascii="Book Antiqua" w:hAnsi="Book Antiqua" w:eastAsia="宋体"/>
          <w:b/>
          <w:bCs/>
        </w:rPr>
        <w:t>33</w:t>
      </w:r>
      <w:r>
        <w:rPr>
          <w:rFonts w:ascii="Book Antiqua" w:hAnsi="Book Antiqua" w:eastAsia="宋体"/>
        </w:rPr>
        <w:t>: 199-201 [PMID: 24828762 DOI: 10.3109/15513815.2014.913747]</w:t>
      </w:r>
    </w:p>
    <w:p>
      <w:pPr>
        <w:spacing w:line="360" w:lineRule="auto"/>
        <w:jc w:val="both"/>
        <w:rPr>
          <w:rFonts w:ascii="Book Antiqua" w:hAnsi="Book Antiqua" w:eastAsia="宋体"/>
        </w:rPr>
      </w:pPr>
      <w:r>
        <w:rPr>
          <w:rFonts w:ascii="Book Antiqua" w:hAnsi="Book Antiqua" w:eastAsia="宋体"/>
        </w:rPr>
        <w:t xml:space="preserve">7 </w:t>
      </w:r>
      <w:r>
        <w:rPr>
          <w:rFonts w:ascii="Book Antiqua" w:hAnsi="Book Antiqua" w:eastAsia="宋体"/>
          <w:b/>
          <w:bCs/>
        </w:rPr>
        <w:t>Al-Namnam NM</w:t>
      </w:r>
      <w:r>
        <w:rPr>
          <w:rFonts w:ascii="Book Antiqua" w:hAnsi="Book Antiqua" w:eastAsia="宋体"/>
        </w:rPr>
        <w:t xml:space="preserve">, Hariri F, Thong MK, Rahman ZA. Crouzon syndrome: Genetic and intervention review. </w:t>
      </w:r>
      <w:r>
        <w:rPr>
          <w:rFonts w:ascii="Book Antiqua" w:hAnsi="Book Antiqua" w:eastAsia="宋体"/>
          <w:i/>
          <w:iCs/>
        </w:rPr>
        <w:t>J Oral Biol Craniofac Res</w:t>
      </w:r>
      <w:r>
        <w:rPr>
          <w:rFonts w:ascii="Book Antiqua" w:hAnsi="Book Antiqua" w:eastAsia="宋体"/>
        </w:rPr>
        <w:t xml:space="preserve"> 2019; </w:t>
      </w:r>
      <w:r>
        <w:rPr>
          <w:rFonts w:ascii="Book Antiqua" w:hAnsi="Book Antiqua" w:eastAsia="宋体"/>
          <w:b/>
          <w:bCs/>
        </w:rPr>
        <w:t>9</w:t>
      </w:r>
      <w:r>
        <w:rPr>
          <w:rFonts w:ascii="Book Antiqua" w:hAnsi="Book Antiqua" w:eastAsia="宋体"/>
        </w:rPr>
        <w:t>: 37-39 [PMID: 30202723 DOI: 10.1016/j.jobcr.2018.08.007]</w:t>
      </w:r>
    </w:p>
    <w:p>
      <w:pPr>
        <w:spacing w:line="360" w:lineRule="auto"/>
        <w:jc w:val="both"/>
        <w:rPr>
          <w:rFonts w:ascii="Book Antiqua" w:hAnsi="Book Antiqua" w:eastAsia="宋体"/>
        </w:rPr>
      </w:pPr>
      <w:r>
        <w:rPr>
          <w:rFonts w:ascii="Book Antiqua" w:hAnsi="Book Antiqua" w:eastAsia="宋体"/>
        </w:rPr>
        <w:t xml:space="preserve">8 </w:t>
      </w:r>
      <w:r>
        <w:rPr>
          <w:rFonts w:ascii="Book Antiqua" w:hAnsi="Book Antiqua" w:eastAsia="宋体"/>
          <w:b/>
          <w:bCs/>
        </w:rPr>
        <w:t>Lin Y</w:t>
      </w:r>
      <w:r>
        <w:rPr>
          <w:rFonts w:ascii="Book Antiqua" w:hAnsi="Book Antiqua" w:eastAsia="宋体"/>
        </w:rPr>
        <w:t xml:space="preserve">, Gao H, Ai S, Eswarakumar JVP, Zhu Y, Chen C, Li T, Liu B, Jiang H, Liu Y, Li Y, Wu Q, Li H, Liang X, Jin C, Huang X, Lu L. FGFR2 mutations and associated clinical observations in two Chinese patients with Crouzon syndrome. </w:t>
      </w:r>
      <w:r>
        <w:rPr>
          <w:rFonts w:ascii="Book Antiqua" w:hAnsi="Book Antiqua" w:eastAsia="宋体"/>
          <w:i/>
          <w:iCs/>
        </w:rPr>
        <w:t>Mol Med Rep</w:t>
      </w:r>
      <w:r>
        <w:rPr>
          <w:rFonts w:ascii="Book Antiqua" w:hAnsi="Book Antiqua" w:eastAsia="宋体"/>
        </w:rPr>
        <w:t xml:space="preserve"> 2017; </w:t>
      </w:r>
      <w:r>
        <w:rPr>
          <w:rFonts w:ascii="Book Antiqua" w:hAnsi="Book Antiqua" w:eastAsia="宋体"/>
          <w:b/>
          <w:bCs/>
        </w:rPr>
        <w:t>16</w:t>
      </w:r>
      <w:r>
        <w:rPr>
          <w:rFonts w:ascii="Book Antiqua" w:hAnsi="Book Antiqua" w:eastAsia="宋体"/>
        </w:rPr>
        <w:t>: 5841-5846 [PMID: 28901406 DOI: 10.3892/mmr.2017.7397]</w:t>
      </w:r>
    </w:p>
    <w:p>
      <w:pPr>
        <w:spacing w:line="360" w:lineRule="auto"/>
        <w:jc w:val="both"/>
        <w:rPr>
          <w:rFonts w:ascii="Book Antiqua" w:hAnsi="Book Antiqua" w:eastAsia="宋体"/>
        </w:rPr>
      </w:pPr>
      <w:r>
        <w:rPr>
          <w:rFonts w:ascii="Book Antiqua" w:hAnsi="Book Antiqua" w:eastAsia="宋体"/>
        </w:rPr>
        <w:t xml:space="preserve">9 </w:t>
      </w:r>
      <w:r>
        <w:rPr>
          <w:rFonts w:ascii="Book Antiqua" w:hAnsi="Book Antiqua" w:eastAsia="宋体"/>
          <w:b/>
          <w:bCs/>
        </w:rPr>
        <w:t>Li ZL</w:t>
      </w:r>
      <w:r>
        <w:rPr>
          <w:rFonts w:ascii="Book Antiqua" w:hAnsi="Book Antiqua" w:eastAsia="宋体"/>
        </w:rPr>
        <w:t xml:space="preserve">, Chen X, Zhuang WJ, Zhao W, Liu YN, Zhang FX, Ha RS, Wu JH, Zhao C, Sheng XL. </w:t>
      </w:r>
      <w:r>
        <w:rPr>
          <w:rFonts w:ascii="Book Antiqua" w:hAnsi="Book Antiqua" w:eastAsia="宋体"/>
          <w:i/>
          <w:iCs/>
        </w:rPr>
        <w:t>FGFR2</w:t>
      </w:r>
      <w:r>
        <w:rPr>
          <w:rFonts w:ascii="Book Antiqua" w:hAnsi="Book Antiqua" w:eastAsia="宋体"/>
        </w:rPr>
        <w:t xml:space="preserve"> mutation in a Chinese family with unusual Crouzon syndrome. </w:t>
      </w:r>
      <w:r>
        <w:rPr>
          <w:rFonts w:ascii="Book Antiqua" w:hAnsi="Book Antiqua" w:eastAsia="宋体"/>
          <w:i/>
          <w:iCs/>
        </w:rPr>
        <w:t>Int J Ophthalmol</w:t>
      </w:r>
      <w:r>
        <w:rPr>
          <w:rFonts w:ascii="Book Antiqua" w:hAnsi="Book Antiqua" w:eastAsia="宋体"/>
        </w:rPr>
        <w:t xml:space="preserve"> 2016; </w:t>
      </w:r>
      <w:r>
        <w:rPr>
          <w:rFonts w:ascii="Book Antiqua" w:hAnsi="Book Antiqua" w:eastAsia="宋体"/>
          <w:b/>
          <w:bCs/>
        </w:rPr>
        <w:t>9</w:t>
      </w:r>
      <w:r>
        <w:rPr>
          <w:rFonts w:ascii="Book Antiqua" w:hAnsi="Book Antiqua" w:eastAsia="宋体"/>
        </w:rPr>
        <w:t>: 1403-1408 [PMID: 27803855 DOI: 10.18240/ijo.2016.10.06]</w:t>
      </w:r>
    </w:p>
    <w:p>
      <w:pPr>
        <w:spacing w:line="360" w:lineRule="auto"/>
        <w:jc w:val="both"/>
        <w:rPr>
          <w:rFonts w:ascii="Book Antiqua" w:hAnsi="Book Antiqua" w:eastAsia="宋体"/>
        </w:rPr>
      </w:pPr>
      <w:r>
        <w:rPr>
          <w:rFonts w:ascii="Book Antiqua" w:hAnsi="Book Antiqua" w:eastAsia="宋体"/>
        </w:rPr>
        <w:t xml:space="preserve">10 </w:t>
      </w:r>
      <w:r>
        <w:rPr>
          <w:rFonts w:ascii="Book Antiqua" w:hAnsi="Book Antiqua" w:eastAsia="宋体"/>
          <w:b/>
          <w:bCs/>
        </w:rPr>
        <w:t>Lu X</w:t>
      </w:r>
      <w:r>
        <w:rPr>
          <w:rFonts w:ascii="Book Antiqua" w:hAnsi="Book Antiqua" w:eastAsia="宋体"/>
        </w:rPr>
        <w:t xml:space="preserve">, Forte AJ, Fan F, Zhang Z, Teng L, Yang B, Alperovich M, Steinbacher DM, Alonso N, Persing JA. Racial disparity of Crouzon syndrome in maxilla and mandible. </w:t>
      </w:r>
      <w:r>
        <w:rPr>
          <w:rFonts w:ascii="Book Antiqua" w:hAnsi="Book Antiqua" w:eastAsia="宋体"/>
          <w:i/>
          <w:iCs/>
        </w:rPr>
        <w:t>Int J Oral Maxillofac Surg</w:t>
      </w:r>
      <w:r>
        <w:rPr>
          <w:rFonts w:ascii="Book Antiqua" w:hAnsi="Book Antiqua" w:eastAsia="宋体"/>
        </w:rPr>
        <w:t xml:space="preserve"> 2020; </w:t>
      </w:r>
      <w:r>
        <w:rPr>
          <w:rFonts w:ascii="Book Antiqua" w:hAnsi="Book Antiqua" w:eastAsia="宋体"/>
          <w:b/>
          <w:bCs/>
        </w:rPr>
        <w:t>49</w:t>
      </w:r>
      <w:r>
        <w:rPr>
          <w:rFonts w:ascii="Book Antiqua" w:hAnsi="Book Antiqua" w:eastAsia="宋体"/>
        </w:rPr>
        <w:t>: 1566-1575 [PMID: 32362538 DOI: 10.1016/j.ijom.2020.04.005]</w:t>
      </w:r>
    </w:p>
    <w:p>
      <w:pPr>
        <w:spacing w:line="360" w:lineRule="auto"/>
        <w:jc w:val="both"/>
        <w:rPr>
          <w:rFonts w:ascii="Book Antiqua" w:hAnsi="Book Antiqua" w:eastAsia="宋体"/>
        </w:rPr>
      </w:pPr>
      <w:r>
        <w:rPr>
          <w:rFonts w:ascii="Book Antiqua" w:hAnsi="Book Antiqua" w:eastAsia="宋体"/>
        </w:rPr>
        <w:t xml:space="preserve">11 </w:t>
      </w:r>
      <w:r>
        <w:rPr>
          <w:rFonts w:ascii="Book Antiqua" w:hAnsi="Book Antiqua" w:eastAsia="宋体"/>
          <w:b/>
          <w:bCs/>
        </w:rPr>
        <w:t>Pal US</w:t>
      </w:r>
      <w:r>
        <w:rPr>
          <w:rFonts w:ascii="Book Antiqua" w:hAnsi="Book Antiqua" w:eastAsia="宋体"/>
        </w:rPr>
        <w:t xml:space="preserve">, Gupta C, Chellappa AA. Crouzon syndrome with primary optic nerve atrophy and normal brain functions: A case report. </w:t>
      </w:r>
      <w:r>
        <w:rPr>
          <w:rFonts w:ascii="Book Antiqua" w:hAnsi="Book Antiqua" w:eastAsia="宋体"/>
          <w:i/>
          <w:iCs/>
        </w:rPr>
        <w:t>J Oral Biol Craniofac Res</w:t>
      </w:r>
      <w:r>
        <w:rPr>
          <w:rFonts w:ascii="Book Antiqua" w:hAnsi="Book Antiqua" w:eastAsia="宋体"/>
        </w:rPr>
        <w:t xml:space="preserve"> 2012; </w:t>
      </w:r>
      <w:r>
        <w:rPr>
          <w:rFonts w:ascii="Book Antiqua" w:hAnsi="Book Antiqua" w:eastAsia="宋体"/>
          <w:b/>
          <w:bCs/>
        </w:rPr>
        <w:t>2</w:t>
      </w:r>
      <w:r>
        <w:rPr>
          <w:rFonts w:ascii="Book Antiqua" w:hAnsi="Book Antiqua" w:eastAsia="宋体"/>
        </w:rPr>
        <w:t>: 116-118 [PMID: 25737846 DOI: 10.1016/j.jobcr.2012.03.011]</w:t>
      </w:r>
    </w:p>
    <w:p>
      <w:pPr>
        <w:spacing w:line="360" w:lineRule="auto"/>
        <w:jc w:val="both"/>
        <w:rPr>
          <w:rFonts w:ascii="Book Antiqua" w:hAnsi="Book Antiqua" w:eastAsia="宋体"/>
        </w:rPr>
      </w:pPr>
      <w:r>
        <w:rPr>
          <w:rFonts w:ascii="Book Antiqua" w:hAnsi="Book Antiqua" w:eastAsia="宋体"/>
        </w:rPr>
        <w:t xml:space="preserve">12 </w:t>
      </w:r>
      <w:r>
        <w:rPr>
          <w:rFonts w:ascii="Book Antiqua" w:hAnsi="Book Antiqua" w:eastAsia="宋体"/>
          <w:b/>
          <w:bCs/>
        </w:rPr>
        <w:t>Torun GS</w:t>
      </w:r>
      <w:r>
        <w:rPr>
          <w:rFonts w:ascii="Book Antiqua" w:hAnsi="Book Antiqua" w:eastAsia="宋体"/>
        </w:rPr>
        <w:t xml:space="preserve">, Akbulut A. Crouzon syndrome with multiple supernumerary teeth. </w:t>
      </w:r>
      <w:r>
        <w:rPr>
          <w:rFonts w:ascii="Book Antiqua" w:hAnsi="Book Antiqua" w:eastAsia="宋体"/>
          <w:i/>
          <w:iCs/>
        </w:rPr>
        <w:t>Niger J Clin Pract</w:t>
      </w:r>
      <w:r>
        <w:rPr>
          <w:rFonts w:ascii="Book Antiqua" w:hAnsi="Book Antiqua" w:eastAsia="宋体"/>
        </w:rPr>
        <w:t xml:space="preserve"> 2017; </w:t>
      </w:r>
      <w:r>
        <w:rPr>
          <w:rFonts w:ascii="Book Antiqua" w:hAnsi="Book Antiqua" w:eastAsia="宋体"/>
          <w:b/>
          <w:bCs/>
        </w:rPr>
        <w:t>20</w:t>
      </w:r>
      <w:r>
        <w:rPr>
          <w:rFonts w:ascii="Book Antiqua" w:hAnsi="Book Antiqua" w:eastAsia="宋体"/>
        </w:rPr>
        <w:t>: 261-263 [PMID: 28091449 DOI: 10.4103/1119-3077.187332]</w:t>
      </w:r>
    </w:p>
    <w:p>
      <w:pPr>
        <w:spacing w:line="360" w:lineRule="auto"/>
        <w:jc w:val="both"/>
        <w:rPr>
          <w:rFonts w:ascii="Book Antiqua" w:hAnsi="Book Antiqua" w:eastAsia="宋体"/>
        </w:rPr>
      </w:pPr>
      <w:r>
        <w:rPr>
          <w:rFonts w:ascii="Book Antiqua" w:hAnsi="Book Antiqua" w:eastAsia="宋体"/>
        </w:rPr>
        <w:t xml:space="preserve">13 </w:t>
      </w:r>
      <w:r>
        <w:rPr>
          <w:rFonts w:ascii="Book Antiqua" w:hAnsi="Book Antiqua" w:eastAsia="宋体"/>
          <w:b/>
          <w:bCs/>
        </w:rPr>
        <w:t>Forte AJ</w:t>
      </w:r>
      <w:r>
        <w:rPr>
          <w:rFonts w:ascii="Book Antiqua" w:hAnsi="Book Antiqua" w:eastAsia="宋体"/>
        </w:rPr>
        <w:t xml:space="preserve">, Lu X, Hashim PW, Steinbacher DM, Alperovich M, Persing JA, Alonso N. Analysis of Airway and Midface in Crouzon Syndromes. </w:t>
      </w:r>
      <w:r>
        <w:rPr>
          <w:rFonts w:ascii="Book Antiqua" w:hAnsi="Book Antiqua" w:eastAsia="宋体"/>
          <w:i/>
          <w:iCs/>
        </w:rPr>
        <w:t>Ann Plast Surg</w:t>
      </w:r>
      <w:r>
        <w:rPr>
          <w:rFonts w:ascii="Book Antiqua" w:hAnsi="Book Antiqua" w:eastAsia="宋体"/>
        </w:rPr>
        <w:t xml:space="preserve"> 2019; </w:t>
      </w:r>
      <w:r>
        <w:rPr>
          <w:rFonts w:ascii="Book Antiqua" w:hAnsi="Book Antiqua" w:eastAsia="宋体"/>
          <w:b/>
          <w:bCs/>
        </w:rPr>
        <w:t>82</w:t>
      </w:r>
      <w:r>
        <w:rPr>
          <w:rFonts w:ascii="Book Antiqua" w:hAnsi="Book Antiqua" w:eastAsia="宋体"/>
        </w:rPr>
        <w:t>: 686-691 [PMID: 30633021 DOI: 10.1097/SAP.0000000000001740]</w:t>
      </w:r>
    </w:p>
    <w:p>
      <w:pPr>
        <w:spacing w:line="360" w:lineRule="auto"/>
        <w:jc w:val="both"/>
        <w:rPr>
          <w:rFonts w:ascii="Book Antiqua" w:hAnsi="Book Antiqua" w:eastAsia="宋体"/>
        </w:rPr>
      </w:pPr>
      <w:r>
        <w:rPr>
          <w:rFonts w:ascii="Book Antiqua" w:hAnsi="Book Antiqua" w:eastAsia="宋体"/>
        </w:rPr>
        <w:t xml:space="preserve">14 </w:t>
      </w:r>
      <w:r>
        <w:rPr>
          <w:rFonts w:ascii="Book Antiqua" w:hAnsi="Book Antiqua" w:eastAsia="宋体"/>
          <w:b/>
          <w:bCs/>
        </w:rPr>
        <w:t>Quintero-Rivera F</w:t>
      </w:r>
      <w:r>
        <w:rPr>
          <w:rFonts w:ascii="Book Antiqua" w:hAnsi="Book Antiqua" w:eastAsia="宋体"/>
        </w:rPr>
        <w:t xml:space="preserve">, Martinez-Agosto JA. Bilateral exophthalmos: Report of a case and review of a fibroblast growth factor receptor 2 mutation associated with non-penetrant Crouzon syndrome. </w:t>
      </w:r>
      <w:r>
        <w:rPr>
          <w:rFonts w:ascii="Book Antiqua" w:hAnsi="Book Antiqua" w:eastAsia="宋体"/>
          <w:i/>
          <w:iCs/>
        </w:rPr>
        <w:t>J Paediatr Child Health</w:t>
      </w:r>
      <w:r>
        <w:rPr>
          <w:rFonts w:ascii="Book Antiqua" w:hAnsi="Book Antiqua" w:eastAsia="宋体"/>
        </w:rPr>
        <w:t xml:space="preserve"> 2010; </w:t>
      </w:r>
      <w:r>
        <w:rPr>
          <w:rFonts w:ascii="Book Antiqua" w:hAnsi="Book Antiqua" w:eastAsia="宋体"/>
          <w:b/>
          <w:bCs/>
        </w:rPr>
        <w:t>46</w:t>
      </w:r>
      <w:r>
        <w:rPr>
          <w:rFonts w:ascii="Book Antiqua" w:hAnsi="Book Antiqua" w:eastAsia="宋体"/>
        </w:rPr>
        <w:t>: 693-695 [PMID: 20163525 DOI: 10.1111/j.1440-1754.2009.01692.x]</w:t>
      </w:r>
    </w:p>
    <w:p>
      <w:pPr>
        <w:spacing w:line="360" w:lineRule="auto"/>
        <w:jc w:val="both"/>
        <w:rPr>
          <w:rFonts w:ascii="Book Antiqua" w:hAnsi="Book Antiqua" w:eastAsia="宋体"/>
        </w:rPr>
      </w:pPr>
      <w:r>
        <w:rPr>
          <w:rFonts w:ascii="Book Antiqua" w:hAnsi="Book Antiqua" w:eastAsia="宋体"/>
        </w:rPr>
        <w:t xml:space="preserve">15 </w:t>
      </w:r>
      <w:r>
        <w:rPr>
          <w:rFonts w:ascii="Book Antiqua" w:hAnsi="Book Antiqua" w:eastAsia="宋体"/>
          <w:b/>
          <w:bCs/>
        </w:rPr>
        <w:t>Stavropoulos D</w:t>
      </w:r>
      <w:r>
        <w:rPr>
          <w:rFonts w:ascii="Book Antiqua" w:hAnsi="Book Antiqua" w:eastAsia="宋体"/>
        </w:rPr>
        <w:t xml:space="preserve">, Bartzela T, Tarnow P, Mohlin B, Kahnberg KE, Hagberg C. Dental agenesis patterns in Crouzon syndrome. </w:t>
      </w:r>
      <w:r>
        <w:rPr>
          <w:rFonts w:ascii="Book Antiqua" w:hAnsi="Book Antiqua" w:eastAsia="宋体"/>
          <w:i/>
          <w:iCs/>
        </w:rPr>
        <w:t>Swed Dent J</w:t>
      </w:r>
      <w:r>
        <w:rPr>
          <w:rFonts w:ascii="Book Antiqua" w:hAnsi="Book Antiqua" w:eastAsia="宋体"/>
        </w:rPr>
        <w:t xml:space="preserve"> 2011; </w:t>
      </w:r>
      <w:r>
        <w:rPr>
          <w:rFonts w:ascii="Book Antiqua" w:hAnsi="Book Antiqua" w:eastAsia="宋体"/>
          <w:b/>
          <w:bCs/>
        </w:rPr>
        <w:t>35</w:t>
      </w:r>
      <w:r>
        <w:rPr>
          <w:rFonts w:ascii="Book Antiqua" w:hAnsi="Book Antiqua" w:eastAsia="宋体"/>
        </w:rPr>
        <w:t>: 195-201 [PMID: 22372307]</w:t>
      </w:r>
    </w:p>
    <w:p>
      <w:pPr>
        <w:spacing w:line="360" w:lineRule="auto"/>
        <w:jc w:val="both"/>
        <w:rPr>
          <w:rFonts w:ascii="Book Antiqua" w:hAnsi="Book Antiqua" w:eastAsia="宋体"/>
        </w:rPr>
      </w:pPr>
      <w:r>
        <w:rPr>
          <w:rFonts w:ascii="Book Antiqua" w:hAnsi="Book Antiqua" w:eastAsia="宋体"/>
        </w:rPr>
        <w:t xml:space="preserve">16 </w:t>
      </w:r>
      <w:r>
        <w:rPr>
          <w:rFonts w:ascii="Book Antiqua" w:hAnsi="Book Antiqua" w:eastAsia="宋体"/>
          <w:b/>
          <w:bCs/>
        </w:rPr>
        <w:t>Reitsma JH</w:t>
      </w:r>
      <w:r>
        <w:rPr>
          <w:rFonts w:ascii="Book Antiqua" w:hAnsi="Book Antiqua" w:eastAsia="宋体"/>
        </w:rPr>
        <w:t xml:space="preserve">, Balk-Leurs IH, Ongkosuwito EM, Wattel E, Prahl-Andersen B. Dental maturation in children with the syndrome of crouzon and apert. </w:t>
      </w:r>
      <w:r>
        <w:rPr>
          <w:rFonts w:ascii="Book Antiqua" w:hAnsi="Book Antiqua" w:eastAsia="宋体"/>
          <w:i/>
          <w:iCs/>
        </w:rPr>
        <w:t>Cleft Palate Craniofac J</w:t>
      </w:r>
      <w:r>
        <w:rPr>
          <w:rFonts w:ascii="Book Antiqua" w:hAnsi="Book Antiqua" w:eastAsia="宋体"/>
        </w:rPr>
        <w:t xml:space="preserve"> 2014; </w:t>
      </w:r>
      <w:r>
        <w:rPr>
          <w:rFonts w:ascii="Book Antiqua" w:hAnsi="Book Antiqua" w:eastAsia="宋体"/>
          <w:b/>
          <w:bCs/>
        </w:rPr>
        <w:t>51</w:t>
      </w:r>
      <w:r>
        <w:rPr>
          <w:rFonts w:ascii="Book Antiqua" w:hAnsi="Book Antiqua" w:eastAsia="宋体"/>
        </w:rPr>
        <w:t>: 639-644 [PMID: 24021057 DOI: 10.1597/13-071]</w:t>
      </w:r>
    </w:p>
    <w:p>
      <w:pPr>
        <w:spacing w:line="360" w:lineRule="auto"/>
        <w:jc w:val="both"/>
        <w:rPr>
          <w:rFonts w:ascii="Book Antiqua" w:hAnsi="Book Antiqua" w:eastAsia="宋体"/>
        </w:rPr>
      </w:pPr>
      <w:r>
        <w:rPr>
          <w:rFonts w:ascii="Book Antiqua" w:hAnsi="Book Antiqua" w:eastAsia="宋体"/>
        </w:rPr>
        <w:t xml:space="preserve">17 </w:t>
      </w:r>
      <w:r>
        <w:rPr>
          <w:rFonts w:ascii="Book Antiqua" w:hAnsi="Book Antiqua" w:eastAsia="宋体"/>
          <w:b/>
          <w:bCs/>
        </w:rPr>
        <w:t>Ko JM</w:t>
      </w:r>
      <w:r>
        <w:rPr>
          <w:rFonts w:ascii="Book Antiqua" w:hAnsi="Book Antiqua" w:eastAsia="宋体"/>
        </w:rPr>
        <w:t xml:space="preserve">. Genetic Syndromes Associated with Craniosynostosis. </w:t>
      </w:r>
      <w:r>
        <w:rPr>
          <w:rFonts w:ascii="Book Antiqua" w:hAnsi="Book Antiqua" w:eastAsia="宋体"/>
          <w:i/>
          <w:iCs/>
        </w:rPr>
        <w:t>J Korean Neurosurg Soc</w:t>
      </w:r>
      <w:r>
        <w:rPr>
          <w:rFonts w:ascii="Book Antiqua" w:hAnsi="Book Antiqua" w:eastAsia="宋体"/>
        </w:rPr>
        <w:t xml:space="preserve"> 2016; </w:t>
      </w:r>
      <w:r>
        <w:rPr>
          <w:rFonts w:ascii="Book Antiqua" w:hAnsi="Book Antiqua" w:eastAsia="宋体"/>
          <w:b/>
          <w:bCs/>
        </w:rPr>
        <w:t>59</w:t>
      </w:r>
      <w:r>
        <w:rPr>
          <w:rFonts w:ascii="Book Antiqua" w:hAnsi="Book Antiqua" w:eastAsia="宋体"/>
        </w:rPr>
        <w:t>: 187-191 [PMID: 27226847 DOI: 10.3340/jkns.2016.59.3.187]</w:t>
      </w:r>
    </w:p>
    <w:p>
      <w:pPr>
        <w:spacing w:line="360" w:lineRule="auto"/>
        <w:jc w:val="both"/>
        <w:rPr>
          <w:rFonts w:ascii="Book Antiqua" w:hAnsi="Book Antiqua" w:eastAsia="宋体"/>
        </w:rPr>
      </w:pPr>
      <w:r>
        <w:rPr>
          <w:rFonts w:ascii="Book Antiqua" w:hAnsi="Book Antiqua" w:eastAsia="宋体"/>
        </w:rPr>
        <w:t xml:space="preserve">18 </w:t>
      </w:r>
      <w:r>
        <w:rPr>
          <w:rFonts w:ascii="Book Antiqua" w:hAnsi="Book Antiqua" w:eastAsia="宋体"/>
          <w:b/>
          <w:bCs/>
        </w:rPr>
        <w:t>Elmi P</w:t>
      </w:r>
      <w:r>
        <w:rPr>
          <w:rFonts w:ascii="Book Antiqua" w:hAnsi="Book Antiqua" w:eastAsia="宋体"/>
        </w:rPr>
        <w:t xml:space="preserve">, Reitsma JH, Buschang PH, Wolvius EB, Ongkosuwito EM. Mandibular asymmetry in patients with the crouzon or apert syndrome. </w:t>
      </w:r>
      <w:r>
        <w:rPr>
          <w:rFonts w:ascii="Book Antiqua" w:hAnsi="Book Antiqua" w:eastAsia="宋体"/>
          <w:i/>
          <w:iCs/>
        </w:rPr>
        <w:t>Cleft Palate Craniofac J</w:t>
      </w:r>
      <w:r>
        <w:rPr>
          <w:rFonts w:ascii="Book Antiqua" w:hAnsi="Book Antiqua" w:eastAsia="宋体"/>
        </w:rPr>
        <w:t xml:space="preserve"> 2015; </w:t>
      </w:r>
      <w:r>
        <w:rPr>
          <w:rFonts w:ascii="Book Antiqua" w:hAnsi="Book Antiqua" w:eastAsia="宋体"/>
          <w:b/>
          <w:bCs/>
        </w:rPr>
        <w:t>52</w:t>
      </w:r>
      <w:r>
        <w:rPr>
          <w:rFonts w:ascii="Book Antiqua" w:hAnsi="Book Antiqua" w:eastAsia="宋体"/>
        </w:rPr>
        <w:t>: 327-335 [PMID: 24878346 DOI: 10.1597/13-143]</w:t>
      </w:r>
    </w:p>
    <w:p>
      <w:pPr>
        <w:spacing w:line="360" w:lineRule="auto"/>
        <w:jc w:val="both"/>
        <w:rPr>
          <w:rFonts w:ascii="Book Antiqua" w:hAnsi="Book Antiqua" w:eastAsia="宋体"/>
        </w:rPr>
      </w:pPr>
      <w:r>
        <w:rPr>
          <w:rFonts w:ascii="Book Antiqua" w:hAnsi="Book Antiqua" w:eastAsia="宋体"/>
        </w:rPr>
        <w:t xml:space="preserve">19 </w:t>
      </w:r>
      <w:r>
        <w:rPr>
          <w:rFonts w:ascii="Book Antiqua" w:hAnsi="Book Antiqua" w:eastAsia="宋体"/>
          <w:b/>
          <w:bCs/>
        </w:rPr>
        <w:t>Agochukwu NB</w:t>
      </w:r>
      <w:r>
        <w:rPr>
          <w:rFonts w:ascii="Book Antiqua" w:hAnsi="Book Antiqua" w:eastAsia="宋体"/>
        </w:rPr>
        <w:t xml:space="preserve">, Solomon BD, Doherty ES, Muenke M. Palatal and oral manifestations of Muenke syndrome (FGFR3-related craniosynostosis). </w:t>
      </w:r>
      <w:r>
        <w:rPr>
          <w:rFonts w:ascii="Book Antiqua" w:hAnsi="Book Antiqua" w:eastAsia="宋体"/>
          <w:i/>
          <w:iCs/>
        </w:rPr>
        <w:t>J Craniofac Surg</w:t>
      </w:r>
      <w:r>
        <w:rPr>
          <w:rFonts w:ascii="Book Antiqua" w:hAnsi="Book Antiqua" w:eastAsia="宋体"/>
        </w:rPr>
        <w:t xml:space="preserve"> 2012; </w:t>
      </w:r>
      <w:r>
        <w:rPr>
          <w:rFonts w:ascii="Book Antiqua" w:hAnsi="Book Antiqua" w:eastAsia="宋体"/>
          <w:b/>
          <w:bCs/>
        </w:rPr>
        <w:t>23</w:t>
      </w:r>
      <w:r>
        <w:rPr>
          <w:rFonts w:ascii="Book Antiqua" w:hAnsi="Book Antiqua" w:eastAsia="宋体"/>
        </w:rPr>
        <w:t>: 664-668 [PMID: 22565872 DOI: 10.1097/SCS.0b013e31824db8bb]</w:t>
      </w:r>
    </w:p>
    <w:p>
      <w:pPr>
        <w:spacing w:line="360" w:lineRule="auto"/>
        <w:jc w:val="both"/>
        <w:rPr>
          <w:rFonts w:ascii="Book Antiqua" w:hAnsi="Book Antiqua" w:eastAsia="宋体"/>
        </w:rPr>
      </w:pPr>
      <w:r>
        <w:rPr>
          <w:rFonts w:ascii="Book Antiqua" w:hAnsi="Book Antiqua" w:eastAsia="宋体"/>
        </w:rPr>
        <w:t xml:space="preserve">20 </w:t>
      </w:r>
      <w:r>
        <w:rPr>
          <w:rFonts w:ascii="Book Antiqua" w:hAnsi="Book Antiqua" w:eastAsia="宋体"/>
          <w:b/>
          <w:bCs/>
        </w:rPr>
        <w:t>Hassona Y</w:t>
      </w:r>
      <w:r>
        <w:rPr>
          <w:rFonts w:ascii="Book Antiqua" w:hAnsi="Book Antiqua" w:eastAsia="宋体"/>
        </w:rPr>
        <w:t xml:space="preserve">, Al-Hadidi A, Ghlassi TA, Dali HE, Scully C. Pfeiffer syndrome: oral healthcare management and description of new dental findings in a craniosynostosis. </w:t>
      </w:r>
      <w:r>
        <w:rPr>
          <w:rFonts w:ascii="Book Antiqua" w:hAnsi="Book Antiqua" w:eastAsia="宋体"/>
          <w:i/>
          <w:iCs/>
        </w:rPr>
        <w:t>Spec Care Dentist</w:t>
      </w:r>
      <w:r>
        <w:rPr>
          <w:rFonts w:ascii="Book Antiqua" w:hAnsi="Book Antiqua" w:eastAsia="宋体"/>
        </w:rPr>
        <w:t xml:space="preserve"> 2017; </w:t>
      </w:r>
      <w:r>
        <w:rPr>
          <w:rFonts w:ascii="Book Antiqua" w:hAnsi="Book Antiqua" w:eastAsia="宋体"/>
          <w:b/>
          <w:bCs/>
        </w:rPr>
        <w:t>37</w:t>
      </w:r>
      <w:r>
        <w:rPr>
          <w:rFonts w:ascii="Book Antiqua" w:hAnsi="Book Antiqua" w:eastAsia="宋体"/>
        </w:rPr>
        <w:t>: 258-262 [PMID: 28845899 DOI: 10.1111/scd.12236]</w:t>
      </w:r>
    </w:p>
    <w:p>
      <w:pPr>
        <w:spacing w:line="360" w:lineRule="auto"/>
        <w:jc w:val="both"/>
        <w:rPr>
          <w:rFonts w:ascii="Book Antiqua" w:hAnsi="Book Antiqua" w:eastAsia="宋体"/>
        </w:rPr>
      </w:pPr>
      <w:r>
        <w:rPr>
          <w:rFonts w:ascii="Book Antiqua" w:hAnsi="Book Antiqua" w:eastAsia="宋体"/>
        </w:rPr>
        <w:t xml:space="preserve">21 </w:t>
      </w:r>
      <w:r>
        <w:rPr>
          <w:rFonts w:ascii="Book Antiqua" w:hAnsi="Book Antiqua" w:eastAsia="宋体"/>
          <w:b/>
          <w:bCs/>
        </w:rPr>
        <w:t>López-Estudillo AS</w:t>
      </w:r>
      <w:r>
        <w:rPr>
          <w:rFonts w:ascii="Book Antiqua" w:hAnsi="Book Antiqua" w:eastAsia="宋体"/>
        </w:rPr>
        <w:t xml:space="preserve">, Rosales-Bérber MA, Ruiz-Rodríguez S, Pozos-Guillén A, Noyola-Frías MÁ, Garrocho-Rangel A. Dental approach for Apert syndrome in children: a systematic review. </w:t>
      </w:r>
      <w:r>
        <w:rPr>
          <w:rFonts w:ascii="Book Antiqua" w:hAnsi="Book Antiqua" w:eastAsia="宋体"/>
          <w:i/>
          <w:iCs/>
        </w:rPr>
        <w:t>Med Oral Patol Oral Cir Bucal</w:t>
      </w:r>
      <w:r>
        <w:rPr>
          <w:rFonts w:ascii="Book Antiqua" w:hAnsi="Book Antiqua" w:eastAsia="宋体"/>
        </w:rPr>
        <w:t xml:space="preserve"> 2017; </w:t>
      </w:r>
      <w:r>
        <w:rPr>
          <w:rFonts w:ascii="Book Antiqua" w:hAnsi="Book Antiqua" w:eastAsia="宋体"/>
          <w:b/>
          <w:bCs/>
        </w:rPr>
        <w:t>22</w:t>
      </w:r>
      <w:r>
        <w:rPr>
          <w:rFonts w:ascii="Book Antiqua" w:hAnsi="Book Antiqua" w:eastAsia="宋体"/>
        </w:rPr>
        <w:t>: e660-e668 [PMID: 29053644 DOI: 10.4317/medoral.21628]</w:t>
      </w:r>
    </w:p>
    <w:p>
      <w:pPr>
        <w:spacing w:line="360" w:lineRule="auto"/>
        <w:jc w:val="both"/>
        <w:rPr>
          <w:rFonts w:ascii="Book Antiqua" w:hAnsi="Book Antiqua" w:eastAsia="宋体"/>
        </w:rPr>
      </w:pPr>
      <w:r>
        <w:rPr>
          <w:rFonts w:ascii="Book Antiqua" w:hAnsi="Book Antiqua" w:eastAsia="宋体"/>
        </w:rPr>
        <w:t xml:space="preserve">22 </w:t>
      </w:r>
      <w:r>
        <w:rPr>
          <w:rFonts w:ascii="Book Antiqua" w:hAnsi="Book Antiqua" w:eastAsia="宋体"/>
          <w:b/>
          <w:bCs/>
        </w:rPr>
        <w:t>Lu X</w:t>
      </w:r>
      <w:r>
        <w:rPr>
          <w:rFonts w:ascii="Book Antiqua" w:hAnsi="Book Antiqua" w:eastAsia="宋体"/>
        </w:rPr>
        <w:t xml:space="preserve">, Sawh-Martinez R, Forte AJ, Wu R, Cabrejo R, Wilson A, Steinbacher DM, Alperovich M, Alonso N, Persing JA. Mandibular Spatial Reorientation and Morphological Alteration of Crouzon and Apert Syndrome. </w:t>
      </w:r>
      <w:r>
        <w:rPr>
          <w:rFonts w:ascii="Book Antiqua" w:hAnsi="Book Antiqua" w:eastAsia="宋体"/>
          <w:i/>
          <w:iCs/>
        </w:rPr>
        <w:t>Ann Plast Surg</w:t>
      </w:r>
      <w:r>
        <w:rPr>
          <w:rFonts w:ascii="Book Antiqua" w:hAnsi="Book Antiqua" w:eastAsia="宋体"/>
        </w:rPr>
        <w:t xml:space="preserve"> 2019; </w:t>
      </w:r>
      <w:r>
        <w:rPr>
          <w:rFonts w:ascii="Book Antiqua" w:hAnsi="Book Antiqua" w:eastAsia="宋体"/>
          <w:b/>
          <w:bCs/>
        </w:rPr>
        <w:t>83</w:t>
      </w:r>
      <w:r>
        <w:rPr>
          <w:rFonts w:ascii="Book Antiqua" w:hAnsi="Book Antiqua" w:eastAsia="宋体"/>
        </w:rPr>
        <w:t>: 568-582 [PMID: 31008788 DOI: 10.1097/SAP.0000000000001811]</w:t>
      </w:r>
    </w:p>
    <w:p>
      <w:pPr>
        <w:spacing w:line="360" w:lineRule="auto"/>
        <w:jc w:val="both"/>
        <w:rPr>
          <w:rFonts w:ascii="Book Antiqua" w:hAnsi="Book Antiqua" w:eastAsia="宋体"/>
        </w:rPr>
      </w:pPr>
      <w:r>
        <w:rPr>
          <w:rFonts w:ascii="Book Antiqua" w:hAnsi="Book Antiqua" w:eastAsia="宋体"/>
        </w:rPr>
        <w:t xml:space="preserve">23 </w:t>
      </w:r>
      <w:r>
        <w:rPr>
          <w:rFonts w:ascii="Book Antiqua" w:hAnsi="Book Antiqua" w:eastAsia="宋体"/>
          <w:b/>
          <w:bCs/>
        </w:rPr>
        <w:t>Ye X</w:t>
      </w:r>
      <w:r>
        <w:rPr>
          <w:rFonts w:ascii="Book Antiqua" w:hAnsi="Book Antiqua" w:eastAsia="宋体"/>
        </w:rPr>
        <w:t xml:space="preserve">, Attaie AB. Genetic Basis of Nonsyndromic and Syndromic Tooth Agenesis. </w:t>
      </w:r>
      <w:r>
        <w:rPr>
          <w:rFonts w:ascii="Book Antiqua" w:hAnsi="Book Antiqua" w:eastAsia="宋体"/>
          <w:i/>
          <w:iCs/>
        </w:rPr>
        <w:t>J Pediatr Genet</w:t>
      </w:r>
      <w:r>
        <w:rPr>
          <w:rFonts w:ascii="Book Antiqua" w:hAnsi="Book Antiqua" w:eastAsia="宋体"/>
        </w:rPr>
        <w:t xml:space="preserve"> 2016; </w:t>
      </w:r>
      <w:r>
        <w:rPr>
          <w:rFonts w:ascii="Book Antiqua" w:hAnsi="Book Antiqua" w:eastAsia="宋体"/>
          <w:b/>
          <w:bCs/>
        </w:rPr>
        <w:t>5</w:t>
      </w:r>
      <w:r>
        <w:rPr>
          <w:rFonts w:ascii="Book Antiqua" w:hAnsi="Book Antiqua" w:eastAsia="宋体"/>
        </w:rPr>
        <w:t>: 198-208 [PMID: 27895972 DOI: 10.1055/s-0036-1592421]</w:t>
      </w:r>
    </w:p>
    <w:p>
      <w:pPr>
        <w:spacing w:line="360" w:lineRule="auto"/>
        <w:jc w:val="both"/>
        <w:rPr>
          <w:rFonts w:ascii="Book Antiqua" w:hAnsi="Book Antiqua" w:eastAsia="宋体"/>
        </w:rPr>
      </w:pPr>
      <w:r>
        <w:rPr>
          <w:rFonts w:ascii="Book Antiqua" w:hAnsi="Book Antiqua" w:eastAsia="宋体"/>
        </w:rPr>
        <w:t xml:space="preserve">24 </w:t>
      </w:r>
      <w:r>
        <w:rPr>
          <w:rFonts w:ascii="Book Antiqua" w:hAnsi="Book Antiqua" w:eastAsia="宋体"/>
          <w:b/>
          <w:bCs/>
        </w:rPr>
        <w:t>Khominsky A</w:t>
      </w:r>
      <w:r>
        <w:rPr>
          <w:rFonts w:ascii="Book Antiqua" w:hAnsi="Book Antiqua" w:eastAsia="宋体"/>
        </w:rPr>
        <w:t xml:space="preserve">, Yong R, Ranjitkar S, Townsend G, Anderson PJ. Extensive phenotyping of the orofacial and dental complex in Crouzon syndrome. </w:t>
      </w:r>
      <w:r>
        <w:rPr>
          <w:rFonts w:ascii="Book Antiqua" w:hAnsi="Book Antiqua" w:eastAsia="宋体"/>
          <w:i/>
          <w:iCs/>
        </w:rPr>
        <w:t>Arch Oral Biol</w:t>
      </w:r>
      <w:r>
        <w:rPr>
          <w:rFonts w:ascii="Book Antiqua" w:hAnsi="Book Antiqua" w:eastAsia="宋体"/>
        </w:rPr>
        <w:t xml:space="preserve"> 2018; </w:t>
      </w:r>
      <w:r>
        <w:rPr>
          <w:rFonts w:ascii="Book Antiqua" w:hAnsi="Book Antiqua" w:eastAsia="宋体"/>
          <w:b/>
          <w:bCs/>
        </w:rPr>
        <w:t>86</w:t>
      </w:r>
      <w:r>
        <w:rPr>
          <w:rFonts w:ascii="Book Antiqua" w:hAnsi="Book Antiqua" w:eastAsia="宋体"/>
        </w:rPr>
        <w:t>: 123-130 [PMID: 29223639 DOI: 10.1016/j.archoralbio.2017.10.022]</w:t>
      </w:r>
    </w:p>
    <w:p>
      <w:pPr>
        <w:spacing w:line="360" w:lineRule="auto"/>
        <w:jc w:val="both"/>
        <w:rPr>
          <w:rFonts w:ascii="Book Antiqua" w:hAnsi="Book Antiqua" w:eastAsia="宋体"/>
        </w:rPr>
      </w:pPr>
      <w:r>
        <w:rPr>
          <w:rFonts w:ascii="Book Antiqua" w:hAnsi="Book Antiqua" w:eastAsia="宋体"/>
        </w:rPr>
        <w:t xml:space="preserve">25 </w:t>
      </w:r>
      <w:r>
        <w:rPr>
          <w:rFonts w:ascii="Book Antiqua" w:hAnsi="Book Antiqua" w:eastAsia="宋体"/>
          <w:b/>
          <w:bCs/>
        </w:rPr>
        <w:t>Nelson T</w:t>
      </w:r>
      <w:r>
        <w:rPr>
          <w:rFonts w:ascii="Book Antiqua" w:hAnsi="Book Antiqua" w:eastAsia="宋体"/>
        </w:rPr>
        <w:t xml:space="preserve">. The continuum of behavior guidance. </w:t>
      </w:r>
      <w:r>
        <w:rPr>
          <w:rFonts w:ascii="Book Antiqua" w:hAnsi="Book Antiqua" w:eastAsia="宋体"/>
          <w:i/>
          <w:iCs/>
        </w:rPr>
        <w:t>Dent Clin North Am</w:t>
      </w:r>
      <w:r>
        <w:rPr>
          <w:rFonts w:ascii="Book Antiqua" w:hAnsi="Book Antiqua" w:eastAsia="宋体"/>
        </w:rPr>
        <w:t xml:space="preserve"> 2013; </w:t>
      </w:r>
      <w:r>
        <w:rPr>
          <w:rFonts w:ascii="Book Antiqua" w:hAnsi="Book Antiqua" w:eastAsia="宋体"/>
          <w:b/>
          <w:bCs/>
        </w:rPr>
        <w:t>57</w:t>
      </w:r>
      <w:r>
        <w:rPr>
          <w:rFonts w:ascii="Book Antiqua" w:hAnsi="Book Antiqua" w:eastAsia="宋体"/>
        </w:rPr>
        <w:t>: 129-143 [PMID: 23174614 DOI: 10.1016/j.cden.2012.09.006]</w:t>
      </w:r>
    </w:p>
    <w:p>
      <w:pPr>
        <w:spacing w:line="360" w:lineRule="auto"/>
        <w:jc w:val="both"/>
        <w:rPr>
          <w:rFonts w:ascii="Book Antiqua" w:hAnsi="Book Antiqua" w:eastAsia="宋体"/>
        </w:rPr>
      </w:pPr>
      <w:r>
        <w:rPr>
          <w:rFonts w:ascii="Book Antiqua" w:hAnsi="Book Antiqua" w:eastAsia="宋体"/>
        </w:rPr>
        <w:t xml:space="preserve">26 </w:t>
      </w:r>
      <w:r>
        <w:rPr>
          <w:rFonts w:ascii="Book Antiqua" w:hAnsi="Book Antiqua" w:eastAsia="宋体"/>
          <w:b/>
          <w:bCs/>
        </w:rPr>
        <w:t>Karekar P</w:t>
      </w:r>
      <w:r>
        <w:rPr>
          <w:rFonts w:ascii="Book Antiqua" w:hAnsi="Book Antiqua" w:eastAsia="宋体"/>
        </w:rPr>
        <w:t xml:space="preserve">, Bijle MN, Walimbe H. Effect of Three Behavior Guidance Techniques on Anxiety Indicators of Children Undergoing Diagnosis and Preventive Dental Care. </w:t>
      </w:r>
      <w:r>
        <w:rPr>
          <w:rFonts w:ascii="Book Antiqua" w:hAnsi="Book Antiqua" w:eastAsia="宋体"/>
          <w:i/>
          <w:iCs/>
        </w:rPr>
        <w:t>J Clin Pediatr Dent</w:t>
      </w:r>
      <w:r>
        <w:rPr>
          <w:rFonts w:ascii="Book Antiqua" w:hAnsi="Book Antiqua" w:eastAsia="宋体"/>
        </w:rPr>
        <w:t xml:space="preserve"> 2019; </w:t>
      </w:r>
      <w:r>
        <w:rPr>
          <w:rFonts w:ascii="Book Antiqua" w:hAnsi="Book Antiqua" w:eastAsia="宋体"/>
          <w:b/>
          <w:bCs/>
        </w:rPr>
        <w:t>43</w:t>
      </w:r>
      <w:r>
        <w:rPr>
          <w:rFonts w:ascii="Book Antiqua" w:hAnsi="Book Antiqua" w:eastAsia="宋体"/>
        </w:rPr>
        <w:t>: 167-172 [PMID: 30964721 DOI: 10.17796/1053-4625-43.3.4]</w:t>
      </w:r>
    </w:p>
    <w:p>
      <w:pPr>
        <w:spacing w:line="360" w:lineRule="auto"/>
        <w:jc w:val="both"/>
        <w:rPr>
          <w:rFonts w:ascii="Book Antiqua" w:hAnsi="Book Antiqua" w:eastAsia="宋体"/>
        </w:rPr>
      </w:pPr>
      <w:r>
        <w:rPr>
          <w:rFonts w:ascii="Book Antiqua" w:hAnsi="Book Antiqua" w:eastAsia="宋体"/>
        </w:rPr>
        <w:t xml:space="preserve">27 </w:t>
      </w:r>
      <w:r>
        <w:rPr>
          <w:rFonts w:ascii="Book Antiqua" w:hAnsi="Book Antiqua" w:eastAsia="宋体"/>
          <w:b/>
          <w:bCs/>
        </w:rPr>
        <w:t>Ma HW</w:t>
      </w:r>
      <w:r>
        <w:rPr>
          <w:rFonts w:ascii="Book Antiqua" w:hAnsi="Book Antiqua" w:eastAsia="宋体"/>
        </w:rPr>
        <w:t xml:space="preserve">, Lajeunie E, Le Merrer M, de Parseval N, Serville F, Weissenbach J, Munnich A, Renier D. No evidence of genetic heterogeneity in Crouzon craniofacial dysostosis. </w:t>
      </w:r>
      <w:r>
        <w:rPr>
          <w:rFonts w:ascii="Book Antiqua" w:hAnsi="Book Antiqua" w:eastAsia="宋体"/>
          <w:i/>
          <w:iCs/>
        </w:rPr>
        <w:t>Hum Genet</w:t>
      </w:r>
      <w:r>
        <w:rPr>
          <w:rFonts w:ascii="Book Antiqua" w:hAnsi="Book Antiqua" w:eastAsia="宋体"/>
        </w:rPr>
        <w:t xml:space="preserve"> 1995; </w:t>
      </w:r>
      <w:r>
        <w:rPr>
          <w:rFonts w:ascii="Book Antiqua" w:hAnsi="Book Antiqua" w:eastAsia="宋体"/>
          <w:b/>
          <w:bCs/>
        </w:rPr>
        <w:t>96</w:t>
      </w:r>
      <w:r>
        <w:rPr>
          <w:rFonts w:ascii="Book Antiqua" w:hAnsi="Book Antiqua" w:eastAsia="宋体"/>
        </w:rPr>
        <w:t>: 731-735 [PMID: 8522336 DOI: 10.1007/BF00210308]</w:t>
      </w:r>
    </w:p>
    <w:p>
      <w:pPr>
        <w:spacing w:line="360" w:lineRule="auto"/>
        <w:jc w:val="both"/>
        <w:rPr>
          <w:rFonts w:ascii="Book Antiqua" w:hAnsi="Book Antiqua" w:eastAsia="宋体"/>
        </w:rPr>
      </w:pPr>
      <w:r>
        <w:rPr>
          <w:rFonts w:ascii="Book Antiqua" w:hAnsi="Book Antiqua" w:eastAsia="宋体"/>
        </w:rPr>
        <w:t xml:space="preserve">28 </w:t>
      </w:r>
      <w:r>
        <w:rPr>
          <w:rFonts w:ascii="Book Antiqua" w:hAnsi="Book Antiqua" w:eastAsia="宋体"/>
          <w:b/>
          <w:bCs/>
        </w:rPr>
        <w:t>Nagase T</w:t>
      </w:r>
      <w:r>
        <w:rPr>
          <w:rFonts w:ascii="Book Antiqua" w:hAnsi="Book Antiqua" w:eastAsia="宋体"/>
        </w:rPr>
        <w:t xml:space="preserve">, Nagase M, Hirose S, Ohmori K. Mutations in fibroblast growth factor receptor 2 gene and craniosynostotic syndromes in Japanese children. </w:t>
      </w:r>
      <w:r>
        <w:rPr>
          <w:rFonts w:ascii="Book Antiqua" w:hAnsi="Book Antiqua" w:eastAsia="宋体"/>
          <w:i/>
          <w:iCs/>
        </w:rPr>
        <w:t>J Craniofac Surg</w:t>
      </w:r>
      <w:r>
        <w:rPr>
          <w:rFonts w:ascii="Book Antiqua" w:hAnsi="Book Antiqua" w:eastAsia="宋体"/>
        </w:rPr>
        <w:t xml:space="preserve"> 1998; </w:t>
      </w:r>
      <w:r>
        <w:rPr>
          <w:rFonts w:ascii="Book Antiqua" w:hAnsi="Book Antiqua" w:eastAsia="宋体"/>
          <w:b/>
          <w:bCs/>
        </w:rPr>
        <w:t>9</w:t>
      </w:r>
      <w:r>
        <w:rPr>
          <w:rFonts w:ascii="Book Antiqua" w:hAnsi="Book Antiqua" w:eastAsia="宋体"/>
        </w:rPr>
        <w:t>: 162-170 [PMID: 9586546 DOI: 10.1097/00001665-199803000-00015]</w:t>
      </w:r>
    </w:p>
    <w:p>
      <w:pPr>
        <w:spacing w:line="360" w:lineRule="auto"/>
        <w:jc w:val="both"/>
        <w:rPr>
          <w:rFonts w:ascii="Book Antiqua" w:hAnsi="Book Antiqua" w:eastAsia="宋体"/>
        </w:rPr>
      </w:pPr>
      <w:r>
        <w:rPr>
          <w:rFonts w:ascii="Book Antiqua" w:hAnsi="Book Antiqua" w:eastAsia="宋体"/>
        </w:rPr>
        <w:t xml:space="preserve">29 </w:t>
      </w:r>
      <w:r>
        <w:rPr>
          <w:rFonts w:ascii="Book Antiqua" w:hAnsi="Book Antiqua" w:eastAsia="宋体"/>
          <w:b/>
          <w:bCs/>
        </w:rPr>
        <w:t>Kress W</w:t>
      </w:r>
      <w:r>
        <w:rPr>
          <w:rFonts w:ascii="Book Antiqua" w:hAnsi="Book Antiqua" w:eastAsia="宋体"/>
        </w:rPr>
        <w:t xml:space="preserve">, Collmann H, Büsse M, Halliger-Keller B, Mueller CR. Clustering of FGFR2 gene mutations inpatients with Pfeiffer and Crouzon syndromes (FGFR2-associated craniosynostoses). </w:t>
      </w:r>
      <w:r>
        <w:rPr>
          <w:rFonts w:ascii="Book Antiqua" w:hAnsi="Book Antiqua" w:eastAsia="宋体"/>
          <w:i/>
          <w:iCs/>
        </w:rPr>
        <w:t>Cytogenet Cell Genet</w:t>
      </w:r>
      <w:r>
        <w:rPr>
          <w:rFonts w:ascii="Book Antiqua" w:hAnsi="Book Antiqua" w:eastAsia="宋体"/>
        </w:rPr>
        <w:t xml:space="preserve"> 2000; </w:t>
      </w:r>
      <w:r>
        <w:rPr>
          <w:rFonts w:ascii="Book Antiqua" w:hAnsi="Book Antiqua" w:eastAsia="宋体"/>
          <w:b/>
          <w:bCs/>
        </w:rPr>
        <w:t>91</w:t>
      </w:r>
      <w:r>
        <w:rPr>
          <w:rFonts w:ascii="Book Antiqua" w:hAnsi="Book Antiqua" w:eastAsia="宋体"/>
        </w:rPr>
        <w:t>: 134-137 [PMID: 11173845 DOI: 10.1159/000056833]</w:t>
      </w:r>
    </w:p>
    <w:p>
      <w:pPr>
        <w:spacing w:line="360" w:lineRule="auto"/>
        <w:jc w:val="both"/>
        <w:rPr>
          <w:rFonts w:ascii="Book Antiqua" w:hAnsi="Book Antiqua" w:eastAsia="宋体"/>
        </w:rPr>
      </w:pPr>
      <w:r>
        <w:rPr>
          <w:rFonts w:ascii="Book Antiqua" w:hAnsi="Book Antiqua" w:eastAsia="宋体"/>
        </w:rPr>
        <w:t xml:space="preserve">30 </w:t>
      </w:r>
      <w:r>
        <w:rPr>
          <w:rFonts w:ascii="Book Antiqua" w:hAnsi="Book Antiqua" w:eastAsia="宋体"/>
          <w:b/>
          <w:bCs/>
        </w:rPr>
        <w:t>Taylor JA</w:t>
      </w:r>
      <w:r>
        <w:rPr>
          <w:rFonts w:ascii="Book Antiqua" w:hAnsi="Book Antiqua" w:eastAsia="宋体"/>
        </w:rPr>
        <w:t xml:space="preserve">, Bartlett SP. What's New in Syndromic Craniosynostosis Surgery? </w:t>
      </w:r>
      <w:r>
        <w:rPr>
          <w:rFonts w:ascii="Book Antiqua" w:hAnsi="Book Antiqua" w:eastAsia="宋体"/>
          <w:i/>
          <w:iCs/>
        </w:rPr>
        <w:t>Plast Reconstr Surg</w:t>
      </w:r>
      <w:r>
        <w:rPr>
          <w:rFonts w:ascii="Book Antiqua" w:hAnsi="Book Antiqua" w:eastAsia="宋体"/>
        </w:rPr>
        <w:t xml:space="preserve"> 2017; </w:t>
      </w:r>
      <w:r>
        <w:rPr>
          <w:rFonts w:ascii="Book Antiqua" w:hAnsi="Book Antiqua" w:eastAsia="宋体"/>
          <w:b/>
          <w:bCs/>
        </w:rPr>
        <w:t>140</w:t>
      </w:r>
      <w:r>
        <w:rPr>
          <w:rFonts w:ascii="Book Antiqua" w:hAnsi="Book Antiqua" w:eastAsia="宋体"/>
        </w:rPr>
        <w:t>: 82e-93e [PMID: 28654610 DOI: 10.1097/PRS.0000000000003524]</w:t>
      </w:r>
    </w:p>
    <w:p>
      <w:pPr>
        <w:spacing w:line="360" w:lineRule="auto"/>
        <w:jc w:val="both"/>
        <w:rPr>
          <w:rFonts w:ascii="Book Antiqua" w:hAnsi="Book Antiqua" w:eastAsia="宋体"/>
        </w:rPr>
      </w:pPr>
      <w:r>
        <w:rPr>
          <w:rFonts w:ascii="Book Antiqua" w:hAnsi="Book Antiqua" w:eastAsia="宋体"/>
        </w:rPr>
        <w:t xml:space="preserve">31 </w:t>
      </w:r>
      <w:r>
        <w:rPr>
          <w:rFonts w:ascii="Book Antiqua" w:hAnsi="Book Antiqua" w:eastAsia="宋体"/>
          <w:b/>
          <w:bCs/>
        </w:rPr>
        <w:t>Lloyd MS</w:t>
      </w:r>
      <w:r>
        <w:rPr>
          <w:rFonts w:ascii="Book Antiqua" w:hAnsi="Book Antiqua" w:eastAsia="宋体"/>
        </w:rPr>
        <w:t xml:space="preserve">, Trost JG, Khechoyan DY, Hollier LH Jr, Buchanan EP. Identical Twins with Crouzon Syndrome: Eight-Year Follow-up, Genetic Considerations, and Operative Management. </w:t>
      </w:r>
      <w:r>
        <w:rPr>
          <w:rFonts w:ascii="Book Antiqua" w:hAnsi="Book Antiqua" w:eastAsia="宋体"/>
          <w:i/>
          <w:iCs/>
        </w:rPr>
        <w:t>Craniomaxillofac Trauma Reconstr</w:t>
      </w:r>
      <w:r>
        <w:rPr>
          <w:rFonts w:ascii="Book Antiqua" w:hAnsi="Book Antiqua" w:eastAsia="宋体"/>
        </w:rPr>
        <w:t xml:space="preserve"> 2017; </w:t>
      </w:r>
      <w:r>
        <w:rPr>
          <w:rFonts w:ascii="Book Antiqua" w:hAnsi="Book Antiqua" w:eastAsia="宋体"/>
          <w:b/>
          <w:bCs/>
        </w:rPr>
        <w:t>10</w:t>
      </w:r>
      <w:r>
        <w:rPr>
          <w:rFonts w:ascii="Book Antiqua" w:hAnsi="Book Antiqua" w:eastAsia="宋体"/>
        </w:rPr>
        <w:t>: 286-291 [PMID: 29109840 DOI: 10.1055/s-0036-1592091]</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color w:val="000000"/>
        </w:rPr>
      </w:pPr>
      <w:r>
        <w:rPr>
          <w:rFonts w:ascii="Book Antiqua" w:hAnsi="Book Antiqua" w:eastAsia="Book Antiqua" w:cs="Book Antiqua"/>
          <w:b/>
          <w:bCs/>
          <w:color w:val="000000"/>
        </w:rPr>
        <w:t xml:space="preserve">Informed consent statement: </w:t>
      </w:r>
      <w:r>
        <w:rPr>
          <w:rFonts w:ascii="Book Antiqua" w:hAnsi="Book Antiqua"/>
          <w:color w:val="000000"/>
        </w:rPr>
        <w:t xml:space="preserve">Informed written consent was obtained from the </w:t>
      </w:r>
      <w:r>
        <w:rPr>
          <w:rFonts w:ascii="Book Antiqua" w:hAnsi="Book Antiqua" w:eastAsia="Book Antiqua" w:cs="Book Antiqua"/>
          <w:color w:val="000000"/>
        </w:rPr>
        <w:t>patient</w:t>
      </w:r>
      <w:r>
        <w:rPr>
          <w:rFonts w:ascii="Book Antiqua" w:hAnsi="Book Antiqua"/>
          <w:color w:val="000000"/>
        </w:rPr>
        <w:t xml:space="preserve"> for the publication of this report and any accompanying images.</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 of interest.</w:t>
      </w:r>
    </w:p>
    <w:p>
      <w:pPr>
        <w:spacing w:line="360" w:lineRule="auto"/>
        <w:jc w:val="both"/>
        <w:rPr>
          <w:rFonts w:ascii="Book Antiqua" w:hAnsi="Book Antiqua"/>
          <w:lang w:eastAsia="zh-CN"/>
        </w:rPr>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December 13,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12, 2022</w:t>
      </w:r>
    </w:p>
    <w:p>
      <w:pPr>
        <w:spacing w:line="360" w:lineRule="auto"/>
        <w:jc w:val="both"/>
        <w:rPr>
          <w:rFonts w:ascii="Book Antiqua" w:hAnsi="Book Antiqua"/>
          <w:b w:val="0"/>
          <w:bCs w:val="0"/>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April 2, 2022</w:t>
      </w:r>
    </w:p>
    <w:p>
      <w:pPr>
        <w:spacing w:line="360" w:lineRule="auto"/>
        <w:jc w:val="both"/>
        <w:rPr>
          <w:rFonts w:ascii="Book Antiqua" w:hAnsi="Book Antiqua"/>
          <w:lang w:eastAsia="zh-CN"/>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Dentistry, oral surgery and medicine</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color w:val="000000"/>
        </w:rPr>
        <w:t>Malekzadegan A, Iran; Tsou HK, Taiwan</w:t>
      </w:r>
      <w:r>
        <w:rPr>
          <w:rFonts w:ascii="Book Antiqua" w:hAnsi="Book Antiqua" w:eastAsia="Book Antiqua" w:cs="Book Antiqua"/>
          <w:b/>
          <w:color w:val="000000"/>
        </w:rPr>
        <w:t xml:space="preserve"> S-Editor: </w:t>
      </w:r>
      <w:r>
        <w:rPr>
          <w:rFonts w:ascii="Book Antiqua" w:hAnsi="Book Antiqua" w:cs="Book Antiqua"/>
          <w:color w:val="000000"/>
          <w:lang w:eastAsia="zh-CN"/>
        </w:rPr>
        <w:t>Chen YL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P-Editor:</w:t>
      </w:r>
      <w:r>
        <w:rPr>
          <w:rFonts w:hint="eastAsia" w:ascii="Book Antiqua" w:hAnsi="Book Antiqua" w:cs="Book Antiqua"/>
          <w:b/>
          <w:color w:val="000000"/>
          <w:lang w:eastAsia="zh-CN"/>
        </w:rPr>
        <w:t xml:space="preserve"> </w:t>
      </w:r>
      <w:r>
        <w:rPr>
          <w:rFonts w:ascii="Book Antiqua" w:hAnsi="Book Antiqua" w:cs="Book Antiqua"/>
          <w:color w:val="000000"/>
          <w:lang w:eastAsia="zh-CN"/>
        </w:rPr>
        <w:t>Chen YL</w:t>
      </w:r>
    </w:p>
    <w:p>
      <w:pPr>
        <w:spacing w:line="360" w:lineRule="auto"/>
        <w:jc w:val="both"/>
        <w:rPr>
          <w:rFonts w:ascii="Book Antiqua" w:hAnsi="Book Antiqua" w:eastAsia="Book Antiqua" w:cs="Book Antiqua"/>
          <w:b/>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cstheme="minorHAnsi"/>
          <w:b/>
        </w:rPr>
        <w:t>Figure Legends</w:t>
      </w:r>
    </w:p>
    <w:p>
      <w:pPr>
        <w:spacing w:line="360" w:lineRule="auto"/>
        <w:jc w:val="both"/>
        <w:rPr>
          <w:rFonts w:ascii="Book Antiqua" w:hAnsi="Book Antiqua"/>
          <w:b/>
          <w:bCs/>
          <w:lang w:eastAsia="zh-CN"/>
        </w:rPr>
      </w:pPr>
      <w:r>
        <w:rPr>
          <w:rFonts w:ascii="Book Antiqua" w:hAnsi="Book Antiqua"/>
          <w:b/>
          <w:bCs/>
          <w:lang w:eastAsia="zh-CN"/>
        </w:rPr>
        <w:drawing>
          <wp:inline distT="0" distB="0" distL="114300" distR="114300">
            <wp:extent cx="5467985" cy="4864735"/>
            <wp:effectExtent l="0" t="0" r="3175" b="12065"/>
            <wp:docPr id="2" name="图片 2" descr="WJCC-10-531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0-5317-g001"/>
                    <pic:cNvPicPr>
                      <a:picLocks noChangeAspect="1"/>
                    </pic:cNvPicPr>
                  </pic:nvPicPr>
                  <pic:blipFill>
                    <a:blip r:embed="rId8"/>
                    <a:stretch>
                      <a:fillRect/>
                    </a:stretch>
                  </pic:blipFill>
                  <pic:spPr>
                    <a:xfrm>
                      <a:off x="0" y="0"/>
                      <a:ext cx="5467985" cy="4864735"/>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bCs/>
        </w:rPr>
        <w:t xml:space="preserve">Figure 1 </w:t>
      </w:r>
      <w:r>
        <w:rPr>
          <w:rFonts w:ascii="Book Antiqua" w:hAnsi="Book Antiqua"/>
          <w:b/>
          <w:bCs/>
          <w:lang w:eastAsia="zh-CN"/>
        </w:rPr>
        <w:t xml:space="preserve">Extraoral </w:t>
      </w:r>
      <w:r>
        <w:rPr>
          <w:rFonts w:ascii="Book Antiqua" w:hAnsi="Book Antiqua"/>
          <w:b/>
          <w:bCs/>
        </w:rPr>
        <w:t xml:space="preserve">and </w:t>
      </w:r>
      <w:r>
        <w:rPr>
          <w:rFonts w:ascii="Book Antiqua" w:hAnsi="Book Antiqua"/>
          <w:b/>
          <w:bCs/>
          <w:lang w:eastAsia="zh-CN"/>
        </w:rPr>
        <w:t>intraoral</w:t>
      </w:r>
      <w:r>
        <w:rPr>
          <w:rFonts w:ascii="Book Antiqua" w:hAnsi="Book Antiqua"/>
          <w:b/>
          <w:bCs/>
        </w:rPr>
        <w:t xml:space="preserve"> presentations of the patient.</w:t>
      </w:r>
      <w:r>
        <w:rPr>
          <w:rFonts w:ascii="Book Antiqua" w:hAnsi="Book Antiqua"/>
        </w:rPr>
        <w:t xml:space="preserve"> A</w:t>
      </w:r>
      <w:r>
        <w:rPr>
          <w:rFonts w:ascii="Book Antiqua" w:hAnsi="Book Antiqua"/>
          <w:lang w:eastAsia="zh-CN"/>
        </w:rPr>
        <w:t>-</w:t>
      </w:r>
      <w:r>
        <w:rPr>
          <w:rFonts w:ascii="Book Antiqua" w:hAnsi="Book Antiqua"/>
        </w:rPr>
        <w:t>C: Extraoral photos showed a prominent forehead, ocular proptosis, midface hypoplasia, retrusive upper lip, and protrusive lower lip</w:t>
      </w:r>
      <w:r>
        <w:rPr>
          <w:rFonts w:ascii="Book Antiqua" w:hAnsi="Book Antiqua"/>
          <w:lang w:eastAsia="zh-CN"/>
        </w:rPr>
        <w:t xml:space="preserve">; </w:t>
      </w:r>
      <w:r>
        <w:rPr>
          <w:rFonts w:ascii="Book Antiqua" w:hAnsi="Book Antiqua"/>
        </w:rPr>
        <w:t>D</w:t>
      </w:r>
      <w:r>
        <w:rPr>
          <w:rFonts w:ascii="Book Antiqua" w:hAnsi="Book Antiqua"/>
          <w:lang w:eastAsia="zh-CN"/>
        </w:rPr>
        <w:t>-</w:t>
      </w:r>
      <w:r>
        <w:rPr>
          <w:rFonts w:ascii="Book Antiqua" w:hAnsi="Book Antiqua"/>
        </w:rPr>
        <w:t>H: The intraoral photos showed that oral hygiene was poor with scattered pigmentation on the teeth. Teeth 36, 46, 54, 55, 65, 74, 75, and 85 were decayed, and teeth 11, 21, 36, and 46 showed hypomineralization</w:t>
      </w:r>
      <w:r>
        <w:rPr>
          <w:rFonts w:ascii="Book Antiqua" w:hAnsi="Book Antiqua"/>
          <w:lang w:eastAsia="zh-CN"/>
        </w:rPr>
        <w:t xml:space="preserve"> </w:t>
      </w:r>
      <w:r>
        <w:rPr>
          <w:rFonts w:ascii="Book Antiqua" w:hAnsi="Book Antiqua"/>
        </w:rPr>
        <w:t>(black arrows).</w:t>
      </w:r>
    </w:p>
    <w:p>
      <w:pPr>
        <w:spacing w:line="360" w:lineRule="auto"/>
        <w:jc w:val="both"/>
        <w:rPr>
          <w:rFonts w:ascii="Book Antiqua" w:hAnsi="Book Antiqua"/>
          <w:lang w:eastAsia="zh-CN"/>
        </w:rPr>
      </w:pPr>
      <w:r>
        <w:rPr>
          <w:rFonts w:ascii="Book Antiqua" w:hAnsi="Book Antiqua"/>
          <w:b/>
          <w:bCs/>
          <w:lang w:eastAsia="zh-CN"/>
        </w:rPr>
        <w:drawing>
          <wp:inline distT="0" distB="0" distL="114300" distR="114300">
            <wp:extent cx="5941695" cy="2376805"/>
            <wp:effectExtent l="0" t="0" r="1905" b="635"/>
            <wp:docPr id="1" name="图片 1" descr="WJCC-10-531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0-5317-g002"/>
                    <pic:cNvPicPr>
                      <a:picLocks noChangeAspect="1"/>
                    </pic:cNvPicPr>
                  </pic:nvPicPr>
                  <pic:blipFill>
                    <a:blip r:embed="rId9"/>
                    <a:stretch>
                      <a:fillRect/>
                    </a:stretch>
                  </pic:blipFill>
                  <pic:spPr>
                    <a:xfrm>
                      <a:off x="0" y="0"/>
                      <a:ext cx="5941695" cy="2376805"/>
                    </a:xfrm>
                    <a:prstGeom prst="rect">
                      <a:avLst/>
                    </a:prstGeom>
                  </pic:spPr>
                </pic:pic>
              </a:graphicData>
            </a:graphic>
          </wp:inline>
        </w:drawing>
      </w:r>
      <w:bookmarkStart w:id="3" w:name="_GoBack"/>
      <w:bookmarkEnd w:id="3"/>
    </w:p>
    <w:p>
      <w:pPr>
        <w:spacing w:line="360" w:lineRule="auto"/>
        <w:jc w:val="both"/>
        <w:rPr>
          <w:rFonts w:ascii="Book Antiqua" w:hAnsi="Book Antiqua"/>
        </w:rPr>
      </w:pPr>
      <w:r>
        <w:rPr>
          <w:rFonts w:ascii="Book Antiqua" w:hAnsi="Book Antiqua"/>
          <w:b/>
          <w:bCs/>
        </w:rPr>
        <w:t xml:space="preserve">Figure 2 </w:t>
      </w:r>
      <w:r>
        <w:rPr>
          <w:rFonts w:hint="eastAsia" w:ascii="Book Antiqua" w:hAnsi="Book Antiqua"/>
          <w:b/>
          <w:bCs/>
          <w:lang w:eastAsia="zh-CN"/>
        </w:rPr>
        <w:t>P</w:t>
      </w:r>
      <w:r>
        <w:rPr>
          <w:rFonts w:ascii="Book Antiqua" w:hAnsi="Book Antiqua"/>
          <w:b/>
          <w:bCs/>
        </w:rPr>
        <w:t xml:space="preserve">anoramic and lateral cephalometric radiograph of the patient. </w:t>
      </w:r>
      <w:r>
        <w:rPr>
          <w:rFonts w:ascii="Book Antiqua" w:hAnsi="Book Antiqua"/>
        </w:rPr>
        <w:t>A: The panoramic radiograph showed normal permanent tooth germ development</w:t>
      </w:r>
      <w:r>
        <w:rPr>
          <w:rFonts w:ascii="Book Antiqua" w:hAnsi="Book Antiqua"/>
          <w:lang w:eastAsia="zh-CN"/>
        </w:rPr>
        <w:t>;</w:t>
      </w:r>
      <w:r>
        <w:rPr>
          <w:rFonts w:ascii="Book Antiqua" w:hAnsi="Book Antiqua"/>
        </w:rPr>
        <w:t xml:space="preserve"> B: The lateral cephalometric radiograph </w:t>
      </w:r>
      <w:r>
        <w:rPr>
          <w:rFonts w:ascii="Book Antiqua" w:hAnsi="Book Antiqua"/>
          <w:lang w:eastAsia="zh-CN"/>
        </w:rPr>
        <w:t>showed</w:t>
      </w:r>
      <w:r>
        <w:rPr>
          <w:rFonts w:ascii="Book Antiqua" w:hAnsi="Book Antiqua"/>
        </w:rPr>
        <w:t xml:space="preserve"> a skeletal Class III relationship.</w:t>
      </w:r>
    </w:p>
    <w:p>
      <w:pPr>
        <w:spacing w:line="360" w:lineRule="auto"/>
        <w:jc w:val="both"/>
        <w:rPr>
          <w:rFonts w:ascii="Book Antiqua" w:hAnsi="Book Antiqua"/>
          <w:lang w:eastAsia="zh-CN"/>
        </w:rPr>
        <w:sectPr>
          <w:headerReference r:id="rId4" w:type="default"/>
          <w:footerReference r:id="rId5" w:type="default"/>
          <w:footerReference r:id="rId6" w:type="even"/>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b/>
          <w:lang w:eastAsia="zh-CN"/>
        </w:rPr>
      </w:pPr>
      <w:r>
        <w:rPr>
          <w:rFonts w:ascii="Book Antiqua" w:hAnsi="Book Antiqua"/>
          <w:b/>
          <w:lang w:eastAsia="zh-CN"/>
        </w:rPr>
        <w:t xml:space="preserve">Table </w:t>
      </w:r>
      <w:r>
        <w:rPr>
          <w:rFonts w:ascii="Book Antiqua" w:hAnsi="Book Antiqua"/>
          <w:b/>
        </w:rPr>
        <w:t xml:space="preserve">1 Clinical characteristics of the most common syndromic </w:t>
      </w:r>
      <w:bookmarkStart w:id="2" w:name="OLE_LINK3"/>
      <w:r>
        <w:rPr>
          <w:rFonts w:ascii="Book Antiqua" w:hAnsi="Book Antiqua"/>
          <w:b/>
        </w:rPr>
        <w:t>craniosynostosis syndromes</w:t>
      </w:r>
      <w:bookmarkEnd w:id="2"/>
    </w:p>
    <w:tbl>
      <w:tblPr>
        <w:tblStyle w:val="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23"/>
        <w:gridCol w:w="2079"/>
        <w:gridCol w:w="2564"/>
        <w:gridCol w:w="2564"/>
        <w:gridCol w:w="2185"/>
        <w:gridCol w:w="21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616" w:type="pct"/>
            <w:tcBorders>
              <w:top w:val="single" w:color="auto" w:sz="4" w:space="0"/>
              <w:bottom w:val="single" w:color="auto" w:sz="4" w:space="0"/>
            </w:tcBorders>
          </w:tcPr>
          <w:p>
            <w:pPr>
              <w:spacing w:line="360" w:lineRule="auto"/>
              <w:jc w:val="both"/>
              <w:rPr>
                <w:rFonts w:ascii="Book Antiqua" w:hAnsi="Book Antiqua" w:cstheme="minorBidi"/>
                <w:b/>
                <w:kern w:val="2"/>
                <w:lang w:eastAsia="zh-CN"/>
              </w:rPr>
            </w:pPr>
          </w:p>
        </w:tc>
        <w:tc>
          <w:tcPr>
            <w:tcW w:w="789" w:type="pct"/>
            <w:tcBorders>
              <w:top w:val="single" w:color="auto" w:sz="4" w:space="0"/>
              <w:bottom w:val="single" w:color="auto" w:sz="4" w:space="0"/>
            </w:tcBorders>
          </w:tcPr>
          <w:p>
            <w:pPr>
              <w:spacing w:line="360" w:lineRule="auto"/>
              <w:jc w:val="both"/>
              <w:rPr>
                <w:rFonts w:ascii="Book Antiqua" w:hAnsi="Book Antiqua" w:cstheme="minorBidi"/>
                <w:b/>
                <w:kern w:val="2"/>
                <w:lang w:eastAsia="zh-CN"/>
              </w:rPr>
            </w:pPr>
            <w:r>
              <w:rPr>
                <w:rFonts w:ascii="Book Antiqua" w:hAnsi="Book Antiqua" w:cstheme="minorBidi"/>
                <w:b/>
                <w:kern w:val="2"/>
                <w:lang w:eastAsia="zh-CN"/>
              </w:rPr>
              <w:t>Crouzon</w:t>
            </w:r>
          </w:p>
        </w:tc>
        <w:tc>
          <w:tcPr>
            <w:tcW w:w="973" w:type="pct"/>
            <w:tcBorders>
              <w:top w:val="single" w:color="auto" w:sz="4" w:space="0"/>
              <w:bottom w:val="single" w:color="auto" w:sz="4" w:space="0"/>
            </w:tcBorders>
          </w:tcPr>
          <w:p>
            <w:pPr>
              <w:spacing w:line="360" w:lineRule="auto"/>
              <w:jc w:val="both"/>
              <w:rPr>
                <w:rFonts w:ascii="Book Antiqua" w:hAnsi="Book Antiqua" w:cstheme="minorBidi"/>
                <w:b/>
                <w:kern w:val="2"/>
                <w:lang w:eastAsia="zh-CN"/>
              </w:rPr>
            </w:pPr>
            <w:r>
              <w:rPr>
                <w:rFonts w:ascii="Book Antiqua" w:hAnsi="Book Antiqua" w:cstheme="minorBidi"/>
                <w:b/>
                <w:kern w:val="2"/>
                <w:lang w:eastAsia="zh-CN"/>
              </w:rPr>
              <w:t>Apert</w:t>
            </w:r>
          </w:p>
        </w:tc>
        <w:tc>
          <w:tcPr>
            <w:tcW w:w="973" w:type="pct"/>
            <w:tcBorders>
              <w:top w:val="single" w:color="auto" w:sz="4" w:space="0"/>
              <w:bottom w:val="single" w:color="auto" w:sz="4" w:space="0"/>
            </w:tcBorders>
          </w:tcPr>
          <w:p>
            <w:pPr>
              <w:spacing w:line="360" w:lineRule="auto"/>
              <w:jc w:val="both"/>
              <w:rPr>
                <w:rFonts w:ascii="Book Antiqua" w:hAnsi="Book Antiqua" w:cstheme="minorBidi"/>
                <w:b/>
                <w:kern w:val="2"/>
                <w:lang w:eastAsia="zh-CN"/>
              </w:rPr>
            </w:pPr>
            <w:r>
              <w:rPr>
                <w:rFonts w:ascii="Book Antiqua" w:hAnsi="Book Antiqua" w:cstheme="minorBidi"/>
                <w:b/>
                <w:kern w:val="2"/>
                <w:lang w:eastAsia="zh-CN"/>
              </w:rPr>
              <w:t>Pfeiffer</w:t>
            </w:r>
          </w:p>
        </w:tc>
        <w:tc>
          <w:tcPr>
            <w:tcW w:w="829" w:type="pct"/>
            <w:tcBorders>
              <w:top w:val="single" w:color="auto" w:sz="4" w:space="0"/>
              <w:bottom w:val="single" w:color="auto" w:sz="4" w:space="0"/>
            </w:tcBorders>
          </w:tcPr>
          <w:p>
            <w:pPr>
              <w:spacing w:line="360" w:lineRule="auto"/>
              <w:jc w:val="both"/>
              <w:rPr>
                <w:rFonts w:ascii="Book Antiqua" w:hAnsi="Book Antiqua" w:cstheme="minorBidi"/>
                <w:b/>
                <w:kern w:val="2"/>
                <w:lang w:eastAsia="zh-CN"/>
              </w:rPr>
            </w:pPr>
            <w:r>
              <w:rPr>
                <w:rFonts w:ascii="Book Antiqua" w:hAnsi="Book Antiqua" w:cstheme="minorBidi"/>
                <w:b/>
                <w:kern w:val="2"/>
                <w:lang w:eastAsia="zh-CN"/>
              </w:rPr>
              <w:t>Muenke</w:t>
            </w:r>
          </w:p>
        </w:tc>
        <w:tc>
          <w:tcPr>
            <w:tcW w:w="820" w:type="pct"/>
            <w:tcBorders>
              <w:top w:val="single" w:color="auto" w:sz="4" w:space="0"/>
              <w:bottom w:val="single" w:color="auto" w:sz="4" w:space="0"/>
            </w:tcBorders>
          </w:tcPr>
          <w:p>
            <w:pPr>
              <w:spacing w:line="360" w:lineRule="auto"/>
              <w:jc w:val="both"/>
              <w:rPr>
                <w:rFonts w:ascii="Book Antiqua" w:hAnsi="Book Antiqua" w:cstheme="minorBidi"/>
                <w:b/>
                <w:kern w:val="2"/>
                <w:lang w:eastAsia="zh-CN"/>
              </w:rPr>
            </w:pPr>
            <w:r>
              <w:rPr>
                <w:rFonts w:ascii="Book Antiqua" w:hAnsi="Book Antiqua" w:cstheme="minorBidi"/>
                <w:b/>
                <w:kern w:val="2"/>
                <w:lang w:eastAsia="zh-CN"/>
              </w:rPr>
              <w:t>Saethre-Chotzen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616" w:type="pct"/>
            <w:tcBorders>
              <w:top w:val="single" w:color="auto" w:sz="4" w:space="0"/>
              <w:bottom w:val="single" w:color="auto" w:sz="4" w:space="0"/>
            </w:tcBorders>
          </w:tcPr>
          <w:p>
            <w:pPr>
              <w:spacing w:line="360" w:lineRule="auto"/>
              <w:jc w:val="both"/>
              <w:rPr>
                <w:rFonts w:ascii="Book Antiqua" w:hAnsi="Book Antiqua" w:cstheme="minorBidi"/>
                <w:b/>
                <w:kern w:val="2"/>
                <w:lang w:eastAsia="zh-CN"/>
              </w:rPr>
            </w:pPr>
            <w:r>
              <w:rPr>
                <w:rFonts w:ascii="Book Antiqua" w:hAnsi="Book Antiqua" w:cstheme="minorBidi"/>
                <w:b/>
                <w:kern w:val="2"/>
                <w:lang w:eastAsia="zh-CN"/>
              </w:rPr>
              <w:t>Gene</w:t>
            </w:r>
          </w:p>
        </w:tc>
        <w:tc>
          <w:tcPr>
            <w:tcW w:w="789" w:type="pct"/>
            <w:tcBorders>
              <w:top w:val="single" w:color="auto" w:sz="4" w:space="0"/>
              <w:bottom w:val="single" w:color="auto" w:sz="4" w:space="0"/>
            </w:tcBorders>
          </w:tcPr>
          <w:p>
            <w:pPr>
              <w:spacing w:line="360" w:lineRule="auto"/>
              <w:jc w:val="both"/>
              <w:rPr>
                <w:rFonts w:ascii="Book Antiqua" w:hAnsi="Book Antiqua" w:cstheme="minorBidi"/>
                <w:b/>
                <w:i/>
                <w:kern w:val="2"/>
                <w:lang w:eastAsia="zh-CN"/>
              </w:rPr>
            </w:pPr>
            <w:r>
              <w:rPr>
                <w:rFonts w:ascii="Book Antiqua" w:hAnsi="Book Antiqua" w:cstheme="minorBidi"/>
                <w:b/>
                <w:i/>
                <w:kern w:val="2"/>
                <w:lang w:eastAsia="zh-CN"/>
              </w:rPr>
              <w:t>FGFR2</w:t>
            </w:r>
          </w:p>
        </w:tc>
        <w:tc>
          <w:tcPr>
            <w:tcW w:w="973" w:type="pct"/>
            <w:tcBorders>
              <w:top w:val="single" w:color="auto" w:sz="4" w:space="0"/>
              <w:bottom w:val="single" w:color="auto" w:sz="4" w:space="0"/>
            </w:tcBorders>
          </w:tcPr>
          <w:p>
            <w:pPr>
              <w:spacing w:line="360" w:lineRule="auto"/>
              <w:jc w:val="both"/>
              <w:rPr>
                <w:rFonts w:ascii="Book Antiqua" w:hAnsi="Book Antiqua" w:cstheme="minorBidi"/>
                <w:b/>
                <w:i/>
                <w:kern w:val="2"/>
                <w:lang w:eastAsia="zh-CN"/>
              </w:rPr>
            </w:pPr>
            <w:r>
              <w:rPr>
                <w:rFonts w:ascii="Book Antiqua" w:hAnsi="Book Antiqua" w:cstheme="minorBidi"/>
                <w:b/>
                <w:i/>
                <w:kern w:val="2"/>
                <w:lang w:eastAsia="zh-CN"/>
              </w:rPr>
              <w:t>FGFR2</w:t>
            </w:r>
          </w:p>
        </w:tc>
        <w:tc>
          <w:tcPr>
            <w:tcW w:w="973" w:type="pct"/>
            <w:tcBorders>
              <w:top w:val="single" w:color="auto" w:sz="4" w:space="0"/>
              <w:bottom w:val="single" w:color="auto" w:sz="4" w:space="0"/>
            </w:tcBorders>
          </w:tcPr>
          <w:p>
            <w:pPr>
              <w:spacing w:line="360" w:lineRule="auto"/>
              <w:jc w:val="both"/>
              <w:rPr>
                <w:rFonts w:ascii="Book Antiqua" w:hAnsi="Book Antiqua" w:cstheme="minorBidi"/>
                <w:b/>
                <w:i/>
                <w:kern w:val="2"/>
                <w:lang w:eastAsia="zh-CN"/>
              </w:rPr>
            </w:pPr>
            <w:r>
              <w:rPr>
                <w:rFonts w:ascii="Book Antiqua" w:hAnsi="Book Antiqua" w:cstheme="minorBidi"/>
                <w:b/>
                <w:i/>
                <w:kern w:val="2"/>
                <w:lang w:eastAsia="zh-CN"/>
              </w:rPr>
              <w:t>FGFR1/ FGFR2</w:t>
            </w:r>
          </w:p>
        </w:tc>
        <w:tc>
          <w:tcPr>
            <w:tcW w:w="829" w:type="pct"/>
            <w:tcBorders>
              <w:top w:val="single" w:color="auto" w:sz="4" w:space="0"/>
              <w:bottom w:val="single" w:color="auto" w:sz="4" w:space="0"/>
            </w:tcBorders>
          </w:tcPr>
          <w:p>
            <w:pPr>
              <w:spacing w:line="360" w:lineRule="auto"/>
              <w:jc w:val="both"/>
              <w:rPr>
                <w:rFonts w:ascii="Book Antiqua" w:hAnsi="Book Antiqua" w:cstheme="minorBidi"/>
                <w:b/>
                <w:i/>
                <w:kern w:val="2"/>
                <w:lang w:eastAsia="zh-CN"/>
              </w:rPr>
            </w:pPr>
            <w:r>
              <w:rPr>
                <w:rFonts w:ascii="Book Antiqua" w:hAnsi="Book Antiqua" w:cstheme="minorBidi"/>
                <w:b/>
                <w:i/>
                <w:kern w:val="2"/>
                <w:lang w:eastAsia="zh-CN"/>
              </w:rPr>
              <w:t>FGFR3</w:t>
            </w:r>
          </w:p>
        </w:tc>
        <w:tc>
          <w:tcPr>
            <w:tcW w:w="820" w:type="pct"/>
            <w:tcBorders>
              <w:top w:val="single" w:color="auto" w:sz="4" w:space="0"/>
              <w:bottom w:val="single" w:color="auto" w:sz="4" w:space="0"/>
            </w:tcBorders>
          </w:tcPr>
          <w:p>
            <w:pPr>
              <w:spacing w:line="360" w:lineRule="auto"/>
              <w:jc w:val="both"/>
              <w:rPr>
                <w:rFonts w:ascii="Book Antiqua" w:hAnsi="Book Antiqua" w:cstheme="minorBidi"/>
                <w:b/>
                <w:kern w:val="2"/>
                <w:lang w:eastAsia="zh-CN"/>
              </w:rPr>
            </w:pPr>
            <w:r>
              <w:rPr>
                <w:rFonts w:ascii="Book Antiqua" w:hAnsi="Book Antiqua" w:cstheme="minorBidi"/>
                <w:b/>
                <w:i/>
                <w:kern w:val="2"/>
                <w:lang w:eastAsia="zh-CN"/>
              </w:rPr>
              <w:t>TWIST1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63" w:hRule="atLeast"/>
        </w:trPr>
        <w:tc>
          <w:tcPr>
            <w:tcW w:w="616" w:type="pct"/>
            <w:tcBorders>
              <w:top w:val="single" w:color="auto" w:sz="4" w:space="0"/>
            </w:tcBorders>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Craniofacial phenotype</w:t>
            </w:r>
          </w:p>
        </w:tc>
        <w:tc>
          <w:tcPr>
            <w:tcW w:w="789" w:type="pct"/>
            <w:tcBorders>
              <w:top w:val="single" w:color="auto" w:sz="4" w:space="0"/>
            </w:tcBorders>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Brachycephaly; shallow orbits; ocular proptosis; midface hypoplasia</w:t>
            </w:r>
          </w:p>
        </w:tc>
        <w:tc>
          <w:tcPr>
            <w:tcW w:w="973" w:type="pct"/>
            <w:tcBorders>
              <w:top w:val="single" w:color="auto" w:sz="4" w:space="0"/>
            </w:tcBorders>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Turribrachycephaly; large anterior fontanelle with bitemporal widening and occipital flattening; shallow orbits with ocular proptosis and horizontal grooves above supraorbital ridges; mild hypertelorism and down-slanting palpebral fissures; “parrot beak” nasal deformity</w:t>
            </w:r>
          </w:p>
        </w:tc>
        <w:tc>
          <w:tcPr>
            <w:tcW w:w="973" w:type="pct"/>
            <w:tcBorders>
              <w:top w:val="single" w:color="auto" w:sz="4" w:space="0"/>
            </w:tcBorders>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Turribrachycephaly; midface hypoplasia; proptosis; hypertelorism; strabismus; down-slanting palpebral fissures; beaked nasal deformity</w:t>
            </w:r>
          </w:p>
        </w:tc>
        <w:tc>
          <w:tcPr>
            <w:tcW w:w="829" w:type="pct"/>
            <w:tcBorders>
              <w:top w:val="single" w:color="auto" w:sz="4" w:space="0"/>
            </w:tcBorders>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Craniosynostosis of coronal sutures; uncommon to have midface hypoplasia</w:t>
            </w:r>
          </w:p>
        </w:tc>
        <w:tc>
          <w:tcPr>
            <w:tcW w:w="820" w:type="pct"/>
            <w:tcBorders>
              <w:top w:val="single" w:color="auto" w:sz="4" w:space="0"/>
            </w:tcBorders>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Brachycephaly or acrocephaly or anterior plagiocephaly; low frontal hairline; eyelid ptosis; facial asymmetry; deviated nasal septum; ear deformities; parietal foramina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6"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Oral and dental phenotype</w:t>
            </w:r>
          </w:p>
        </w:tc>
        <w:tc>
          <w:tcPr>
            <w:tcW w:w="789"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Constricted, high-arched palate; anterior open bite; Missing teeth; supernumerary; delayed tooth eruption</w:t>
            </w:r>
          </w:p>
        </w:tc>
        <w:tc>
          <w:tcPr>
            <w:tcW w:w="973"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High arched or cleft palate; severe midface hypoplasia; anterior open bite; tooth agenesis; supernumerary teeth; dental fusion; delayed tooth eruption</w:t>
            </w:r>
          </w:p>
        </w:tc>
        <w:tc>
          <w:tcPr>
            <w:tcW w:w="973"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Anterior open bit and bilateral posterior cross-bites; hypodontia; microdontia; dilacerations; radicular dentin dysplasia</w:t>
            </w:r>
          </w:p>
        </w:tc>
        <w:tc>
          <w:tcPr>
            <w:tcW w:w="829" w:type="pct"/>
          </w:tcPr>
          <w:p>
            <w:pPr>
              <w:autoSpaceDE w:val="0"/>
              <w:autoSpaceDN w:val="0"/>
              <w:adjustRightInd w:val="0"/>
              <w:spacing w:line="360" w:lineRule="auto"/>
              <w:jc w:val="both"/>
              <w:rPr>
                <w:rFonts w:ascii="Book Antiqua" w:hAnsi="Book Antiqua" w:cstheme="minorBidi"/>
                <w:kern w:val="2"/>
                <w:lang w:eastAsia="zh-CN"/>
              </w:rPr>
            </w:pPr>
            <w:r>
              <w:rPr>
                <w:rFonts w:ascii="Book Antiqua" w:hAnsi="Book Antiqua" w:cstheme="minorBidi"/>
                <w:kern w:val="2"/>
                <w:lang w:eastAsia="zh-CN"/>
              </w:rPr>
              <w:t>High arched palate; the lowest incidence of cleft palate</w:t>
            </w:r>
          </w:p>
        </w:tc>
        <w:tc>
          <w:tcPr>
            <w:tcW w:w="820"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Cleft palate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16"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Limb phenotype</w:t>
            </w:r>
          </w:p>
        </w:tc>
        <w:tc>
          <w:tcPr>
            <w:tcW w:w="789"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Normal hands and feet</w:t>
            </w:r>
          </w:p>
        </w:tc>
        <w:tc>
          <w:tcPr>
            <w:tcW w:w="973"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Severe syndactyly (mitten hand); poor joint mobility</w:t>
            </w:r>
          </w:p>
        </w:tc>
        <w:tc>
          <w:tcPr>
            <w:tcW w:w="973"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Broad thumbs; broad great toes; variable feature, partial soft-tissue syndactyly of the hands; ankylosed elbows; hydrocephalus</w:t>
            </w:r>
          </w:p>
        </w:tc>
        <w:tc>
          <w:tcPr>
            <w:tcW w:w="829"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Thimble-like middle phalanges</w:t>
            </w:r>
          </w:p>
        </w:tc>
        <w:tc>
          <w:tcPr>
            <w:tcW w:w="820"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Brachydactyly; syndactyly; radioulnar synostosis; Hallux valgus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6"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Other phenotype</w:t>
            </w:r>
          </w:p>
        </w:tc>
        <w:tc>
          <w:tcPr>
            <w:tcW w:w="789" w:type="pct"/>
          </w:tcPr>
          <w:p>
            <w:pPr>
              <w:spacing w:line="360" w:lineRule="auto"/>
              <w:jc w:val="both"/>
              <w:rPr>
                <w:rFonts w:ascii="Book Antiqua" w:hAnsi="Book Antiqua" w:cstheme="minorBidi"/>
                <w:kern w:val="2"/>
                <w:lang w:eastAsia="zh-CN"/>
              </w:rPr>
            </w:pPr>
          </w:p>
        </w:tc>
        <w:tc>
          <w:tcPr>
            <w:tcW w:w="973"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Low-set ears</w:t>
            </w:r>
          </w:p>
        </w:tc>
        <w:tc>
          <w:tcPr>
            <w:tcW w:w="973"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Hearing loss; visceral anomalies</w:t>
            </w:r>
          </w:p>
        </w:tc>
        <w:tc>
          <w:tcPr>
            <w:tcW w:w="829"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Hearing loss</w:t>
            </w:r>
          </w:p>
        </w:tc>
        <w:tc>
          <w:tcPr>
            <w:tcW w:w="820" w:type="pct"/>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Hearing loss; congenital heart malformation; short stature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616" w:type="pct"/>
            <w:tcBorders>
              <w:bottom w:val="single" w:color="auto" w:sz="4" w:space="0"/>
            </w:tcBorders>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Cognition</w:t>
            </w:r>
          </w:p>
        </w:tc>
        <w:tc>
          <w:tcPr>
            <w:tcW w:w="789" w:type="pct"/>
            <w:tcBorders>
              <w:bottom w:val="single" w:color="auto" w:sz="4" w:space="0"/>
            </w:tcBorders>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Normal</w:t>
            </w:r>
          </w:p>
        </w:tc>
        <w:tc>
          <w:tcPr>
            <w:tcW w:w="973" w:type="pct"/>
            <w:tcBorders>
              <w:bottom w:val="single" w:color="auto" w:sz="4" w:space="0"/>
            </w:tcBorders>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Intellectual disability</w:t>
            </w:r>
          </w:p>
        </w:tc>
        <w:tc>
          <w:tcPr>
            <w:tcW w:w="973" w:type="pct"/>
            <w:tcBorders>
              <w:bottom w:val="single" w:color="auto" w:sz="4" w:space="0"/>
            </w:tcBorders>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Normal or nearly normal</w:t>
            </w:r>
          </w:p>
        </w:tc>
        <w:tc>
          <w:tcPr>
            <w:tcW w:w="829" w:type="pct"/>
            <w:tcBorders>
              <w:bottom w:val="single" w:color="auto" w:sz="4" w:space="0"/>
            </w:tcBorders>
          </w:tcPr>
          <w:p>
            <w:pPr>
              <w:spacing w:line="360" w:lineRule="auto"/>
              <w:jc w:val="both"/>
              <w:rPr>
                <w:rFonts w:ascii="Book Antiqua" w:hAnsi="Book Antiqua" w:cstheme="minorBidi"/>
                <w:kern w:val="2"/>
                <w:lang w:eastAsia="zh-CN"/>
              </w:rPr>
            </w:pPr>
          </w:p>
        </w:tc>
        <w:tc>
          <w:tcPr>
            <w:tcW w:w="820" w:type="pct"/>
            <w:tcBorders>
              <w:bottom w:val="single" w:color="auto" w:sz="4" w:space="0"/>
            </w:tcBorders>
          </w:tcPr>
          <w:p>
            <w:pPr>
              <w:spacing w:line="360" w:lineRule="auto"/>
              <w:jc w:val="both"/>
              <w:rPr>
                <w:rFonts w:ascii="Book Antiqua" w:hAnsi="Book Antiqua" w:cstheme="minorBidi"/>
                <w:kern w:val="2"/>
                <w:lang w:eastAsia="zh-CN"/>
              </w:rPr>
            </w:pPr>
            <w:r>
              <w:rPr>
                <w:rFonts w:ascii="Book Antiqua" w:hAnsi="Book Antiqua" w:cstheme="minorBidi"/>
                <w:kern w:val="2"/>
                <w:lang w:eastAsia="zh-CN"/>
              </w:rPr>
              <w:t>Normal</w:t>
            </w:r>
          </w:p>
        </w:tc>
      </w:tr>
    </w:tbl>
    <w:p>
      <w:pPr>
        <w:spacing w:line="360" w:lineRule="auto"/>
        <w:jc w:val="both"/>
        <w:rPr>
          <w:rFonts w:ascii="Book Antiqua" w:hAnsi="Book Antiqua"/>
          <w:i/>
          <w:lang w:eastAsia="zh-CN"/>
        </w:rPr>
        <w:sectPr>
          <w:pgSz w:w="15840" w:h="12240" w:orient="landscape"/>
          <w:pgMar w:top="1440" w:right="1440" w:bottom="1440" w:left="1440" w:header="720" w:footer="720" w:gutter="0"/>
          <w:cols w:space="720" w:num="1"/>
          <w:docGrid w:linePitch="360" w:charSpace="0"/>
        </w:sectPr>
      </w:pPr>
      <w:r>
        <w:rPr>
          <w:rFonts w:ascii="Book Antiqua" w:hAnsi="Book Antiqua"/>
          <w:i/>
        </w:rPr>
        <w:t>FGFR</w:t>
      </w:r>
      <w:r>
        <w:rPr>
          <w:rFonts w:ascii="Book Antiqua" w:hAnsi="Book Antiqua"/>
          <w:lang w:eastAsia="zh-CN"/>
        </w:rPr>
        <w:t>:</w:t>
      </w:r>
      <w:r>
        <w:rPr>
          <w:rFonts w:ascii="Book Antiqua" w:hAnsi="Book Antiqua" w:cs="Book Antiqua"/>
          <w:i/>
          <w:iCs/>
          <w:color w:val="000000"/>
          <w:lang w:eastAsia="zh-CN"/>
        </w:rPr>
        <w:t xml:space="preserve"> </w:t>
      </w:r>
      <w:r>
        <w:rPr>
          <w:rFonts w:ascii="Book Antiqua" w:hAnsi="Book Antiqua"/>
          <w:i/>
          <w:color w:val="000000"/>
        </w:rPr>
        <w:t>Fibroblast growth factor receptor</w:t>
      </w:r>
      <w:r>
        <w:rPr>
          <w:rFonts w:ascii="Book Antiqua" w:hAnsi="Book Antiqua"/>
          <w:i/>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i/>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50789921"/>
      <w:docPartObj>
        <w:docPartGallery w:val="autotext"/>
      </w:docPartObj>
    </w:sdtPr>
    <w:sdtContent>
      <w:sdt>
        <w:sdtPr>
          <w:id w:val="860082579"/>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18</w:t>
            </w:r>
            <w:r>
              <w:rPr>
                <w:b/>
                <w:bCs/>
                <w:sz w:val="24"/>
                <w:szCs w:val="24"/>
              </w:rPr>
              <w:fldChar w:fldCharType="end"/>
            </w:r>
          </w:p>
        </w:sdtContent>
      </w:sdt>
    </w:sdtContent>
  </w:sdt>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1575850"/>
      <w:docPartObj>
        <w:docPartGallery w:val="autotext"/>
      </w:docPartObj>
    </w:sdtPr>
    <w:sdtContent>
      <w:sdt>
        <w:sdtPr>
          <w:id w:val="-1422097047"/>
          <w:docPartObj>
            <w:docPartGallery w:val="autotext"/>
          </w:docPartObj>
        </w:sdtPr>
        <w:sdtContent>
          <w:p>
            <w:pPr>
              <w:pStyle w:val="3"/>
              <w:jc w:val="right"/>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18</w:t>
            </w:r>
            <w:r>
              <w:rPr>
                <w:b/>
                <w:bCs/>
                <w:sz w:val="24"/>
                <w:szCs w:val="24"/>
              </w:rPr>
              <w:fldChar w:fldCharType="end"/>
            </w:r>
          </w:p>
        </w:sdtContent>
      </w:sdt>
    </w:sdtContent>
  </w:sdt>
  <w:p>
    <w:pPr>
      <w:pStyle w:val="3"/>
      <w:ind w:right="360"/>
      <w:rPr>
        <w:rFonts w:ascii="Book Antiqua" w:hAnsi="Book Antiqua"/>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8"/>
      </w:rPr>
      <w:id w:val="-692448999"/>
      <w:docPartObj>
        <w:docPartGallery w:val="autotext"/>
      </w:docPartObj>
    </w:sdtPr>
    <w:sdtEndPr>
      <w:rPr>
        <w:rStyle w:val="8"/>
      </w:rPr>
    </w:sdtEndPr>
    <w:sdtContent>
      <w:p>
        <w:pPr>
          <w:pStyle w:val="3"/>
          <w:framePr w:wrap="auto" w:vAnchor="text" w:hAnchor="margin" w:xAlign="right" w:y="1"/>
          <w:rPr>
            <w:rStyle w:val="8"/>
          </w:rPr>
        </w:pPr>
        <w:r>
          <w:rPr>
            <w:rStyle w:val="8"/>
          </w:rPr>
          <w:fldChar w:fldCharType="begin"/>
        </w:r>
        <w:r>
          <w:rPr>
            <w:rStyle w:val="8"/>
          </w:rPr>
          <w:instrText xml:space="preserve"> PAGE </w:instrText>
        </w:r>
        <w:r>
          <w:rPr>
            <w:rStyle w:val="8"/>
          </w:rPr>
          <w:fldChar w:fldCharType="end"/>
        </w:r>
      </w:p>
    </w:sdtContent>
  </w:sdt>
  <w:p>
    <w:pPr>
      <w:pStyle w:val="3"/>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227CF"/>
    <w:rsid w:val="0005000D"/>
    <w:rsid w:val="00085066"/>
    <w:rsid w:val="0009460B"/>
    <w:rsid w:val="000B4D38"/>
    <w:rsid w:val="000D23E5"/>
    <w:rsid w:val="0012536E"/>
    <w:rsid w:val="001401FB"/>
    <w:rsid w:val="001608DC"/>
    <w:rsid w:val="001825FB"/>
    <w:rsid w:val="0023043F"/>
    <w:rsid w:val="0024731B"/>
    <w:rsid w:val="0028672F"/>
    <w:rsid w:val="002C1942"/>
    <w:rsid w:val="002D519E"/>
    <w:rsid w:val="003140CA"/>
    <w:rsid w:val="003466E5"/>
    <w:rsid w:val="00355A72"/>
    <w:rsid w:val="003D2989"/>
    <w:rsid w:val="00406703"/>
    <w:rsid w:val="0044152A"/>
    <w:rsid w:val="004B1063"/>
    <w:rsid w:val="004E0D2C"/>
    <w:rsid w:val="004F3F80"/>
    <w:rsid w:val="0050289A"/>
    <w:rsid w:val="005C5251"/>
    <w:rsid w:val="006A1736"/>
    <w:rsid w:val="006A6FF3"/>
    <w:rsid w:val="006B4361"/>
    <w:rsid w:val="006E3736"/>
    <w:rsid w:val="006F634A"/>
    <w:rsid w:val="00711327"/>
    <w:rsid w:val="00730A82"/>
    <w:rsid w:val="007D5ACF"/>
    <w:rsid w:val="0081534C"/>
    <w:rsid w:val="00832CD1"/>
    <w:rsid w:val="00841CE7"/>
    <w:rsid w:val="00864F06"/>
    <w:rsid w:val="008815DF"/>
    <w:rsid w:val="008B1CE9"/>
    <w:rsid w:val="008E143E"/>
    <w:rsid w:val="008E6601"/>
    <w:rsid w:val="008F4122"/>
    <w:rsid w:val="0090276C"/>
    <w:rsid w:val="0090798A"/>
    <w:rsid w:val="00927B4D"/>
    <w:rsid w:val="0098068E"/>
    <w:rsid w:val="009B6116"/>
    <w:rsid w:val="009C4201"/>
    <w:rsid w:val="009E7B2A"/>
    <w:rsid w:val="00A31559"/>
    <w:rsid w:val="00A423F9"/>
    <w:rsid w:val="00A54B42"/>
    <w:rsid w:val="00A77B3E"/>
    <w:rsid w:val="00AC214E"/>
    <w:rsid w:val="00AE6DE7"/>
    <w:rsid w:val="00AE7631"/>
    <w:rsid w:val="00B676DC"/>
    <w:rsid w:val="00BC3F88"/>
    <w:rsid w:val="00BF63FC"/>
    <w:rsid w:val="00C01583"/>
    <w:rsid w:val="00C078FD"/>
    <w:rsid w:val="00C23563"/>
    <w:rsid w:val="00C551B4"/>
    <w:rsid w:val="00C74B24"/>
    <w:rsid w:val="00CA2A55"/>
    <w:rsid w:val="00CF1A82"/>
    <w:rsid w:val="00D01F99"/>
    <w:rsid w:val="00D239A4"/>
    <w:rsid w:val="00D7075C"/>
    <w:rsid w:val="00DA177C"/>
    <w:rsid w:val="00DA2DE1"/>
    <w:rsid w:val="00DA387D"/>
    <w:rsid w:val="00E167BF"/>
    <w:rsid w:val="00E47462"/>
    <w:rsid w:val="00E614FC"/>
    <w:rsid w:val="00EC54F6"/>
    <w:rsid w:val="00ED152C"/>
    <w:rsid w:val="00EF40B6"/>
    <w:rsid w:val="00F14698"/>
    <w:rsid w:val="00F227BA"/>
    <w:rsid w:val="00F5420B"/>
    <w:rsid w:val="00F61F51"/>
    <w:rsid w:val="00F91683"/>
    <w:rsid w:val="00F91702"/>
    <w:rsid w:val="00FA3491"/>
    <w:rsid w:val="00FE2AF7"/>
    <w:rsid w:val="1AF44364"/>
    <w:rsid w:val="31763B47"/>
    <w:rsid w:val="787A0E01"/>
    <w:rsid w:val="7AE44A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0"/>
    <w:qFormat/>
    <w:uiPriority w:val="99"/>
    <w:pPr>
      <w:tabs>
        <w:tab w:val="center" w:pos="4153"/>
        <w:tab w:val="right" w:pos="8306"/>
      </w:tabs>
      <w:snapToGrid w:val="0"/>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rPr>
      <w:rFonts w:asciiTheme="minorHAnsi" w:hAnsiTheme="minorHAnsi" w:cstheme="minorBidi"/>
      <w:kern w:val="2"/>
      <w:sz w:val="21"/>
      <w:szCs w:val="22"/>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page number"/>
    <w:basedOn w:val="7"/>
    <w:semiHidden/>
    <w:unhideWhenUsed/>
    <w:qFormat/>
    <w:uiPriority w:val="0"/>
  </w:style>
  <w:style w:type="character" w:customStyle="1" w:styleId="9">
    <w:name w:val="页眉 字符"/>
    <w:basedOn w:val="7"/>
    <w:link w:val="4"/>
    <w:qFormat/>
    <w:uiPriority w:val="0"/>
    <w:rPr>
      <w:sz w:val="18"/>
      <w:szCs w:val="18"/>
    </w:rPr>
  </w:style>
  <w:style w:type="character" w:customStyle="1" w:styleId="10">
    <w:name w:val="页脚 字符"/>
    <w:basedOn w:val="7"/>
    <w:link w:val="3"/>
    <w:qFormat/>
    <w:uiPriority w:val="99"/>
    <w:rPr>
      <w:sz w:val="18"/>
      <w:szCs w:val="18"/>
    </w:rPr>
  </w:style>
  <w:style w:type="paragraph" w:styleId="11">
    <w:name w:val="List Paragraph"/>
    <w:basedOn w:val="1"/>
    <w:qFormat/>
    <w:uiPriority w:val="34"/>
    <w:pPr>
      <w:widowControl w:val="0"/>
      <w:spacing w:line="360" w:lineRule="auto"/>
      <w:ind w:firstLine="420" w:firstLineChars="200"/>
      <w:jc w:val="both"/>
    </w:pPr>
    <w:rPr>
      <w:rFonts w:eastAsia="Book Antiqua" w:asciiTheme="minorHAnsi" w:hAnsiTheme="minorHAnsi" w:cstheme="minorBidi"/>
      <w:kern w:val="2"/>
      <w:szCs w:val="22"/>
      <w:lang w:eastAsia="zh-CN"/>
    </w:rPr>
  </w:style>
  <w:style w:type="character" w:customStyle="1" w:styleId="12">
    <w:name w:val="批注框文本 字符"/>
    <w:basedOn w:val="7"/>
    <w:link w:val="2"/>
    <w:qFormat/>
    <w:uiPriority w:val="0"/>
    <w:rPr>
      <w:sz w:val="18"/>
      <w:szCs w:val="18"/>
    </w:rPr>
  </w:style>
  <w:style w:type="paragraph" w:customStyle="1" w:styleId="13">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38A41F-1AF5-46E1-9E0B-29477A13FAD3}">
  <ds:schemaRefs/>
</ds:datastoreItem>
</file>

<file path=docProps/app.xml><?xml version="1.0" encoding="utf-8"?>
<Properties xmlns="http://schemas.openxmlformats.org/officeDocument/2006/extended-properties" xmlns:vt="http://schemas.openxmlformats.org/officeDocument/2006/docPropsVTypes">
  <Template>Normal.dotm</Template>
  <Pages>19</Pages>
  <Words>3531</Words>
  <Characters>21225</Characters>
  <Lines>182</Lines>
  <Paragraphs>51</Paragraphs>
  <TotalTime>0</TotalTime>
  <ScaleCrop>false</ScaleCrop>
  <LinksUpToDate>false</LinksUpToDate>
  <CharactersWithSpaces>24595</CharactersWithSpaces>
  <Application>WPS Office_11.1.0.11805_F1E327BC-269C-435d-A152-05C5408002CA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2022-04-02T03:39:00Z</dcterms:created>
  <dc:creator>陈育路</dc:creator>
  <cp:lastModifiedBy>晓晨</cp:lastModifiedBy>
  <dcterms:modified xsi:type="dcterms:W3CDTF">2022-06-02T14:36:56Z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2052-11.1.0.11805</vt:lpwstr>
  </property>
  <property fmtid="{D5CDD505-2E9C-101B-9397-08002B2CF9AE}" pid="3" name="ICV">
    <vt:lpwstr>053A2656446C4FAF990455D7FF340926</vt:lpwstr>
  </property>
</Properties>
</file>