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68924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lang w:eastAsia="zh-CN"/>
        </w:rPr>
      </w:pPr>
    </w:p>
    <w:p>
      <w:pPr>
        <w:spacing w:line="360" w:lineRule="auto"/>
        <w:jc w:val="both"/>
        <w:rPr>
          <w:rFonts w:ascii="Book Antiqua" w:hAnsi="Book Antiqua"/>
        </w:rPr>
      </w:pPr>
      <w:bookmarkStart w:id="0" w:name="OLE_LINK3132"/>
      <w:bookmarkStart w:id="1" w:name="OLE_LINK3133"/>
      <w:r>
        <w:rPr>
          <w:rFonts w:ascii="Book Antiqua" w:hAnsi="Book Antiqua" w:eastAsia="Book Antiqua" w:cs="Book Antiqua"/>
          <w:b/>
          <w:color w:val="000000"/>
        </w:rPr>
        <w:t>Large vessel vasculitis with rare presentation of acute rhabdomyolysis: A case report and review of literature</w:t>
      </w:r>
    </w:p>
    <w:bookmarkEnd w:id="0"/>
    <w:bookmarkEnd w:id="1"/>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F</w:t>
      </w:r>
      <w:r>
        <w:rPr>
          <w:rFonts w:ascii="Book Antiqua" w:hAnsi="Book Antiqua" w:eastAsia="Book Antiqua" w:cs="Book Antiqua"/>
          <w:color w:val="000000"/>
          <w:lang w:eastAsia="zh-CN"/>
        </w:rPr>
        <w:t xml:space="preserve">u LJ </w:t>
      </w:r>
      <w:r>
        <w:rPr>
          <w:rFonts w:ascii="Book Antiqua" w:hAnsi="Book Antiqua" w:eastAsia="Book Antiqua" w:cs="Book Antiqua"/>
          <w:i/>
          <w:iCs/>
          <w:color w:val="000000"/>
          <w:lang w:eastAsia="zh-CN"/>
        </w:rPr>
        <w:t>et al</w:t>
      </w:r>
      <w:r>
        <w:rPr>
          <w:rFonts w:ascii="Book Antiqua" w:hAnsi="Book Antiqua" w:eastAsia="Book Antiqua" w:cs="Book Antiqua"/>
          <w:color w:val="000000"/>
          <w:lang w:eastAsia="zh-CN"/>
        </w:rPr>
        <w:t xml:space="preserve">. </w:t>
      </w:r>
      <w:bookmarkStart w:id="2" w:name="OLE_LINK3602"/>
      <w:bookmarkStart w:id="3" w:name="OLE_LINK3603"/>
      <w:r>
        <w:rPr>
          <w:rFonts w:ascii="Book Antiqua" w:hAnsi="Book Antiqua" w:eastAsia="Book Antiqua" w:cs="Book Antiqua"/>
          <w:color w:val="000000"/>
        </w:rPr>
        <w:t>Case report of large vessel vasculitis</w:t>
      </w:r>
      <w:bookmarkEnd w:id="2"/>
      <w:bookmarkEnd w:id="3"/>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Lan-Jun Fu, Shou-Ci Hu, Wen </w:t>
      </w:r>
      <w:bookmarkStart w:id="4" w:name="OLE_LINK3110"/>
      <w:bookmarkStart w:id="5" w:name="OLE_LINK3109"/>
      <w:r>
        <w:rPr>
          <w:rFonts w:ascii="Book Antiqua" w:hAnsi="Book Antiqua" w:eastAsia="Book Antiqua" w:cs="Book Antiqua"/>
          <w:color w:val="000000"/>
        </w:rPr>
        <w:t>Zhang</w:t>
      </w:r>
      <w:bookmarkEnd w:id="4"/>
      <w:bookmarkEnd w:id="5"/>
      <w:r>
        <w:rPr>
          <w:rFonts w:ascii="Book Antiqua" w:hAnsi="Book Antiqua" w:eastAsia="Book Antiqua" w:cs="Book Antiqua"/>
          <w:color w:val="000000"/>
        </w:rPr>
        <w:t>, Li-Qing Ye, Hong-Bo Chen, Xiao-Jun Xiang</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Lan-Jun Fu, Shou-Ci Hu, Wen Zhang, Li-Qing Ye, Hong-Bo Chen, Xiao-Jun Xiang, </w:t>
      </w:r>
      <w:r>
        <w:rPr>
          <w:rFonts w:ascii="Book Antiqua" w:hAnsi="Book Antiqua" w:eastAsia="Book Antiqua" w:cs="Book Antiqua"/>
          <w:color w:val="000000"/>
        </w:rPr>
        <w:t xml:space="preserve">Department of Nephrology, The First Affiliated Hospital of Zhejiang Chinese Medical University (Zhejiang Provincial Hospital of Traditional Chinese Medicine), Hangzhou 310006, Zhejiang </w:t>
      </w:r>
      <w:r>
        <w:rPr>
          <w:rFonts w:ascii="Book Antiqua" w:hAnsi="Book Antiqua" w:eastAsia="Book Antiqua" w:cs="Book Antiqua"/>
          <w:color w:val="000000"/>
          <w:lang w:eastAsia="zh-CN"/>
        </w:rPr>
        <w:t>Province</w:t>
      </w:r>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eastAsia="宋体" w:cs="宋体"/>
          <w:b/>
          <w:bCs/>
          <w:color w:val="000000"/>
          <w:lang w:eastAsia="zh-CN"/>
        </w:rPr>
      </w:pPr>
      <w:r>
        <w:rPr>
          <w:rFonts w:ascii="Book Antiqua" w:hAnsi="Book Antiqua" w:eastAsia="Book Antiqua" w:cs="Book Antiqua"/>
          <w:b/>
          <w:bCs/>
          <w:color w:val="000000"/>
        </w:rPr>
        <w:t xml:space="preserve">Author contributions: </w:t>
      </w:r>
      <w:bookmarkStart w:id="6" w:name="OLE_LINK3116"/>
      <w:bookmarkStart w:id="7" w:name="OLE_LINK3115"/>
      <w:r>
        <w:rPr>
          <w:rFonts w:ascii="Book Antiqua" w:hAnsi="Book Antiqua" w:eastAsia="Book Antiqua" w:cs="Book Antiqua"/>
          <w:color w:val="000000"/>
        </w:rPr>
        <w:t>F</w:t>
      </w:r>
      <w:r>
        <w:rPr>
          <w:rFonts w:ascii="Book Antiqua" w:hAnsi="Book Antiqua" w:eastAsia="宋体" w:cs="宋体"/>
          <w:color w:val="000000"/>
          <w:lang w:eastAsia="zh-CN"/>
        </w:rPr>
        <w:t>u LJ</w:t>
      </w:r>
      <w:bookmarkEnd w:id="6"/>
      <w:bookmarkEnd w:id="7"/>
      <w:r>
        <w:rPr>
          <w:rFonts w:ascii="Book Antiqua" w:hAnsi="Book Antiqua" w:eastAsia="宋体" w:cs="宋体"/>
          <w:color w:val="000000"/>
          <w:lang w:eastAsia="zh-CN"/>
        </w:rPr>
        <w:t xml:space="preserve">, </w:t>
      </w:r>
      <w:r>
        <w:rPr>
          <w:rFonts w:ascii="Book Antiqua" w:hAnsi="Book Antiqua" w:eastAsia="Book Antiqua" w:cs="Book Antiqua"/>
          <w:color w:val="000000"/>
        </w:rPr>
        <w:t>Zhang W, and Chen HB</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reviewed the literature; F</w:t>
      </w:r>
      <w:r>
        <w:rPr>
          <w:rFonts w:ascii="Book Antiqua" w:hAnsi="Book Antiqua" w:eastAsia="宋体" w:cs="宋体"/>
          <w:color w:val="000000"/>
          <w:lang w:eastAsia="zh-CN"/>
        </w:rPr>
        <w:t xml:space="preserve">u LJ </w:t>
      </w:r>
      <w:r>
        <w:rPr>
          <w:rFonts w:ascii="Book Antiqua" w:hAnsi="Book Antiqua" w:eastAsia="Book Antiqua" w:cs="Book Antiqua"/>
          <w:color w:val="000000"/>
        </w:rPr>
        <w:t>drafted the manuscript; Hu SC</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performed the analysis and interpretation of data; Zhang W helped design the figures; Ye LQ</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 xml:space="preserve">helped with acquisition of data; Hong-Bo </w:t>
      </w:r>
      <w:bookmarkStart w:id="8" w:name="OLE_LINK3112"/>
      <w:bookmarkStart w:id="9" w:name="OLE_LINK3111"/>
      <w:r>
        <w:rPr>
          <w:rFonts w:ascii="Book Antiqua" w:hAnsi="Book Antiqua" w:eastAsia="Book Antiqua" w:cs="Book Antiqua"/>
          <w:color w:val="000000"/>
        </w:rPr>
        <w:t>Chen</w:t>
      </w:r>
      <w:bookmarkEnd w:id="8"/>
      <w:bookmarkEnd w:id="9"/>
      <w:r>
        <w:rPr>
          <w:rFonts w:ascii="Book Antiqua" w:hAnsi="Book Antiqua" w:eastAsia="Book Antiqua" w:cs="Book Antiqua"/>
          <w:color w:val="000000"/>
        </w:rPr>
        <w:t xml:space="preserve"> HB helped with the manuscript revision; Xiang XJ helped with the conception and design of the study; all authors granted approval for the final submitted version.</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 xml:space="preserve">Medical Health Science and Technology Project of Zhejiang Provincial Health Commission, No. </w:t>
      </w:r>
      <w:r>
        <w:rPr>
          <w:rFonts w:ascii="Book Antiqua" w:hAnsi="Book Antiqua" w:cs="宋体"/>
        </w:rPr>
        <w:t>2021KY833</w:t>
      </w:r>
      <w:r>
        <w:rPr>
          <w:rFonts w:ascii="Book Antiqua" w:hAnsi="Book Antiqua" w:eastAsia="Book Antiqua" w:cs="Book Antiqua"/>
          <w:color w:val="000000"/>
        </w:rPr>
        <w:t>; and Traditional Chinese Medical Science and Technology Project of Zhejiang Province, No. 2021ZB110.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Xiao-Jun Xiang, MBBS, Associate Chief Physician, </w:t>
      </w:r>
      <w:r>
        <w:rPr>
          <w:rFonts w:ascii="Book Antiqua" w:hAnsi="Book Antiqua" w:eastAsia="Book Antiqua" w:cs="Book Antiqua"/>
          <w:color w:val="000000"/>
        </w:rPr>
        <w:t>Department of Nephrology, The First Affiliated Hospital of Zhejiang Chinese Medical University (Zhejiang Provincial Hospital of Traditional Chinese Medicine), No. 54 Youdian Road, Hangzhou 310006, Zhejiang P</w:t>
      </w:r>
      <w:r>
        <w:rPr>
          <w:rFonts w:ascii="Book Antiqua" w:hAnsi="Book Antiqua" w:eastAsia="Book Antiqua" w:cs="Book Antiqua"/>
          <w:color w:val="000000"/>
          <w:lang w:eastAsia="zh-CN"/>
        </w:rPr>
        <w:t>rovince</w:t>
      </w:r>
      <w:r>
        <w:rPr>
          <w:rFonts w:ascii="Book Antiqua" w:hAnsi="Book Antiqua" w:eastAsia="Book Antiqua" w:cs="Book Antiqua"/>
          <w:color w:val="000000"/>
        </w:rPr>
        <w:t>, China. 309454905@qq.com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9,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September 12,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16, 2022</w:t>
      </w:r>
    </w:p>
    <w:p>
      <w:pPr>
        <w:spacing w:line="360" w:lineRule="auto"/>
        <w:jc w:val="both"/>
        <w:rPr>
          <w:rFonts w:hint="default" w:ascii="Book Antiqua" w:hAnsi="Book Antiqua" w:eastAsia="宋体"/>
          <w:lang w:val="en-US" w:eastAsia="zh-CN"/>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宋体" w:cs="Book Antiqua"/>
          <w:b w:val="0"/>
          <w:bCs w:val="0"/>
          <w:color w:val="000000"/>
          <w:lang w:val="en-US" w:eastAsia="zh-CN"/>
        </w:rPr>
        <w:t>May 6, 2022</w:t>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Musculoskeletal involvement in primary </w:t>
      </w:r>
      <w:bookmarkStart w:id="10" w:name="OLE_LINK3119"/>
      <w:bookmarkStart w:id="11" w:name="OLE_LINK3120"/>
      <w:r>
        <w:rPr>
          <w:rFonts w:ascii="Book Antiqua" w:hAnsi="Book Antiqua" w:eastAsia="Book Antiqua" w:cs="Book Antiqua"/>
          <w:color w:val="000000"/>
        </w:rPr>
        <w:t>large vessel vasculitis</w:t>
      </w:r>
      <w:bookmarkEnd w:id="10"/>
      <w:bookmarkEnd w:id="11"/>
      <w:r>
        <w:rPr>
          <w:rFonts w:ascii="Book Antiqua" w:hAnsi="Book Antiqua" w:eastAsia="Book Antiqua" w:cs="Book Antiqua"/>
          <w:color w:val="000000"/>
        </w:rPr>
        <w:t xml:space="preserve"> (LVV), including </w:t>
      </w:r>
      <w:bookmarkStart w:id="12" w:name="OLE_LINK3127"/>
      <w:bookmarkStart w:id="13" w:name="OLE_LINK3123"/>
      <w:bookmarkStart w:id="14" w:name="OLE_LINK3124"/>
      <w:r>
        <w:rPr>
          <w:rFonts w:ascii="Book Antiqua" w:hAnsi="Book Antiqua" w:eastAsia="Book Antiqua" w:cs="Book Antiqua"/>
          <w:color w:val="000000"/>
        </w:rPr>
        <w:t>giant cell arteritis</w:t>
      </w:r>
      <w:bookmarkEnd w:id="12"/>
      <w:bookmarkEnd w:id="13"/>
      <w:bookmarkEnd w:id="14"/>
      <w:r>
        <w:rPr>
          <w:rFonts w:ascii="Book Antiqua" w:hAnsi="Book Antiqua" w:eastAsia="Book Antiqua" w:cs="Book Antiqua"/>
          <w:color w:val="000000"/>
        </w:rPr>
        <w:t xml:space="preserve"> and </w:t>
      </w:r>
      <w:bookmarkStart w:id="15" w:name="OLE_LINK3239"/>
      <w:bookmarkStart w:id="16" w:name="OLE_LINK3238"/>
      <w:r>
        <w:rPr>
          <w:rFonts w:ascii="Book Antiqua" w:hAnsi="Book Antiqua" w:eastAsia="Book Antiqua" w:cs="Book Antiqua"/>
          <w:color w:val="000000"/>
        </w:rPr>
        <w:t>Takayasu’</w:t>
      </w:r>
      <w:r>
        <w:rPr>
          <w:rFonts w:ascii="Book Antiqua" w:hAnsi="Book Antiqua" w:eastAsia="Book Antiqua" w:cs="Book Antiqua"/>
          <w:color w:val="000000"/>
          <w:lang w:eastAsia="zh-CN"/>
        </w:rPr>
        <w:t>s</w:t>
      </w:r>
      <w:r>
        <w:rPr>
          <w:rFonts w:ascii="Book Antiqua" w:hAnsi="Book Antiqua" w:eastAsia="Book Antiqua" w:cs="Book Antiqua"/>
          <w:color w:val="000000"/>
        </w:rPr>
        <w:t xml:space="preserve"> arteritis</w:t>
      </w:r>
      <w:bookmarkEnd w:id="15"/>
      <w:bookmarkEnd w:id="16"/>
      <w:r>
        <w:rPr>
          <w:rFonts w:ascii="Book Antiqua" w:hAnsi="Book Antiqua" w:eastAsia="Book Antiqua" w:cs="Book Antiqua"/>
          <w:color w:val="000000"/>
        </w:rPr>
        <w:t xml:space="preserve"> (TAK), tends to be subacute. With the progression of arterial disease, patients may develop polyarthralgia and myalgias, mainly involving muscle stiffness, limb/jaw claudication, cold/swelling extremities, </w:t>
      </w:r>
      <w:r>
        <w:rPr>
          <w:rFonts w:ascii="Book Antiqua" w:hAnsi="Book Antiqua" w:eastAsia="Book Antiqua" w:cs="Book Antiqua"/>
          <w:i/>
          <w:iCs/>
          <w:color w:val="000000"/>
        </w:rPr>
        <w:t>etc.</w:t>
      </w:r>
      <w:r>
        <w:rPr>
          <w:rFonts w:ascii="Book Antiqua" w:hAnsi="Book Antiqua" w:eastAsia="Book Antiqua" w:cs="Book Antiqua"/>
          <w:color w:val="000000"/>
        </w:rPr>
        <w:t xml:space="preserve"> Acute development of rhabdomyolysis in addition to aortic aneurysm is uncommon in LVV. Herein, we report a rare case of LVV with the first presentation of acute rhabdomyolysis.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70-year-old Asian woman suffering from long-term low back pain was hospitalized due to limb claudication, dark urine and an elevated </w:t>
      </w:r>
      <w:bookmarkStart w:id="17" w:name="OLE_LINK3248"/>
      <w:bookmarkStart w:id="18" w:name="OLE_LINK3240"/>
      <w:bookmarkStart w:id="19" w:name="OLE_LINK3241"/>
      <w:r>
        <w:rPr>
          <w:rFonts w:ascii="Book Antiqua" w:hAnsi="Book Antiqua" w:eastAsia="Book Antiqua" w:cs="Book Antiqua"/>
          <w:color w:val="000000"/>
        </w:rPr>
        <w:t>creatine kinase</w:t>
      </w:r>
      <w:bookmarkEnd w:id="17"/>
      <w:bookmarkEnd w:id="18"/>
      <w:bookmarkEnd w:id="19"/>
      <w:r>
        <w:rPr>
          <w:rFonts w:ascii="Book Antiqua" w:hAnsi="Book Antiqua" w:eastAsia="Book Antiqua" w:cs="Book Antiqua"/>
          <w:color w:val="000000"/>
        </w:rPr>
        <w:t xml:space="preserve"> (CK) level. After treatment with fluid resuscitation and antibiotics, the patient remained febrile. Her workup showed persistent elevated levels of inflammatory markers, and imaging studies revealed an aortic aneurysm. A decreasing CK was evidently combined with elevated inflammatory markers and negativity for anti-neutrophilic cytoplasmic antibodies. LVV was suspected and confirmed by </w:t>
      </w:r>
      <w:bookmarkStart w:id="20" w:name="OLE_LINK3242"/>
      <w:bookmarkStart w:id="21" w:name="OLE_LINK3150"/>
      <w:bookmarkStart w:id="22" w:name="OLE_LINK3243"/>
      <w:bookmarkStart w:id="23" w:name="OLE_LINK3249"/>
      <w:bookmarkStart w:id="24" w:name="OLE_LINK3151"/>
      <w:r>
        <w:rPr>
          <w:rFonts w:ascii="Book Antiqua" w:hAnsi="Book Antiqua" w:eastAsia="Book Antiqua" w:cs="Book Antiqua"/>
          <w:color w:val="000000"/>
        </w:rPr>
        <w:t>magnetic resonance angiography</w:t>
      </w:r>
      <w:bookmarkEnd w:id="20"/>
      <w:bookmarkEnd w:id="21"/>
      <w:bookmarkEnd w:id="22"/>
      <w:bookmarkEnd w:id="23"/>
      <w:bookmarkEnd w:id="24"/>
      <w:r>
        <w:rPr>
          <w:rFonts w:ascii="Book Antiqua" w:hAnsi="Book Antiqua" w:eastAsia="Book Antiqua" w:cs="Book Antiqua"/>
          <w:color w:val="000000"/>
        </w:rPr>
        <w:t xml:space="preserve"> and </w:t>
      </w:r>
      <w:bookmarkStart w:id="25" w:name="OLE_LINK3247"/>
      <w:bookmarkStart w:id="26" w:name="OLE_LINK3246"/>
      <w:bookmarkStart w:id="27" w:name="OLE_LINK3153"/>
      <w:bookmarkStart w:id="28" w:name="OLE_LINK3152"/>
      <w:r>
        <w:rPr>
          <w:rFonts w:ascii="Book Antiqua" w:hAnsi="Book Antiqua" w:eastAsia="Book Antiqua" w:cs="Book Antiqua"/>
          <w:color w:val="000000"/>
        </w:rPr>
        <w:t>positron emission tomography</w:t>
      </w:r>
      <w:bookmarkEnd w:id="25"/>
      <w:bookmarkEnd w:id="26"/>
      <w:r>
        <w:rPr>
          <w:rFonts w:ascii="Book Antiqua" w:hAnsi="Book Antiqua" w:eastAsia="Book Antiqua" w:cs="Book Antiqua"/>
          <w:color w:val="000000"/>
        </w:rPr>
        <w:t xml:space="preserve"> with </w:t>
      </w:r>
      <w:bookmarkStart w:id="29" w:name="OLE_LINK3244"/>
      <w:bookmarkStart w:id="30" w:name="OLE_LINK3245"/>
      <w:r>
        <w:rPr>
          <w:rFonts w:ascii="Book Antiqua" w:hAnsi="Book Antiqua" w:eastAsia="Book Antiqua" w:cs="Book Antiqua"/>
          <w:color w:val="000000"/>
        </w:rPr>
        <w:t>18F-fluorodeoxyglucose/computed tomography</w:t>
      </w:r>
      <w:bookmarkEnd w:id="27"/>
      <w:bookmarkEnd w:id="28"/>
      <w:bookmarkEnd w:id="29"/>
      <w:bookmarkEnd w:id="30"/>
      <w:r>
        <w:rPr>
          <w:rFonts w:ascii="Book Antiqua" w:hAnsi="Book Antiqua" w:eastAsia="Book Antiqua" w:cs="Book Antiqua"/>
          <w:color w:val="000000"/>
        </w:rPr>
        <w:t>. With a favourable response to immunosuppressive treatment, her symptoms resolved, and clinical remission was achieved one month later. However, after failing to follow the tapering schedule, the patient was readministered 25 mg/d prednisolone due to disease relapse. Follow-up examinations showed decreased inflammatory markers and substantial improvement in artery lesions after 6 mo of treatment. At the twelve-month follow-up, she was clinically stable and maintained on corticosteroid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An exceptional presentation of LVV with acute rhabdomyolysis is described in this case, which exhibited a good response to immunosuppressive therapy, suggesting consideration for a differential diagnosis when evaluating febrile patients with myalgia and elevated CK. Timely use of high-dose steroids until a diagnosis is established may yield a favourable outcome.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Large vessel vasculitis; Rhabdomyolysis; Giant cell arteritis; 18F-fluorodeoxyglucose-positron emission tomography/computed tomography; Immunosuppressive treatment;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Fu LJ, Hu SC, Zhang W, Ye LQ, Chen HB, Xiang XJ. </w:t>
      </w:r>
      <w:r>
        <w:rPr>
          <w:rFonts w:ascii="Book Antiqua" w:hAnsi="Book Antiqua" w:eastAsia="Book Antiqua" w:cs="Book Antiqua"/>
          <w:bCs/>
          <w:color w:val="000000"/>
        </w:rPr>
        <w:t>Large vessel vasculitis with rare presentation of acute rhabdomyolysis: A case report and review of literature.</w:t>
      </w:r>
      <w:r>
        <w:rPr>
          <w:rFonts w:ascii="Book Antiqua" w:hAnsi="Book Antiqua"/>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4137-4144</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4137</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4137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bookmarkStart w:id="31" w:name="OLE_LINK3098"/>
      <w:bookmarkStart w:id="32" w:name="OLE_LINK3097"/>
      <w:r>
        <w:rPr>
          <w:rFonts w:ascii="Book Antiqua" w:hAnsi="Book Antiqua" w:eastAsia="Book Antiqua" w:cs="Book Antiqua"/>
          <w:color w:val="000000"/>
        </w:rPr>
        <w:t>Musculoskeletal involvement in large vessel vasculitis (LVV) usually manifests as polyarthralgia and myalgias but without elevated creatine kinase (CK) levels. Herein, we report a rare case of LVV with the first presentation of acute rhabdomyolysis. With the use of magnetic resonance angiography and 18F-fluorodeoxyglucose-positron emission tomography/</w:t>
      </w:r>
      <w:bookmarkStart w:id="33" w:name="OLE_LINK3255"/>
      <w:bookmarkStart w:id="34" w:name="OLE_LINK3254"/>
      <w:r>
        <w:rPr>
          <w:rFonts w:ascii="Book Antiqua" w:hAnsi="Book Antiqua" w:eastAsia="Book Antiqua" w:cs="Book Antiqua"/>
          <w:color w:val="000000"/>
        </w:rPr>
        <w:t>computed tomography</w:t>
      </w:r>
      <w:bookmarkEnd w:id="33"/>
      <w:bookmarkEnd w:id="34"/>
      <w:r>
        <w:rPr>
          <w:rFonts w:ascii="Book Antiqua" w:hAnsi="Book Antiqua" w:eastAsia="Book Antiqua" w:cs="Book Antiqua"/>
          <w:color w:val="000000"/>
        </w:rPr>
        <w:t>, LVV was properly diagnosed. Ultimately, the patient achieved a favourable outcome after timely and persistent use of glucocorticoids. We present a case to supply clues for unusual diagnoses of LVV for febrile patients with myalgia and elevated CK.</w:t>
      </w:r>
    </w:p>
    <w:bookmarkEnd w:id="31"/>
    <w:bookmarkEnd w:id="32"/>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bookmarkStart w:id="35" w:name="OLE_LINK3121"/>
      <w:bookmarkStart w:id="36" w:name="OLE_LINK3122"/>
      <w:r>
        <w:rPr>
          <w:rFonts w:ascii="Book Antiqua" w:hAnsi="Book Antiqua" w:eastAsia="Book Antiqua" w:cs="Book Antiqua"/>
          <w:color w:val="000000"/>
        </w:rPr>
        <w:t>Large vessel vasculitis</w:t>
      </w:r>
      <w:bookmarkEnd w:id="35"/>
      <w:bookmarkEnd w:id="36"/>
      <w:r>
        <w:rPr>
          <w:rFonts w:ascii="Book Antiqua" w:hAnsi="Book Antiqua" w:eastAsia="Book Antiqua" w:cs="Book Antiqua"/>
          <w:color w:val="000000"/>
        </w:rPr>
        <w:t xml:space="preserve"> (LVV) features inflammation of the aorta and its primary branches; </w:t>
      </w:r>
      <w:bookmarkStart w:id="37" w:name="OLE_LINK3129"/>
      <w:bookmarkStart w:id="38" w:name="OLE_LINK3128"/>
      <w:r>
        <w:rPr>
          <w:rFonts w:ascii="Book Antiqua" w:hAnsi="Book Antiqua" w:eastAsia="Book Antiqua" w:cs="Book Antiqua"/>
          <w:color w:val="000000"/>
        </w:rPr>
        <w:t>giant cell arteritis</w:t>
      </w:r>
      <w:bookmarkEnd w:id="37"/>
      <w:bookmarkEnd w:id="38"/>
      <w:r>
        <w:rPr>
          <w:rFonts w:ascii="Book Antiqua" w:hAnsi="Book Antiqua" w:eastAsia="Book Antiqua" w:cs="Book Antiqua"/>
          <w:color w:val="000000"/>
        </w:rPr>
        <w:t xml:space="preserve"> (GCA) and Takayasu’s arteritis (TAK) constitute the two main variants</w:t>
      </w:r>
      <w:r>
        <w:rPr>
          <w:rFonts w:ascii="Book Antiqua" w:hAnsi="Book Antiqua" w:eastAsia="Book Antiqua" w:cs="Book Antiqua"/>
          <w:color w:val="000000"/>
          <w:vertAlign w:val="superscript"/>
        </w:rPr>
        <w:t>[1-3]</w:t>
      </w:r>
      <w:r>
        <w:rPr>
          <w:rFonts w:ascii="Book Antiqua" w:hAnsi="Book Antiqua" w:eastAsia="Book Antiqua" w:cs="Book Antiqua"/>
          <w:color w:val="000000"/>
        </w:rPr>
        <w:t>. Patients with LVV share nonspecific constitutional symptoms (</w:t>
      </w:r>
      <w:r>
        <w:rPr>
          <w:rFonts w:ascii="Book Antiqua" w:hAnsi="Book Antiqua" w:eastAsia="Book Antiqua" w:cs="Book Antiqua"/>
          <w:i/>
          <w:iCs/>
          <w:color w:val="000000"/>
        </w:rPr>
        <w:t>e.g</w:t>
      </w:r>
      <w:r>
        <w:rPr>
          <w:rFonts w:ascii="Book Antiqua" w:hAnsi="Book Antiqua" w:eastAsia="Book Antiqua" w:cs="Book Antiqua"/>
          <w:color w:val="000000"/>
        </w:rPr>
        <w:t xml:space="preserve">., malaise, fever, fatigue, weight loss). Musculoskeletal involvement tends to be subacute, and with the progression of arterial destruction, patients may develop polyarthralgia or myalgias, mainly muscle stiffness/aching, limb/jaw claudication, cold/swelling extremities, paresis, </w:t>
      </w:r>
      <w:r>
        <w:rPr>
          <w:rFonts w:ascii="Book Antiqua" w:hAnsi="Book Antiqua" w:eastAsia="Book Antiqua" w:cs="Book Antiqua"/>
          <w:i/>
          <w:iCs/>
          <w:color w:val="000000"/>
        </w:rPr>
        <w:t>etc.</w:t>
      </w:r>
      <w:r>
        <w:rPr>
          <w:rFonts w:ascii="Book Antiqua" w:hAnsi="Book Antiqua" w:eastAsia="Book Antiqua" w:cs="Book Antiqua"/>
          <w:color w:val="000000"/>
        </w:rPr>
        <w:t xml:space="preserve"> It has been reported that approximately half of GCA patients will present with polymyalgia rheumatica (PMR), usually with an increased </w:t>
      </w:r>
      <w:bookmarkStart w:id="39" w:name="OLE_LINK3278"/>
      <w:bookmarkStart w:id="40" w:name="OLE_LINK3277"/>
      <w:r>
        <w:rPr>
          <w:rFonts w:ascii="Book Antiqua" w:hAnsi="Book Antiqua" w:eastAsia="Book Antiqua" w:cs="Book Antiqua"/>
          <w:color w:val="000000"/>
        </w:rPr>
        <w:t>C-reactive protein</w:t>
      </w:r>
      <w:bookmarkEnd w:id="39"/>
      <w:bookmarkEnd w:id="40"/>
      <w:r>
        <w:rPr>
          <w:rFonts w:ascii="Book Antiqua" w:hAnsi="Book Antiqua" w:eastAsia="Book Antiqua" w:cs="Book Antiqua"/>
          <w:color w:val="000000"/>
        </w:rPr>
        <w:t xml:space="preserve"> (CRP)/</w:t>
      </w:r>
      <w:bookmarkStart w:id="41" w:name="OLE_LINK3280"/>
      <w:bookmarkStart w:id="42" w:name="OLE_LINK3279"/>
      <w:r>
        <w:rPr>
          <w:rFonts w:ascii="Book Antiqua" w:hAnsi="Book Antiqua" w:eastAsia="Book Antiqua" w:cs="Book Antiqua"/>
          <w:color w:val="000000"/>
        </w:rPr>
        <w:t>erythrocyte sedimentation rate</w:t>
      </w:r>
      <w:bookmarkEnd w:id="41"/>
      <w:bookmarkEnd w:id="42"/>
      <w:r>
        <w:rPr>
          <w:rFonts w:ascii="Book Antiqua" w:hAnsi="Book Antiqua" w:eastAsia="Book Antiqua" w:cs="Book Antiqua"/>
          <w:color w:val="000000"/>
        </w:rPr>
        <w:t xml:space="preserve"> (ESR), and elevated serum concentrations of hepatic enzymes, especially alkaline phosphatase, can be found in some cases</w:t>
      </w:r>
      <w:r>
        <w:rPr>
          <w:rFonts w:ascii="Book Antiqua" w:hAnsi="Book Antiqua" w:eastAsia="Book Antiqua" w:cs="Book Antiqua"/>
          <w:color w:val="000000"/>
          <w:vertAlign w:val="superscript"/>
        </w:rPr>
        <w:t>[4]</w:t>
      </w:r>
      <w:r>
        <w:rPr>
          <w:rFonts w:ascii="Book Antiqua" w:hAnsi="Book Antiqua" w:eastAsia="Book Antiqua" w:cs="Book Antiqua"/>
          <w:color w:val="000000"/>
        </w:rPr>
        <w:t>. However, acute development of rhabdomyolysis as the primary finding is uncommon in LVV.</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70-year-old female patient was admitted to our unit due to a three-year history of low back pain and one month of dark urine, accompanied by fatigue and fever.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Over the past three years, the patient presented with low back pain and discontinuously underwent therapy with nonsteroidal </w:t>
      </w:r>
      <w:bookmarkStart w:id="43" w:name="OLE_LINK3251"/>
      <w:bookmarkStart w:id="44" w:name="OLE_LINK3250"/>
      <w:r>
        <w:rPr>
          <w:rFonts w:ascii="Book Antiqua" w:hAnsi="Book Antiqua" w:eastAsia="Book Antiqua" w:cs="Book Antiqua"/>
          <w:color w:val="000000"/>
        </w:rPr>
        <w:t>anti-inflammatory drugs</w:t>
      </w:r>
      <w:bookmarkEnd w:id="43"/>
      <w:bookmarkEnd w:id="44"/>
      <w:r>
        <w:rPr>
          <w:rFonts w:ascii="Book Antiqua" w:hAnsi="Book Antiqua" w:eastAsia="Book Antiqua" w:cs="Book Antiqua"/>
          <w:color w:val="000000"/>
        </w:rPr>
        <w:t xml:space="preserve"> without significant improvement. After taking health care products for one month, the pain scale score increased, and the patient developed limb claudication and dark urine.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The patient suffered from hypertension and cerebral infarction one year prior and underwent treatment with </w:t>
      </w:r>
      <w:bookmarkStart w:id="45" w:name="OLE_LINK3135"/>
      <w:bookmarkStart w:id="46" w:name="OLE_LINK3134"/>
      <w:r>
        <w:rPr>
          <w:rFonts w:ascii="Book Antiqua" w:hAnsi="Book Antiqua" w:eastAsia="Book Antiqua" w:cs="Book Antiqua"/>
          <w:color w:val="000000"/>
        </w:rPr>
        <w:t>Lipitor</w:t>
      </w:r>
      <w:bookmarkEnd w:id="45"/>
      <w:bookmarkEnd w:id="46"/>
      <w:r>
        <w:rPr>
          <w:rFonts w:ascii="Book Antiqua" w:hAnsi="Book Antiqua" w:eastAsia="Book Antiqua" w:cs="Book Antiqua"/>
          <w:color w:val="000000"/>
        </w:rPr>
        <w:t xml:space="preserve"> 20 mg once a day and aspirin 100 mg once a day.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drank occasionally. She had no family history of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The patient had a fever of 38.1 °C, and other vital signs were within the normal range. Pulse inequality, bruits and reduced blood pressure/pulses were not found.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bookmarkStart w:id="47" w:name="OLE_LINK3269"/>
      <w:bookmarkStart w:id="48" w:name="OLE_LINK3270"/>
      <w:r>
        <w:rPr>
          <w:rFonts w:ascii="Book Antiqua" w:hAnsi="Book Antiqua" w:eastAsia="Book Antiqua" w:cs="Book Antiqua"/>
          <w:color w:val="000000"/>
        </w:rPr>
        <w:t>The laboratory findings were as follows: total protein (58.3 g/L), serum albumin (ALB, 27.7 g/L), alanine aminotransferase (ALT, 211.5 U/L), aspartate aminotransferase (AST, 389.3 U/L), creatine kinase (CK, 11668 U/L), haemoglobin (Hb, 93 g/L), CRP (129.2 mg/L), ESR (100 mm/h), and procalcitonin (PCT, 0.55 µg/L). Antinuclear antibody (ANA), myeloperoxidase-anti-neutrophil cytoplasmic antibody (MPO-ANCA), and proteinase-3-anti-neutrophil cytoplasmic antibody (PR3-ANCA) tests were negative.</w:t>
      </w:r>
    </w:p>
    <w:p>
      <w:pPr>
        <w:spacing w:line="360" w:lineRule="auto"/>
        <w:jc w:val="both"/>
        <w:rPr>
          <w:rFonts w:ascii="Book Antiqua" w:hAnsi="Book Antiqua"/>
        </w:rPr>
      </w:pPr>
    </w:p>
    <w:bookmarkEnd w:id="47"/>
    <w:bookmarkEnd w:id="48"/>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Chest computed tomography showed bilateral hydrothorax. Brain magnetic resonance images showed mild focal stenosis of the cerebral artery. Carotid artery ultrasound revealed atherosclerotic plaque. Other findings, including electromyography and abdomen ultrasound, were not obviously abnormal.</w:t>
      </w:r>
    </w:p>
    <w:p>
      <w:pPr>
        <w:spacing w:line="360" w:lineRule="auto"/>
        <w:ind w:firstLine="240" w:firstLineChars="100"/>
        <w:jc w:val="both"/>
        <w:rPr>
          <w:rFonts w:ascii="Book Antiqua" w:hAnsi="Book Antiqua"/>
        </w:rPr>
      </w:pPr>
      <w:r>
        <w:rPr>
          <w:rFonts w:ascii="Book Antiqua" w:hAnsi="Book Antiqua" w:eastAsia="Book Antiqua" w:cs="Book Antiqua"/>
          <w:color w:val="000000"/>
        </w:rPr>
        <w:t>After an initial diagnosis of rhabdomyolysis, the patient was prescribed fluid therapy and hepatoprotective agents. Although CK and hepatic enzymes decreased 10 d later, the patient continued to experience fatigue and developed fever, with the highest temperature reaching 38.1 °C despite administration of various antibiotic regimens. The results of the follow-up work-up were as follows: ALT 107 U/L, AST 31 U/L, CK 54 U/L, Hb 90 g/L, CRP 164 mg/L, and ESR 101 mm/h.</w:t>
      </w:r>
    </w:p>
    <w:p>
      <w:pPr>
        <w:spacing w:line="360" w:lineRule="auto"/>
        <w:ind w:firstLine="240" w:firstLineChars="100"/>
        <w:jc w:val="both"/>
        <w:rPr>
          <w:rFonts w:ascii="Book Antiqua" w:hAnsi="Book Antiqua"/>
        </w:rPr>
      </w:pPr>
      <w:r>
        <w:rPr>
          <w:rFonts w:ascii="Book Antiqua" w:hAnsi="Book Antiqua" w:eastAsia="Book Antiqua" w:cs="Book Antiqua"/>
          <w:color w:val="000000"/>
        </w:rPr>
        <w:t>Vasculitis was suspected given her clinical signs and symptoms, especially fever of unknown origin, and isolated, elevated inflammatory markers and vascular imaging were ordered for further evaluation.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color w:val="000000"/>
        </w:rPr>
        <w:t>Further diagnostic work-up</w:t>
      </w:r>
    </w:p>
    <w:p>
      <w:pPr>
        <w:spacing w:line="360" w:lineRule="auto"/>
        <w:jc w:val="both"/>
        <w:rPr>
          <w:rFonts w:ascii="Book Antiqua" w:hAnsi="Book Antiqua"/>
        </w:rPr>
      </w:pPr>
      <w:r>
        <w:rPr>
          <w:rFonts w:ascii="Book Antiqua" w:hAnsi="Book Antiqua" w:eastAsia="Book Antiqua" w:cs="Book Antiqua"/>
          <w:color w:val="000000"/>
        </w:rPr>
        <w:t>Magnetic resonance angiography (MRA) showed an aneurysm of the aortic arch (Figure 1). 18F-fluorodeoxyglucose (FDG) positron emission tomography/computed tomography (PET/CT) revealed a thickened artery wall combined with increased FDG uptake in both the aorta and its major branches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Based on the patient’s symptoms, especially the fever of unknown origin, laboratory investigations, typical thoracic aorta MRA and PET/CT images, she was diagnosed with LVV.</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High-dose </w:t>
      </w:r>
      <w:bookmarkStart w:id="49" w:name="OLE_LINK3257"/>
      <w:bookmarkStart w:id="50" w:name="OLE_LINK3256"/>
      <w:bookmarkStart w:id="51" w:name="OLE_LINK3268"/>
      <w:bookmarkStart w:id="52" w:name="OLE_LINK3267"/>
      <w:r>
        <w:rPr>
          <w:rFonts w:ascii="Book Antiqua" w:hAnsi="Book Antiqua" w:eastAsia="Book Antiqua" w:cs="Book Antiqua"/>
          <w:color w:val="000000"/>
        </w:rPr>
        <w:t>glucocorticoid</w:t>
      </w:r>
      <w:bookmarkEnd w:id="49"/>
      <w:bookmarkEnd w:id="50"/>
      <w:r>
        <w:rPr>
          <w:rFonts w:ascii="Book Antiqua" w:hAnsi="Book Antiqua" w:eastAsia="Book Antiqua" w:cs="Book Antiqua"/>
          <w:color w:val="000000"/>
        </w:rPr>
        <w:t>s</w:t>
      </w:r>
      <w:bookmarkEnd w:id="51"/>
      <w:bookmarkEnd w:id="52"/>
      <w:r>
        <w:rPr>
          <w:rFonts w:ascii="Book Antiqua" w:hAnsi="Book Antiqua" w:eastAsia="Book Antiqua" w:cs="Book Antiqua"/>
          <w:color w:val="000000"/>
        </w:rPr>
        <w:t xml:space="preserve"> (GCs) were started with methylprednisolone at 80 mg per day for 3 days and then tapered to 40 mg per day for 6 d. The clinical course describing the adjustment of GC is shown in Figure 3. The patient received oral prednisolone 50 mg/d on Day 10 after the initiation of immunosuppressive therapy and started to change to a tapering scheme. Additionally, one dose of intravenous pulse cyclophosphamide (800 mg) monthly was initiated. Clinical symptoms such as fever, fatigue and aching limbs resolved substantially after one week, and clinical remission was achieved one month later. The patient made an uneventful recovery and could walk normally after 3 mo of therapy. Laboratory tests for ALT, AST, CK, CRP and ESR remained at normal levels. The prednisolone was reduced to 30 mg/d 4 mo later.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However, the patient took the liberty of tapering and stopped the prednisolone at month 5, which led to an increase in inflammatory markers and was readmitted to our hospital with elevated CRP (54.14 mg/L) and ESR (31 mm/h) at month 6. Relapse was considered, and 25 mg/d prednisolone was prescribed. Related clinical markers improved one month later as follows: CRP from 54.14 to 2.1 mg/L, ESR from 31 to 2 mm/h, Hb from 126 to 140 g/L, and ALB from 36.4 to 41.8 g/L.</w:t>
      </w:r>
    </w:p>
    <w:p>
      <w:pPr>
        <w:spacing w:line="360" w:lineRule="auto"/>
        <w:ind w:firstLine="210"/>
        <w:jc w:val="both"/>
        <w:rPr>
          <w:rFonts w:ascii="Book Antiqua" w:hAnsi="Book Antiqua"/>
        </w:rPr>
      </w:pPr>
      <w:r>
        <w:rPr>
          <w:rFonts w:ascii="Book Antiqua" w:hAnsi="Book Antiqua" w:eastAsia="Book Antiqua" w:cs="Book Antiqua"/>
          <w:color w:val="000000"/>
        </w:rPr>
        <w:t>After six months of immunosuppressive treatment, follow-up thoracic aorta MRA demonstrated that the diameter of the aneurysm in the aortic arch had diminished from 33.75 to 31.86 mm (Figure 1). Furthermore, repeat 18F-FDG-PET/CT revealed that FDG uptake decreased prominently, indicating substantial improvement in arterial lesions (Figure 2). Clinical features corresponding to the course of immunosuppressive treatment are shown in Figure 4, except for month 5, when the patient failed to follow the tapering schedule; laboratory work-up showed a favourable response to the immunosuppressive regimen. At the twelve-month follow-up, the patient was clinically stable and maintained on corticosteroid therapy with 5 mg/d prednisolone.</w:t>
      </w:r>
    </w:p>
    <w:p>
      <w:pPr>
        <w:spacing w:line="360" w:lineRule="auto"/>
        <w:ind w:firstLine="21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European League Against Rheumatism (EULAR)</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has recommended that a suspected diagnosis of LVV should be confirmed by imaging or histology. High-dose </w:t>
      </w:r>
      <w:r>
        <w:rPr>
          <w:rFonts w:ascii="Book Antiqua" w:hAnsi="Book Antiqua" w:eastAsia="Book Antiqua" w:cs="Book Antiqua"/>
          <w:color w:val="000000"/>
          <w:lang w:eastAsia="zh-CN"/>
        </w:rPr>
        <w:t>GC</w:t>
      </w:r>
      <w:r>
        <w:rPr>
          <w:rFonts w:ascii="Book Antiqua" w:hAnsi="Book Antiqua" w:eastAsia="Book Antiqua" w:cs="Book Antiqua"/>
          <w:color w:val="000000"/>
        </w:rPr>
        <w:t xml:space="preserve"> therapy (40-60 mg/d prednisone equivalent) should be initiated immediately for the induction of remission in active GCA or TAK. EULAR also recommends adjunctive therapy with tocilizumab in refractory GCA. Imaging modalities are essential for diagnosing LVV, including MRA, CTA, CDU, </w:t>
      </w:r>
      <w:r>
        <w:rPr>
          <w:rFonts w:ascii="Book Antiqua" w:hAnsi="Book Antiqua" w:eastAsia="Book Antiqua" w:cs="Book Antiqua"/>
          <w:i/>
          <w:iCs/>
          <w:color w:val="000000"/>
        </w:rPr>
        <w:t>etc.</w:t>
      </w:r>
      <w:r>
        <w:rPr>
          <w:rFonts w:ascii="Book Antiqua" w:hAnsi="Book Antiqua" w:eastAsia="Book Antiqua" w:cs="Book Antiqua"/>
          <w:color w:val="000000"/>
          <w:vertAlign w:val="superscript"/>
        </w:rPr>
        <w:t>[6,7]</w:t>
      </w:r>
      <w:r>
        <w:rPr>
          <w:rFonts w:ascii="Book Antiqua" w:hAnsi="Book Antiqua" w:eastAsia="Book Antiqua" w:cs="Book Antiqua"/>
          <w:color w:val="000000"/>
        </w:rPr>
        <w:t>. 18F-FDG-PET/CT is a popular diagnostic method that can detect LVV during the acute phase</w:t>
      </w:r>
      <w:r>
        <w:rPr>
          <w:rFonts w:ascii="Book Antiqua" w:hAnsi="Book Antiqua" w:eastAsia="Book Antiqua" w:cs="Book Antiqua"/>
          <w:color w:val="000000"/>
          <w:vertAlign w:val="superscript"/>
        </w:rPr>
        <w:t>[8-10]</w:t>
      </w:r>
      <w:r>
        <w:rPr>
          <w:rFonts w:ascii="Book Antiqua" w:hAnsi="Book Antiqua" w:eastAsia="Book Antiqua" w:cs="Book Antiqua"/>
          <w:color w:val="000000"/>
        </w:rPr>
        <w:t xml:space="preserve"> and evaluate the response to therapy</w:t>
      </w:r>
      <w:r>
        <w:rPr>
          <w:rFonts w:ascii="Book Antiqua" w:hAnsi="Book Antiqua" w:eastAsia="Book Antiqua" w:cs="Book Antiqua"/>
          <w:color w:val="000000"/>
          <w:vertAlign w:val="superscript"/>
        </w:rPr>
        <w:t>[11,12]</w:t>
      </w:r>
      <w:r>
        <w:rPr>
          <w:rFonts w:ascii="Book Antiqua" w:hAnsi="Book Antiqua" w:eastAsia="Book Antiqua" w:cs="Book Antiqua"/>
          <w:color w:val="000000"/>
        </w:rPr>
        <w:t>. Immunosuppressive treatment is the first-line therapy for LVV, and GC should be tapered slowly and maintained for a long time, which is inevitably associated with the risk of major side effects</w:t>
      </w:r>
      <w:r>
        <w:rPr>
          <w:rFonts w:ascii="Book Antiqua" w:hAnsi="Book Antiqua" w:eastAsia="Book Antiqua" w:cs="Book Antiqua"/>
          <w:color w:val="000000"/>
          <w:vertAlign w:val="superscript"/>
        </w:rPr>
        <w:t>[13,14]</w:t>
      </w:r>
      <w:r>
        <w:rPr>
          <w:rFonts w:ascii="Book Antiqua" w:hAnsi="Book Antiqua" w:eastAsia="Book Antiqua" w:cs="Book Antiqua"/>
          <w:color w:val="000000"/>
        </w:rPr>
        <w:t xml:space="preserve">. Recently, biologic agents (tocilizumab, ustekinumab, abatacept, </w:t>
      </w:r>
      <w:r>
        <w:rPr>
          <w:rFonts w:ascii="Book Antiqua" w:hAnsi="Book Antiqua" w:eastAsia="Book Antiqua" w:cs="Book Antiqua"/>
          <w:i/>
          <w:iCs/>
          <w:color w:val="000000"/>
        </w:rPr>
        <w:t>etc.</w:t>
      </w:r>
      <w:r>
        <w:rPr>
          <w:rFonts w:ascii="Book Antiqua" w:hAnsi="Book Antiqua" w:eastAsia="Book Antiqua" w:cs="Book Antiqua"/>
          <w:color w:val="000000"/>
        </w:rPr>
        <w:t>) have been reported to be a novel therapy for severe and/or relapsing LVV</w:t>
      </w:r>
      <w:r>
        <w:rPr>
          <w:rFonts w:ascii="Book Antiqua" w:hAnsi="Book Antiqua" w:eastAsia="Book Antiqua" w:cs="Book Antiqua"/>
          <w:color w:val="000000"/>
          <w:vertAlign w:val="superscript"/>
        </w:rPr>
        <w:t>[15,16]</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There are currently no simple criteria for the diagnosis of LVV and its classification. GCA is categorized as granulomatous vasculitis of large- and medium-sized vessels, especially the temporal artery, and </w:t>
      </w:r>
      <w:bookmarkStart w:id="53" w:name="OLE_LINK3258"/>
      <w:bookmarkStart w:id="54" w:name="OLE_LINK3259"/>
      <w:r>
        <w:rPr>
          <w:rFonts w:ascii="Book Antiqua" w:hAnsi="Book Antiqua" w:eastAsia="Book Antiqua" w:cs="Book Antiqua"/>
          <w:color w:val="000000"/>
        </w:rPr>
        <w:t>temporal artery biopsy</w:t>
      </w:r>
      <w:bookmarkEnd w:id="53"/>
      <w:bookmarkEnd w:id="54"/>
      <w:r>
        <w:rPr>
          <w:rFonts w:ascii="Book Antiqua" w:hAnsi="Book Antiqua" w:eastAsia="Book Antiqua" w:cs="Book Antiqua"/>
          <w:color w:val="000000"/>
        </w:rPr>
        <w:t xml:space="preserve"> (TAB) is the gold standard for diagnosing GCA</w:t>
      </w:r>
      <w:r>
        <w:rPr>
          <w:rFonts w:ascii="Book Antiqua" w:hAnsi="Book Antiqua" w:eastAsia="Book Antiqua" w:cs="Book Antiqua"/>
          <w:color w:val="000000"/>
          <w:vertAlign w:val="superscript"/>
        </w:rPr>
        <w:t>[17,18]</w:t>
      </w:r>
      <w:r>
        <w:rPr>
          <w:rFonts w:ascii="Book Antiqua" w:hAnsi="Book Antiqua" w:eastAsia="Book Antiqua" w:cs="Book Antiqua"/>
          <w:color w:val="000000"/>
        </w:rPr>
        <w:t>. However, imaging techniques have revealed a variable prevalence of extracranial involvement in GCA patients</w:t>
      </w:r>
      <w:r>
        <w:rPr>
          <w:rFonts w:ascii="Book Antiqua" w:hAnsi="Book Antiqua" w:eastAsia="Book Antiqua" w:cs="Book Antiqua"/>
          <w:color w:val="000000"/>
          <w:vertAlign w:val="superscript"/>
        </w:rPr>
        <w:t>[19,20]</w:t>
      </w:r>
      <w:r>
        <w:rPr>
          <w:rFonts w:ascii="Book Antiqua" w:hAnsi="Book Antiqua" w:eastAsia="Book Antiqua" w:cs="Book Antiqua"/>
          <w:color w:val="000000"/>
        </w:rPr>
        <w:t>. With the increasing use of whole-body imaging, more patterns of GCA have been described, including GCA with isolated increased inflammatory parameters and/or fever of unknown origin</w:t>
      </w:r>
      <w:r>
        <w:rPr>
          <w:rFonts w:ascii="Book Antiqua" w:hAnsi="Book Antiqua" w:eastAsia="Book Antiqua" w:cs="Book Antiqua"/>
          <w:color w:val="000000"/>
          <w:vertAlign w:val="superscript"/>
        </w:rPr>
        <w:t>[8]</w:t>
      </w:r>
      <w:r>
        <w:rPr>
          <w:rFonts w:ascii="Book Antiqua" w:hAnsi="Book Antiqua" w:eastAsia="Book Antiqua" w:cs="Book Antiqua"/>
          <w:color w:val="000000"/>
        </w:rPr>
        <w:t>. Compared with GCA, TAK affects younger people, and there is more angiographic evidence of narrowing or occlusion of the aorta</w:t>
      </w:r>
      <w:r>
        <w:rPr>
          <w:rFonts w:ascii="Book Antiqua" w:hAnsi="Book Antiqua" w:eastAsia="Book Antiqua" w:cs="Book Antiqua"/>
          <w:color w:val="000000"/>
          <w:vertAlign w:val="superscript"/>
        </w:rPr>
        <w:t>[21-23]</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In our case, the patient was older than 50 years, had an ESR ≥ 50 mm/h, and presented with claudication. Thoracic aorta MRA revealed an aneurysm of the aortic arch; furthermore, 18F-FDG-PET/CT revealed artery wall thickening along with increasing FDG metabolism in the aorta and its major branches. As TAB is not feasible in a live body, direct evidence of pathology was absent. The patient had previously experienced cerebral infarction, so headache may not be a manifestation of GCA. In this case, the patient had limb aches, which may be a manifestation of PMR. There is a close association between GCA and PMR</w:t>
      </w:r>
      <w:r>
        <w:rPr>
          <w:rFonts w:ascii="Book Antiqua" w:hAnsi="Book Antiqua" w:eastAsia="Book Antiqua" w:cs="Book Antiqua"/>
          <w:color w:val="000000"/>
          <w:vertAlign w:val="superscript"/>
        </w:rPr>
        <w:t>[24,25]</w:t>
      </w:r>
      <w:r>
        <w:rPr>
          <w:rFonts w:ascii="Book Antiqua" w:hAnsi="Book Antiqua" w:eastAsia="Book Antiqua" w:cs="Book Antiqua"/>
          <w:color w:val="000000"/>
        </w:rPr>
        <w:t>. While GCA is associated with prominent inflammation of the vessel wall with the inner layer and thoracic aneurysmal dilatation</w:t>
      </w:r>
      <w:r>
        <w:rPr>
          <w:rFonts w:ascii="Book Antiqua" w:hAnsi="Book Antiqua" w:eastAsia="Book Antiqua" w:cs="Book Antiqua"/>
          <w:color w:val="000000"/>
          <w:vertAlign w:val="superscript"/>
        </w:rPr>
        <w:t>[26-28]</w:t>
      </w:r>
      <w:r>
        <w:rPr>
          <w:rFonts w:ascii="Book Antiqua" w:hAnsi="Book Antiqua" w:eastAsia="Book Antiqua" w:cs="Book Antiqua"/>
          <w:color w:val="000000"/>
        </w:rPr>
        <w:t>, TAK has predominant adventitial scarring and more frequent stenosis</w:t>
      </w:r>
      <w:r>
        <w:rPr>
          <w:rFonts w:ascii="Book Antiqua" w:hAnsi="Book Antiqua" w:eastAsia="Book Antiqua" w:cs="Book Antiqua"/>
          <w:color w:val="000000"/>
          <w:vertAlign w:val="superscript"/>
        </w:rPr>
        <w:t>[21]</w:t>
      </w:r>
      <w:r>
        <w:rPr>
          <w:rFonts w:ascii="Book Antiqua" w:hAnsi="Book Antiqua" w:eastAsia="Book Antiqua" w:cs="Book Antiqua"/>
          <w:color w:val="000000"/>
        </w:rPr>
        <w:t>; therefore, GCA was a more reasonable diagnosis for the patient. GCA treatment is dependent on GC use and requires a longer treatment duration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Therefore, markers of inflammation, such as elevated ESR and CRP, returned when the patient stopped prednisolone abruptly.</w:t>
      </w:r>
    </w:p>
    <w:p>
      <w:pPr>
        <w:spacing w:line="360" w:lineRule="auto"/>
        <w:ind w:firstLine="240" w:firstLineChars="100"/>
        <w:jc w:val="both"/>
        <w:rPr>
          <w:rFonts w:ascii="Book Antiqua" w:hAnsi="Book Antiqua"/>
        </w:rPr>
      </w:pPr>
      <w:r>
        <w:rPr>
          <w:rFonts w:ascii="Book Antiqua" w:hAnsi="Book Antiqua" w:eastAsia="Book Antiqua" w:cs="Book Antiqua"/>
          <w:color w:val="000000"/>
        </w:rPr>
        <w:t>Rhabdomyolysis is a clinical syndrome with causes including crush injuries, electrolyte disorders, infections, and the use of drugs such as statins</w:t>
      </w:r>
      <w:r>
        <w:rPr>
          <w:rFonts w:ascii="Book Antiqua" w:hAnsi="Book Antiqua" w:eastAsia="Book Antiqua" w:cs="Book Antiqua"/>
          <w:color w:val="000000"/>
          <w:vertAlign w:val="superscript"/>
        </w:rPr>
        <w:t>[29,30]</w:t>
      </w:r>
      <w:r>
        <w:rPr>
          <w:rFonts w:ascii="Book Antiqua" w:hAnsi="Book Antiqua" w:eastAsia="Book Antiqua" w:cs="Book Antiqua"/>
          <w:color w:val="000000"/>
        </w:rPr>
        <w:t xml:space="preserve">. Direct muscle injury remains the most common cause of rhabdomyolysis. LVV accompanied by rhabdomyolysis has not been reported before. However, rhabdomyolysis related to </w:t>
      </w:r>
      <w:bookmarkStart w:id="55" w:name="OLE_LINK3260"/>
      <w:bookmarkStart w:id="56" w:name="OLE_LINK3261"/>
      <w:r>
        <w:rPr>
          <w:rFonts w:ascii="Book Antiqua" w:hAnsi="Book Antiqua" w:eastAsia="Book Antiqua" w:cs="Book Antiqua"/>
          <w:color w:val="000000"/>
        </w:rPr>
        <w:t>polyarteritis nodosa</w:t>
      </w:r>
      <w:bookmarkEnd w:id="55"/>
      <w:bookmarkEnd w:id="56"/>
      <w:r>
        <w:rPr>
          <w:rFonts w:ascii="Book Antiqua" w:hAnsi="Book Antiqua" w:eastAsia="Book Antiqua" w:cs="Book Antiqua"/>
          <w:color w:val="000000"/>
        </w:rPr>
        <w:t>, a medium-sized vessel vasculitis, has been reported</w:t>
      </w:r>
      <w:r>
        <w:rPr>
          <w:rFonts w:ascii="Book Antiqua" w:hAnsi="Book Antiqua" w:eastAsia="Book Antiqua" w:cs="Book Antiqua"/>
          <w:color w:val="000000"/>
          <w:vertAlign w:val="superscript"/>
        </w:rPr>
        <w:t>[31]</w:t>
      </w:r>
      <w:r>
        <w:rPr>
          <w:rFonts w:ascii="Book Antiqua" w:hAnsi="Book Antiqua" w:eastAsia="Book Antiqua" w:cs="Book Antiqua"/>
          <w:color w:val="000000"/>
        </w:rPr>
        <w:t>. Hence, rhabdomyolysis related to LVV was reasonable. In addition, the patient had taken aspirin for a long time and had been administering health care products for one month, which could be another possible cause of the development of rhabdomyolysis. Whether rhabdomyolysis is directly linked to LVV is unknown and needs to be further verified.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LVV should be included as a differential diagnosis for febrile patients presenting with aches of the lips/Lower limb and elevated CK. Timely use of high-dose steroids until a diagnosis of LVV is established may yield a favourable outcome.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57" w:name="OLE_LINK3138"/>
      <w:bookmarkStart w:id="58" w:name="OLE_LINK3139"/>
      <w:bookmarkStart w:id="59" w:name="OLE_LINK3262"/>
      <w:r>
        <w:rPr>
          <w:rFonts w:ascii="Book Antiqua" w:hAnsi="Book Antiqua" w:eastAsia="Book Antiqua" w:cs="Book Antiqua"/>
          <w:color w:val="000000"/>
        </w:rPr>
        <w:t xml:space="preserve">1 </w:t>
      </w:r>
      <w:bookmarkStart w:id="60" w:name="OLE_LINK3137"/>
      <w:bookmarkStart w:id="61" w:name="OLE_LINK3136"/>
      <w:r>
        <w:rPr>
          <w:rFonts w:ascii="Book Antiqua" w:hAnsi="Book Antiqua" w:eastAsia="Book Antiqua" w:cs="Book Antiqua"/>
          <w:b/>
          <w:bCs/>
          <w:color w:val="000000"/>
        </w:rPr>
        <w:t>Harky</w:t>
      </w:r>
      <w:bookmarkEnd w:id="60"/>
      <w:bookmarkEnd w:id="61"/>
      <w:r>
        <w:rPr>
          <w:rFonts w:ascii="Book Antiqua" w:hAnsi="Book Antiqua" w:eastAsia="Book Antiqua" w:cs="Book Antiqua"/>
          <w:b/>
          <w:bCs/>
          <w:color w:val="000000"/>
        </w:rPr>
        <w:t xml:space="preserve"> A</w:t>
      </w:r>
      <w:r>
        <w:rPr>
          <w:rFonts w:ascii="Book Antiqua" w:hAnsi="Book Antiqua" w:eastAsia="Book Antiqua" w:cs="Book Antiqua"/>
          <w:color w:val="000000"/>
        </w:rPr>
        <w:t xml:space="preserve">, Fok M, Balmforth D, Bashir M. Pathogenesis of large vessel vasculitis: Implications for disease classification and future therapies. </w:t>
      </w:r>
      <w:r>
        <w:rPr>
          <w:rFonts w:ascii="Book Antiqua" w:hAnsi="Book Antiqua" w:eastAsia="Book Antiqua" w:cs="Book Antiqua"/>
          <w:i/>
          <w:iCs/>
          <w:color w:val="000000"/>
        </w:rPr>
        <w:t>Vasc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24</w:t>
      </w:r>
      <w:r>
        <w:rPr>
          <w:rFonts w:ascii="Book Antiqua" w:hAnsi="Book Antiqua" w:eastAsia="Book Antiqua" w:cs="Book Antiqua"/>
          <w:color w:val="000000"/>
        </w:rPr>
        <w:t>: 79-88 [PMID: 30355272 DOI: 10.1177/1358863X18802989]</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Jennette JC</w:t>
      </w:r>
      <w:r>
        <w:rPr>
          <w:rFonts w:ascii="Book Antiqua" w:hAnsi="Book Antiqua" w:eastAsia="Book Antiqua" w:cs="Book Antiqua"/>
          <w:color w:val="000000"/>
        </w:rPr>
        <w:t xml:space="preserve">, Falk RJ, Bacon PA, Basu N, Cid MC, Ferrario F, Flores-Suarez LF, Gross WL, Guillevin L, Hagen EC, Hoffman GS, Jayne DR, Kallenberg CG, Lamprecht P, Langford CA, Luqmani RA, Mahr AD, Matteson EL, Merkel PA, Ozen S, Pusey CD, Rasmussen N, Rees AJ, Scott DG, Specks U, Stone JH, Takahashi K, Watts RA. 2012 revised International Chapel Hill Consensus Conference Nomenclature of Vasculitides. </w:t>
      </w:r>
      <w:r>
        <w:rPr>
          <w:rFonts w:ascii="Book Antiqua" w:hAnsi="Book Antiqua" w:eastAsia="Book Antiqua" w:cs="Book Antiqua"/>
          <w:i/>
          <w:iCs/>
          <w:color w:val="000000"/>
        </w:rPr>
        <w:t>Arthritis Rheum</w:t>
      </w:r>
      <w:r>
        <w:rPr>
          <w:rFonts w:ascii="Book Antiqua" w:hAnsi="Book Antiqua" w:eastAsia="Book Antiqua" w:cs="Book Antiqua"/>
          <w:color w:val="000000"/>
        </w:rPr>
        <w:t xml:space="preserve"> 2013; </w:t>
      </w:r>
      <w:r>
        <w:rPr>
          <w:rFonts w:ascii="Book Antiqua" w:hAnsi="Book Antiqua" w:eastAsia="Book Antiqua" w:cs="Book Antiqua"/>
          <w:b/>
          <w:bCs/>
          <w:color w:val="000000"/>
        </w:rPr>
        <w:t>65</w:t>
      </w:r>
      <w:r>
        <w:rPr>
          <w:rFonts w:ascii="Book Antiqua" w:hAnsi="Book Antiqua" w:eastAsia="Book Antiqua" w:cs="Book Antiqua"/>
          <w:color w:val="000000"/>
        </w:rPr>
        <w:t>: 1-11 [PMID: 23045170 DOI: 10.1002/art.37715]</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Smeeth L</w:t>
      </w:r>
      <w:r>
        <w:rPr>
          <w:rFonts w:ascii="Book Antiqua" w:hAnsi="Book Antiqua" w:eastAsia="Book Antiqua" w:cs="Book Antiqua"/>
          <w:color w:val="000000"/>
        </w:rPr>
        <w:t xml:space="preserve">, Cook C, Hall AJ. Incidence of diagnosed polymyalgia rheumatica and temporal arteritis in the United Kingdom, 1990-2001. </w:t>
      </w:r>
      <w:r>
        <w:rPr>
          <w:rFonts w:ascii="Book Antiqua" w:hAnsi="Book Antiqua" w:eastAsia="Book Antiqua" w:cs="Book Antiqua"/>
          <w:i/>
          <w:iCs/>
          <w:color w:val="000000"/>
        </w:rPr>
        <w:t>Ann Rheum Dis</w:t>
      </w:r>
      <w:r>
        <w:rPr>
          <w:rFonts w:ascii="Book Antiqua" w:hAnsi="Book Antiqua" w:eastAsia="Book Antiqua" w:cs="Book Antiqua"/>
          <w:color w:val="000000"/>
        </w:rPr>
        <w:t xml:space="preserve"> 2006; </w:t>
      </w:r>
      <w:r>
        <w:rPr>
          <w:rFonts w:ascii="Book Antiqua" w:hAnsi="Book Antiqua" w:eastAsia="Book Antiqua" w:cs="Book Antiqua"/>
          <w:b/>
          <w:bCs/>
          <w:color w:val="000000"/>
        </w:rPr>
        <w:t>65</w:t>
      </w:r>
      <w:r>
        <w:rPr>
          <w:rFonts w:ascii="Book Antiqua" w:hAnsi="Book Antiqua" w:eastAsia="Book Antiqua" w:cs="Book Antiqua"/>
          <w:color w:val="000000"/>
        </w:rPr>
        <w:t>: 1093-1098 [PMID: 16414971 DOI: 10.1136/ard.2005.046912]</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Dejaco C</w:t>
      </w:r>
      <w:r>
        <w:rPr>
          <w:rFonts w:ascii="Book Antiqua" w:hAnsi="Book Antiqua" w:eastAsia="Book Antiqua" w:cs="Book Antiqua"/>
          <w:color w:val="000000"/>
        </w:rPr>
        <w:t xml:space="preserve">, Brouwer E, Mason JC, Buttgereit F, Matteson EL, Dasgupta B. Giant cell arteritis and polymyalgia rheumatica: current challenges and opportunities. </w:t>
      </w:r>
      <w:r>
        <w:rPr>
          <w:rFonts w:ascii="Book Antiqua" w:hAnsi="Book Antiqua" w:eastAsia="Book Antiqua" w:cs="Book Antiqua"/>
          <w:i/>
          <w:iCs/>
          <w:color w:val="000000"/>
        </w:rPr>
        <w:t>Nat Rev Rheumatol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13</w:t>
      </w:r>
      <w:r>
        <w:rPr>
          <w:rFonts w:ascii="Book Antiqua" w:hAnsi="Book Antiqua" w:eastAsia="Book Antiqua" w:cs="Book Antiqua"/>
          <w:color w:val="000000"/>
        </w:rPr>
        <w:t>: 578-592 [PMID: 28905861 DOI: 10.1038/nrrheum.2017.142]</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Hellmich B</w:t>
      </w:r>
      <w:r>
        <w:rPr>
          <w:rFonts w:ascii="Book Antiqua" w:hAnsi="Book Antiqua" w:eastAsia="Book Antiqua" w:cs="Book Antiqua"/>
          <w:color w:val="000000"/>
        </w:rPr>
        <w:t xml:space="preserve">, Agueda A, Monti S, Buttgereit F, de Boysson H, Brouwer E, Cassie R, Cid MC, Dasgupta B, Dejaco C, Hatemi G, Hollinger N, Mahr A, Mollan SP, Mukhtyar C, Ponte C, Salvarani C, Sivakumar R, Tian X, Tomasson G, Turesson C, Schmidt W, Villiger PM, Watts R, Young C, Luqmani RA. 2018 Update of the EULAR recommendations for the management of large vessel vasculitis. </w:t>
      </w:r>
      <w:r>
        <w:rPr>
          <w:rFonts w:ascii="Book Antiqua" w:hAnsi="Book Antiqua" w:eastAsia="Book Antiqua" w:cs="Book Antiqua"/>
          <w:i/>
          <w:iCs/>
          <w:color w:val="000000"/>
        </w:rPr>
        <w:t>Ann Rheum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79</w:t>
      </w:r>
      <w:r>
        <w:rPr>
          <w:rFonts w:ascii="Book Antiqua" w:hAnsi="Book Antiqua" w:eastAsia="Book Antiqua" w:cs="Book Antiqua"/>
          <w:color w:val="000000"/>
        </w:rPr>
        <w:t>: 19-30 [PMID: 31270110 DOI: 10.1136/annrheumdis-2019-215672]</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Hartlage GR</w:t>
      </w:r>
      <w:r>
        <w:rPr>
          <w:rFonts w:ascii="Book Antiqua" w:hAnsi="Book Antiqua" w:eastAsia="Book Antiqua" w:cs="Book Antiqua"/>
          <w:color w:val="000000"/>
        </w:rPr>
        <w:t xml:space="preserve">, Palios J, Barron BJ, Stillman AE, Bossone E, Clements SD, Lerakis S. Multimodality imaging of aortitis. </w:t>
      </w:r>
      <w:r>
        <w:rPr>
          <w:rFonts w:ascii="Book Antiqua" w:hAnsi="Book Antiqua" w:eastAsia="Book Antiqua" w:cs="Book Antiqua"/>
          <w:i/>
          <w:iCs/>
          <w:color w:val="000000"/>
        </w:rPr>
        <w:t>JACC Cardiovasc Imaging</w:t>
      </w:r>
      <w:r>
        <w:rPr>
          <w:rFonts w:ascii="Book Antiqua" w:hAnsi="Book Antiqua" w:eastAsia="Book Antiqua" w:cs="Book Antiqua"/>
          <w:color w:val="000000"/>
        </w:rPr>
        <w:t xml:space="preserve"> 2014; </w:t>
      </w:r>
      <w:r>
        <w:rPr>
          <w:rFonts w:ascii="Book Antiqua" w:hAnsi="Book Antiqua" w:eastAsia="Book Antiqua" w:cs="Book Antiqua"/>
          <w:b/>
          <w:bCs/>
          <w:color w:val="000000"/>
        </w:rPr>
        <w:t>7</w:t>
      </w:r>
      <w:r>
        <w:rPr>
          <w:rFonts w:ascii="Book Antiqua" w:hAnsi="Book Antiqua" w:eastAsia="Book Antiqua" w:cs="Book Antiqua"/>
          <w:color w:val="000000"/>
        </w:rPr>
        <w:t>: 605-619 [PMID: 24925329 DOI: 10.1016/j.jcmg.2014.04.002]</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Schäfer VS</w:t>
      </w:r>
      <w:r>
        <w:rPr>
          <w:rFonts w:ascii="Book Antiqua" w:hAnsi="Book Antiqua" w:eastAsia="Book Antiqua" w:cs="Book Antiqua"/>
          <w:color w:val="000000"/>
        </w:rPr>
        <w:t xml:space="preserve">, Juche A, Ramiro S, Krause A, Schmidt WA. Ultrasound cut-off values for intima-media thickness of temporal, facial and axillary arteries in giant cell arteritis. </w:t>
      </w:r>
      <w:r>
        <w:rPr>
          <w:rFonts w:ascii="Book Antiqua" w:hAnsi="Book Antiqua" w:eastAsia="Book Antiqua" w:cs="Book Antiqua"/>
          <w:i/>
          <w:iCs/>
          <w:color w:val="000000"/>
        </w:rPr>
        <w:t>Rheumatology (Oxford)</w:t>
      </w:r>
      <w:r>
        <w:rPr>
          <w:rFonts w:ascii="Book Antiqua" w:hAnsi="Book Antiqua" w:eastAsia="Book Antiqua" w:cs="Book Antiqua"/>
          <w:color w:val="000000"/>
        </w:rPr>
        <w:t xml:space="preserve"> 2017; </w:t>
      </w:r>
      <w:r>
        <w:rPr>
          <w:rFonts w:ascii="Book Antiqua" w:hAnsi="Book Antiqua" w:eastAsia="Book Antiqua" w:cs="Book Antiqua"/>
          <w:b/>
          <w:bCs/>
          <w:color w:val="000000"/>
        </w:rPr>
        <w:t>56</w:t>
      </w:r>
      <w:r>
        <w:rPr>
          <w:rFonts w:ascii="Book Antiqua" w:hAnsi="Book Antiqua" w:eastAsia="Book Antiqua" w:cs="Book Antiqua"/>
          <w:color w:val="000000"/>
        </w:rPr>
        <w:t>: 1479-1483 [PMID: 28431106 DOI: 10.1093/rheumatology/kex143]</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Hay B</w:t>
      </w:r>
      <w:r>
        <w:rPr>
          <w:rFonts w:ascii="Book Antiqua" w:hAnsi="Book Antiqua" w:eastAsia="Book Antiqua" w:cs="Book Antiqua"/>
          <w:color w:val="000000"/>
        </w:rPr>
        <w:t xml:space="preserve">, Mariano-Goulart D, Bourdon A, Benkiran M, Vauchot F, De Verbizier D, Ben Bouallègue F. Diagnostic performance of </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F-FDG PET-CT for large vessel involvement assessment in patients with suspected giant cell arteritis and negative temporal artery biopsy. </w:t>
      </w:r>
      <w:r>
        <w:rPr>
          <w:rFonts w:ascii="Book Antiqua" w:hAnsi="Book Antiqua" w:eastAsia="Book Antiqua" w:cs="Book Antiqua"/>
          <w:i/>
          <w:iCs/>
          <w:color w:val="000000"/>
        </w:rPr>
        <w:t>Ann Nucl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33</w:t>
      </w:r>
      <w:r>
        <w:rPr>
          <w:rFonts w:ascii="Book Antiqua" w:hAnsi="Book Antiqua" w:eastAsia="Book Antiqua" w:cs="Book Antiqua"/>
          <w:color w:val="000000"/>
        </w:rPr>
        <w:t>: 512-520 [PMID: 30976984 DOI: 10.1007/s12149-019-01358-5]</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Rosenblum JS</w:t>
      </w:r>
      <w:r>
        <w:rPr>
          <w:rFonts w:ascii="Book Antiqua" w:hAnsi="Book Antiqua" w:eastAsia="Book Antiqua" w:cs="Book Antiqua"/>
          <w:color w:val="000000"/>
        </w:rPr>
        <w:t xml:space="preserve">, Quinn KA, Rimland CA, Mehta NN, Ahlman MA, Grayson PC. Clinical Factors Associated with Time-Specific Distribution of 18F-Fluorodeoxyglucose in Large-Vessel Vasculitis. </w:t>
      </w:r>
      <w:r>
        <w:rPr>
          <w:rFonts w:ascii="Book Antiqua" w:hAnsi="Book Antiqua" w:eastAsia="Book Antiqua" w:cs="Book Antiqua"/>
          <w:i/>
          <w:iCs/>
          <w:color w:val="000000"/>
        </w:rPr>
        <w:t>Sci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9</w:t>
      </w:r>
      <w:r>
        <w:rPr>
          <w:rFonts w:ascii="Book Antiqua" w:hAnsi="Book Antiqua" w:eastAsia="Book Antiqua" w:cs="Book Antiqua"/>
          <w:color w:val="000000"/>
        </w:rPr>
        <w:t>: 15180 [PMID: 31645635 DOI: 10.1038/s41598-019-51800-x]</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Nielsen BD</w:t>
      </w:r>
      <w:r>
        <w:rPr>
          <w:rFonts w:ascii="Book Antiqua" w:hAnsi="Book Antiqua" w:eastAsia="Book Antiqua" w:cs="Book Antiqua"/>
          <w:color w:val="000000"/>
        </w:rPr>
        <w:t xml:space="preserve">, Gormsen LC. 18F-Fluorodeoxyglucose PET/Computed Tomography in the Diagnosis and Monitoring of Giant Cell Arteritis. </w:t>
      </w:r>
      <w:r>
        <w:rPr>
          <w:rFonts w:ascii="Book Antiqua" w:hAnsi="Book Antiqua" w:eastAsia="Book Antiqua" w:cs="Book Antiqua"/>
          <w:i/>
          <w:iCs/>
          <w:color w:val="000000"/>
        </w:rPr>
        <w:t>PET Clin</w:t>
      </w:r>
      <w:r>
        <w:rPr>
          <w:rFonts w:ascii="Book Antiqua" w:hAnsi="Book Antiqua" w:eastAsia="Book Antiqua" w:cs="Book Antiqua"/>
          <w:color w:val="000000"/>
        </w:rPr>
        <w:t xml:space="preserve"> 2020; </w:t>
      </w:r>
      <w:r>
        <w:rPr>
          <w:rFonts w:ascii="Book Antiqua" w:hAnsi="Book Antiqua" w:eastAsia="Book Antiqua" w:cs="Book Antiqua"/>
          <w:b/>
          <w:bCs/>
          <w:color w:val="000000"/>
        </w:rPr>
        <w:t>15</w:t>
      </w:r>
      <w:r>
        <w:rPr>
          <w:rFonts w:ascii="Book Antiqua" w:hAnsi="Book Antiqua" w:eastAsia="Book Antiqua" w:cs="Book Antiqua"/>
          <w:color w:val="000000"/>
        </w:rPr>
        <w:t>: 135-145 [PMID: 32145884 DOI: 10.1016/j.cpet.2019.11.007]</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Quinn KA</w:t>
      </w:r>
      <w:r>
        <w:rPr>
          <w:rFonts w:ascii="Book Antiqua" w:hAnsi="Book Antiqua" w:eastAsia="Book Antiqua" w:cs="Book Antiqua"/>
          <w:color w:val="000000"/>
        </w:rPr>
        <w:t xml:space="preserve">, Grayson PC. The Role of Vascular Imaging to Advance Clinical Care and Research in Large-Vessel Vasculitis. </w:t>
      </w:r>
      <w:r>
        <w:rPr>
          <w:rFonts w:ascii="Book Antiqua" w:hAnsi="Book Antiqua" w:eastAsia="Book Antiqua" w:cs="Book Antiqua"/>
          <w:i/>
          <w:iCs/>
          <w:color w:val="000000"/>
        </w:rPr>
        <w:t>Curr Treatm Opt Rheumatol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5</w:t>
      </w:r>
      <w:r>
        <w:rPr>
          <w:rFonts w:ascii="Book Antiqua" w:hAnsi="Book Antiqua" w:eastAsia="Book Antiqua" w:cs="Book Antiqua"/>
          <w:color w:val="000000"/>
        </w:rPr>
        <w:t>: 20-35 [PMID: 31598465 DOI: 10.1007/s40674-019-00114-0]</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Lee SW</w:t>
      </w:r>
      <w:r>
        <w:rPr>
          <w:rFonts w:ascii="Book Antiqua" w:hAnsi="Book Antiqua" w:eastAsia="Book Antiqua" w:cs="Book Antiqua"/>
          <w:color w:val="000000"/>
        </w:rPr>
        <w:t xml:space="preserve">, Kim SJ, Seo Y, Jeong SY, Ahn BC, Lee J. F-18 FDG PET for assessment of disease activity of large vessel vasculitis: A systematic review and meta-analysis. </w:t>
      </w:r>
      <w:r>
        <w:rPr>
          <w:rFonts w:ascii="Book Antiqua" w:hAnsi="Book Antiqua" w:eastAsia="Book Antiqua" w:cs="Book Antiqua"/>
          <w:i/>
          <w:iCs/>
          <w:color w:val="000000"/>
        </w:rPr>
        <w:t>J Nucl Cardiol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26</w:t>
      </w:r>
      <w:r>
        <w:rPr>
          <w:rFonts w:ascii="Book Antiqua" w:hAnsi="Book Antiqua" w:eastAsia="Book Antiqua" w:cs="Book Antiqua"/>
          <w:color w:val="000000"/>
        </w:rPr>
        <w:t>: 59-67 [PMID: 30120746 DOI: 10.1007/s12350-018-1406-5]</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de Boysson H</w:t>
      </w:r>
      <w:r>
        <w:rPr>
          <w:rFonts w:ascii="Book Antiqua" w:hAnsi="Book Antiqua" w:eastAsia="Book Antiqua" w:cs="Book Antiqua"/>
          <w:color w:val="000000"/>
        </w:rPr>
        <w:t xml:space="preserve">, Liozon E, Ly KH, Dumont A, Delmas C, Aouba A. </w:t>
      </w:r>
      <w:bookmarkStart w:id="62" w:name="OLE_LINK3146"/>
      <w:bookmarkStart w:id="63" w:name="OLE_LINK3147"/>
      <w:r>
        <w:rPr>
          <w:rFonts w:ascii="Book Antiqua" w:hAnsi="Book Antiqua" w:eastAsia="Book Antiqua" w:cs="Book Antiqua"/>
          <w:color w:val="000000"/>
        </w:rPr>
        <w:t>The different clinical patterns of giant cell arteritis</w:t>
      </w:r>
      <w:bookmarkEnd w:id="62"/>
      <w:bookmarkEnd w:id="63"/>
      <w:r>
        <w:rPr>
          <w:rFonts w:ascii="Book Antiqua" w:hAnsi="Book Antiqua" w:eastAsia="Book Antiqua" w:cs="Book Antiqua"/>
          <w:color w:val="000000"/>
        </w:rPr>
        <w:t xml:space="preserve">. </w:t>
      </w:r>
      <w:r>
        <w:rPr>
          <w:rFonts w:ascii="Book Antiqua" w:hAnsi="Book Antiqua" w:eastAsia="Book Antiqua" w:cs="Book Antiqua"/>
          <w:i/>
          <w:iCs/>
          <w:color w:val="000000"/>
        </w:rPr>
        <w:t>Clin Exp Rheumatol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 xml:space="preserve">37 </w:t>
      </w:r>
      <w:r>
        <w:rPr>
          <w:rFonts w:ascii="Book Antiqua" w:hAnsi="Book Antiqua" w:eastAsia="Book Antiqua" w:cs="Book Antiqua"/>
          <w:color w:val="000000"/>
        </w:rPr>
        <w:t xml:space="preserve">Suppl 117: 57-60 [PMID: </w:t>
      </w:r>
      <w:bookmarkStart w:id="64" w:name="OLE_LINK3144"/>
      <w:bookmarkStart w:id="65" w:name="OLE_LINK3145"/>
      <w:r>
        <w:rPr>
          <w:rFonts w:ascii="Book Antiqua" w:hAnsi="Book Antiqua" w:eastAsia="Book Antiqua" w:cs="Book Antiqua"/>
          <w:color w:val="000000"/>
        </w:rPr>
        <w:t>31162029</w:t>
      </w:r>
      <w:bookmarkEnd w:id="64"/>
      <w:bookmarkEnd w:id="65"/>
      <w:r>
        <w:rPr>
          <w:rFonts w:ascii="Book Antiqua" w:hAnsi="Book Antiqua" w:eastAsia="Book Antiqua" w:cs="Book Antiqua"/>
          <w:color w:val="000000"/>
        </w:rPr>
        <w:t>]</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Monti S</w:t>
      </w:r>
      <w:r>
        <w:rPr>
          <w:rFonts w:ascii="Book Antiqua" w:hAnsi="Book Antiqua" w:eastAsia="Book Antiqua" w:cs="Book Antiqua"/>
          <w:color w:val="000000"/>
        </w:rPr>
        <w:t xml:space="preserve">, Águeda AF, Luqmani RA, Buttgereit F, Cid M, Dejaco C, Mahr A, Ponte C, Salvarani C, Schmidt W, Hellmich B. Systematic literature review informing the 2018 update of the EULAR recommendation for the management of large vessel vasculitis: focus on giant cell arteritis. </w:t>
      </w:r>
      <w:r>
        <w:rPr>
          <w:rFonts w:ascii="Book Antiqua" w:hAnsi="Book Antiqua" w:eastAsia="Book Antiqua" w:cs="Book Antiqua"/>
          <w:i/>
          <w:iCs/>
          <w:color w:val="000000"/>
        </w:rPr>
        <w:t>RMD Open</w:t>
      </w:r>
      <w:r>
        <w:rPr>
          <w:rFonts w:ascii="Book Antiqua" w:hAnsi="Book Antiqua" w:eastAsia="Book Antiqua" w:cs="Book Antiqua"/>
          <w:color w:val="000000"/>
        </w:rPr>
        <w:t xml:space="preserve"> 2019; </w:t>
      </w:r>
      <w:r>
        <w:rPr>
          <w:rFonts w:ascii="Book Antiqua" w:hAnsi="Book Antiqua" w:eastAsia="Book Antiqua" w:cs="Book Antiqua"/>
          <w:b/>
          <w:bCs/>
          <w:color w:val="000000"/>
        </w:rPr>
        <w:t>5</w:t>
      </w:r>
      <w:r>
        <w:rPr>
          <w:rFonts w:ascii="Book Antiqua" w:hAnsi="Book Antiqua" w:eastAsia="Book Antiqua" w:cs="Book Antiqua"/>
          <w:color w:val="000000"/>
        </w:rPr>
        <w:t>: e001003 [PMID: 31673411 DOI: 10.1136/rmdopen-2019-001003]</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Salvarani C</w:t>
      </w:r>
      <w:r>
        <w:rPr>
          <w:rFonts w:ascii="Book Antiqua" w:hAnsi="Book Antiqua" w:eastAsia="Book Antiqua" w:cs="Book Antiqua"/>
          <w:color w:val="000000"/>
        </w:rPr>
        <w:t xml:space="preserve">, Hatemi G. Management of large-vessel vasculitis. </w:t>
      </w:r>
      <w:r>
        <w:rPr>
          <w:rFonts w:ascii="Book Antiqua" w:hAnsi="Book Antiqua" w:eastAsia="Book Antiqua" w:cs="Book Antiqua"/>
          <w:i/>
          <w:iCs/>
          <w:color w:val="000000"/>
        </w:rPr>
        <w:t>Curr Opin Rheumatol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31</w:t>
      </w:r>
      <w:r>
        <w:rPr>
          <w:rFonts w:ascii="Book Antiqua" w:hAnsi="Book Antiqua" w:eastAsia="Book Antiqua" w:cs="Book Antiqua"/>
          <w:color w:val="000000"/>
        </w:rPr>
        <w:t>: 25-31 [PMID: 30461542 DOI: 10.1097/BOR.0000000000000561]</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Ferfar Y</w:t>
      </w:r>
      <w:r>
        <w:rPr>
          <w:rFonts w:ascii="Book Antiqua" w:hAnsi="Book Antiqua" w:eastAsia="Book Antiqua" w:cs="Book Antiqua"/>
          <w:color w:val="000000"/>
        </w:rPr>
        <w:t xml:space="preserve">, Mirault T, Desbois AC, Comarmond C, Messas E, Savey L, Domont F, Cacoub P, Saadoun D. Biotherapies in large vessel vasculitis. </w:t>
      </w:r>
      <w:r>
        <w:rPr>
          <w:rFonts w:ascii="Book Antiqua" w:hAnsi="Book Antiqua" w:eastAsia="Book Antiqua" w:cs="Book Antiqua"/>
          <w:i/>
          <w:iCs/>
          <w:color w:val="000000"/>
        </w:rPr>
        <w:t>Autoimmun Rev</w:t>
      </w:r>
      <w:r>
        <w:rPr>
          <w:rFonts w:ascii="Book Antiqua" w:hAnsi="Book Antiqua" w:eastAsia="Book Antiqua" w:cs="Book Antiqua"/>
          <w:color w:val="000000"/>
        </w:rPr>
        <w:t xml:space="preserve"> 2016; </w:t>
      </w:r>
      <w:r>
        <w:rPr>
          <w:rFonts w:ascii="Book Antiqua" w:hAnsi="Book Antiqua" w:eastAsia="Book Antiqua" w:cs="Book Antiqua"/>
          <w:b/>
          <w:bCs/>
          <w:color w:val="000000"/>
        </w:rPr>
        <w:t>15</w:t>
      </w:r>
      <w:r>
        <w:rPr>
          <w:rFonts w:ascii="Book Antiqua" w:hAnsi="Book Antiqua" w:eastAsia="Book Antiqua" w:cs="Book Antiqua"/>
          <w:color w:val="000000"/>
        </w:rPr>
        <w:t>: 544-551 [PMID: 26883459 DOI: 10.1016/j.autrev.2016.02.012]</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Serling-Boyd N</w:t>
      </w:r>
      <w:r>
        <w:rPr>
          <w:rFonts w:ascii="Book Antiqua" w:hAnsi="Book Antiqua" w:eastAsia="Book Antiqua" w:cs="Book Antiqua"/>
          <w:color w:val="000000"/>
        </w:rPr>
        <w:t xml:space="preserve">, Stone JH. Recent advances in the diagnosis and management of giant cell arteritis. </w:t>
      </w:r>
      <w:r>
        <w:rPr>
          <w:rFonts w:ascii="Book Antiqua" w:hAnsi="Book Antiqua" w:eastAsia="Book Antiqua" w:cs="Book Antiqua"/>
          <w:i/>
          <w:iCs/>
          <w:color w:val="000000"/>
        </w:rPr>
        <w:t>Curr Opin Rheumatol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32</w:t>
      </w:r>
      <w:r>
        <w:rPr>
          <w:rFonts w:ascii="Book Antiqua" w:hAnsi="Book Antiqua" w:eastAsia="Book Antiqua" w:cs="Book Antiqua"/>
          <w:color w:val="000000"/>
        </w:rPr>
        <w:t>: 201-207 [PMID: 32168069 DOI: 10.1097/BOR.0000000000000700]</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Mahr A</w:t>
      </w:r>
      <w:r>
        <w:rPr>
          <w:rFonts w:ascii="Book Antiqua" w:hAnsi="Book Antiqua" w:eastAsia="Book Antiqua" w:cs="Book Antiqua"/>
          <w:color w:val="000000"/>
        </w:rPr>
        <w:t xml:space="preserve">, Saba M, Kambouchner M, Polivka M, Baudrimont M, Brochériou I, Coste J, Guillevin L. Temporal artery biopsy for diagnosing giant cell arteritis: the longer, the better? </w:t>
      </w:r>
      <w:r>
        <w:rPr>
          <w:rFonts w:ascii="Book Antiqua" w:hAnsi="Book Antiqua" w:eastAsia="Book Antiqua" w:cs="Book Antiqua"/>
          <w:i/>
          <w:iCs/>
          <w:color w:val="000000"/>
        </w:rPr>
        <w:t>Ann Rheum Dis</w:t>
      </w:r>
      <w:r>
        <w:rPr>
          <w:rFonts w:ascii="Book Antiqua" w:hAnsi="Book Antiqua" w:eastAsia="Book Antiqua" w:cs="Book Antiqua"/>
          <w:color w:val="000000"/>
        </w:rPr>
        <w:t xml:space="preserve"> 2006; </w:t>
      </w:r>
      <w:r>
        <w:rPr>
          <w:rFonts w:ascii="Book Antiqua" w:hAnsi="Book Antiqua" w:eastAsia="Book Antiqua" w:cs="Book Antiqua"/>
          <w:b/>
          <w:bCs/>
          <w:color w:val="000000"/>
        </w:rPr>
        <w:t>65</w:t>
      </w:r>
      <w:r>
        <w:rPr>
          <w:rFonts w:ascii="Book Antiqua" w:hAnsi="Book Antiqua" w:eastAsia="Book Antiqua" w:cs="Book Antiqua"/>
          <w:color w:val="000000"/>
        </w:rPr>
        <w:t>: 826-828 [PMID: 16699053 DOI: 10.1136/ard.2005.042770]</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Holm PW</w:t>
      </w:r>
      <w:r>
        <w:rPr>
          <w:rFonts w:ascii="Book Antiqua" w:hAnsi="Book Antiqua" w:eastAsia="Book Antiqua" w:cs="Book Antiqua"/>
          <w:color w:val="000000"/>
        </w:rPr>
        <w:t xml:space="preserve">, Sandovici M, Slart RH, Glaudemans AW, Rutgers A, Brouwer E. </w:t>
      </w:r>
      <w:bookmarkStart w:id="66" w:name="OLE_LINK3148"/>
      <w:bookmarkStart w:id="67" w:name="OLE_LINK3149"/>
      <w:r>
        <w:rPr>
          <w:rFonts w:ascii="Book Antiqua" w:hAnsi="Book Antiqua" w:eastAsia="Book Antiqua" w:cs="Book Antiqua"/>
          <w:color w:val="000000"/>
        </w:rPr>
        <w:t>Vessel involvement in giant cell arteritis: an imaging approach</w:t>
      </w:r>
      <w:bookmarkEnd w:id="66"/>
      <w:bookmarkEnd w:id="67"/>
      <w:r>
        <w:rPr>
          <w:rFonts w:ascii="Book Antiqua" w:hAnsi="Book Antiqua" w:eastAsia="Book Antiqua" w:cs="Book Antiqua"/>
          <w:color w:val="000000"/>
        </w:rPr>
        <w:t xml:space="preserve">. </w:t>
      </w:r>
      <w:r>
        <w:rPr>
          <w:rFonts w:ascii="Book Antiqua" w:hAnsi="Book Antiqua" w:eastAsia="Book Antiqua" w:cs="Book Antiqua"/>
          <w:i/>
          <w:iCs/>
          <w:color w:val="000000"/>
        </w:rPr>
        <w:t>J Cardiovasc Surg (Torino)</w:t>
      </w:r>
      <w:r>
        <w:rPr>
          <w:rFonts w:ascii="Book Antiqua" w:hAnsi="Book Antiqua" w:eastAsia="Book Antiqua" w:cs="Book Antiqua"/>
          <w:color w:val="000000"/>
        </w:rPr>
        <w:t xml:space="preserve"> 2016; </w:t>
      </w:r>
      <w:r>
        <w:rPr>
          <w:rFonts w:ascii="Book Antiqua" w:hAnsi="Book Antiqua" w:eastAsia="Book Antiqua" w:cs="Book Antiqua"/>
          <w:b/>
          <w:bCs/>
          <w:color w:val="000000"/>
        </w:rPr>
        <w:t>57</w:t>
      </w:r>
      <w:r>
        <w:rPr>
          <w:rFonts w:ascii="Book Antiqua" w:hAnsi="Book Antiqua" w:eastAsia="Book Antiqua" w:cs="Book Antiqua"/>
          <w:color w:val="000000"/>
        </w:rPr>
        <w:t>: 127-136 [PMID: 26756121]</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Berger CT</w:t>
      </w:r>
      <w:r>
        <w:rPr>
          <w:rFonts w:ascii="Book Antiqua" w:hAnsi="Book Antiqua" w:eastAsia="Book Antiqua" w:cs="Book Antiqua"/>
          <w:color w:val="000000"/>
        </w:rPr>
        <w:t xml:space="preserve">, Sommer G, Aschwanden M, Staub D, Rottenburger C, Daikeler T. The clinical benefit of imaging in the diagnosis and treatment of giant cell arteritis. </w:t>
      </w:r>
      <w:r>
        <w:rPr>
          <w:rFonts w:ascii="Book Antiqua" w:hAnsi="Book Antiqua" w:eastAsia="Book Antiqua" w:cs="Book Antiqua"/>
          <w:i/>
          <w:iCs/>
          <w:color w:val="000000"/>
        </w:rPr>
        <w:t>Swiss Med Wkly</w:t>
      </w:r>
      <w:r>
        <w:rPr>
          <w:rFonts w:ascii="Book Antiqua" w:hAnsi="Book Antiqua" w:eastAsia="Book Antiqua" w:cs="Book Antiqua"/>
          <w:color w:val="000000"/>
        </w:rPr>
        <w:t xml:space="preserve"> 2018; </w:t>
      </w:r>
      <w:r>
        <w:rPr>
          <w:rFonts w:ascii="Book Antiqua" w:hAnsi="Book Antiqua" w:eastAsia="Book Antiqua" w:cs="Book Antiqua"/>
          <w:b/>
          <w:bCs/>
          <w:color w:val="000000"/>
        </w:rPr>
        <w:t>148</w:t>
      </w:r>
      <w:r>
        <w:rPr>
          <w:rFonts w:ascii="Book Antiqua" w:hAnsi="Book Antiqua" w:eastAsia="Book Antiqua" w:cs="Book Antiqua"/>
          <w:color w:val="000000"/>
        </w:rPr>
        <w:t xml:space="preserve">: w14661 [PMID: </w:t>
      </w:r>
      <w:bookmarkStart w:id="68" w:name="OLE_LINK3141"/>
      <w:bookmarkStart w:id="69" w:name="OLE_LINK3140"/>
      <w:r>
        <w:rPr>
          <w:rFonts w:ascii="Book Antiqua" w:hAnsi="Book Antiqua" w:eastAsia="Book Antiqua" w:cs="Book Antiqua"/>
          <w:color w:val="000000"/>
        </w:rPr>
        <w:t>30141518</w:t>
      </w:r>
      <w:bookmarkEnd w:id="68"/>
      <w:bookmarkEnd w:id="69"/>
      <w:r>
        <w:rPr>
          <w:rFonts w:ascii="Book Antiqua" w:hAnsi="Book Antiqua" w:eastAsia="Book Antiqua" w:cs="Book Antiqua"/>
          <w:color w:val="000000"/>
        </w:rPr>
        <w:t xml:space="preserve"> DOI: 10.4414/smw.2018.14661]</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Sanchez-Alvarez C</w:t>
      </w:r>
      <w:r>
        <w:rPr>
          <w:rFonts w:ascii="Book Antiqua" w:hAnsi="Book Antiqua" w:eastAsia="Book Antiqua" w:cs="Book Antiqua"/>
          <w:color w:val="000000"/>
        </w:rPr>
        <w:t xml:space="preserve">, Mertz LE, Thomas CS, Cochuyt JJ, Abril A. Demographic, Clinical, and Radiologic Characteristics of a Cohort of Patients with Takayasu Arteritis. </w:t>
      </w:r>
      <w:r>
        <w:rPr>
          <w:rFonts w:ascii="Book Antiqua" w:hAnsi="Book Antiqua" w:eastAsia="Book Antiqua" w:cs="Book Antiqua"/>
          <w:i/>
          <w:iCs/>
          <w:color w:val="000000"/>
        </w:rPr>
        <w:t>Am J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132</w:t>
      </w:r>
      <w:r>
        <w:rPr>
          <w:rFonts w:ascii="Book Antiqua" w:hAnsi="Book Antiqua" w:eastAsia="Book Antiqua" w:cs="Book Antiqua"/>
          <w:color w:val="000000"/>
        </w:rPr>
        <w:t>: 647-651 [PMID: 30615861 DOI: 10.1016/j.amjmed.2018.12.017]</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de Souza AW</w:t>
      </w:r>
      <w:r>
        <w:rPr>
          <w:rFonts w:ascii="Book Antiqua" w:hAnsi="Book Antiqua" w:eastAsia="Book Antiqua" w:cs="Book Antiqua"/>
          <w:color w:val="000000"/>
        </w:rPr>
        <w:t xml:space="preserve">, de Carvalho JF. Diagnostic and classification criteria of Takayasu arteritis. </w:t>
      </w:r>
      <w:r>
        <w:rPr>
          <w:rFonts w:ascii="Book Antiqua" w:hAnsi="Book Antiqua" w:eastAsia="Book Antiqua" w:cs="Book Antiqua"/>
          <w:i/>
          <w:iCs/>
          <w:color w:val="000000"/>
        </w:rPr>
        <w:t>J Autoimmun</w:t>
      </w:r>
      <w:r>
        <w:rPr>
          <w:rFonts w:ascii="Book Antiqua" w:hAnsi="Book Antiqua" w:eastAsia="Book Antiqua" w:cs="Book Antiqua"/>
          <w:color w:val="000000"/>
        </w:rPr>
        <w:t xml:space="preserve"> 2014; </w:t>
      </w:r>
      <w:r>
        <w:rPr>
          <w:rFonts w:ascii="Book Antiqua" w:hAnsi="Book Antiqua" w:eastAsia="Book Antiqua" w:cs="Book Antiqua"/>
          <w:b/>
          <w:bCs/>
          <w:color w:val="000000"/>
        </w:rPr>
        <w:t>48-49</w:t>
      </w:r>
      <w:r>
        <w:rPr>
          <w:rFonts w:ascii="Book Antiqua" w:hAnsi="Book Antiqua" w:eastAsia="Book Antiqua" w:cs="Book Antiqua"/>
          <w:color w:val="000000"/>
        </w:rPr>
        <w:t>: 79-83 [PMID: 24461381 DOI: 10.1016/j.jaut.2014.01.012]</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Arend WP</w:t>
      </w:r>
      <w:r>
        <w:rPr>
          <w:rFonts w:ascii="Book Antiqua" w:hAnsi="Book Antiqua" w:eastAsia="Book Antiqua" w:cs="Book Antiqua"/>
          <w:color w:val="000000"/>
        </w:rPr>
        <w:t xml:space="preserve">, Michel BA, Bloch DA, Hunder GG, Calabrese LH, Edworthy SM, Fauci AS, Leavitt RY, Lie JT, Lightfoot RW Jr. The American College of Rheumatology 1990 criteria for the classification of Takayasu arteritis. </w:t>
      </w:r>
      <w:r>
        <w:rPr>
          <w:rFonts w:ascii="Book Antiqua" w:hAnsi="Book Antiqua" w:eastAsia="Book Antiqua" w:cs="Book Antiqua"/>
          <w:i/>
          <w:iCs/>
          <w:color w:val="000000"/>
        </w:rPr>
        <w:t>Arthritis Rheum</w:t>
      </w:r>
      <w:r>
        <w:rPr>
          <w:rFonts w:ascii="Book Antiqua" w:hAnsi="Book Antiqua" w:eastAsia="Book Antiqua" w:cs="Book Antiqua"/>
          <w:color w:val="000000"/>
        </w:rPr>
        <w:t xml:space="preserve"> 1990; </w:t>
      </w:r>
      <w:r>
        <w:rPr>
          <w:rFonts w:ascii="Book Antiqua" w:hAnsi="Book Antiqua" w:eastAsia="Book Antiqua" w:cs="Book Antiqua"/>
          <w:b/>
          <w:bCs/>
          <w:color w:val="000000"/>
        </w:rPr>
        <w:t>33</w:t>
      </w:r>
      <w:r>
        <w:rPr>
          <w:rFonts w:ascii="Book Antiqua" w:hAnsi="Book Antiqua" w:eastAsia="Book Antiqua" w:cs="Book Antiqua"/>
          <w:color w:val="000000"/>
        </w:rPr>
        <w:t>: 1129-1134 [PMID: 1975175 DOI: 10.1002/art.1780330811]</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Dejaco C</w:t>
      </w:r>
      <w:r>
        <w:rPr>
          <w:rFonts w:ascii="Book Antiqua" w:hAnsi="Book Antiqua" w:eastAsia="Book Antiqua" w:cs="Book Antiqua"/>
          <w:color w:val="000000"/>
        </w:rPr>
        <w:t xml:space="preserve">, Matteson EL, Buttgereit F. [Diagnostics and treatment of polymyalgia rheumatica]. </w:t>
      </w:r>
      <w:r>
        <w:rPr>
          <w:rFonts w:ascii="Book Antiqua" w:hAnsi="Book Antiqua" w:eastAsia="Book Antiqua" w:cs="Book Antiqua"/>
          <w:i/>
          <w:iCs/>
          <w:color w:val="000000"/>
        </w:rPr>
        <w:t>Z Rheumatol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75</w:t>
      </w:r>
      <w:r>
        <w:rPr>
          <w:rFonts w:ascii="Book Antiqua" w:hAnsi="Book Antiqua" w:eastAsia="Book Antiqua" w:cs="Book Antiqua"/>
          <w:color w:val="000000"/>
        </w:rPr>
        <w:t>: 687-700 [PMID: 27488446 DOI: 10.1007/s00393-016-0105-3]</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Camellino D</w:t>
      </w:r>
      <w:r>
        <w:rPr>
          <w:rFonts w:ascii="Book Antiqua" w:hAnsi="Book Antiqua" w:eastAsia="Book Antiqua" w:cs="Book Antiqua"/>
          <w:color w:val="000000"/>
        </w:rPr>
        <w:t xml:space="preserve">, Matteson EL, Buttgereit F, Dejaco C. Monitoring and long-term management of giant cell arteritis and polymyalgia rheumatica. </w:t>
      </w:r>
      <w:r>
        <w:rPr>
          <w:rFonts w:ascii="Book Antiqua" w:hAnsi="Book Antiqua" w:eastAsia="Book Antiqua" w:cs="Book Antiqua"/>
          <w:i/>
          <w:iCs/>
          <w:color w:val="000000"/>
        </w:rPr>
        <w:t>Nat Rev Rheumatol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16</w:t>
      </w:r>
      <w:r>
        <w:rPr>
          <w:rFonts w:ascii="Book Antiqua" w:hAnsi="Book Antiqua" w:eastAsia="Book Antiqua" w:cs="Book Antiqua"/>
          <w:color w:val="000000"/>
        </w:rPr>
        <w:t>: 481-495 [PMID: 32759996 DOI: 10.1038/s41584-020-0458-5]</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Keser G</w:t>
      </w:r>
      <w:r>
        <w:rPr>
          <w:rFonts w:ascii="Book Antiqua" w:hAnsi="Book Antiqua" w:eastAsia="Book Antiqua" w:cs="Book Antiqua"/>
          <w:color w:val="000000"/>
        </w:rPr>
        <w:t xml:space="preserve">, Aksu K. Diagnosis and differential diagnosis of large-vessel vasculitides. </w:t>
      </w:r>
      <w:r>
        <w:rPr>
          <w:rFonts w:ascii="Book Antiqua" w:hAnsi="Book Antiqua" w:eastAsia="Book Antiqua" w:cs="Book Antiqua"/>
          <w:i/>
          <w:iCs/>
          <w:color w:val="000000"/>
        </w:rPr>
        <w:t>Rheumatol Int</w:t>
      </w:r>
      <w:r>
        <w:rPr>
          <w:rFonts w:ascii="Book Antiqua" w:hAnsi="Book Antiqua" w:eastAsia="Book Antiqua" w:cs="Book Antiqua"/>
          <w:color w:val="000000"/>
        </w:rPr>
        <w:t xml:space="preserve"> 2019; </w:t>
      </w:r>
      <w:r>
        <w:rPr>
          <w:rFonts w:ascii="Book Antiqua" w:hAnsi="Book Antiqua" w:eastAsia="Book Antiqua" w:cs="Book Antiqua"/>
          <w:b/>
          <w:bCs/>
          <w:color w:val="000000"/>
        </w:rPr>
        <w:t>39</w:t>
      </w:r>
      <w:r>
        <w:rPr>
          <w:rFonts w:ascii="Book Antiqua" w:hAnsi="Book Antiqua" w:eastAsia="Book Antiqua" w:cs="Book Antiqua"/>
          <w:color w:val="000000"/>
        </w:rPr>
        <w:t>: 169-185 [PMID: 30221327 DOI: 10.1007/s00296-018-4157-3]</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de Boysson H</w:t>
      </w:r>
      <w:r>
        <w:rPr>
          <w:rFonts w:ascii="Book Antiqua" w:hAnsi="Book Antiqua" w:eastAsia="Book Antiqua" w:cs="Book Antiqua"/>
          <w:color w:val="000000"/>
        </w:rPr>
        <w:t xml:space="preserve">, Daumas A, Vautier M, Parienti JJ, Liozon E, Lambert M, Samson M, Ebbo M, Dumont A, Sultan A, Bonnotte B, Manrique A, Bienvenu B, Saadoun D, Aouba A. Large-vessel involvement and aortic dilation in giant-cell arteritis. A multicenter study of 549 patients. </w:t>
      </w:r>
      <w:r>
        <w:rPr>
          <w:rFonts w:ascii="Book Antiqua" w:hAnsi="Book Antiqua" w:eastAsia="Book Antiqua" w:cs="Book Antiqua"/>
          <w:i/>
          <w:iCs/>
          <w:color w:val="000000"/>
        </w:rPr>
        <w:t>Autoimmun Rev</w:t>
      </w:r>
      <w:r>
        <w:rPr>
          <w:rFonts w:ascii="Book Antiqua" w:hAnsi="Book Antiqua" w:eastAsia="Book Antiqua" w:cs="Book Antiqua"/>
          <w:color w:val="000000"/>
        </w:rPr>
        <w:t xml:space="preserve"> 2018; </w:t>
      </w:r>
      <w:r>
        <w:rPr>
          <w:rFonts w:ascii="Book Antiqua" w:hAnsi="Book Antiqua" w:eastAsia="Book Antiqua" w:cs="Book Antiqua"/>
          <w:b/>
          <w:bCs/>
          <w:color w:val="000000"/>
        </w:rPr>
        <w:t>17</w:t>
      </w:r>
      <w:r>
        <w:rPr>
          <w:rFonts w:ascii="Book Antiqua" w:hAnsi="Book Antiqua" w:eastAsia="Book Antiqua" w:cs="Book Antiqua"/>
          <w:color w:val="000000"/>
        </w:rPr>
        <w:t>: 391-398 [PMID: 29427822 DOI: 10.1016/j.autrev.2017.11.029]</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Muratore F</w:t>
      </w:r>
      <w:r>
        <w:rPr>
          <w:rFonts w:ascii="Book Antiqua" w:hAnsi="Book Antiqua" w:eastAsia="Book Antiqua" w:cs="Book Antiqua"/>
          <w:color w:val="000000"/>
        </w:rPr>
        <w:t xml:space="preserve">, Kermani TA, Crowson CS, Koster MJ, Matteson EL, Salvarani C, Warrington KJ. Large-Vessel Dilatation in Giant Cell Arteritis: A Different Subset of Disease? </w:t>
      </w:r>
      <w:r>
        <w:rPr>
          <w:rFonts w:ascii="Book Antiqua" w:hAnsi="Book Antiqua" w:eastAsia="Book Antiqua" w:cs="Book Antiqua"/>
          <w:i/>
          <w:iCs/>
          <w:color w:val="000000"/>
        </w:rPr>
        <w:t>Arthritis Care Res (Hoboken)</w:t>
      </w:r>
      <w:r>
        <w:rPr>
          <w:rFonts w:ascii="Book Antiqua" w:hAnsi="Book Antiqua" w:eastAsia="Book Antiqua" w:cs="Book Antiqua"/>
          <w:color w:val="000000"/>
        </w:rPr>
        <w:t xml:space="preserve"> 2018; </w:t>
      </w:r>
      <w:r>
        <w:rPr>
          <w:rFonts w:ascii="Book Antiqua" w:hAnsi="Book Antiqua" w:eastAsia="Book Antiqua" w:cs="Book Antiqua"/>
          <w:b/>
          <w:bCs/>
          <w:color w:val="000000"/>
        </w:rPr>
        <w:t>70</w:t>
      </w:r>
      <w:r>
        <w:rPr>
          <w:rFonts w:ascii="Book Antiqua" w:hAnsi="Book Antiqua" w:eastAsia="Book Antiqua" w:cs="Book Antiqua"/>
          <w:color w:val="000000"/>
        </w:rPr>
        <w:t>: 1406-1411 [PMID: 29266882 DOI: 10.1002/acr.23498]</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Coban YK</w:t>
      </w:r>
      <w:r>
        <w:rPr>
          <w:rFonts w:ascii="Book Antiqua" w:hAnsi="Book Antiqua" w:eastAsia="Book Antiqua" w:cs="Book Antiqua"/>
          <w:color w:val="000000"/>
        </w:rPr>
        <w:t xml:space="preserve">. Rhabdomyolysis, compartment syndrome and thermal injury. </w:t>
      </w:r>
      <w:r>
        <w:rPr>
          <w:rFonts w:ascii="Book Antiqua" w:hAnsi="Book Antiqua" w:eastAsia="Book Antiqua" w:cs="Book Antiqua"/>
          <w:i/>
          <w:iCs/>
          <w:color w:val="000000"/>
        </w:rPr>
        <w:t>World J Crit Care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3</w:t>
      </w:r>
      <w:r>
        <w:rPr>
          <w:rFonts w:ascii="Book Antiqua" w:hAnsi="Book Antiqua" w:eastAsia="Book Antiqua" w:cs="Book Antiqua"/>
          <w:color w:val="000000"/>
        </w:rPr>
        <w:t xml:space="preserve">: 1-7 [PMID: </w:t>
      </w:r>
      <w:bookmarkStart w:id="70" w:name="OLE_LINK3142"/>
      <w:bookmarkStart w:id="71" w:name="OLE_LINK3143"/>
      <w:r>
        <w:rPr>
          <w:rFonts w:ascii="Book Antiqua" w:hAnsi="Book Antiqua" w:eastAsia="Book Antiqua" w:cs="Book Antiqua"/>
          <w:color w:val="000000"/>
        </w:rPr>
        <w:t>24834396</w:t>
      </w:r>
      <w:bookmarkEnd w:id="70"/>
      <w:bookmarkEnd w:id="71"/>
      <w:r>
        <w:rPr>
          <w:rFonts w:ascii="Book Antiqua" w:hAnsi="Book Antiqua" w:eastAsia="Book Antiqua" w:cs="Book Antiqua"/>
          <w:color w:val="000000"/>
        </w:rPr>
        <w:t xml:space="preserve"> DOI: 10.5492/wjccm.v3.i1.1]</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Ding LN</w:t>
      </w:r>
      <w:r>
        <w:rPr>
          <w:rFonts w:ascii="Book Antiqua" w:hAnsi="Book Antiqua" w:eastAsia="Book Antiqua" w:cs="Book Antiqua"/>
          <w:color w:val="000000"/>
        </w:rPr>
        <w:t xml:space="preserve">, Wang Y, Tian J, Ye LF, Chen S, Wu SM, Shang WB. Primary hypoparathyroidism accompanied by rhabdomyolysis induced by infection: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2019; </w:t>
      </w:r>
      <w:r>
        <w:rPr>
          <w:rFonts w:ascii="Book Antiqua" w:hAnsi="Book Antiqua" w:eastAsia="Book Antiqua" w:cs="Book Antiqua"/>
          <w:b/>
          <w:bCs/>
          <w:color w:val="000000"/>
        </w:rPr>
        <w:t>7</w:t>
      </w:r>
      <w:r>
        <w:rPr>
          <w:rFonts w:ascii="Book Antiqua" w:hAnsi="Book Antiqua" w:eastAsia="Book Antiqua" w:cs="Book Antiqua"/>
          <w:color w:val="000000"/>
        </w:rPr>
        <w:t>: 3111-3119 [PMID: 31624762 DOI: 10.12998/wjcc.v7.i19.3111]</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Iida H</w:t>
      </w:r>
      <w:r>
        <w:rPr>
          <w:rFonts w:ascii="Book Antiqua" w:hAnsi="Book Antiqua" w:eastAsia="Book Antiqua" w:cs="Book Antiqua"/>
          <w:color w:val="000000"/>
        </w:rPr>
        <w:t xml:space="preserve">, Hanaoka H, Asari Y, Ishimori K, Kiyokawa T, Takakuwa Y, Yamasaki Y, Yamada H, Okazaki T, Doi M, Ozaki S. Rhabdomyolysis in a Patient with Polyarteritis Nodosa.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2018; </w:t>
      </w:r>
      <w:r>
        <w:rPr>
          <w:rFonts w:ascii="Book Antiqua" w:hAnsi="Book Antiqua" w:eastAsia="Book Antiqua" w:cs="Book Antiqua"/>
          <w:b/>
          <w:bCs/>
          <w:color w:val="000000"/>
        </w:rPr>
        <w:t>57</w:t>
      </w:r>
      <w:r>
        <w:rPr>
          <w:rFonts w:ascii="Book Antiqua" w:hAnsi="Book Antiqua" w:eastAsia="Book Antiqua" w:cs="Book Antiqua"/>
          <w:color w:val="000000"/>
        </w:rPr>
        <w:t>: 101-106 [PMID: 29021478 DOI: 10.2169/internalmedicine.8913-17]</w:t>
      </w:r>
    </w:p>
    <w:bookmarkEnd w:id="57"/>
    <w:bookmarkEnd w:id="58"/>
    <w:bookmarkEnd w:id="59"/>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Informed written consent was obtained from the patient for publication of this report and any accompanying images.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have no conflicts of interest to declare.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9,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September 1,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16,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Rheumatology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eastAsia="宋体" w:cs="宋体"/>
          <w:lang w:eastAsia="zh-CN"/>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Anzola F LK,</w:t>
      </w:r>
      <w:r>
        <w:t xml:space="preserve"> </w:t>
      </w:r>
      <w:r>
        <w:rPr>
          <w:rFonts w:ascii="Book Antiqua" w:hAnsi="Book Antiqua" w:eastAsia="Book Antiqua" w:cs="Book Antiqua"/>
          <w:color w:val="000000"/>
        </w:rPr>
        <w:t>Colombia</w:t>
      </w:r>
      <w:r>
        <w:rPr>
          <w:rFonts w:ascii="Book Antiqua" w:hAnsi="Book Antiqua" w:eastAsia="Book Antiqua" w:cs="Book Antiqua"/>
          <w:b/>
          <w:color w:val="000000"/>
        </w:rPr>
        <w:t xml:space="preserve"> S-Editor: </w:t>
      </w:r>
      <w:bookmarkStart w:id="72" w:name="OLE_LINK3597"/>
      <w:bookmarkStart w:id="73" w:name="OLE_LINK3596"/>
      <w:r>
        <w:rPr>
          <w:rFonts w:ascii="Book Antiqua" w:hAnsi="Book Antiqua" w:eastAsia="Book Antiqua" w:cs="Book Antiqua"/>
          <w:color w:val="000000"/>
        </w:rPr>
        <w:t>Yan JP</w:t>
      </w:r>
      <w:bookmarkEnd w:id="72"/>
      <w:bookmarkEnd w:id="73"/>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lang w:eastAsia="zh-CN"/>
        </w:rPr>
        <w:t xml:space="preserve"> </w:t>
      </w:r>
      <w:r>
        <w:rPr>
          <w:rFonts w:ascii="Book Antiqua" w:hAnsi="Book Antiqua" w:eastAsia="Book Antiqua" w:cs="Book Antiqua"/>
          <w:b/>
          <w:color w:val="000000"/>
        </w:rPr>
        <w:t xml:space="preserve">P-Editor: </w:t>
      </w:r>
      <w:r>
        <w:rPr>
          <w:rFonts w:ascii="Book Antiqua" w:hAnsi="Book Antiqua" w:eastAsia="Book Antiqua" w:cs="Book Antiqua"/>
          <w:color w:val="000000"/>
        </w:rPr>
        <w:t>Yan JP</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color w:val="000000"/>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638675" cy="2498725"/>
            <wp:effectExtent l="0" t="0" r="9525" b="635"/>
            <wp:docPr id="3" name="图片 3" descr="WJCC-10-413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137-g001"/>
                    <pic:cNvPicPr>
                      <a:picLocks noChangeAspect="1"/>
                    </pic:cNvPicPr>
                  </pic:nvPicPr>
                  <pic:blipFill>
                    <a:blip r:embed="rId5"/>
                    <a:stretch>
                      <a:fillRect/>
                    </a:stretch>
                  </pic:blipFill>
                  <pic:spPr>
                    <a:xfrm>
                      <a:off x="0" y="0"/>
                      <a:ext cx="4638675" cy="2498725"/>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1 Diameter of the aneurysm in the aortic arch on thoracic aorta magnetic resonance angiography (normal range &lt; 32 mm) before immunosuppressive treatment (A) and after 6 mo of treatment (B).</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6031865" cy="3797300"/>
            <wp:effectExtent l="0" t="0" r="3175" b="12700"/>
            <wp:docPr id="4" name="图片 4" descr="WJCC-10-413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137-g002"/>
                    <pic:cNvPicPr>
                      <a:picLocks noChangeAspect="1"/>
                    </pic:cNvPicPr>
                  </pic:nvPicPr>
                  <pic:blipFill>
                    <a:blip r:embed="rId6"/>
                    <a:stretch>
                      <a:fillRect/>
                    </a:stretch>
                  </pic:blipFill>
                  <pic:spPr>
                    <a:xfrm>
                      <a:off x="0" y="0"/>
                      <a:ext cx="6031865" cy="379730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2 Fluorine-18-fluorodeoxyglucose-positron emission tomography/computed tomography fusion images</w:t>
      </w:r>
      <w:r>
        <w:rPr>
          <w:rFonts w:ascii="Book Antiqua" w:hAnsi="Book Antiqua" w:eastAsia="Book Antiqua" w:cs="Book Antiqua"/>
          <w:b/>
          <w:bCs/>
          <w:color w:val="000000"/>
          <w:lang w:eastAsia="zh-CN"/>
        </w:rPr>
        <w:t xml:space="preserve">. </w:t>
      </w:r>
      <w:r>
        <w:rPr>
          <w:rFonts w:ascii="Book Antiqua" w:hAnsi="Book Antiqua" w:eastAsia="Book Antiqua" w:cs="Book Antiqua"/>
          <w:color w:val="000000"/>
          <w:lang w:eastAsia="zh-CN"/>
        </w:rPr>
        <w:t xml:space="preserve">A and B: </w:t>
      </w:r>
      <w:bookmarkStart w:id="74" w:name="OLE_LINK3266"/>
      <w:bookmarkStart w:id="75" w:name="OLE_LINK3265"/>
      <w:r>
        <w:rPr>
          <w:rFonts w:ascii="Book Antiqua" w:hAnsi="Book Antiqua" w:eastAsia="Book Antiqua" w:cs="Book Antiqua"/>
          <w:color w:val="000000"/>
        </w:rPr>
        <w:t>Fluorine-18-fluorodeoxyglucose</w:t>
      </w:r>
      <w:bookmarkEnd w:id="74"/>
      <w:bookmarkEnd w:id="75"/>
      <w:r>
        <w:rPr>
          <w:rFonts w:ascii="Book Antiqua" w:hAnsi="Book Antiqua" w:eastAsia="Book Antiqua" w:cs="Book Antiqua"/>
          <w:color w:val="000000"/>
        </w:rPr>
        <w:t xml:space="preserve"> (18F-FDG) uptake in the subclavian artery before immunosuppressive treatment (A) and after 6 mo of treatment (B) (</w:t>
      </w:r>
      <w:bookmarkStart w:id="76" w:name="OLE_LINK3157"/>
      <w:bookmarkStart w:id="77" w:name="OLE_LINK3156"/>
      <w:r>
        <w:rPr>
          <w:rFonts w:ascii="Book Antiqua" w:hAnsi="Book Antiqua" w:eastAsia="Book Antiqua" w:cs="Book Antiqua"/>
          <w:color w:val="000000"/>
        </w:rPr>
        <w:t>SUVmax</w:t>
      </w:r>
      <w:bookmarkEnd w:id="76"/>
      <w:bookmarkEnd w:id="77"/>
      <w:r>
        <w:rPr>
          <w:rFonts w:ascii="Book Antiqua" w:hAnsi="Book Antiqua" w:eastAsia="Book Antiqua" w:cs="Book Antiqua"/>
          <w:color w:val="000000"/>
        </w:rPr>
        <w:t xml:space="preserve"> A &gt; B); C</w:t>
      </w:r>
      <w:r>
        <w:rPr>
          <w:rFonts w:ascii="Book Antiqua" w:hAnsi="Book Antiqua" w:eastAsia="Book Antiqua" w:cs="Book Antiqua"/>
          <w:color w:val="000000"/>
          <w:lang w:eastAsia="zh-CN"/>
        </w:rPr>
        <w:t xml:space="preserve"> and D: </w:t>
      </w:r>
      <w:r>
        <w:rPr>
          <w:rFonts w:ascii="Book Antiqua" w:hAnsi="Book Antiqua" w:eastAsia="Book Antiqua" w:cs="Book Antiqua"/>
          <w:color w:val="000000"/>
        </w:rPr>
        <w:t>18F-FDG uptake in the thoracic aorta before immunosuppressive treatment (C) and after 6 mo of treatment (D) (SUVmax C &gt; D); E</w:t>
      </w:r>
      <w:r>
        <w:rPr>
          <w:rFonts w:ascii="Book Antiqua" w:hAnsi="Book Antiqua" w:eastAsia="Book Antiqua" w:cs="Book Antiqua"/>
          <w:color w:val="000000"/>
          <w:lang w:eastAsia="zh-CN"/>
        </w:rPr>
        <w:t xml:space="preserve"> and F</w:t>
      </w:r>
      <w:r>
        <w:rPr>
          <w:rFonts w:ascii="Book Antiqua" w:hAnsi="Book Antiqua" w:eastAsia="宋体" w:cs="宋体"/>
          <w:color w:val="000000"/>
          <w:lang w:eastAsia="zh-CN"/>
        </w:rPr>
        <w:t xml:space="preserve">: </w:t>
      </w:r>
      <w:r>
        <w:rPr>
          <w:rFonts w:ascii="Book Antiqua" w:hAnsi="Book Antiqua" w:eastAsia="Book Antiqua" w:cs="Book Antiqua"/>
          <w:color w:val="000000"/>
        </w:rPr>
        <w:t xml:space="preserve">18F-FDG uptake in the aorta abdominalis before immunosuppressive treatment (E) and after 6 mo of treatment (F) (SUVmax E &gt; F) by </w:t>
      </w:r>
      <w:bookmarkStart w:id="78" w:name="OLE_LINK3263"/>
      <w:bookmarkStart w:id="79" w:name="OLE_LINK3264"/>
      <w:r>
        <w:rPr>
          <w:rFonts w:ascii="Book Antiqua" w:hAnsi="Book Antiqua" w:eastAsia="Book Antiqua" w:cs="Book Antiqua"/>
          <w:color w:val="000000"/>
        </w:rPr>
        <w:t>18F-FDG-positron emission tomography/computed tomography fusion images</w:t>
      </w:r>
      <w:bookmarkEnd w:id="78"/>
      <w:bookmarkEnd w:id="79"/>
      <w:r>
        <w:rPr>
          <w:rFonts w:ascii="Book Antiqua" w:hAnsi="Book Antiqua" w:eastAsia="Book Antiqua" w:cs="Book Antiqua"/>
          <w:color w:val="000000"/>
        </w:rPr>
        <w:t xml:space="preserve">. </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35980" cy="1584960"/>
            <wp:effectExtent l="0" t="0" r="7620" b="0"/>
            <wp:docPr id="5" name="图片 5" descr="WJCC-10-413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4137-g003"/>
                    <pic:cNvPicPr>
                      <a:picLocks noChangeAspect="1"/>
                    </pic:cNvPicPr>
                  </pic:nvPicPr>
                  <pic:blipFill>
                    <a:blip r:embed="rId7"/>
                    <a:stretch>
                      <a:fillRect/>
                    </a:stretch>
                  </pic:blipFill>
                  <pic:spPr>
                    <a:xfrm>
                      <a:off x="0" y="0"/>
                      <a:ext cx="5935980" cy="1584960"/>
                    </a:xfrm>
                    <a:prstGeom prst="rect">
                      <a:avLst/>
                    </a:prstGeom>
                  </pic:spPr>
                </pic:pic>
              </a:graphicData>
            </a:graphic>
          </wp:inline>
        </w:drawing>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3 Clinical course corresponding to the adjustment of the immunosuppressive regimen and the glucocorticoid tapering schedule.</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474335" cy="5779135"/>
            <wp:effectExtent l="0" t="0" r="12065" b="12065"/>
            <wp:docPr id="6" name="图片 6" descr="WJCC-10-4137-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4137-g004"/>
                    <pic:cNvPicPr>
                      <a:picLocks noChangeAspect="1"/>
                    </pic:cNvPicPr>
                  </pic:nvPicPr>
                  <pic:blipFill>
                    <a:blip r:embed="rId8"/>
                    <a:stretch>
                      <a:fillRect/>
                    </a:stretch>
                  </pic:blipFill>
                  <pic:spPr>
                    <a:xfrm>
                      <a:off x="0" y="0"/>
                      <a:ext cx="5474335" cy="5779135"/>
                    </a:xfrm>
                    <a:prstGeom prst="rect">
                      <a:avLst/>
                    </a:prstGeom>
                  </pic:spPr>
                </pic:pic>
              </a:graphicData>
            </a:graphic>
          </wp:inline>
        </w:drawing>
      </w:r>
      <w:bookmarkStart w:id="94" w:name="_GoBack"/>
      <w:bookmarkEnd w:id="94"/>
    </w:p>
    <w:p>
      <w:pPr>
        <w:spacing w:line="360" w:lineRule="auto"/>
        <w:jc w:val="both"/>
        <w:rPr>
          <w:rFonts w:ascii="Book Antiqua" w:hAnsi="Book Antiqua"/>
          <w:b/>
          <w:bCs/>
        </w:rPr>
      </w:pP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bookmarkStart w:id="80" w:name="OLE_LINK3096"/>
      <w:bookmarkStart w:id="81" w:name="OLE_LINK3095"/>
      <w:r>
        <w:rPr>
          <w:rFonts w:ascii="Book Antiqua" w:hAnsi="Book Antiqua" w:eastAsia="Book Antiqua" w:cs="Book Antiqua"/>
          <w:b/>
          <w:bCs/>
          <w:color w:val="000000"/>
        </w:rPr>
        <w:t xml:space="preserve">Figure 4 Clinical features corresponding to the course of immunosuppressive treatment. </w:t>
      </w:r>
      <w:r>
        <w:rPr>
          <w:rFonts w:ascii="Book Antiqua" w:hAnsi="Book Antiqua" w:eastAsia="Book Antiqua" w:cs="Book Antiqua"/>
          <w:color w:val="000000"/>
        </w:rPr>
        <w:t xml:space="preserve">A: </w:t>
      </w:r>
      <w:bookmarkStart w:id="82" w:name="OLE_LINK3285"/>
      <w:bookmarkStart w:id="83" w:name="OLE_LINK3286"/>
      <w:r>
        <w:rPr>
          <w:rFonts w:ascii="Book Antiqua" w:hAnsi="Book Antiqua" w:eastAsia="Book Antiqua" w:cs="Book Antiqua"/>
          <w:color w:val="000000"/>
        </w:rPr>
        <w:t>Creatine kinase</w:t>
      </w:r>
      <w:bookmarkEnd w:id="82"/>
      <w:bookmarkEnd w:id="83"/>
      <w:r>
        <w:rPr>
          <w:rFonts w:ascii="Book Antiqua" w:hAnsi="Book Antiqua" w:eastAsia="Book Antiqua" w:cs="Book Antiqua"/>
          <w:color w:val="000000"/>
        </w:rPr>
        <w:t xml:space="preserve"> (normal range 38-174 U/L); B</w:t>
      </w:r>
      <w:r>
        <w:rPr>
          <w:rFonts w:ascii="Book Antiqua" w:hAnsi="Book Antiqua" w:eastAsia="宋体" w:cs="宋体"/>
          <w:color w:val="000000"/>
          <w:lang w:eastAsia="zh-CN"/>
        </w:rPr>
        <w:t xml:space="preserve">: </w:t>
      </w:r>
      <w:bookmarkStart w:id="84" w:name="OLE_LINK3287"/>
      <w:bookmarkStart w:id="85" w:name="OLE_LINK3288"/>
      <w:r>
        <w:rPr>
          <w:rFonts w:ascii="Book Antiqua" w:hAnsi="Book Antiqua" w:eastAsia="Book Antiqua" w:cs="Book Antiqua"/>
          <w:color w:val="000000"/>
        </w:rPr>
        <w:t>Aspartate aminotransferase</w:t>
      </w:r>
      <w:bookmarkEnd w:id="84"/>
      <w:bookmarkEnd w:id="85"/>
      <w:r>
        <w:rPr>
          <w:rFonts w:ascii="Book Antiqua" w:hAnsi="Book Antiqua" w:eastAsia="Book Antiqua" w:cs="Book Antiqua"/>
          <w:color w:val="000000"/>
        </w:rPr>
        <w:t xml:space="preserve"> (normal range 15-40 U/L); C: </w:t>
      </w:r>
      <w:bookmarkStart w:id="86" w:name="OLE_LINK3290"/>
      <w:bookmarkStart w:id="87" w:name="OLE_LINK3289"/>
      <w:r>
        <w:rPr>
          <w:rFonts w:ascii="Book Antiqua" w:hAnsi="Book Antiqua" w:eastAsia="Book Antiqua" w:cs="Book Antiqua"/>
          <w:color w:val="000000"/>
        </w:rPr>
        <w:t xml:space="preserve">C-reactive protein </w:t>
      </w:r>
      <w:bookmarkEnd w:id="86"/>
      <w:bookmarkEnd w:id="87"/>
      <w:r>
        <w:rPr>
          <w:rFonts w:ascii="Book Antiqua" w:hAnsi="Book Antiqua" w:eastAsia="Book Antiqua" w:cs="Book Antiqua"/>
          <w:color w:val="000000"/>
        </w:rPr>
        <w:t>(normal range &lt; 10 mg/L); D</w:t>
      </w:r>
      <w:r>
        <w:rPr>
          <w:rFonts w:ascii="Book Antiqua" w:hAnsi="Book Antiqua" w:eastAsia="Book Antiqua" w:cs="Book Antiqua"/>
          <w:color w:val="000000"/>
          <w:lang w:eastAsia="zh-CN"/>
        </w:rPr>
        <w:t xml:space="preserve">: </w:t>
      </w:r>
      <w:bookmarkStart w:id="88" w:name="OLE_LINK3291"/>
      <w:bookmarkStart w:id="89" w:name="OLE_LINK3292"/>
      <w:r>
        <w:rPr>
          <w:rFonts w:ascii="Book Antiqua" w:hAnsi="Book Antiqua" w:eastAsia="Book Antiqua" w:cs="Book Antiqua"/>
          <w:color w:val="000000"/>
        </w:rPr>
        <w:t>Erythrocyte sedimentation rate</w:t>
      </w:r>
      <w:bookmarkEnd w:id="88"/>
      <w:bookmarkEnd w:id="89"/>
      <w:r>
        <w:rPr>
          <w:rFonts w:ascii="Book Antiqua" w:hAnsi="Book Antiqua" w:eastAsia="Book Antiqua" w:cs="Book Antiqua"/>
          <w:color w:val="000000"/>
        </w:rPr>
        <w:t xml:space="preserve"> (normal range &lt; 20 mm/h); E: </w:t>
      </w:r>
      <w:bookmarkStart w:id="90" w:name="OLE_LINK3294"/>
      <w:bookmarkStart w:id="91" w:name="OLE_LINK3293"/>
      <w:r>
        <w:rPr>
          <w:rFonts w:ascii="Book Antiqua" w:hAnsi="Book Antiqua" w:eastAsia="Book Antiqua" w:cs="Book Antiqua"/>
          <w:color w:val="000000"/>
        </w:rPr>
        <w:t xml:space="preserve">Haemoglobin </w:t>
      </w:r>
      <w:bookmarkEnd w:id="90"/>
      <w:bookmarkEnd w:id="91"/>
      <w:r>
        <w:rPr>
          <w:rFonts w:ascii="Book Antiqua" w:hAnsi="Book Antiqua" w:eastAsia="Book Antiqua" w:cs="Book Antiqua"/>
          <w:color w:val="000000"/>
        </w:rPr>
        <w:t xml:space="preserve">(normal range 110-150 g/L); F: </w:t>
      </w:r>
      <w:bookmarkStart w:id="92" w:name="OLE_LINK3295"/>
      <w:bookmarkStart w:id="93" w:name="OLE_LINK3296"/>
      <w:r>
        <w:rPr>
          <w:rFonts w:ascii="Book Antiqua" w:hAnsi="Book Antiqua" w:eastAsia="Book Antiqua" w:cs="Book Antiqua"/>
          <w:color w:val="000000"/>
        </w:rPr>
        <w:t>Serum albumin</w:t>
      </w:r>
      <w:bookmarkEnd w:id="92"/>
      <w:bookmarkEnd w:id="93"/>
      <w:r>
        <w:rPr>
          <w:rFonts w:ascii="Book Antiqua" w:hAnsi="Book Antiqua" w:eastAsia="Book Antiqua" w:cs="Book Antiqua"/>
          <w:color w:val="000000"/>
        </w:rPr>
        <w:t xml:space="preserve"> (normal range 40-55 g/L). CK: Creatine kinase; ALT: Aspartate aminotransferase; CRP: C-reactive protein; ESR: Erythrocyte sedimentation rate; H</w:t>
      </w:r>
      <w:r>
        <w:rPr>
          <w:rFonts w:ascii="Book Antiqua" w:hAnsi="Book Antiqua" w:eastAsia="Book Antiqua" w:cs="Book Antiqua"/>
          <w:color w:val="000000"/>
          <w:lang w:eastAsia="zh-CN"/>
        </w:rPr>
        <w:t>b</w:t>
      </w:r>
      <w:r>
        <w:rPr>
          <w:rFonts w:ascii="Book Antiqua" w:hAnsi="Book Antiqua" w:eastAsia="宋体" w:cs="宋体"/>
          <w:color w:val="000000"/>
          <w:lang w:eastAsia="zh-CN"/>
        </w:rPr>
        <w:t xml:space="preserve">: </w:t>
      </w:r>
      <w:r>
        <w:rPr>
          <w:rFonts w:ascii="Book Antiqua" w:hAnsi="Book Antiqua" w:eastAsia="Book Antiqua" w:cs="Book Antiqua"/>
          <w:color w:val="000000"/>
        </w:rPr>
        <w:t xml:space="preserve">Haemoglobin; </w:t>
      </w:r>
      <w:r>
        <w:rPr>
          <w:rFonts w:ascii="Book Antiqua" w:hAnsi="Book Antiqua" w:eastAsia="宋体" w:cs="宋体"/>
          <w:color w:val="000000"/>
          <w:lang w:eastAsia="zh-CN"/>
        </w:rPr>
        <w:t>ALB:</w:t>
      </w:r>
      <w:r>
        <w:rPr>
          <w:rFonts w:ascii="Book Antiqua" w:hAnsi="Book Antiqua" w:eastAsia="Book Antiqua" w:cs="Book Antiqua"/>
          <w:color w:val="000000"/>
        </w:rPr>
        <w:t xml:space="preserve"> Serum albumin.</w:t>
      </w:r>
      <w:bookmarkEnd w:id="80"/>
      <w:bookmarkEnd w:id="81"/>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D99"/>
    <w:rsid w:val="000563EF"/>
    <w:rsid w:val="00067B0C"/>
    <w:rsid w:val="00183737"/>
    <w:rsid w:val="001F799A"/>
    <w:rsid w:val="00290D5B"/>
    <w:rsid w:val="003009B0"/>
    <w:rsid w:val="003226AA"/>
    <w:rsid w:val="00380B6B"/>
    <w:rsid w:val="003A7963"/>
    <w:rsid w:val="003B69FC"/>
    <w:rsid w:val="003F22A8"/>
    <w:rsid w:val="003F4F42"/>
    <w:rsid w:val="003F7CBC"/>
    <w:rsid w:val="00463279"/>
    <w:rsid w:val="004D27E9"/>
    <w:rsid w:val="00511D4D"/>
    <w:rsid w:val="00534D92"/>
    <w:rsid w:val="00592F76"/>
    <w:rsid w:val="00595E26"/>
    <w:rsid w:val="005A5029"/>
    <w:rsid w:val="0062072D"/>
    <w:rsid w:val="006558FB"/>
    <w:rsid w:val="00660ED1"/>
    <w:rsid w:val="00663B43"/>
    <w:rsid w:val="0066551F"/>
    <w:rsid w:val="006A62C6"/>
    <w:rsid w:val="00745A22"/>
    <w:rsid w:val="00750E4D"/>
    <w:rsid w:val="00797798"/>
    <w:rsid w:val="007A708F"/>
    <w:rsid w:val="007B5B6A"/>
    <w:rsid w:val="007E4437"/>
    <w:rsid w:val="008F6C8A"/>
    <w:rsid w:val="00955F33"/>
    <w:rsid w:val="009575A6"/>
    <w:rsid w:val="0098226E"/>
    <w:rsid w:val="009D6C0F"/>
    <w:rsid w:val="00A42552"/>
    <w:rsid w:val="00A77B3E"/>
    <w:rsid w:val="00AE0117"/>
    <w:rsid w:val="00AF2976"/>
    <w:rsid w:val="00C53C9E"/>
    <w:rsid w:val="00C760C9"/>
    <w:rsid w:val="00CA2A55"/>
    <w:rsid w:val="00CD58B9"/>
    <w:rsid w:val="00D20073"/>
    <w:rsid w:val="00D54B9D"/>
    <w:rsid w:val="00D65B88"/>
    <w:rsid w:val="00DA2A73"/>
    <w:rsid w:val="00DA5C2F"/>
    <w:rsid w:val="00DC2D0E"/>
    <w:rsid w:val="00DC7A9A"/>
    <w:rsid w:val="00E132D9"/>
    <w:rsid w:val="00E23164"/>
    <w:rsid w:val="00E31092"/>
    <w:rsid w:val="00EC7A46"/>
    <w:rsid w:val="00F25DE8"/>
    <w:rsid w:val="00F41075"/>
    <w:rsid w:val="00F853B8"/>
    <w:rsid w:val="5CC44AF1"/>
    <w:rsid w:val="61082D88"/>
    <w:rsid w:val="6BFF6D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pPr>
    <w:rPr>
      <w:sz w:val="18"/>
      <w:szCs w:val="18"/>
    </w:rPr>
  </w:style>
  <w:style w:type="paragraph" w:styleId="3">
    <w:name w:val="header"/>
    <w:basedOn w:val="1"/>
    <w:link w:val="7"/>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7">
    <w:name w:val="页眉 字符"/>
    <w:basedOn w:val="5"/>
    <w:link w:val="3"/>
    <w:qFormat/>
    <w:uiPriority w:val="0"/>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3625</Words>
  <Characters>21549</Characters>
  <Lines>178</Lines>
  <Paragraphs>50</Paragraphs>
  <TotalTime>1</TotalTime>
  <ScaleCrop>false</ScaleCrop>
  <LinksUpToDate>false</LinksUpToDate>
  <CharactersWithSpaces>25053</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2022-03-16T03:17:00Z</dcterms:created>
  <dc:creator>HP</dc:creator>
  <cp:lastModifiedBy>晓晨</cp:lastModifiedBy>
  <dcterms:modified xsi:type="dcterms:W3CDTF">2022-04-30T03:48:53Z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0FCE9849098F455A84EF110F21204F91</vt:lpwstr>
  </property>
</Properties>
</file>