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A31A3"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t xml:space="preserve">Name of Journal: </w:t>
      </w:r>
      <w:r w:rsidRPr="003F7B7C">
        <w:rPr>
          <w:rFonts w:ascii="Book Antiqua" w:eastAsia="Book Antiqua" w:hAnsi="Book Antiqua" w:cs="Book Antiqua"/>
          <w:i/>
          <w:color w:val="000000"/>
        </w:rPr>
        <w:t>World Journal of Clinical Cases</w:t>
      </w:r>
    </w:p>
    <w:p w14:paraId="145EF39D"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t xml:space="preserve">Manuscript NO: </w:t>
      </w:r>
      <w:r w:rsidRPr="003F7B7C">
        <w:rPr>
          <w:rFonts w:ascii="Book Antiqua" w:eastAsia="Book Antiqua" w:hAnsi="Book Antiqua" w:cs="Book Antiqua"/>
          <w:color w:val="000000"/>
        </w:rPr>
        <w:t>69119</w:t>
      </w:r>
    </w:p>
    <w:p w14:paraId="19B486C2"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t xml:space="preserve">Manuscript Type: </w:t>
      </w:r>
      <w:r w:rsidRPr="003F7B7C">
        <w:rPr>
          <w:rFonts w:ascii="Book Antiqua" w:eastAsia="Book Antiqua" w:hAnsi="Book Antiqua" w:cs="Book Antiqua"/>
          <w:color w:val="000000"/>
        </w:rPr>
        <w:t>CASE REPORT</w:t>
      </w:r>
    </w:p>
    <w:p w14:paraId="3DA28736" w14:textId="77777777" w:rsidR="00A77B3E" w:rsidRPr="003F7B7C" w:rsidRDefault="00A77B3E" w:rsidP="003F7B7C">
      <w:pPr>
        <w:spacing w:line="360" w:lineRule="auto"/>
        <w:jc w:val="both"/>
        <w:rPr>
          <w:rFonts w:ascii="Book Antiqua" w:hAnsi="Book Antiqua"/>
        </w:rPr>
      </w:pPr>
    </w:p>
    <w:p w14:paraId="1F29E814" w14:textId="64E1D8AF"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 xml:space="preserve">Chronic lymphocytic leukemia/small lymphocytic lymphoma complicated with skin Langerhans cell sarcoma: A case report </w:t>
      </w:r>
    </w:p>
    <w:p w14:paraId="25B9095B" w14:textId="77777777" w:rsidR="00A77B3E" w:rsidRPr="003F7B7C" w:rsidRDefault="00A77B3E" w:rsidP="003F7B7C">
      <w:pPr>
        <w:spacing w:line="360" w:lineRule="auto"/>
        <w:jc w:val="both"/>
        <w:rPr>
          <w:rFonts w:ascii="Book Antiqua" w:hAnsi="Book Antiqua"/>
        </w:rPr>
      </w:pPr>
    </w:p>
    <w:p w14:paraId="46A8A37A" w14:textId="4CACABF8" w:rsidR="00A77B3E" w:rsidRPr="003F7B7C" w:rsidRDefault="00511644" w:rsidP="003F7B7C">
      <w:pPr>
        <w:spacing w:line="360" w:lineRule="auto"/>
        <w:jc w:val="both"/>
        <w:rPr>
          <w:rFonts w:ascii="Book Antiqua" w:hAnsi="Book Antiqua"/>
        </w:rPr>
      </w:pPr>
      <w:r w:rsidRPr="003F7B7C">
        <w:rPr>
          <w:rFonts w:ascii="Book Antiqua" w:eastAsia="Book Antiqua" w:hAnsi="Book Antiqua" w:cs="Book Antiqua"/>
          <w:color w:val="000000"/>
        </w:rPr>
        <w:t xml:space="preserve">Li SY </w:t>
      </w:r>
      <w:r w:rsidRPr="003F7B7C">
        <w:rPr>
          <w:rFonts w:ascii="Book Antiqua" w:eastAsia="Book Antiqua" w:hAnsi="Book Antiqua" w:cs="Book Antiqua"/>
          <w:i/>
          <w:iCs/>
          <w:color w:val="000000"/>
        </w:rPr>
        <w:t>et al</w:t>
      </w:r>
      <w:r w:rsidRPr="003F7B7C">
        <w:rPr>
          <w:rFonts w:ascii="Book Antiqua" w:eastAsia="Book Antiqua" w:hAnsi="Book Antiqua" w:cs="Book Antiqua"/>
          <w:color w:val="000000"/>
        </w:rPr>
        <w:t xml:space="preserve">. </w:t>
      </w:r>
      <w:r w:rsidR="005430EF" w:rsidRPr="003F7B7C">
        <w:rPr>
          <w:rFonts w:ascii="Book Antiqua" w:eastAsia="Book Antiqua" w:hAnsi="Book Antiqua" w:cs="Book Antiqua"/>
          <w:color w:val="000000"/>
        </w:rPr>
        <w:t>CLL/SLL+</w:t>
      </w:r>
      <w:r w:rsidR="00044923" w:rsidRPr="003F7B7C">
        <w:rPr>
          <w:rFonts w:ascii="Book Antiqua" w:eastAsia="Book Antiqua" w:hAnsi="Book Antiqua" w:cs="Book Antiqua"/>
          <w:color w:val="000000"/>
        </w:rPr>
        <w:t xml:space="preserve"> </w:t>
      </w:r>
      <w:r w:rsidR="005430EF" w:rsidRPr="003F7B7C">
        <w:rPr>
          <w:rFonts w:ascii="Book Antiqua" w:eastAsia="Book Antiqua" w:hAnsi="Book Antiqua" w:cs="Book Antiqua"/>
          <w:color w:val="000000"/>
        </w:rPr>
        <w:t>skin Langerhans cell sarcoma</w:t>
      </w:r>
    </w:p>
    <w:p w14:paraId="4E945ABB" w14:textId="77777777" w:rsidR="00A77B3E" w:rsidRPr="003F7B7C" w:rsidRDefault="00A77B3E" w:rsidP="003F7B7C">
      <w:pPr>
        <w:spacing w:line="360" w:lineRule="auto"/>
        <w:jc w:val="both"/>
        <w:rPr>
          <w:rFonts w:ascii="Book Antiqua" w:hAnsi="Book Antiqua"/>
        </w:rPr>
      </w:pPr>
    </w:p>
    <w:p w14:paraId="2C69A8DA" w14:textId="11CBEE19"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Shao</w:t>
      </w:r>
      <w:r w:rsidR="00044923" w:rsidRPr="003F7B7C">
        <w:rPr>
          <w:rFonts w:ascii="Book Antiqua" w:eastAsia="Book Antiqua" w:hAnsi="Book Antiqua" w:cs="Book Antiqua"/>
          <w:color w:val="000000"/>
        </w:rPr>
        <w:t>-Y</w:t>
      </w:r>
      <w:r w:rsidRPr="003F7B7C">
        <w:rPr>
          <w:rFonts w:ascii="Book Antiqua" w:eastAsia="Book Antiqua" w:hAnsi="Book Antiqua" w:cs="Book Antiqua"/>
          <w:color w:val="000000"/>
        </w:rPr>
        <w:t>an Li, Yan Wang, Li</w:t>
      </w:r>
      <w:r w:rsidR="00044923" w:rsidRPr="003F7B7C">
        <w:rPr>
          <w:rFonts w:ascii="Book Antiqua" w:eastAsia="Book Antiqua" w:hAnsi="Book Antiqua" w:cs="Book Antiqua"/>
          <w:color w:val="000000"/>
        </w:rPr>
        <w:t>-H</w:t>
      </w:r>
      <w:r w:rsidRPr="003F7B7C">
        <w:rPr>
          <w:rFonts w:ascii="Book Antiqua" w:eastAsia="Book Antiqua" w:hAnsi="Book Antiqua" w:cs="Book Antiqua"/>
          <w:color w:val="000000"/>
        </w:rPr>
        <w:t>ua Wang</w:t>
      </w:r>
    </w:p>
    <w:p w14:paraId="6C7F82C4" w14:textId="77777777" w:rsidR="00A77B3E" w:rsidRPr="003F7B7C" w:rsidRDefault="00A77B3E" w:rsidP="003F7B7C">
      <w:pPr>
        <w:spacing w:line="360" w:lineRule="auto"/>
        <w:jc w:val="both"/>
        <w:rPr>
          <w:rFonts w:ascii="Book Antiqua" w:hAnsi="Book Antiqua"/>
        </w:rPr>
      </w:pPr>
    </w:p>
    <w:p w14:paraId="72C895A8" w14:textId="24F63E4F"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Shao</w:t>
      </w:r>
      <w:r w:rsidR="00044923" w:rsidRPr="003F7B7C">
        <w:rPr>
          <w:rFonts w:ascii="Book Antiqua" w:eastAsia="Book Antiqua" w:hAnsi="Book Antiqua" w:cs="Book Antiqua"/>
          <w:b/>
          <w:bCs/>
          <w:color w:val="000000"/>
        </w:rPr>
        <w:t>-Y</w:t>
      </w:r>
      <w:r w:rsidRPr="003F7B7C">
        <w:rPr>
          <w:rFonts w:ascii="Book Antiqua" w:eastAsia="Book Antiqua" w:hAnsi="Book Antiqua" w:cs="Book Antiqua"/>
          <w:b/>
          <w:bCs/>
          <w:color w:val="000000"/>
        </w:rPr>
        <w:t>an Li, Yan Wang, Li</w:t>
      </w:r>
      <w:r w:rsidR="00044923" w:rsidRPr="003F7B7C">
        <w:rPr>
          <w:rFonts w:ascii="Book Antiqua" w:eastAsia="Book Antiqua" w:hAnsi="Book Antiqua" w:cs="Book Antiqua"/>
          <w:b/>
          <w:bCs/>
          <w:color w:val="000000"/>
        </w:rPr>
        <w:t>-H</w:t>
      </w:r>
      <w:r w:rsidRPr="003F7B7C">
        <w:rPr>
          <w:rFonts w:ascii="Book Antiqua" w:eastAsia="Book Antiqua" w:hAnsi="Book Antiqua" w:cs="Book Antiqua"/>
          <w:b/>
          <w:bCs/>
          <w:color w:val="000000"/>
        </w:rPr>
        <w:t xml:space="preserve">ua Wang, </w:t>
      </w:r>
      <w:r w:rsidRPr="003F7B7C">
        <w:rPr>
          <w:rFonts w:ascii="Book Antiqua" w:eastAsia="Book Antiqua" w:hAnsi="Book Antiqua" w:cs="Book Antiqua"/>
          <w:color w:val="000000"/>
        </w:rPr>
        <w:t>Department of Dermatology, Jinan Central Hospital, Cheeloo College of Medicine, Shandong University, Jinan 250013,</w:t>
      </w:r>
      <w:r w:rsidR="00044923" w:rsidRPr="003F7B7C">
        <w:rPr>
          <w:rFonts w:ascii="Book Antiqua" w:eastAsia="Book Antiqua" w:hAnsi="Book Antiqua" w:cs="Book Antiqua"/>
          <w:color w:val="000000"/>
        </w:rPr>
        <w:t xml:space="preserve"> Shandong Province,</w:t>
      </w:r>
      <w:r w:rsidRPr="003F7B7C">
        <w:rPr>
          <w:rFonts w:ascii="Book Antiqua" w:eastAsia="Book Antiqua" w:hAnsi="Book Antiqua" w:cs="Book Antiqua"/>
          <w:color w:val="000000"/>
        </w:rPr>
        <w:t xml:space="preserve"> China</w:t>
      </w:r>
    </w:p>
    <w:p w14:paraId="142242FF" w14:textId="77777777" w:rsidR="00A77B3E" w:rsidRPr="003F7B7C" w:rsidRDefault="00A77B3E" w:rsidP="003F7B7C">
      <w:pPr>
        <w:spacing w:line="360" w:lineRule="auto"/>
        <w:jc w:val="both"/>
        <w:rPr>
          <w:rFonts w:ascii="Book Antiqua" w:hAnsi="Book Antiqua"/>
        </w:rPr>
      </w:pPr>
    </w:p>
    <w:p w14:paraId="0170F8F2" w14:textId="4A881BDF"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 xml:space="preserve">Author contributions: </w:t>
      </w:r>
      <w:r w:rsidRPr="003F7B7C">
        <w:rPr>
          <w:rFonts w:ascii="Book Antiqua" w:eastAsia="Book Antiqua" w:hAnsi="Book Antiqua" w:cs="Book Antiqua"/>
          <w:color w:val="000000"/>
        </w:rPr>
        <w:t xml:space="preserve">Li </w:t>
      </w:r>
      <w:r w:rsidR="00044923" w:rsidRPr="003F7B7C">
        <w:rPr>
          <w:rFonts w:ascii="Book Antiqua" w:eastAsia="Book Antiqua" w:hAnsi="Book Antiqua" w:cs="Book Antiqua"/>
          <w:color w:val="000000"/>
        </w:rPr>
        <w:t xml:space="preserve">SY </w:t>
      </w:r>
      <w:r w:rsidRPr="003F7B7C">
        <w:rPr>
          <w:rFonts w:ascii="Book Antiqua" w:eastAsia="Book Antiqua" w:hAnsi="Book Antiqua" w:cs="Book Antiqua"/>
          <w:color w:val="000000"/>
        </w:rPr>
        <w:t xml:space="preserve">and Wang </w:t>
      </w:r>
      <w:r w:rsidR="00044923" w:rsidRPr="003F7B7C">
        <w:rPr>
          <w:rFonts w:ascii="Book Antiqua" w:eastAsia="Book Antiqua" w:hAnsi="Book Antiqua" w:cs="Book Antiqua"/>
          <w:color w:val="000000"/>
        </w:rPr>
        <w:t xml:space="preserve">LH </w:t>
      </w:r>
      <w:r w:rsidRPr="003F7B7C">
        <w:rPr>
          <w:rFonts w:ascii="Book Antiqua" w:eastAsia="Book Antiqua" w:hAnsi="Book Antiqua" w:cs="Book Antiqua"/>
          <w:color w:val="000000"/>
        </w:rPr>
        <w:t>carried out the studies, participated in collecting data, and drafted the manuscript</w:t>
      </w:r>
      <w:r w:rsidR="00044923"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Wang </w:t>
      </w:r>
      <w:r w:rsidR="00044923" w:rsidRPr="003F7B7C">
        <w:rPr>
          <w:rFonts w:ascii="Book Antiqua" w:eastAsia="Book Antiqua" w:hAnsi="Book Antiqua" w:cs="Book Antiqua"/>
          <w:color w:val="000000"/>
        </w:rPr>
        <w:t xml:space="preserve">Y </w:t>
      </w:r>
      <w:r w:rsidRPr="003F7B7C">
        <w:rPr>
          <w:rFonts w:ascii="Book Antiqua" w:eastAsia="Book Antiqua" w:hAnsi="Book Antiqua" w:cs="Book Antiqua"/>
          <w:color w:val="000000"/>
        </w:rPr>
        <w:t>performed the statistical analysis and participated in its design</w:t>
      </w:r>
      <w:r w:rsidR="00044923" w:rsidRPr="003F7B7C">
        <w:rPr>
          <w:rFonts w:ascii="Book Antiqua" w:eastAsia="Book Antiqua" w:hAnsi="Book Antiqua" w:cs="Book Antiqua"/>
          <w:color w:val="000000"/>
        </w:rPr>
        <w:t xml:space="preserve">; </w:t>
      </w:r>
      <w:r w:rsidR="007A7AA8">
        <w:rPr>
          <w:rFonts w:ascii="Book Antiqua" w:eastAsia="Book Antiqua" w:hAnsi="Book Antiqua" w:cs="Book Antiqua"/>
          <w:color w:val="000000"/>
        </w:rPr>
        <w:t>A</w:t>
      </w:r>
      <w:r w:rsidRPr="003F7B7C">
        <w:rPr>
          <w:rFonts w:ascii="Book Antiqua" w:eastAsia="Book Antiqua" w:hAnsi="Book Antiqua" w:cs="Book Antiqua"/>
          <w:color w:val="000000"/>
        </w:rPr>
        <w:t>ll authors read and approved the final manuscript.</w:t>
      </w:r>
    </w:p>
    <w:p w14:paraId="045E7C01" w14:textId="77777777" w:rsidR="00A77B3E" w:rsidRPr="003F7B7C" w:rsidRDefault="00A77B3E" w:rsidP="003F7B7C">
      <w:pPr>
        <w:spacing w:line="360" w:lineRule="auto"/>
        <w:jc w:val="both"/>
        <w:rPr>
          <w:rFonts w:ascii="Book Antiqua" w:hAnsi="Book Antiqua"/>
        </w:rPr>
      </w:pPr>
    </w:p>
    <w:p w14:paraId="37C7E22B" w14:textId="6FD08830"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Corresponding author: Li</w:t>
      </w:r>
      <w:r w:rsidR="00044923" w:rsidRPr="003F7B7C">
        <w:rPr>
          <w:rFonts w:ascii="Book Antiqua" w:eastAsia="Book Antiqua" w:hAnsi="Book Antiqua" w:cs="Book Antiqua"/>
          <w:b/>
          <w:bCs/>
          <w:color w:val="000000"/>
        </w:rPr>
        <w:t>-H</w:t>
      </w:r>
      <w:r w:rsidRPr="003F7B7C">
        <w:rPr>
          <w:rFonts w:ascii="Book Antiqua" w:eastAsia="Book Antiqua" w:hAnsi="Book Antiqua" w:cs="Book Antiqua"/>
          <w:b/>
          <w:bCs/>
          <w:color w:val="000000"/>
        </w:rPr>
        <w:t xml:space="preserve">ua Wang, MS, </w:t>
      </w:r>
      <w:r w:rsidRPr="003F7B7C">
        <w:rPr>
          <w:rFonts w:ascii="Book Antiqua" w:eastAsia="Book Antiqua" w:hAnsi="Book Antiqua" w:cs="Book Antiqua"/>
          <w:color w:val="000000"/>
        </w:rPr>
        <w:t xml:space="preserve">Department of Dermatology, Jinan Central Hospital, Cheeloo College of Medicine, Shandong University, </w:t>
      </w:r>
      <w:r w:rsidR="005C189C" w:rsidRPr="003F7B7C">
        <w:rPr>
          <w:rFonts w:ascii="Book Antiqua" w:eastAsia="Book Antiqua" w:hAnsi="Book Antiqua" w:cs="Book Antiqua"/>
          <w:color w:val="000000"/>
        </w:rPr>
        <w:t>No. 105 Jiefang Road, Lixia District,</w:t>
      </w:r>
      <w:r w:rsidR="00044923"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 xml:space="preserve">Jinan 250013, </w:t>
      </w:r>
      <w:r w:rsidR="00593BEC" w:rsidRPr="003F7B7C">
        <w:rPr>
          <w:rFonts w:ascii="Book Antiqua" w:eastAsia="Book Antiqua" w:hAnsi="Book Antiqua" w:cs="Book Antiqua"/>
          <w:color w:val="000000"/>
        </w:rPr>
        <w:t>Province,</w:t>
      </w:r>
      <w:r w:rsidR="00384595"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China. 15318816237@163.com</w:t>
      </w:r>
    </w:p>
    <w:p w14:paraId="0A3C611E" w14:textId="77777777" w:rsidR="00A77B3E" w:rsidRPr="003F7B7C" w:rsidRDefault="00A77B3E" w:rsidP="003F7B7C">
      <w:pPr>
        <w:spacing w:line="360" w:lineRule="auto"/>
        <w:jc w:val="both"/>
        <w:rPr>
          <w:rFonts w:ascii="Book Antiqua" w:hAnsi="Book Antiqua"/>
        </w:rPr>
      </w:pPr>
    </w:p>
    <w:p w14:paraId="4966790A"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 xml:space="preserve">Received: </w:t>
      </w:r>
      <w:r w:rsidRPr="003F7B7C">
        <w:rPr>
          <w:rFonts w:ascii="Book Antiqua" w:eastAsia="Book Antiqua" w:hAnsi="Book Antiqua" w:cs="Book Antiqua"/>
          <w:color w:val="000000"/>
        </w:rPr>
        <w:t>June 20, 2021</w:t>
      </w:r>
    </w:p>
    <w:p w14:paraId="7B3E56DC" w14:textId="1763D27D"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 xml:space="preserve">Revised: </w:t>
      </w:r>
      <w:r w:rsidR="00044923" w:rsidRPr="003F7B7C">
        <w:rPr>
          <w:rFonts w:ascii="Book Antiqua" w:eastAsia="Book Antiqua" w:hAnsi="Book Antiqua" w:cs="Book Antiqua"/>
          <w:color w:val="000000"/>
        </w:rPr>
        <w:t>August 14, 2021</w:t>
      </w:r>
    </w:p>
    <w:p w14:paraId="21973B26" w14:textId="2D3B9C64"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 xml:space="preserve">Accepted: </w:t>
      </w:r>
      <w:r w:rsidR="0042680C" w:rsidRPr="003F7B7C">
        <w:rPr>
          <w:rFonts w:ascii="Book Antiqua" w:eastAsia="Book Antiqua" w:hAnsi="Book Antiqua" w:cs="Book Antiqua"/>
          <w:color w:val="000000"/>
        </w:rPr>
        <w:t>September 16, 2021</w:t>
      </w:r>
    </w:p>
    <w:p w14:paraId="41C4D2C8"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 xml:space="preserve">Published online: </w:t>
      </w:r>
    </w:p>
    <w:p w14:paraId="36D7226A" w14:textId="77777777" w:rsidR="00A77B3E" w:rsidRPr="003F7B7C" w:rsidRDefault="00A77B3E" w:rsidP="003F7B7C">
      <w:pPr>
        <w:spacing w:line="360" w:lineRule="auto"/>
        <w:jc w:val="both"/>
        <w:rPr>
          <w:rFonts w:ascii="Book Antiqua" w:hAnsi="Book Antiqua"/>
        </w:rPr>
        <w:sectPr w:rsidR="00A77B3E" w:rsidRPr="003F7B7C" w:rsidSect="003F7B7C">
          <w:footerReference w:type="default" r:id="rId6"/>
          <w:pgSz w:w="12240" w:h="15840"/>
          <w:pgMar w:top="1440" w:right="1440" w:bottom="1440" w:left="1440" w:header="720" w:footer="720" w:gutter="0"/>
          <w:cols w:space="720"/>
          <w:docGrid w:linePitch="360"/>
        </w:sectPr>
      </w:pPr>
    </w:p>
    <w:p w14:paraId="76501B97"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lastRenderedPageBreak/>
        <w:t>Abstract</w:t>
      </w:r>
    </w:p>
    <w:p w14:paraId="7A3F5CF3"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BACKGROUND</w:t>
      </w:r>
    </w:p>
    <w:p w14:paraId="6BDDC219" w14:textId="77777777" w:rsidR="00A77B3E" w:rsidRPr="003F7B7C" w:rsidRDefault="005430EF" w:rsidP="003F7B7C">
      <w:pPr>
        <w:spacing w:line="360" w:lineRule="auto"/>
        <w:jc w:val="both"/>
        <w:rPr>
          <w:rFonts w:ascii="Book Antiqua" w:hAnsi="Book Antiqua"/>
        </w:rPr>
      </w:pPr>
      <w:bookmarkStart w:id="0" w:name="_Hlk82105019"/>
      <w:r w:rsidRPr="003F7B7C">
        <w:rPr>
          <w:rFonts w:ascii="Book Antiqua" w:eastAsia="Book Antiqua" w:hAnsi="Book Antiqua" w:cs="Book Antiqua"/>
          <w:color w:val="000000"/>
        </w:rPr>
        <w:t>Langerhans cell sarcoma</w:t>
      </w:r>
      <w:bookmarkEnd w:id="0"/>
      <w:r w:rsidRPr="003F7B7C">
        <w:rPr>
          <w:rFonts w:ascii="Book Antiqua" w:eastAsia="Book Antiqua" w:hAnsi="Book Antiqua" w:cs="Book Antiqua"/>
          <w:color w:val="000000"/>
        </w:rPr>
        <w:t xml:space="preserve"> (LCS) is a rare malignancy with poor prognosis. LCS and </w:t>
      </w:r>
      <w:bookmarkStart w:id="1" w:name="_Hlk82104992"/>
      <w:r w:rsidRPr="003F7B7C">
        <w:rPr>
          <w:rFonts w:ascii="Book Antiqua" w:eastAsia="Book Antiqua" w:hAnsi="Book Antiqua" w:cs="Book Antiqua"/>
          <w:color w:val="000000"/>
        </w:rPr>
        <w:t>chronic lymphocytic leukemia (CLL)/small lymphocytic lymphoma (SLL)</w:t>
      </w:r>
      <w:bookmarkEnd w:id="1"/>
      <w:r w:rsidRPr="003F7B7C">
        <w:rPr>
          <w:rFonts w:ascii="Book Antiqua" w:eastAsia="Book Antiqua" w:hAnsi="Book Antiqua" w:cs="Book Antiqua"/>
          <w:color w:val="000000"/>
        </w:rPr>
        <w:t xml:space="preserve"> can occur in the same diseased tissues, such as lymph nodes or skin. </w:t>
      </w:r>
    </w:p>
    <w:p w14:paraId="356C219C" w14:textId="77777777" w:rsidR="00A77B3E" w:rsidRPr="003F7B7C" w:rsidRDefault="00A77B3E" w:rsidP="003F7B7C">
      <w:pPr>
        <w:spacing w:line="360" w:lineRule="auto"/>
        <w:jc w:val="both"/>
        <w:rPr>
          <w:rFonts w:ascii="Book Antiqua" w:hAnsi="Book Antiqua"/>
        </w:rPr>
      </w:pPr>
    </w:p>
    <w:p w14:paraId="10522023"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CASE SUMMARY</w:t>
      </w:r>
    </w:p>
    <w:p w14:paraId="39A7969D" w14:textId="3A345B39"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A 48-year-old female Han Chinese patient was admitted for generalized lymph node enlargement for 6 years and abdominal distension for 1 wk. She was diagnosed with small B-cell lymphoma (stage IV)/CLL (Benet stage B) and received chemotherapy. She started oral ibrutinib in February 2019. She was hospitalized on June 11, 2019, and a 1.5</w:t>
      </w:r>
      <w:r w:rsidR="00044923" w:rsidRPr="003F7B7C">
        <w:rPr>
          <w:rFonts w:ascii="Book Antiqua" w:eastAsia="Book Antiqua" w:hAnsi="Book Antiqua" w:cs="Book Antiqua"/>
          <w:color w:val="000000"/>
        </w:rPr>
        <w:t xml:space="preserve"> cm </w:t>
      </w:r>
      <w:r w:rsidRPr="003F7B7C">
        <w:rPr>
          <w:rFonts w:ascii="Book Antiqua" w:eastAsia="Book Antiqua" w:hAnsi="Book Antiqua" w:cs="Book Antiqua"/>
          <w:color w:val="000000"/>
        </w:rPr>
        <w:t>×</w:t>
      </w:r>
      <w:r w:rsidR="00044923"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 xml:space="preserve">1.5 cm dark-red nodule with ulceration scalp lesion was found. Biopsy revealed LCS but without CLL/SLL. She was diagnosed with CLL/SLL (Binet stage C, Rai stage IV) accompanied by secondary histiocytic sarcomas and skin LCS and received </w:t>
      </w:r>
      <w:r w:rsidR="00A16B4B">
        <w:rPr>
          <w:rFonts w:ascii="Book Antiqua" w:eastAsia="Book Antiqua" w:hAnsi="Book Antiqua" w:cs="Book Antiqua"/>
          <w:color w:val="000000"/>
        </w:rPr>
        <w:t xml:space="preserve">cyclophosphamide, doxorubicin, vincristine, </w:t>
      </w:r>
      <w:r w:rsidR="004D773D">
        <w:rPr>
          <w:rFonts w:ascii="Book Antiqua" w:eastAsia="Book Antiqua" w:hAnsi="Book Antiqua" w:cs="Book Antiqua"/>
          <w:color w:val="000000"/>
        </w:rPr>
        <w:t>dexamethasone</w:t>
      </w:r>
      <w:r w:rsidR="00A16B4B">
        <w:rPr>
          <w:rFonts w:ascii="Book Antiqua" w:eastAsia="Book Antiqua" w:hAnsi="Book Antiqua" w:cs="Book Antiqua"/>
          <w:color w:val="000000"/>
        </w:rPr>
        <w:t>, and etoposide</w:t>
      </w:r>
      <w:r w:rsidRPr="003F7B7C">
        <w:rPr>
          <w:rFonts w:ascii="Book Antiqua" w:eastAsia="Book Antiqua" w:hAnsi="Book Antiqua" w:cs="Book Antiqua"/>
          <w:color w:val="000000"/>
        </w:rPr>
        <w:t xml:space="preserve"> but developed severe cytopenia. She ultimately refused treatments and discharged spontaneously. She died on September 12, 2019. The literature review showed that in patients with CLL/SLL, skin lesions of LCS are accompanied by CLL/SLL. This patient was different from the previously reported cases of skin LCS in patients with CLL/SLL.</w:t>
      </w:r>
    </w:p>
    <w:p w14:paraId="6D49CBD7" w14:textId="77777777" w:rsidR="00A77B3E" w:rsidRPr="003F7B7C" w:rsidRDefault="00A77B3E" w:rsidP="003F7B7C">
      <w:pPr>
        <w:spacing w:line="360" w:lineRule="auto"/>
        <w:jc w:val="both"/>
        <w:rPr>
          <w:rFonts w:ascii="Book Antiqua" w:hAnsi="Book Antiqua"/>
        </w:rPr>
      </w:pPr>
    </w:p>
    <w:p w14:paraId="431DE9E5"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CONCLUSION</w:t>
      </w:r>
    </w:p>
    <w:p w14:paraId="6DA2DA85"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In this patient, the skin lesion of LCS showed no concomitant CLL/SLL.</w:t>
      </w:r>
    </w:p>
    <w:p w14:paraId="1BA6027A" w14:textId="77777777" w:rsidR="00A77B3E" w:rsidRPr="003F7B7C" w:rsidRDefault="00A77B3E" w:rsidP="003F7B7C">
      <w:pPr>
        <w:spacing w:line="360" w:lineRule="auto"/>
        <w:jc w:val="both"/>
        <w:rPr>
          <w:rFonts w:ascii="Book Antiqua" w:hAnsi="Book Antiqua"/>
        </w:rPr>
      </w:pPr>
    </w:p>
    <w:p w14:paraId="4AB9B3FF" w14:textId="5C39A444"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 xml:space="preserve">Key Words: </w:t>
      </w:r>
      <w:r w:rsidR="00044923" w:rsidRPr="003F7B7C">
        <w:rPr>
          <w:rFonts w:ascii="Book Antiqua" w:eastAsia="Book Antiqua" w:hAnsi="Book Antiqua" w:cs="Book Antiqua"/>
          <w:color w:val="000000"/>
        </w:rPr>
        <w:t>S</w:t>
      </w:r>
      <w:r w:rsidRPr="003F7B7C">
        <w:rPr>
          <w:rFonts w:ascii="Book Antiqua" w:eastAsia="Book Antiqua" w:hAnsi="Book Antiqua" w:cs="Book Antiqua"/>
          <w:color w:val="000000"/>
        </w:rPr>
        <w:t xml:space="preserve">kin; Langerhans cell sarcomas; </w:t>
      </w:r>
      <w:r w:rsidR="00044923" w:rsidRPr="003F7B7C">
        <w:rPr>
          <w:rFonts w:ascii="Book Antiqua" w:eastAsia="Book Antiqua" w:hAnsi="Book Antiqua" w:cs="Book Antiqua"/>
          <w:color w:val="000000"/>
        </w:rPr>
        <w:t>C</w:t>
      </w:r>
      <w:r w:rsidRPr="003F7B7C">
        <w:rPr>
          <w:rFonts w:ascii="Book Antiqua" w:eastAsia="Book Antiqua" w:hAnsi="Book Antiqua" w:cs="Book Antiqua"/>
          <w:color w:val="000000"/>
        </w:rPr>
        <w:t xml:space="preserve">hronic lymphocytic leukemia/small lymphocytic lymphoma; </w:t>
      </w:r>
      <w:r w:rsidR="00044923" w:rsidRPr="003F7B7C">
        <w:rPr>
          <w:rFonts w:ascii="Book Antiqua" w:eastAsia="Book Antiqua" w:hAnsi="Book Antiqua" w:cs="Book Antiqua"/>
          <w:color w:val="000000"/>
        </w:rPr>
        <w:t>I</w:t>
      </w:r>
      <w:r w:rsidRPr="003F7B7C">
        <w:rPr>
          <w:rFonts w:ascii="Book Antiqua" w:eastAsia="Book Antiqua" w:hAnsi="Book Antiqua" w:cs="Book Antiqua"/>
          <w:color w:val="000000"/>
        </w:rPr>
        <w:t>brutinib</w:t>
      </w:r>
      <w:r w:rsidR="00511644" w:rsidRPr="003F7B7C">
        <w:rPr>
          <w:rFonts w:ascii="Book Antiqua" w:eastAsia="Book Antiqua" w:hAnsi="Book Antiqua" w:cs="Book Antiqua"/>
          <w:color w:val="000000"/>
        </w:rPr>
        <w:t>; Case report</w:t>
      </w:r>
    </w:p>
    <w:p w14:paraId="513B27E2" w14:textId="77777777" w:rsidR="00A77B3E" w:rsidRPr="003F7B7C" w:rsidRDefault="00A77B3E" w:rsidP="003F7B7C">
      <w:pPr>
        <w:spacing w:line="360" w:lineRule="auto"/>
        <w:jc w:val="both"/>
        <w:rPr>
          <w:rFonts w:ascii="Book Antiqua" w:hAnsi="Book Antiqua"/>
        </w:rPr>
      </w:pPr>
    </w:p>
    <w:p w14:paraId="6575F8AB" w14:textId="4123338E"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Li S</w:t>
      </w:r>
      <w:r w:rsidR="00044923" w:rsidRPr="003F7B7C">
        <w:rPr>
          <w:rFonts w:ascii="Book Antiqua" w:eastAsia="Book Antiqua" w:hAnsi="Book Antiqua" w:cs="Book Antiqua"/>
          <w:color w:val="000000"/>
        </w:rPr>
        <w:t>Y</w:t>
      </w:r>
      <w:r w:rsidRPr="003F7B7C">
        <w:rPr>
          <w:rFonts w:ascii="Book Antiqua" w:eastAsia="Book Antiqua" w:hAnsi="Book Antiqua" w:cs="Book Antiqua"/>
          <w:color w:val="000000"/>
        </w:rPr>
        <w:t>, Wang Y, Wang L</w:t>
      </w:r>
      <w:r w:rsidR="00044923" w:rsidRPr="003F7B7C">
        <w:rPr>
          <w:rFonts w:ascii="Book Antiqua" w:eastAsia="Book Antiqua" w:hAnsi="Book Antiqua" w:cs="Book Antiqua"/>
          <w:color w:val="000000"/>
        </w:rPr>
        <w:t>H</w:t>
      </w:r>
      <w:r w:rsidRPr="003F7B7C">
        <w:rPr>
          <w:rFonts w:ascii="Book Antiqua" w:eastAsia="Book Antiqua" w:hAnsi="Book Antiqua" w:cs="Book Antiqua"/>
          <w:color w:val="000000"/>
        </w:rPr>
        <w:t xml:space="preserve">. Chronic lymphocytic leukemia/small lymphocytic lymphoma complicated with skin Langerhans cell sarcoma: A case report. </w:t>
      </w:r>
      <w:r w:rsidRPr="003F7B7C">
        <w:rPr>
          <w:rFonts w:ascii="Book Antiqua" w:eastAsia="Book Antiqua" w:hAnsi="Book Antiqua" w:cs="Book Antiqua"/>
          <w:i/>
          <w:iCs/>
          <w:color w:val="000000"/>
        </w:rPr>
        <w:t>World J Clin Cases</w:t>
      </w:r>
      <w:r w:rsidRPr="003F7B7C">
        <w:rPr>
          <w:rFonts w:ascii="Book Antiqua" w:eastAsia="Book Antiqua" w:hAnsi="Book Antiqua" w:cs="Book Antiqua"/>
          <w:color w:val="000000"/>
        </w:rPr>
        <w:t xml:space="preserve"> 2021; In press</w:t>
      </w:r>
    </w:p>
    <w:p w14:paraId="79D1A3B7" w14:textId="77777777" w:rsidR="00A77B3E" w:rsidRPr="003F7B7C" w:rsidRDefault="00A77B3E" w:rsidP="003F7B7C">
      <w:pPr>
        <w:spacing w:line="360" w:lineRule="auto"/>
        <w:jc w:val="both"/>
        <w:rPr>
          <w:rFonts w:ascii="Book Antiqua" w:hAnsi="Book Antiqua"/>
        </w:rPr>
      </w:pPr>
    </w:p>
    <w:p w14:paraId="7A829D63" w14:textId="3A97AA25" w:rsidR="00044923" w:rsidRPr="003F7B7C" w:rsidRDefault="005430EF"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b/>
          <w:bCs/>
          <w:color w:val="000000"/>
        </w:rPr>
        <w:lastRenderedPageBreak/>
        <w:t xml:space="preserve">Core Tip: </w:t>
      </w:r>
      <w:r w:rsidR="00044923" w:rsidRPr="003F7B7C">
        <w:rPr>
          <w:rFonts w:ascii="Book Antiqua" w:eastAsia="Book Antiqua" w:hAnsi="Book Antiqua" w:cs="Book Antiqua"/>
          <w:color w:val="000000"/>
        </w:rPr>
        <w:t>Langerhans cell sarcoma (</w:t>
      </w:r>
      <w:r w:rsidRPr="003F7B7C">
        <w:rPr>
          <w:rFonts w:ascii="Book Antiqua" w:eastAsia="Book Antiqua" w:hAnsi="Book Antiqua" w:cs="Book Antiqua"/>
          <w:color w:val="000000"/>
        </w:rPr>
        <w:t>LCS</w:t>
      </w:r>
      <w:r w:rsidR="00044923"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is a rare Langerhans cell malignant tumor with a poor prognosis. </w:t>
      </w:r>
      <w:r w:rsidR="00044923" w:rsidRPr="003F7B7C">
        <w:rPr>
          <w:rFonts w:ascii="Book Antiqua" w:eastAsia="Book Antiqua" w:hAnsi="Book Antiqua" w:cs="Book Antiqua"/>
          <w:color w:val="000000"/>
        </w:rPr>
        <w:t>Chronic lymphocytic leukemia (</w:t>
      </w:r>
      <w:r w:rsidRPr="003F7B7C">
        <w:rPr>
          <w:rFonts w:ascii="Book Antiqua" w:eastAsia="Book Antiqua" w:hAnsi="Book Antiqua" w:cs="Book Antiqua"/>
          <w:color w:val="000000"/>
        </w:rPr>
        <w:t>CLL</w:t>
      </w:r>
      <w:r w:rsidR="00044923"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is a hematologic malignancy. We report a patient with a history of CLL/</w:t>
      </w:r>
      <w:r w:rsidR="00044923" w:rsidRPr="003F7B7C">
        <w:rPr>
          <w:rFonts w:ascii="Book Antiqua" w:eastAsia="Book Antiqua" w:hAnsi="Book Antiqua" w:cs="Book Antiqua"/>
          <w:color w:val="000000"/>
        </w:rPr>
        <w:t xml:space="preserve">small lymphocytic lymphoma </w:t>
      </w:r>
      <w:r w:rsidRPr="003F7B7C">
        <w:rPr>
          <w:rFonts w:ascii="Book Antiqua" w:eastAsia="Book Antiqua" w:hAnsi="Book Antiqua" w:cs="Book Antiqua"/>
          <w:color w:val="000000"/>
        </w:rPr>
        <w:t>diagnosed with cutaneous LCS by skin biopsy</w:t>
      </w:r>
      <w:r w:rsidR="00607658">
        <w:rPr>
          <w:rFonts w:ascii="Book Antiqua" w:eastAsia="Book Antiqua" w:hAnsi="Book Antiqua" w:cs="Book Antiqua"/>
          <w:color w:val="000000"/>
        </w:rPr>
        <w:t xml:space="preserve"> that</w:t>
      </w:r>
      <w:r w:rsidRPr="003F7B7C">
        <w:rPr>
          <w:rFonts w:ascii="Book Antiqua" w:eastAsia="Book Antiqua" w:hAnsi="Book Antiqua" w:cs="Book Antiqua"/>
          <w:color w:val="000000"/>
        </w:rPr>
        <w:t xml:space="preserve"> is different from previously reported cases. In the case report, LCS occurred on the skin, and there was no CLL/</w:t>
      </w:r>
      <w:r w:rsidR="00724B02" w:rsidRPr="003F7B7C">
        <w:rPr>
          <w:rFonts w:ascii="Book Antiqua" w:eastAsia="Book Antiqua" w:hAnsi="Book Antiqua" w:cs="Book Antiqua"/>
          <w:color w:val="000000"/>
        </w:rPr>
        <w:t>small lymphocytic lymphoma</w:t>
      </w:r>
      <w:r w:rsidRPr="003F7B7C">
        <w:rPr>
          <w:rFonts w:ascii="Book Antiqua" w:eastAsia="Book Antiqua" w:hAnsi="Book Antiqua" w:cs="Book Antiqua"/>
          <w:color w:val="000000"/>
        </w:rPr>
        <w:t xml:space="preserve"> in the same lesion. A possible mechanism is that ibrutinib led to the activation of a proto-oncogene that resulted in the malignant transformation of dendritic cells. Still, this hypothesis will have to be explored.</w:t>
      </w:r>
    </w:p>
    <w:p w14:paraId="54B86568" w14:textId="403BDBB9" w:rsidR="00A77B3E" w:rsidRPr="003F7B7C" w:rsidRDefault="00044923" w:rsidP="003F7B7C">
      <w:pPr>
        <w:spacing w:line="360" w:lineRule="auto"/>
        <w:jc w:val="both"/>
        <w:rPr>
          <w:rFonts w:ascii="Book Antiqua" w:hAnsi="Book Antiqua"/>
        </w:rPr>
      </w:pPr>
      <w:r w:rsidRPr="003F7B7C">
        <w:rPr>
          <w:rFonts w:ascii="Book Antiqua" w:eastAsia="Book Antiqua" w:hAnsi="Book Antiqua" w:cs="Book Antiqua"/>
          <w:color w:val="000000"/>
        </w:rPr>
        <w:br w:type="page"/>
      </w:r>
      <w:r w:rsidR="005430EF" w:rsidRPr="003F7B7C">
        <w:rPr>
          <w:rFonts w:ascii="Book Antiqua" w:eastAsia="Book Antiqua" w:hAnsi="Book Antiqua" w:cs="Book Antiqua"/>
          <w:b/>
          <w:caps/>
          <w:color w:val="000000"/>
          <w:u w:val="single"/>
        </w:rPr>
        <w:lastRenderedPageBreak/>
        <w:t>INTRODUCTION</w:t>
      </w:r>
    </w:p>
    <w:p w14:paraId="41171ED2" w14:textId="67671CDD"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Langerhans cell sarcoma (LCS) is a rare Langerhans cell malignant tumor with a poor prognosis</w:t>
      </w:r>
      <w:r w:rsidRPr="003F7B7C">
        <w:rPr>
          <w:rFonts w:ascii="Book Antiqua" w:eastAsia="Book Antiqua" w:hAnsi="Book Antiqua" w:cs="Book Antiqua"/>
          <w:color w:val="000000"/>
          <w:vertAlign w:val="superscript"/>
        </w:rPr>
        <w:t>[1,2]</w:t>
      </w:r>
      <w:r w:rsidRPr="003F7B7C">
        <w:rPr>
          <w:rFonts w:ascii="Book Antiqua" w:eastAsia="Book Antiqua" w:hAnsi="Book Antiqua" w:cs="Book Antiqua"/>
          <w:color w:val="000000"/>
        </w:rPr>
        <w:t>. LCS displays malignant tumor typical characteristics, such as rapid growth, local invasion, recurrence, and metastasis</w:t>
      </w:r>
      <w:r w:rsidRPr="003F7B7C">
        <w:rPr>
          <w:rFonts w:ascii="Book Antiqua" w:eastAsia="Book Antiqua" w:hAnsi="Book Antiqua" w:cs="Book Antiqua"/>
          <w:color w:val="000000"/>
          <w:vertAlign w:val="superscript"/>
        </w:rPr>
        <w:t>[2]</w:t>
      </w:r>
      <w:r w:rsidRPr="003F7B7C">
        <w:rPr>
          <w:rFonts w:ascii="Book Antiqua" w:eastAsia="Book Antiqua" w:hAnsi="Book Antiqua" w:cs="Book Antiqua"/>
          <w:color w:val="000000"/>
        </w:rPr>
        <w:t>. Positive immunohistochemical staining for CD1a, CD207 (Langerin), and S</w:t>
      </w:r>
      <w:r w:rsidR="00044923" w:rsidRPr="003F7B7C">
        <w:rPr>
          <w:rFonts w:ascii="Book Antiqua" w:eastAsia="Book Antiqua" w:hAnsi="Book Antiqua" w:cs="Book Antiqua"/>
          <w:color w:val="000000"/>
        </w:rPr>
        <w:t>-</w:t>
      </w:r>
      <w:r w:rsidRPr="003F7B7C">
        <w:rPr>
          <w:rFonts w:ascii="Book Antiqua" w:eastAsia="Book Antiqua" w:hAnsi="Book Antiqua" w:cs="Book Antiqua"/>
          <w:color w:val="000000"/>
        </w:rPr>
        <w:t>100 protein are confirmatory of LCS</w:t>
      </w:r>
      <w:r w:rsidRPr="003F7B7C">
        <w:rPr>
          <w:rFonts w:ascii="Book Antiqua" w:eastAsia="Book Antiqua" w:hAnsi="Book Antiqua" w:cs="Book Antiqua"/>
          <w:color w:val="000000"/>
          <w:vertAlign w:val="superscript"/>
        </w:rPr>
        <w:t>[2]</w:t>
      </w:r>
      <w:r w:rsidRPr="003F7B7C">
        <w:rPr>
          <w:rFonts w:ascii="Book Antiqua" w:eastAsia="Book Antiqua" w:hAnsi="Book Antiqua" w:cs="Book Antiqua"/>
          <w:color w:val="000000"/>
        </w:rPr>
        <w:t>. There is a lack of evidence regarding the most appropriate treatment for LCS, but chemotherapy and surgery can be used</w:t>
      </w:r>
      <w:r w:rsidRPr="003F7B7C">
        <w:rPr>
          <w:rFonts w:ascii="Book Antiqua" w:eastAsia="Book Antiqua" w:hAnsi="Book Antiqua" w:cs="Book Antiqua"/>
          <w:color w:val="000000"/>
          <w:vertAlign w:val="superscript"/>
        </w:rPr>
        <w:t>[2]</w:t>
      </w:r>
      <w:r w:rsidRPr="003F7B7C">
        <w:rPr>
          <w:rFonts w:ascii="Book Antiqua" w:eastAsia="Book Antiqua" w:hAnsi="Book Antiqua" w:cs="Book Antiqua"/>
          <w:color w:val="000000"/>
        </w:rPr>
        <w:t>. Still, the prognosis remains poor, with overall survival of 27</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4 mo and disease-free survival of 18</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4 mo</w:t>
      </w:r>
      <w:r w:rsidRPr="003F7B7C">
        <w:rPr>
          <w:rFonts w:ascii="Book Antiqua" w:eastAsia="Book Antiqua" w:hAnsi="Book Antiqua" w:cs="Book Antiqua"/>
          <w:color w:val="000000"/>
          <w:vertAlign w:val="superscript"/>
        </w:rPr>
        <w:t>[2]</w:t>
      </w:r>
      <w:r w:rsidRPr="003F7B7C">
        <w:rPr>
          <w:rFonts w:ascii="Book Antiqua" w:eastAsia="Book Antiqua" w:hAnsi="Book Antiqua" w:cs="Book Antiqua"/>
          <w:color w:val="000000"/>
        </w:rPr>
        <w:t xml:space="preserve">. </w:t>
      </w:r>
    </w:p>
    <w:p w14:paraId="2F06488A" w14:textId="79CB38CD" w:rsidR="00A77B3E" w:rsidRPr="003F7B7C" w:rsidRDefault="005430EF" w:rsidP="003F7B7C">
      <w:pPr>
        <w:spacing w:line="360" w:lineRule="auto"/>
        <w:ind w:firstLineChars="100" w:firstLine="240"/>
        <w:jc w:val="both"/>
        <w:rPr>
          <w:rFonts w:ascii="Book Antiqua" w:hAnsi="Book Antiqua"/>
        </w:rPr>
      </w:pPr>
      <w:r w:rsidRPr="003F7B7C">
        <w:rPr>
          <w:rFonts w:ascii="Book Antiqua" w:eastAsia="Book Antiqua" w:hAnsi="Book Antiqua" w:cs="Book Antiqua"/>
          <w:color w:val="000000"/>
        </w:rPr>
        <w:t>Chronic lymphocytic leukemia (CLL) is a hematologic malignancy characterized by progressive accumulation of phenotypically mature malignant B-cell lymphocytes in peripheral blood, bone marrow, and lymph nodes</w:t>
      </w:r>
      <w:r w:rsidRPr="003F7B7C">
        <w:rPr>
          <w:rFonts w:ascii="Book Antiqua" w:eastAsia="Book Antiqua" w:hAnsi="Book Antiqua" w:cs="Book Antiqua"/>
          <w:color w:val="000000"/>
          <w:vertAlign w:val="superscript"/>
        </w:rPr>
        <w:t>[3]</w:t>
      </w:r>
      <w:r w:rsidRPr="003F7B7C">
        <w:rPr>
          <w:rFonts w:ascii="Book Antiqua" w:eastAsia="Book Antiqua" w:hAnsi="Book Antiqua" w:cs="Book Antiqua"/>
          <w:color w:val="000000"/>
        </w:rPr>
        <w:t>. CLL is the most common leukemia in adults, with a reported incidence of about 4</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6 per 100000 people per year in Western countries</w:t>
      </w:r>
      <w:r w:rsidRPr="003F7B7C">
        <w:rPr>
          <w:rFonts w:ascii="Book Antiqua" w:eastAsia="Book Antiqua" w:hAnsi="Book Antiqua" w:cs="Book Antiqua"/>
          <w:color w:val="000000"/>
          <w:vertAlign w:val="superscript"/>
        </w:rPr>
        <w:t>[3]</w:t>
      </w:r>
      <w:r w:rsidRPr="003F7B7C">
        <w:rPr>
          <w:rFonts w:ascii="Book Antiqua" w:eastAsia="Book Antiqua" w:hAnsi="Book Antiqua" w:cs="Book Antiqua"/>
          <w:color w:val="000000"/>
        </w:rPr>
        <w:t>. Small lymphocytic lymphoma (SLL) is a different manifestation of the same disease as CLL, with the main difference being that abnormal lymphocytes mainly accumulate in lymph nodes and other tissues, with no evidence of cytopenia or bone marrow involvement</w:t>
      </w:r>
      <w:r w:rsidRPr="003F7B7C">
        <w:rPr>
          <w:rFonts w:ascii="Book Antiqua" w:eastAsia="Book Antiqua" w:hAnsi="Book Antiqua" w:cs="Book Antiqua"/>
          <w:color w:val="000000"/>
          <w:vertAlign w:val="superscript"/>
        </w:rPr>
        <w:t>[3]</w:t>
      </w:r>
      <w:r w:rsidRPr="003F7B7C">
        <w:rPr>
          <w:rFonts w:ascii="Book Antiqua" w:eastAsia="Book Antiqua" w:hAnsi="Book Antiqua" w:cs="Book Antiqua"/>
          <w:color w:val="000000"/>
        </w:rPr>
        <w:t>.</w:t>
      </w:r>
    </w:p>
    <w:p w14:paraId="1F199F57" w14:textId="5ACCE23C" w:rsidR="00A77B3E" w:rsidRPr="003F7B7C" w:rsidRDefault="005430EF" w:rsidP="003F7B7C">
      <w:pPr>
        <w:spacing w:line="360" w:lineRule="auto"/>
        <w:ind w:firstLineChars="100" w:firstLine="240"/>
        <w:jc w:val="both"/>
        <w:rPr>
          <w:rFonts w:ascii="Book Antiqua" w:hAnsi="Book Antiqua"/>
        </w:rPr>
      </w:pPr>
      <w:r w:rsidRPr="003F7B7C">
        <w:rPr>
          <w:rFonts w:ascii="Book Antiqua" w:eastAsia="Book Antiqua" w:hAnsi="Book Antiqua" w:cs="Book Antiqua"/>
          <w:color w:val="000000"/>
        </w:rPr>
        <w:t>LCS and CLL/SLL can occur in the same diseased tissues, such as lymph nodes or skin</w:t>
      </w:r>
      <w:r w:rsidRPr="003F7B7C">
        <w:rPr>
          <w:rFonts w:ascii="Book Antiqua" w:eastAsia="Book Antiqua" w:hAnsi="Book Antiqua" w:cs="Book Antiqua"/>
          <w:color w:val="000000"/>
          <w:vertAlign w:val="superscript"/>
        </w:rPr>
        <w:t>[4</w:t>
      </w:r>
      <w:r w:rsidR="00AA5812" w:rsidRPr="003F7B7C">
        <w:rPr>
          <w:rFonts w:ascii="Book Antiqua" w:eastAsia="Book Antiqua" w:hAnsi="Book Antiqua" w:cs="Book Antiqua"/>
          <w:color w:val="000000"/>
          <w:vertAlign w:val="superscript"/>
        </w:rPr>
        <w:t>-</w:t>
      </w:r>
      <w:r w:rsidRPr="003F7B7C">
        <w:rPr>
          <w:rFonts w:ascii="Book Antiqua" w:eastAsia="Book Antiqua" w:hAnsi="Book Antiqua" w:cs="Book Antiqua"/>
          <w:color w:val="000000"/>
          <w:vertAlign w:val="superscript"/>
        </w:rPr>
        <w:t>6]</w:t>
      </w:r>
      <w:r w:rsidRPr="003F7B7C">
        <w:rPr>
          <w:rFonts w:ascii="Book Antiqua" w:eastAsia="Book Antiqua" w:hAnsi="Book Antiqua" w:cs="Book Antiqua"/>
          <w:color w:val="000000"/>
        </w:rPr>
        <w:t>. We report a patient with a history of CLL/SLL diagnosed with cutaneous LCS by skin biopsy, but there was no CLL/SLL in the cutaneous lesion of LCS.</w:t>
      </w:r>
    </w:p>
    <w:p w14:paraId="350291D7" w14:textId="77777777" w:rsidR="00A77B3E" w:rsidRPr="003F7B7C" w:rsidRDefault="00A77B3E" w:rsidP="003F7B7C">
      <w:pPr>
        <w:spacing w:line="360" w:lineRule="auto"/>
        <w:jc w:val="both"/>
        <w:rPr>
          <w:rFonts w:ascii="Book Antiqua" w:hAnsi="Book Antiqua"/>
        </w:rPr>
      </w:pPr>
    </w:p>
    <w:p w14:paraId="3EA1B8A7"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aps/>
          <w:color w:val="000000"/>
          <w:u w:val="single"/>
        </w:rPr>
        <w:t>CASE PRESENTATION</w:t>
      </w:r>
    </w:p>
    <w:p w14:paraId="5D35A673"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i/>
          <w:color w:val="000000"/>
        </w:rPr>
        <w:t>Chief complaints</w:t>
      </w:r>
    </w:p>
    <w:p w14:paraId="6E3F6410" w14:textId="09181A3F"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A female Han Chinese patient was admitted to the Department of Hematology of Jinan Central Hospital Affiliated to Shandong University. The patient was hospitalized on June 11, 2019</w:t>
      </w:r>
      <w:r w:rsidR="002B0856">
        <w:rPr>
          <w:rFonts w:ascii="Book Antiqua" w:eastAsia="Book Antiqua" w:hAnsi="Book Antiqua" w:cs="Book Antiqua"/>
          <w:color w:val="000000"/>
        </w:rPr>
        <w:t xml:space="preserve"> for</w:t>
      </w:r>
      <w:r w:rsidRPr="003F7B7C">
        <w:rPr>
          <w:rFonts w:ascii="Book Antiqua" w:eastAsia="Book Antiqua" w:hAnsi="Book Antiqua" w:cs="Book Antiqua"/>
          <w:color w:val="000000"/>
        </w:rPr>
        <w:t xml:space="preserve"> a fourth time, and a 1.5</w:t>
      </w:r>
      <w:r w:rsidR="00AA5812" w:rsidRPr="003F7B7C">
        <w:rPr>
          <w:rFonts w:ascii="Book Antiqua" w:eastAsia="Book Antiqua" w:hAnsi="Book Antiqua" w:cs="Book Antiqua"/>
          <w:color w:val="000000"/>
        </w:rPr>
        <w:t xml:space="preserve"> cm </w:t>
      </w:r>
      <w:r w:rsidRPr="003F7B7C">
        <w:rPr>
          <w:rFonts w:ascii="Book Antiqua" w:eastAsia="Book Antiqua" w:hAnsi="Book Antiqua" w:cs="Book Antiqua"/>
          <w:color w:val="000000"/>
        </w:rPr>
        <w:t>×</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1.5 cm dark-red nodule with ulceration was found on the scalp.</w:t>
      </w:r>
    </w:p>
    <w:p w14:paraId="10EEB54C" w14:textId="77777777" w:rsidR="00A77B3E" w:rsidRPr="003F7B7C" w:rsidRDefault="00A77B3E" w:rsidP="003F7B7C">
      <w:pPr>
        <w:spacing w:line="360" w:lineRule="auto"/>
        <w:ind w:firstLine="420"/>
        <w:jc w:val="both"/>
        <w:rPr>
          <w:rFonts w:ascii="Book Antiqua" w:hAnsi="Book Antiqua"/>
        </w:rPr>
      </w:pPr>
    </w:p>
    <w:p w14:paraId="30ADE546"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i/>
          <w:color w:val="000000"/>
        </w:rPr>
        <w:t>History of present illness</w:t>
      </w:r>
    </w:p>
    <w:p w14:paraId="1A417EE8" w14:textId="25988C30"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 xml:space="preserve">The patient was hospitalized on June 11, 2019 </w:t>
      </w:r>
      <w:r w:rsidR="00DB5A85">
        <w:rPr>
          <w:rFonts w:ascii="Book Antiqua" w:eastAsia="Book Antiqua" w:hAnsi="Book Antiqua" w:cs="Book Antiqua"/>
          <w:color w:val="000000"/>
        </w:rPr>
        <w:t xml:space="preserve">for </w:t>
      </w:r>
      <w:r w:rsidRPr="003F7B7C">
        <w:rPr>
          <w:rFonts w:ascii="Book Antiqua" w:eastAsia="Book Antiqua" w:hAnsi="Book Antiqua" w:cs="Book Antiqua"/>
          <w:color w:val="000000"/>
        </w:rPr>
        <w:t xml:space="preserve">a fourth time, and a </w:t>
      </w:r>
      <w:r w:rsidR="00AA5812" w:rsidRPr="003F7B7C">
        <w:rPr>
          <w:rFonts w:ascii="Book Antiqua" w:eastAsia="Book Antiqua" w:hAnsi="Book Antiqua" w:cs="Book Antiqua"/>
          <w:color w:val="000000"/>
        </w:rPr>
        <w:t>1.5 cm × 1.5 cm</w:t>
      </w:r>
      <w:r w:rsidRPr="003F7B7C">
        <w:rPr>
          <w:rFonts w:ascii="Book Antiqua" w:eastAsia="Book Antiqua" w:hAnsi="Book Antiqua" w:cs="Book Antiqua"/>
          <w:color w:val="000000"/>
        </w:rPr>
        <w:t xml:space="preserve"> dark-red nodule with ulceration was found on the scalp</w:t>
      </w:r>
      <w:r w:rsidR="00714E42">
        <w:rPr>
          <w:rFonts w:ascii="Book Antiqua" w:eastAsia="Book Antiqua" w:hAnsi="Book Antiqua" w:cs="Book Antiqua"/>
          <w:color w:val="000000"/>
        </w:rPr>
        <w:t xml:space="preserve"> (Figure 1A)</w:t>
      </w:r>
      <w:r w:rsidRPr="003F7B7C">
        <w:rPr>
          <w:rFonts w:ascii="Book Antiqua" w:eastAsia="Book Antiqua" w:hAnsi="Book Antiqua" w:cs="Book Antiqua"/>
          <w:color w:val="000000"/>
        </w:rPr>
        <w:t>.</w:t>
      </w:r>
    </w:p>
    <w:p w14:paraId="5DAE40E7" w14:textId="77777777" w:rsidR="00A77B3E" w:rsidRPr="003F7B7C" w:rsidRDefault="005430EF" w:rsidP="003F7B7C">
      <w:pPr>
        <w:spacing w:line="360" w:lineRule="auto"/>
        <w:ind w:firstLineChars="100" w:firstLine="240"/>
        <w:jc w:val="both"/>
        <w:rPr>
          <w:rFonts w:ascii="Book Antiqua" w:hAnsi="Book Antiqua"/>
        </w:rPr>
      </w:pPr>
      <w:r w:rsidRPr="003F7B7C">
        <w:rPr>
          <w:rFonts w:ascii="Book Antiqua" w:eastAsia="Book Antiqua" w:hAnsi="Book Antiqua" w:cs="Book Antiqua"/>
          <w:color w:val="000000"/>
        </w:rPr>
        <w:lastRenderedPageBreak/>
        <w:t xml:space="preserve">Multiple enlarged subcutaneous masses appeared in the right neck 1 mo after the scalp mass, accompanied by substantial pain and dysphagia. The masses grew rapidly. </w:t>
      </w:r>
    </w:p>
    <w:p w14:paraId="00FCC7B9" w14:textId="77777777" w:rsidR="00A77B3E" w:rsidRPr="003F7B7C" w:rsidRDefault="00A77B3E" w:rsidP="003F7B7C">
      <w:pPr>
        <w:spacing w:line="360" w:lineRule="auto"/>
        <w:ind w:firstLine="420"/>
        <w:jc w:val="both"/>
        <w:rPr>
          <w:rFonts w:ascii="Book Antiqua" w:hAnsi="Book Antiqua"/>
        </w:rPr>
      </w:pPr>
    </w:p>
    <w:p w14:paraId="7C86A399"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i/>
          <w:color w:val="000000"/>
        </w:rPr>
        <w:t>History of past illness</w:t>
      </w:r>
    </w:p>
    <w:p w14:paraId="543F28E8" w14:textId="0F8CA93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A 48-year-old female Han Chinese patient was admitted to the Department of Hematology of Jinan Central Hospital Affiliated to Shandong University in May 2012 for generalized lymph node enlargement for 6 years and abdominal distension for 1 wk. On admission, physical examination showed the enlargement of multiple lymph nodes at the bilateral neck, axillary fossa, and inguinal, with varied sizes. The largest lymph node had a 3</w:t>
      </w:r>
      <w:r w:rsidR="005B3DC4">
        <w:rPr>
          <w:rFonts w:ascii="Book Antiqua" w:eastAsia="Book Antiqua" w:hAnsi="Book Antiqua" w:cs="Book Antiqua"/>
          <w:color w:val="000000"/>
        </w:rPr>
        <w:t>.0</w:t>
      </w:r>
      <w:r w:rsidR="00511644" w:rsidRPr="003F7B7C">
        <w:rPr>
          <w:rFonts w:ascii="Book Antiqua" w:eastAsia="Book Antiqua" w:hAnsi="Book Antiqua" w:cs="Book Antiqua"/>
          <w:color w:val="000000"/>
        </w:rPr>
        <w:t xml:space="preserve"> </w:t>
      </w:r>
      <w:r w:rsidR="00AA5812" w:rsidRPr="003F7B7C">
        <w:rPr>
          <w:rFonts w:ascii="Book Antiqua" w:eastAsia="Book Antiqua" w:hAnsi="Book Antiqua" w:cs="Book Antiqua"/>
          <w:color w:val="000000"/>
        </w:rPr>
        <w:t xml:space="preserve">cm </w:t>
      </w:r>
      <w:r w:rsidRPr="003F7B7C">
        <w:rPr>
          <w:rFonts w:ascii="Book Antiqua" w:eastAsia="Book Antiqua" w:hAnsi="Book Antiqua" w:cs="Book Antiqua"/>
          <w:color w:val="000000"/>
        </w:rPr>
        <w:t>×</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4</w:t>
      </w:r>
      <w:r w:rsidR="005B3DC4">
        <w:rPr>
          <w:rFonts w:ascii="Book Antiqua" w:eastAsia="Book Antiqua" w:hAnsi="Book Antiqua" w:cs="Book Antiqua"/>
          <w:color w:val="000000"/>
        </w:rPr>
        <w:t>.0</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cm size and was hard, without pain upon palpation. An abdominal mass of 15</w:t>
      </w:r>
      <w:r w:rsidR="005B3DC4">
        <w:rPr>
          <w:rFonts w:ascii="Book Antiqua" w:eastAsia="Book Antiqua" w:hAnsi="Book Antiqua" w:cs="Book Antiqua"/>
          <w:color w:val="000000"/>
        </w:rPr>
        <w:t>.0</w:t>
      </w:r>
      <w:r w:rsidR="00511644" w:rsidRPr="003F7B7C">
        <w:rPr>
          <w:rFonts w:ascii="Book Antiqua" w:eastAsia="Book Antiqua" w:hAnsi="Book Antiqua" w:cs="Book Antiqua"/>
          <w:color w:val="000000"/>
        </w:rPr>
        <w:t xml:space="preserve"> </w:t>
      </w:r>
      <w:r w:rsidR="00AA5812" w:rsidRPr="003F7B7C">
        <w:rPr>
          <w:rFonts w:ascii="Book Antiqua" w:eastAsia="Book Antiqua" w:hAnsi="Book Antiqua" w:cs="Book Antiqua"/>
          <w:color w:val="000000"/>
        </w:rPr>
        <w:t xml:space="preserve">cm </w:t>
      </w:r>
      <w:r w:rsidRPr="003F7B7C">
        <w:rPr>
          <w:rFonts w:ascii="Book Antiqua" w:eastAsia="Book Antiqua" w:hAnsi="Book Antiqua" w:cs="Book Antiqua"/>
          <w:color w:val="000000"/>
        </w:rPr>
        <w:t>×</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10</w:t>
      </w:r>
      <w:r w:rsidR="005B3DC4">
        <w:rPr>
          <w:rFonts w:ascii="Book Antiqua" w:eastAsia="Book Antiqua" w:hAnsi="Book Antiqua" w:cs="Book Antiqua"/>
          <w:color w:val="000000"/>
        </w:rPr>
        <w:t>.0</w:t>
      </w:r>
      <w:r w:rsidRPr="003F7B7C">
        <w:rPr>
          <w:rFonts w:ascii="Book Antiqua" w:eastAsia="Book Antiqua" w:hAnsi="Book Antiqua" w:cs="Book Antiqua"/>
          <w:color w:val="000000"/>
        </w:rPr>
        <w:t xml:space="preserve"> cm was found under the umbilicus, which was hard and without pain. The Murphy sign was negative (-). Abdominal ultrasound showed liver and spleen enlargement and multiple solid masses at the bilateral neck, supraclavicular fossa, axillary fossa, abdominal cavity, hepatic hilar region, inguinal, and pelvic cavity. Abdominal computed tomography confirmed the enlarged lymph nodes. Biopsy of the lymph nodes suggested small B-cell lymphoma/</w:t>
      </w:r>
      <w:r w:rsidR="00044923" w:rsidRPr="003F7B7C">
        <w:rPr>
          <w:rFonts w:ascii="Book Antiqua" w:eastAsia="Book Antiqua" w:hAnsi="Book Antiqua" w:cs="Book Antiqua"/>
          <w:color w:val="000000"/>
        </w:rPr>
        <w:t>CLL</w:t>
      </w:r>
      <w:r w:rsidRPr="003F7B7C">
        <w:rPr>
          <w:rFonts w:ascii="Book Antiqua" w:eastAsia="Book Antiqua" w:hAnsi="Book Antiqua" w:cs="Book Antiqua"/>
          <w:color w:val="000000"/>
        </w:rPr>
        <w:t>. Immunohistochemistry showed CD20 (+), CD79a (+), CD5 (+), CD23 (+), BCL-2 (+), CD3 (-), CD10 (-), BCL-6 (-), CD21 (+), CD30 (-), and Ki-67 (+,</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 xml:space="preserve">40%). Pathological examination of the bone marrow showed extremely active bone marrow hyperplasia, extensive lymphocyte proliferation, which had small cellular bodies and less cytoplasm, round or irregular cellular nuclei, fine and dense chromatin, and unclear nucleoli. Diffused distribution of granulocytes and erythrocytes, which were almost mature, was found. The number of megakaryocytes was not reduced, and they had lobulated nuclei. Reticular fiber staining showed negative results. Immunohistochemistry showed CD20 (+), CD79a (+), CD5 (+), CD23 (+), CD3 (-), and </w:t>
      </w:r>
      <w:r w:rsidR="009055BD">
        <w:rPr>
          <w:rFonts w:ascii="Book Antiqua" w:eastAsia="Book Antiqua" w:hAnsi="Book Antiqua" w:cs="Book Antiqua"/>
          <w:color w:val="000000"/>
        </w:rPr>
        <w:t>c</w:t>
      </w:r>
      <w:r w:rsidRPr="003F7B7C">
        <w:rPr>
          <w:rFonts w:ascii="Book Antiqua" w:eastAsia="Book Antiqua" w:hAnsi="Book Antiqua" w:cs="Book Antiqua"/>
          <w:color w:val="000000"/>
        </w:rPr>
        <w:t>yclin</w:t>
      </w:r>
      <w:r w:rsidR="009055BD">
        <w:rPr>
          <w:rFonts w:ascii="Book Antiqua" w:eastAsia="Book Antiqua" w:hAnsi="Book Antiqua" w:cs="Book Antiqua"/>
          <w:color w:val="000000"/>
        </w:rPr>
        <w:t xml:space="preserve"> </w:t>
      </w:r>
      <w:r w:rsidRPr="003F7B7C">
        <w:rPr>
          <w:rFonts w:ascii="Book Antiqua" w:eastAsia="Book Antiqua" w:hAnsi="Book Antiqua" w:cs="Book Antiqua"/>
          <w:color w:val="000000"/>
        </w:rPr>
        <w:t>D1 (-). These findings suggested CLL. Flow cytometry of the bone marrow showed increased monoclonal B lymphocytes (about 68% of the total cells), of which the immune</w:t>
      </w:r>
      <w:r w:rsidR="00357F1E">
        <w:rPr>
          <w:rFonts w:ascii="Book Antiqua" w:eastAsia="Book Antiqua" w:hAnsi="Book Antiqua" w:cs="Book Antiqua"/>
          <w:color w:val="000000"/>
        </w:rPr>
        <w:t xml:space="preserve"> </w:t>
      </w:r>
      <w:r w:rsidRPr="003F7B7C">
        <w:rPr>
          <w:rFonts w:ascii="Book Antiqua" w:eastAsia="Book Antiqua" w:hAnsi="Book Antiqua" w:cs="Book Antiqua"/>
          <w:color w:val="000000"/>
        </w:rPr>
        <w:t xml:space="preserve">phenotype was CD19 (+), CD20 (-), CD5 (+, some cells), CD10 (-), and CD23 (+, some cells). Restricted expression of the light chain of membrane immunoglobulin K was found, suggesting monoclonal cells. The patient was then diagnosed with small B-cell lymphoma (stage IV)/CLL (Benet stage B). The patient refused rituximab and thus </w:t>
      </w:r>
      <w:r w:rsidRPr="003F7B7C">
        <w:rPr>
          <w:rFonts w:ascii="Book Antiqua" w:eastAsia="Book Antiqua" w:hAnsi="Book Antiqua" w:cs="Book Antiqua"/>
          <w:color w:val="000000"/>
        </w:rPr>
        <w:lastRenderedPageBreak/>
        <w:t xml:space="preserve">received one cycle of the FC regimen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fludarabine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40 mg, d1; Hanhui Pharmaceutical Co. Ltd, Hangzhou, China</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 xml:space="preserve">and cyclophosphamide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0.2 g, d1</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4; Baxter Oncology Gmbh</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The superficial lymph nodes and abdominal masses reduced during treatment, and the lymphocyte count reduced from 16.19</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10</w:t>
      </w:r>
      <w:r w:rsidRPr="003F7B7C">
        <w:rPr>
          <w:rFonts w:ascii="Book Antiqua" w:eastAsia="Book Antiqua" w:hAnsi="Book Antiqua" w:cs="Book Antiqua"/>
          <w:color w:val="000000"/>
          <w:vertAlign w:val="superscript"/>
        </w:rPr>
        <w:t>9</w:t>
      </w:r>
      <w:r w:rsidRPr="003F7B7C">
        <w:rPr>
          <w:rFonts w:ascii="Book Antiqua" w:eastAsia="Book Antiqua" w:hAnsi="Book Antiqua" w:cs="Book Antiqua"/>
          <w:color w:val="000000"/>
        </w:rPr>
        <w:t>/L to 1.94</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10</w:t>
      </w:r>
      <w:r w:rsidRPr="003F7B7C">
        <w:rPr>
          <w:rFonts w:ascii="Book Antiqua" w:eastAsia="Book Antiqua" w:hAnsi="Book Antiqua" w:cs="Book Antiqua"/>
          <w:color w:val="000000"/>
          <w:vertAlign w:val="superscript"/>
        </w:rPr>
        <w:t>9</w:t>
      </w:r>
      <w:r w:rsidRPr="003F7B7C">
        <w:rPr>
          <w:rFonts w:ascii="Book Antiqua" w:eastAsia="Book Antiqua" w:hAnsi="Book Antiqua" w:cs="Book Antiqua"/>
          <w:color w:val="000000"/>
        </w:rPr>
        <w:t xml:space="preserve">/L. She then received two cycles of the FND regimen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fludarabine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50 mg, d1</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3</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mitoxantrone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10</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24 mg; Shandong Luoxin Pharmaceutical Group Co. Ltd, Shenyang, China</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and cyclophosphamide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10 mg, d1-5</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on May 31, 2012, and June 23, 2012. </w:t>
      </w:r>
    </w:p>
    <w:p w14:paraId="1611291F" w14:textId="656C251F" w:rsidR="00A77B3E" w:rsidRPr="003F7B7C" w:rsidRDefault="005430EF" w:rsidP="003F7B7C">
      <w:pPr>
        <w:spacing w:line="360" w:lineRule="auto"/>
        <w:ind w:firstLineChars="100" w:firstLine="240"/>
        <w:jc w:val="both"/>
        <w:rPr>
          <w:rFonts w:ascii="Book Antiqua" w:hAnsi="Book Antiqua"/>
        </w:rPr>
      </w:pPr>
      <w:r w:rsidRPr="003F7B7C">
        <w:rPr>
          <w:rFonts w:ascii="Book Antiqua" w:eastAsia="Book Antiqua" w:hAnsi="Book Antiqua" w:cs="Book Antiqua"/>
          <w:color w:val="000000"/>
        </w:rPr>
        <w:t xml:space="preserve">The patient was admitted to the hospital again in May 2013 for rapid enlargement of cervical lymph nodes. The diagnosis on admission was small B-cell lymphoma (stage IV)/CLL (Benet stage B). She received two cycles of FND in May and June 2013. Still, the disease progressed, and she received two cycles of R-FC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rituximab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600 mg, d0; Roche Pharma</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fludarabine</w:t>
      </w:r>
      <w:r w:rsidR="00AA5812"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40 mg, d1</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3</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and cyclophosphamide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0.3 g, d1</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3</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in July and August 2013, followed by one cycle of R-FND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rituximab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600 mg, d0</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fludarabine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40 mg, d1-</w:t>
      </w:r>
      <w:r w:rsidR="00AA5812" w:rsidRPr="003F7B7C">
        <w:rPr>
          <w:rFonts w:ascii="Book Antiqua" w:eastAsia="Book Antiqua" w:hAnsi="Book Antiqua" w:cs="Book Antiqua"/>
          <w:color w:val="000000"/>
        </w:rPr>
        <w:t>5)</w:t>
      </w:r>
      <w:r w:rsidRPr="003F7B7C">
        <w:rPr>
          <w:rFonts w:ascii="Book Antiqua" w:eastAsia="Book Antiqua" w:hAnsi="Book Antiqua" w:cs="Book Antiqua"/>
          <w:color w:val="000000"/>
        </w:rPr>
        <w:t xml:space="preserve">, mitoxantrone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16 mg, d1</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and dexamethasone </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20 mg, d1-5</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in September 2013. She received gemcitabine (1.4 g d1, d8), oxaliplatin (150 mg d1), and dexamethasone (20 mg dl</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4, d8</w:t>
      </w:r>
      <w:r w:rsidR="00AA5812"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11) in November 2013 due to disease progression. </w:t>
      </w:r>
    </w:p>
    <w:p w14:paraId="2B633FC3" w14:textId="3572F89F" w:rsidR="00A77B3E" w:rsidRPr="003F7B7C" w:rsidRDefault="005430EF" w:rsidP="003F7B7C">
      <w:pPr>
        <w:spacing w:line="360" w:lineRule="auto"/>
        <w:ind w:firstLineChars="100" w:firstLine="240"/>
        <w:jc w:val="both"/>
        <w:rPr>
          <w:rFonts w:ascii="Book Antiqua" w:hAnsi="Book Antiqua"/>
        </w:rPr>
      </w:pPr>
      <w:r w:rsidRPr="003F7B7C">
        <w:rPr>
          <w:rFonts w:ascii="Book Antiqua" w:eastAsia="Book Antiqua" w:hAnsi="Book Antiqua" w:cs="Book Antiqua"/>
          <w:color w:val="000000"/>
        </w:rPr>
        <w:t xml:space="preserve">The patient was hospitalized in February 2018 a third time for evident weakness and generalized lymph node enlargement. The evaluation suggested CLL/SLL stage C and Rai stage IV, which was a high-risk type. High-dose methylprednisolone (0.5 g × 3 d) and gamma globulin (5.0 g × 4 d) was given and followed by R-FC chemotherapy. After six cycles, she was in partial remission. The patient was hospitalized again on February 23, 2019 for generalized lymph node enlargement. The whole abdomen enhanced </w:t>
      </w:r>
      <w:r w:rsidR="005B3DC4" w:rsidRPr="003F7B7C">
        <w:rPr>
          <w:rFonts w:ascii="Book Antiqua" w:eastAsia="Book Antiqua" w:hAnsi="Book Antiqua" w:cs="Book Antiqua"/>
          <w:color w:val="000000"/>
        </w:rPr>
        <w:t>computed tomography</w:t>
      </w:r>
      <w:r w:rsidRPr="003F7B7C">
        <w:rPr>
          <w:rFonts w:ascii="Book Antiqua" w:eastAsia="Book Antiqua" w:hAnsi="Book Antiqua" w:cs="Book Antiqua"/>
          <w:color w:val="000000"/>
        </w:rPr>
        <w:t xml:space="preserve"> showed multiple enlarged lymph nodes in the neck, chest, and pelvic cavity. Oral ibrutinib (0.42 g, once per day; Catalent CTS LLC) was given, and the lymph nodes diminished in size.</w:t>
      </w:r>
    </w:p>
    <w:p w14:paraId="1991E9D8" w14:textId="77777777" w:rsidR="00A77B3E" w:rsidRPr="003F7B7C" w:rsidRDefault="00A77B3E" w:rsidP="003F7B7C">
      <w:pPr>
        <w:spacing w:line="360" w:lineRule="auto"/>
        <w:ind w:firstLine="420"/>
        <w:jc w:val="both"/>
        <w:rPr>
          <w:rFonts w:ascii="Book Antiqua" w:hAnsi="Book Antiqua"/>
        </w:rPr>
      </w:pPr>
    </w:p>
    <w:p w14:paraId="0DC4BA52"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i/>
          <w:color w:val="000000"/>
        </w:rPr>
        <w:t>Personal and family history</w:t>
      </w:r>
    </w:p>
    <w:p w14:paraId="4F2C8DC4" w14:textId="4839C55C" w:rsidR="00A77B3E" w:rsidRPr="003F7B7C" w:rsidRDefault="00AA5812" w:rsidP="003F7B7C">
      <w:pPr>
        <w:spacing w:line="360" w:lineRule="auto"/>
        <w:jc w:val="both"/>
        <w:rPr>
          <w:rFonts w:ascii="Book Antiqua" w:hAnsi="Book Antiqua"/>
        </w:rPr>
      </w:pPr>
      <w:r w:rsidRPr="003F7B7C">
        <w:rPr>
          <w:rFonts w:ascii="Book Antiqua" w:eastAsia="Book Antiqua" w:hAnsi="Book Antiqua" w:cs="Book Antiqua"/>
          <w:color w:val="000000"/>
        </w:rPr>
        <w:t>The patient ha</w:t>
      </w:r>
      <w:r w:rsidR="00A53DBF">
        <w:rPr>
          <w:rFonts w:ascii="Book Antiqua" w:eastAsia="Book Antiqua" w:hAnsi="Book Antiqua" w:cs="Book Antiqua"/>
          <w:color w:val="000000"/>
        </w:rPr>
        <w:t>d</w:t>
      </w:r>
      <w:r w:rsidRPr="003F7B7C">
        <w:rPr>
          <w:rFonts w:ascii="Book Antiqua" w:eastAsia="Book Antiqua" w:hAnsi="Book Antiqua" w:cs="Book Antiqua"/>
          <w:color w:val="000000"/>
        </w:rPr>
        <w:t xml:space="preserve"> n</w:t>
      </w:r>
      <w:r w:rsidR="005430EF" w:rsidRPr="003F7B7C">
        <w:rPr>
          <w:rFonts w:ascii="Book Antiqua" w:eastAsia="Book Antiqua" w:hAnsi="Book Antiqua" w:cs="Book Antiqua"/>
          <w:color w:val="000000"/>
        </w:rPr>
        <w:t>o</w:t>
      </w:r>
      <w:r w:rsidRPr="003F7B7C">
        <w:rPr>
          <w:rFonts w:ascii="Book Antiqua" w:eastAsia="Book Antiqua" w:hAnsi="Book Antiqua" w:cs="Book Antiqua"/>
          <w:color w:val="000000"/>
        </w:rPr>
        <w:t xml:space="preserve"> history</w:t>
      </w:r>
      <w:r w:rsidR="005430EF" w:rsidRPr="003F7B7C">
        <w:rPr>
          <w:rFonts w:ascii="Book Antiqua" w:eastAsia="Book Antiqua" w:hAnsi="Book Antiqua" w:cs="Book Antiqua"/>
          <w:color w:val="000000"/>
        </w:rPr>
        <w:t>.</w:t>
      </w:r>
    </w:p>
    <w:p w14:paraId="7B4777F5" w14:textId="77777777" w:rsidR="00A77B3E" w:rsidRPr="003F7B7C" w:rsidRDefault="00A77B3E" w:rsidP="003F7B7C">
      <w:pPr>
        <w:spacing w:line="360" w:lineRule="auto"/>
        <w:jc w:val="both"/>
        <w:rPr>
          <w:rFonts w:ascii="Book Antiqua" w:hAnsi="Book Antiqua"/>
        </w:rPr>
      </w:pPr>
    </w:p>
    <w:p w14:paraId="7FD1F773"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i/>
          <w:color w:val="000000"/>
        </w:rPr>
        <w:t>Physical examination</w:t>
      </w:r>
    </w:p>
    <w:p w14:paraId="350EE3F3" w14:textId="6B553D40" w:rsidR="00A77B3E" w:rsidRPr="003F7B7C" w:rsidRDefault="00AA5812" w:rsidP="003F7B7C">
      <w:pPr>
        <w:spacing w:line="360" w:lineRule="auto"/>
        <w:jc w:val="both"/>
        <w:rPr>
          <w:rFonts w:ascii="Book Antiqua" w:hAnsi="Book Antiqua"/>
        </w:rPr>
      </w:pPr>
      <w:r w:rsidRPr="003F7B7C">
        <w:rPr>
          <w:rFonts w:ascii="Book Antiqua" w:eastAsia="Book Antiqua" w:hAnsi="Book Antiqua" w:cs="Book Antiqua"/>
          <w:color w:val="000000"/>
        </w:rPr>
        <w:lastRenderedPageBreak/>
        <w:t xml:space="preserve">There </w:t>
      </w:r>
      <w:r w:rsidR="00511644" w:rsidRPr="003F7B7C">
        <w:rPr>
          <w:rFonts w:ascii="Book Antiqua" w:eastAsia="Book Antiqua" w:hAnsi="Book Antiqua" w:cs="Book Antiqua"/>
          <w:color w:val="000000"/>
        </w:rPr>
        <w:t>was</w:t>
      </w:r>
      <w:r w:rsidRPr="003F7B7C">
        <w:rPr>
          <w:rFonts w:ascii="Book Antiqua" w:eastAsia="Book Antiqua" w:hAnsi="Book Antiqua" w:cs="Book Antiqua"/>
          <w:color w:val="000000"/>
        </w:rPr>
        <w:t xml:space="preserve"> no physical examination.</w:t>
      </w:r>
    </w:p>
    <w:p w14:paraId="174BADC8" w14:textId="77777777" w:rsidR="00A77B3E" w:rsidRPr="003F7B7C" w:rsidRDefault="00A77B3E" w:rsidP="003F7B7C">
      <w:pPr>
        <w:spacing w:line="360" w:lineRule="auto"/>
        <w:jc w:val="both"/>
        <w:rPr>
          <w:rFonts w:ascii="Book Antiqua" w:hAnsi="Book Antiqua"/>
        </w:rPr>
      </w:pPr>
    </w:p>
    <w:p w14:paraId="4D569697"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i/>
          <w:color w:val="000000"/>
        </w:rPr>
        <w:t>Laboratory examinations</w:t>
      </w:r>
    </w:p>
    <w:p w14:paraId="0DDBFCE5" w14:textId="72BCB675"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A biopsy showed epidermis absence, ulceration, dermis edema, and diffuse infiltration of tumor cells. Large amounts of large cells and multinucleated giant cell</w:t>
      </w:r>
      <w:r w:rsidR="001659B1" w:rsidRPr="003F7B7C">
        <w:rPr>
          <w:rFonts w:ascii="Book Antiqua" w:eastAsia="Book Antiqua" w:hAnsi="Book Antiqua" w:cs="Book Antiqua"/>
          <w:color w:val="000000"/>
        </w:rPr>
        <w:t>-</w:t>
      </w:r>
      <w:r w:rsidRPr="003F7B7C">
        <w:rPr>
          <w:rFonts w:ascii="Book Antiqua" w:eastAsia="Book Antiqua" w:hAnsi="Book Antiqua" w:cs="Book Antiqua"/>
          <w:color w:val="000000"/>
        </w:rPr>
        <w:t>like tumor cells were found, and pathological nuclear divisions were spotted (Figure 1B</w:t>
      </w:r>
      <w:r w:rsidR="001659B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E). Immunohistochemistry showed CD12 (+), S-100 (+), Ki-67 (+, about 30%), CD45 (+), EMA (-), CD15 (-), CK (-), MPO (-), HMB45 (-), CD68 (+, small amount), CD30 (-), CD20 (-), CD3 (-), and CD23 (-) (Figure 2). The pathological diagnosis was a high possibility of interdigitating dendritic cell sarcoma and unclassified dendritic cell tumor (grade 3). Re-examination of the bone marrow showed characteristics of bone marrow changes of CLL/SLL treatment. Flow cytometry of the bone marrow showed that about 5.98% of the cells were abnormally mature B lymphocytes, which expressed CD19 and skappa, some cells also expressed CD5, CD23, and CD200, very few cells expressed </w:t>
      </w:r>
      <w:r w:rsidR="006169C2">
        <w:rPr>
          <w:rFonts w:ascii="Book Antiqua" w:eastAsia="Book Antiqua" w:hAnsi="Book Antiqua" w:cs="Book Antiqua"/>
          <w:color w:val="000000"/>
        </w:rPr>
        <w:t>immuno</w:t>
      </w:r>
      <w:r w:rsidRPr="003F7B7C">
        <w:rPr>
          <w:rFonts w:ascii="Book Antiqua" w:eastAsia="Book Antiqua" w:hAnsi="Book Antiqua" w:cs="Book Antiqua"/>
          <w:color w:val="000000"/>
        </w:rPr>
        <w:t>g</w:t>
      </w:r>
      <w:r w:rsidR="006169C2">
        <w:rPr>
          <w:rFonts w:ascii="Book Antiqua" w:eastAsia="Book Antiqua" w:hAnsi="Book Antiqua" w:cs="Book Antiqua"/>
          <w:color w:val="000000"/>
        </w:rPr>
        <w:t xml:space="preserve">lobulin </w:t>
      </w:r>
      <w:r w:rsidRPr="003F7B7C">
        <w:rPr>
          <w:rFonts w:ascii="Book Antiqua" w:eastAsia="Book Antiqua" w:hAnsi="Book Antiqua" w:cs="Book Antiqua"/>
          <w:color w:val="000000"/>
        </w:rPr>
        <w:t>M, and no cells expressed CD10, CD20, CD22, CD34, CD79b, FMC-7, or sLambda. Pathological examination of the bone marrow showed generally normal hyperplasia</w:t>
      </w:r>
      <w:r w:rsidR="006169C2">
        <w:rPr>
          <w:rFonts w:ascii="Book Antiqua" w:eastAsia="Book Antiqua" w:hAnsi="Book Antiqua" w:cs="Book Antiqua"/>
          <w:color w:val="000000"/>
        </w:rPr>
        <w:t>;</w:t>
      </w:r>
      <w:r w:rsidRPr="003F7B7C">
        <w:rPr>
          <w:rFonts w:ascii="Book Antiqua" w:eastAsia="Book Antiqua" w:hAnsi="Book Antiqua" w:cs="Book Antiqua"/>
          <w:color w:val="000000"/>
        </w:rPr>
        <w:t xml:space="preserve"> some sites were with relatively active hyperplasia, and percentages of granulocytes and erythrocytes were normal. The granulocytes and erythrocytes were mainly dominated by cells more naïve than polychromatic or polychromatophilic cells. The number of megakaryocytes was not reduced, and they were mainly with lobulated nuclei. Lymphoid hyperplasia was found, which showed multifocal distribution, and showed reticular fiber staining (2+), CD3 (-), CD5 (+, some cells), CD20 (+), CD23 (+), CD1a (-), Mum-1 (-), CD79a (+), Ki67 (+, 30</w:t>
      </w:r>
      <w:r w:rsidRPr="003F7B7C">
        <w:rPr>
          <w:rFonts w:ascii="MS Mincho" w:eastAsia="MS Mincho" w:hAnsi="MS Mincho" w:cs="MS Mincho"/>
          <w:color w:val="000000"/>
        </w:rPr>
        <w:t>％</w:t>
      </w:r>
      <w:r w:rsidRPr="003F7B7C">
        <w:rPr>
          <w:rFonts w:ascii="Book Antiqua" w:eastAsia="Book Antiqua" w:hAnsi="Book Antiqua" w:cs="Book Antiqua"/>
          <w:color w:val="000000"/>
        </w:rPr>
        <w:t xml:space="preserve">), CD30 (-), CD10 (+, limited cells), S-100 (-), and BCL-6 (-). Findings of </w:t>
      </w:r>
      <w:r w:rsidR="00733428">
        <w:rPr>
          <w:rFonts w:ascii="Book Antiqua" w:eastAsia="Book Antiqua" w:hAnsi="Book Antiqua" w:cs="Book Antiqua"/>
          <w:color w:val="000000"/>
        </w:rPr>
        <w:t xml:space="preserve">the </w:t>
      </w:r>
      <w:r w:rsidRPr="003F7B7C">
        <w:rPr>
          <w:rFonts w:ascii="Book Antiqua" w:eastAsia="Book Antiqua" w:hAnsi="Book Antiqua" w:cs="Book Antiqua"/>
          <w:color w:val="000000"/>
        </w:rPr>
        <w:t>bone marrow examination still met the diagnosis of CLL/SLL.</w:t>
      </w:r>
    </w:p>
    <w:p w14:paraId="4B818F18" w14:textId="77CBE1A0" w:rsidR="00A77B3E" w:rsidRPr="003F7B7C" w:rsidRDefault="005430EF" w:rsidP="003F7B7C">
      <w:pPr>
        <w:spacing w:line="360" w:lineRule="auto"/>
        <w:ind w:firstLineChars="100" w:firstLine="240"/>
        <w:jc w:val="both"/>
        <w:rPr>
          <w:rFonts w:ascii="Book Antiqua" w:hAnsi="Book Antiqua"/>
        </w:rPr>
      </w:pPr>
      <w:r w:rsidRPr="003F7B7C">
        <w:rPr>
          <w:rFonts w:ascii="Book Antiqua" w:eastAsia="Book Antiqua" w:hAnsi="Book Antiqua" w:cs="Book Antiqua"/>
          <w:color w:val="000000"/>
        </w:rPr>
        <w:t xml:space="preserve">The scalp mass showed local ulceration of the skin tissues, with mixed cell proliferation and angiogenesis. Some cells were of increased sizes and rich cytoplasm, which were lightly stained and with single nuclear, double nuclei, multiple nuclei, or lobulated nuclei. Lymphocytosis was found in the cytoplasm of some cells, and relatively large amounts of sporadic lymphocytes and neutrophils were found in the background. Mucoid degeneration was found in local interstitial substance, CD1a (+), CD3 (-), CD15 </w:t>
      </w:r>
      <w:r w:rsidRPr="003F7B7C">
        <w:rPr>
          <w:rFonts w:ascii="Book Antiqua" w:eastAsia="Book Antiqua" w:hAnsi="Book Antiqua" w:cs="Book Antiqua"/>
          <w:color w:val="000000"/>
        </w:rPr>
        <w:lastRenderedPageBreak/>
        <w:t>(-), CD20 (-), CD21 (-), CD23 (-), CD30 (+, few), CD45 (+), CD68 (+), S-100 (+, small amount), CK (+, epithelium), EMA (-), Ki67 (+</w:t>
      </w:r>
      <w:r w:rsidR="001659B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 xml:space="preserve">80%), MPO (-), and HMB45 (-). In situ hybridization showed </w:t>
      </w:r>
      <w:r w:rsidR="001659B1" w:rsidRPr="003F7B7C">
        <w:rPr>
          <w:rFonts w:ascii="Book Antiqua" w:eastAsia="Book Antiqua" w:hAnsi="Book Antiqua" w:cs="Book Antiqua"/>
          <w:color w:val="000000"/>
        </w:rPr>
        <w:t>Epstein-Barr virus (</w:t>
      </w:r>
      <w:r w:rsidRPr="003F7B7C">
        <w:rPr>
          <w:rFonts w:ascii="Book Antiqua" w:eastAsia="Book Antiqua" w:hAnsi="Book Antiqua" w:cs="Book Antiqua"/>
          <w:color w:val="000000"/>
        </w:rPr>
        <w:t>EBV</w:t>
      </w:r>
      <w:r w:rsidR="001659B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-EBVR (-). The patient was diagnosed with skin LCS. A biopsy of the right neck mass showed histiocytic sarcomas</w:t>
      </w:r>
      <w:r w:rsidR="00733428">
        <w:rPr>
          <w:rFonts w:ascii="Book Antiqua" w:eastAsia="Book Antiqua" w:hAnsi="Book Antiqua" w:cs="Book Antiqua"/>
          <w:color w:val="000000"/>
        </w:rPr>
        <w:t>.</w:t>
      </w:r>
      <w:r w:rsidRPr="003F7B7C">
        <w:rPr>
          <w:rFonts w:ascii="Book Antiqua" w:eastAsia="Book Antiqua" w:hAnsi="Book Antiqua" w:cs="Book Antiqua"/>
          <w:color w:val="000000"/>
        </w:rPr>
        <w:t xml:space="preserve"> </w:t>
      </w:r>
      <w:r w:rsidR="00733428">
        <w:rPr>
          <w:rFonts w:ascii="Book Antiqua" w:eastAsia="Book Antiqua" w:hAnsi="Book Antiqua" w:cs="Book Antiqua"/>
          <w:color w:val="000000"/>
        </w:rPr>
        <w:t>S</w:t>
      </w:r>
      <w:r w:rsidRPr="003F7B7C">
        <w:rPr>
          <w:rFonts w:ascii="Book Antiqua" w:eastAsia="Book Antiqua" w:hAnsi="Book Antiqua" w:cs="Book Antiqua"/>
          <w:color w:val="000000"/>
        </w:rPr>
        <w:t xml:space="preserve">ome areas showed undifferentiated </w:t>
      </w:r>
      <w:proofErr w:type="spellStart"/>
      <w:r w:rsidRPr="003F7B7C">
        <w:rPr>
          <w:rFonts w:ascii="Book Antiqua" w:eastAsia="Book Antiqua" w:hAnsi="Book Antiqua" w:cs="Book Antiqua"/>
          <w:color w:val="000000"/>
        </w:rPr>
        <w:t>sarcomatoid</w:t>
      </w:r>
      <w:proofErr w:type="spellEnd"/>
      <w:r w:rsidRPr="003F7B7C">
        <w:rPr>
          <w:rFonts w:ascii="Book Antiqua" w:eastAsia="Book Antiqua" w:hAnsi="Book Antiqua" w:cs="Book Antiqua"/>
          <w:color w:val="000000"/>
        </w:rPr>
        <w:t xml:space="preserve"> changes and CD3 (-), C20 (-), CD68 (+), Ki-67 (+, about 15%), CD21 (-), CK (-), HMB45 (-), S-100 (-), CD1a (-), and LCA (+). The patient was then diagnosed with CLL/SLL (Binet stage C, Rai stage IV) accompanied by secondary histiocytic sarcomas and skin LCS.</w:t>
      </w:r>
    </w:p>
    <w:p w14:paraId="445B6482" w14:textId="77777777" w:rsidR="00A77B3E" w:rsidRPr="003F7B7C" w:rsidRDefault="00A77B3E" w:rsidP="003F7B7C">
      <w:pPr>
        <w:spacing w:line="360" w:lineRule="auto"/>
        <w:ind w:firstLine="420"/>
        <w:jc w:val="both"/>
        <w:rPr>
          <w:rFonts w:ascii="Book Antiqua" w:hAnsi="Book Antiqua"/>
        </w:rPr>
      </w:pPr>
    </w:p>
    <w:p w14:paraId="012BB270"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i/>
          <w:color w:val="000000"/>
        </w:rPr>
        <w:t>Imaging examinations</w:t>
      </w:r>
    </w:p>
    <w:p w14:paraId="046912B0" w14:textId="639BBB85" w:rsidR="00A77B3E" w:rsidRPr="003F7B7C" w:rsidRDefault="001659B1" w:rsidP="003F7B7C">
      <w:pPr>
        <w:spacing w:line="360" w:lineRule="auto"/>
        <w:jc w:val="both"/>
        <w:rPr>
          <w:rFonts w:ascii="Book Antiqua" w:hAnsi="Book Antiqua"/>
        </w:rPr>
      </w:pPr>
      <w:r w:rsidRPr="003F7B7C">
        <w:rPr>
          <w:rFonts w:ascii="Book Antiqua" w:eastAsia="Book Antiqua" w:hAnsi="Book Antiqua" w:cs="Book Antiqua"/>
          <w:color w:val="000000"/>
        </w:rPr>
        <w:t>There were no imaging examinations.</w:t>
      </w:r>
    </w:p>
    <w:p w14:paraId="4DFE8C8E" w14:textId="77777777" w:rsidR="00A77B3E" w:rsidRPr="003F7B7C" w:rsidRDefault="00A77B3E" w:rsidP="003F7B7C">
      <w:pPr>
        <w:spacing w:line="360" w:lineRule="auto"/>
        <w:jc w:val="both"/>
        <w:rPr>
          <w:rFonts w:ascii="Book Antiqua" w:hAnsi="Book Antiqua"/>
        </w:rPr>
      </w:pPr>
    </w:p>
    <w:p w14:paraId="396305C7"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aps/>
          <w:color w:val="000000"/>
          <w:u w:val="single"/>
        </w:rPr>
        <w:t>FINAL DIAGNOSIS</w:t>
      </w:r>
    </w:p>
    <w:p w14:paraId="26E163E2"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CLL/SLL (Binet stage C, Rai stage IV) accompanied by secondary histiocytic sarcomas and skin LCS.</w:t>
      </w:r>
    </w:p>
    <w:p w14:paraId="2FC19E9C" w14:textId="77777777" w:rsidR="00A77B3E" w:rsidRPr="003F7B7C" w:rsidRDefault="00A77B3E" w:rsidP="003F7B7C">
      <w:pPr>
        <w:spacing w:line="360" w:lineRule="auto"/>
        <w:ind w:firstLine="420"/>
        <w:jc w:val="both"/>
        <w:rPr>
          <w:rFonts w:ascii="Book Antiqua" w:hAnsi="Book Antiqua"/>
        </w:rPr>
      </w:pPr>
    </w:p>
    <w:p w14:paraId="31EE816B"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aps/>
          <w:color w:val="000000"/>
          <w:u w:val="single"/>
        </w:rPr>
        <w:t>TREATMENT</w:t>
      </w:r>
    </w:p>
    <w:p w14:paraId="25E7A8EF"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Ibrutinib (0.42 g, QD) was continued.</w:t>
      </w:r>
    </w:p>
    <w:p w14:paraId="4348A21B" w14:textId="0C868B94" w:rsidR="00A77B3E" w:rsidRPr="003F7B7C" w:rsidRDefault="005430EF" w:rsidP="003F7B7C">
      <w:pPr>
        <w:spacing w:line="360" w:lineRule="auto"/>
        <w:ind w:firstLineChars="100" w:firstLine="240"/>
        <w:jc w:val="both"/>
        <w:rPr>
          <w:rFonts w:ascii="Book Antiqua" w:hAnsi="Book Antiqua"/>
        </w:rPr>
      </w:pPr>
      <w:r w:rsidRPr="003F7B7C">
        <w:rPr>
          <w:rFonts w:ascii="Book Antiqua" w:eastAsia="Book Antiqua" w:hAnsi="Book Antiqua" w:cs="Book Antiqua"/>
          <w:color w:val="000000"/>
        </w:rPr>
        <w:t xml:space="preserve">As LCS is aggressive, the CHOP-E regimen </w:t>
      </w:r>
      <w:r w:rsidR="001659B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cyclophosphamide 1.2 g d1, </w:t>
      </w:r>
      <w:r w:rsidR="00C32141">
        <w:rPr>
          <w:rFonts w:ascii="Book Antiqua" w:eastAsia="Book Antiqua" w:hAnsi="Book Antiqua" w:cs="Book Antiqua"/>
          <w:color w:val="000000"/>
        </w:rPr>
        <w:t xml:space="preserve">doxorubicin </w:t>
      </w:r>
      <w:r w:rsidRPr="003F7B7C">
        <w:rPr>
          <w:rFonts w:ascii="Book Antiqua" w:eastAsia="Book Antiqua" w:hAnsi="Book Antiqua" w:cs="Book Antiqua"/>
          <w:color w:val="000000"/>
        </w:rPr>
        <w:t>(</w:t>
      </w:r>
      <w:proofErr w:type="spellStart"/>
      <w:r w:rsidRPr="003F7B7C">
        <w:rPr>
          <w:rFonts w:ascii="Book Antiqua" w:eastAsia="Book Antiqua" w:hAnsi="Book Antiqua" w:cs="Book Antiqua"/>
          <w:color w:val="000000"/>
        </w:rPr>
        <w:t>Wanle</w:t>
      </w:r>
      <w:proofErr w:type="spellEnd"/>
      <w:r w:rsidRPr="003F7B7C">
        <w:rPr>
          <w:rFonts w:ascii="Book Antiqua" w:eastAsia="Book Antiqua" w:hAnsi="Book Antiqua" w:cs="Book Antiqua"/>
          <w:color w:val="000000"/>
        </w:rPr>
        <w:t xml:space="preserve"> Pharmaceutical Co. Ltd, Shenzhen) 80 mg d1, vin</w:t>
      </w:r>
      <w:r w:rsidR="00C32141">
        <w:rPr>
          <w:rFonts w:ascii="Book Antiqua" w:eastAsia="Book Antiqua" w:hAnsi="Book Antiqua" w:cs="Book Antiqua"/>
          <w:color w:val="000000"/>
        </w:rPr>
        <w:t>cristine</w:t>
      </w:r>
      <w:r w:rsidRPr="003F7B7C">
        <w:rPr>
          <w:rFonts w:ascii="Book Antiqua" w:eastAsia="Book Antiqua" w:hAnsi="Book Antiqua" w:cs="Book Antiqua"/>
          <w:color w:val="000000"/>
        </w:rPr>
        <w:t xml:space="preserve"> (</w:t>
      </w:r>
      <w:proofErr w:type="spellStart"/>
      <w:r w:rsidRPr="003F7B7C">
        <w:rPr>
          <w:rFonts w:ascii="Book Antiqua" w:eastAsia="Book Antiqua" w:hAnsi="Book Antiqua" w:cs="Book Antiqua"/>
          <w:color w:val="000000"/>
        </w:rPr>
        <w:t>Minsheng</w:t>
      </w:r>
      <w:proofErr w:type="spellEnd"/>
      <w:r w:rsidRPr="003F7B7C">
        <w:rPr>
          <w:rFonts w:ascii="Book Antiqua" w:eastAsia="Book Antiqua" w:hAnsi="Book Antiqua" w:cs="Book Antiqua"/>
          <w:color w:val="000000"/>
        </w:rPr>
        <w:t xml:space="preserve"> Pharmaceutical Co. Ltd, Hangzhou) 4 mg d1, etoposide (Qilu Pharmaceutical Co. Ltd) 75 mg d3-5, and dexamethasone 10 mg d1, 15 mg d2-4, 20 mg d5-7, and 15 mg d8-14</w:t>
      </w:r>
      <w:r w:rsidR="001659B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was given. The mass in the right neck decreased, but severe bone marrow suppression occurred. Leucocyte promotion and platelet and red blood cell infusion were performed.</w:t>
      </w:r>
    </w:p>
    <w:p w14:paraId="547FB202" w14:textId="77777777" w:rsidR="00A77B3E" w:rsidRPr="003F7B7C" w:rsidRDefault="00A77B3E" w:rsidP="003F7B7C">
      <w:pPr>
        <w:spacing w:line="360" w:lineRule="auto"/>
        <w:ind w:firstLine="420"/>
        <w:jc w:val="both"/>
        <w:rPr>
          <w:rFonts w:ascii="Book Antiqua" w:hAnsi="Book Antiqua"/>
        </w:rPr>
      </w:pPr>
    </w:p>
    <w:p w14:paraId="41DCEC84"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aps/>
          <w:color w:val="000000"/>
          <w:u w:val="single"/>
        </w:rPr>
        <w:t>OUTCOME AND FOLLOW-UP</w:t>
      </w:r>
    </w:p>
    <w:p w14:paraId="536A4C1C"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The patient died of an acute intracerebral hemorrhage on September 12, 2019.</w:t>
      </w:r>
    </w:p>
    <w:p w14:paraId="2FF6A4F1" w14:textId="77777777" w:rsidR="00A77B3E" w:rsidRPr="003F7B7C" w:rsidRDefault="00A77B3E" w:rsidP="003F7B7C">
      <w:pPr>
        <w:spacing w:line="360" w:lineRule="auto"/>
        <w:ind w:firstLine="420"/>
        <w:jc w:val="both"/>
        <w:rPr>
          <w:rFonts w:ascii="Book Antiqua" w:hAnsi="Book Antiqua"/>
        </w:rPr>
      </w:pPr>
    </w:p>
    <w:p w14:paraId="24227211"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aps/>
          <w:color w:val="000000"/>
          <w:u w:val="single"/>
        </w:rPr>
        <w:t>DISCUSSION</w:t>
      </w:r>
    </w:p>
    <w:p w14:paraId="587EB8B6" w14:textId="20A5657D"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lastRenderedPageBreak/>
        <w:t>Langerhans cells are dendritic cells (DC) located in epithelial tissues and act as antigen-presenting cells</w:t>
      </w:r>
      <w:r w:rsidRPr="003F7B7C">
        <w:rPr>
          <w:rFonts w:ascii="Book Antiqua" w:eastAsia="Book Antiqua" w:hAnsi="Book Antiqua" w:cs="Book Antiqua"/>
          <w:color w:val="000000"/>
          <w:vertAlign w:val="superscript"/>
        </w:rPr>
        <w:t>[2]</w:t>
      </w:r>
      <w:r w:rsidRPr="003F7B7C">
        <w:rPr>
          <w:rFonts w:ascii="Book Antiqua" w:eastAsia="Book Antiqua" w:hAnsi="Book Antiqua" w:cs="Book Antiqua"/>
          <w:color w:val="000000"/>
        </w:rPr>
        <w:t>. LCS is an extremely rare tumor and has a very poor prognosis. The median age at presentation is 50 years, and the ratio of male to female is 1.3. Most patients die within 2 years after diagnosis. The patient reported here died 3 mo after the diagnosis of LCS</w:t>
      </w:r>
      <w:r w:rsidRPr="003F7B7C">
        <w:rPr>
          <w:rFonts w:ascii="Book Antiqua" w:eastAsia="Book Antiqua" w:hAnsi="Book Antiqua" w:cs="Book Antiqua"/>
          <w:color w:val="000000"/>
          <w:vertAlign w:val="superscript"/>
        </w:rPr>
        <w:t>[2]</w:t>
      </w:r>
      <w:r w:rsidRPr="003F7B7C">
        <w:rPr>
          <w:rFonts w:ascii="Book Antiqua" w:eastAsia="Book Antiqua" w:hAnsi="Book Antiqua" w:cs="Book Antiqua"/>
          <w:color w:val="000000"/>
        </w:rPr>
        <w:t>.</w:t>
      </w:r>
    </w:p>
    <w:p w14:paraId="10810359" w14:textId="237D7D30" w:rsidR="00A77B3E" w:rsidRPr="003F7B7C" w:rsidRDefault="005430EF" w:rsidP="003F7B7C">
      <w:pPr>
        <w:spacing w:line="360" w:lineRule="auto"/>
        <w:ind w:firstLineChars="100" w:firstLine="240"/>
        <w:jc w:val="both"/>
        <w:rPr>
          <w:rFonts w:ascii="Book Antiqua" w:hAnsi="Book Antiqua"/>
        </w:rPr>
      </w:pPr>
      <w:r w:rsidRPr="003F7B7C">
        <w:rPr>
          <w:rFonts w:ascii="Book Antiqua" w:eastAsia="Book Antiqua" w:hAnsi="Book Antiqua" w:cs="Book Antiqua"/>
          <w:color w:val="000000"/>
        </w:rPr>
        <w:t>The etiological factors of LCS include immunosuppression, viruses, and previous hematological diseases</w:t>
      </w:r>
      <w:r w:rsidRPr="003F7B7C">
        <w:rPr>
          <w:rFonts w:ascii="Book Antiqua" w:eastAsia="Book Antiqua" w:hAnsi="Book Antiqua" w:cs="Book Antiqua"/>
          <w:color w:val="000000"/>
          <w:vertAlign w:val="superscript"/>
        </w:rPr>
        <w:t>[2]</w:t>
      </w:r>
      <w:r w:rsidRPr="003F7B7C">
        <w:rPr>
          <w:rFonts w:ascii="Book Antiqua" w:eastAsia="Book Antiqua" w:hAnsi="Book Antiqua" w:cs="Book Antiqua"/>
          <w:color w:val="000000"/>
        </w:rPr>
        <w:t>. Immunosuppression (such as calcineurin inhibitors) can increase the risk of malignant tumors (2.7-13.7-fold), which increases with the intensity and duration of immunosuppression</w:t>
      </w:r>
      <w:r w:rsidRPr="003F7B7C">
        <w:rPr>
          <w:rFonts w:ascii="Book Antiqua" w:eastAsia="Book Antiqua" w:hAnsi="Book Antiqua" w:cs="Book Antiqua"/>
          <w:color w:val="000000"/>
          <w:vertAlign w:val="superscript"/>
        </w:rPr>
        <w:t>[7]</w:t>
      </w:r>
      <w:r w:rsidRPr="003F7B7C">
        <w:rPr>
          <w:rFonts w:ascii="Book Antiqua" w:eastAsia="Book Antiqua" w:hAnsi="Book Antiqua" w:cs="Book Antiqua"/>
          <w:color w:val="000000"/>
        </w:rPr>
        <w:t>. Cutaneous and lymphoproliferative malignant tumors are among the most common malignant tumors after transplantation</w:t>
      </w:r>
      <w:r w:rsidRPr="003F7B7C">
        <w:rPr>
          <w:rFonts w:ascii="Book Antiqua" w:eastAsia="Book Antiqua" w:hAnsi="Book Antiqua" w:cs="Book Antiqua"/>
          <w:color w:val="000000"/>
          <w:vertAlign w:val="superscript"/>
        </w:rPr>
        <w:t>[8]</w:t>
      </w:r>
      <w:r w:rsidRPr="003F7B7C">
        <w:rPr>
          <w:rFonts w:ascii="Book Antiqua" w:eastAsia="Book Antiqua" w:hAnsi="Book Antiqua" w:cs="Book Antiqua"/>
          <w:color w:val="000000"/>
        </w:rPr>
        <w:t xml:space="preserve">. Malignant tumors induced by EBV and </w:t>
      </w:r>
      <w:r w:rsidR="001659B1" w:rsidRPr="003F7B7C">
        <w:rPr>
          <w:rFonts w:ascii="Book Antiqua" w:eastAsia="Book Antiqua" w:hAnsi="Book Antiqua" w:cs="Book Antiqua"/>
          <w:color w:val="000000"/>
        </w:rPr>
        <w:t>human papillomavirus</w:t>
      </w:r>
      <w:r w:rsidRPr="003F7B7C">
        <w:rPr>
          <w:rFonts w:ascii="Book Antiqua" w:eastAsia="Book Antiqua" w:hAnsi="Book Antiqua" w:cs="Book Antiqua"/>
          <w:color w:val="000000"/>
        </w:rPr>
        <w:t xml:space="preserve"> virus are the most common post-transplant cancers</w:t>
      </w:r>
      <w:r w:rsidRPr="003F7B7C">
        <w:rPr>
          <w:rFonts w:ascii="Book Antiqua" w:eastAsia="Book Antiqua" w:hAnsi="Book Antiqua" w:cs="Book Antiqua"/>
          <w:color w:val="000000"/>
          <w:vertAlign w:val="superscript"/>
        </w:rPr>
        <w:t>[9]</w:t>
      </w:r>
      <w:r w:rsidRPr="003F7B7C">
        <w:rPr>
          <w:rFonts w:ascii="Book Antiqua" w:eastAsia="Book Antiqua" w:hAnsi="Book Antiqua" w:cs="Book Antiqua"/>
          <w:color w:val="000000"/>
        </w:rPr>
        <w:t xml:space="preserve">. Merkel cell polyomavirus DNA was detected in LCS tissue samples of </w:t>
      </w:r>
      <w:r w:rsidR="00A073DA">
        <w:rPr>
          <w:rFonts w:ascii="Book Antiqua" w:eastAsia="Book Antiqua" w:hAnsi="Book Antiqua" w:cs="Book Antiqua"/>
          <w:color w:val="000000"/>
        </w:rPr>
        <w:t xml:space="preserve">7 </w:t>
      </w:r>
      <w:r w:rsidRPr="003F7B7C">
        <w:rPr>
          <w:rFonts w:ascii="Book Antiqua" w:eastAsia="Book Antiqua" w:hAnsi="Book Antiqua" w:cs="Book Antiqua"/>
          <w:color w:val="000000"/>
        </w:rPr>
        <w:t xml:space="preserve">LCS patients, and the amplification level was higher than that in </w:t>
      </w:r>
      <w:r w:rsidR="009D7D32" w:rsidRPr="003F7B7C">
        <w:rPr>
          <w:rFonts w:ascii="Book Antiqua" w:eastAsia="Book Antiqua" w:hAnsi="Book Antiqua" w:cs="Book Antiqua"/>
          <w:color w:val="000000"/>
        </w:rPr>
        <w:t>Merkel cell polyomavirus</w:t>
      </w:r>
      <w:r w:rsidRPr="003F7B7C">
        <w:rPr>
          <w:rFonts w:ascii="Book Antiqua" w:eastAsia="Book Antiqua" w:hAnsi="Book Antiqua" w:cs="Book Antiqua"/>
          <w:color w:val="000000"/>
        </w:rPr>
        <w:t>-positive Langerhans cell histiocytosis; it was speculated that LCS is likely to be the result of viral infection</w:t>
      </w:r>
      <w:r w:rsidRPr="003F7B7C">
        <w:rPr>
          <w:rFonts w:ascii="Book Antiqua" w:eastAsia="Book Antiqua" w:hAnsi="Book Antiqua" w:cs="Book Antiqua"/>
          <w:color w:val="000000"/>
          <w:vertAlign w:val="superscript"/>
        </w:rPr>
        <w:t>[10]</w:t>
      </w:r>
      <w:r w:rsidRPr="003F7B7C">
        <w:rPr>
          <w:rFonts w:ascii="Book Antiqua" w:eastAsia="Book Antiqua" w:hAnsi="Book Antiqua" w:cs="Book Antiqua"/>
          <w:color w:val="000000"/>
        </w:rPr>
        <w:t xml:space="preserve">. Still, the case reported here had no history of organ transplantation, no use of calcineurin inhibitors, and negative EBV mRNA. It is unlikely that the above causes induced the LCS. </w:t>
      </w:r>
    </w:p>
    <w:p w14:paraId="406A3005" w14:textId="6C88237F" w:rsidR="00A77B3E" w:rsidRPr="003F7B7C" w:rsidRDefault="005430EF" w:rsidP="003F7B7C">
      <w:pPr>
        <w:spacing w:line="360" w:lineRule="auto"/>
        <w:ind w:firstLineChars="100" w:firstLine="240"/>
        <w:jc w:val="both"/>
        <w:rPr>
          <w:rFonts w:ascii="Book Antiqua" w:hAnsi="Book Antiqua"/>
        </w:rPr>
      </w:pPr>
      <w:r w:rsidRPr="003F7B7C">
        <w:rPr>
          <w:rFonts w:ascii="Book Antiqua" w:eastAsia="Book Antiqua" w:hAnsi="Book Antiqua" w:cs="Book Antiqua"/>
          <w:color w:val="000000"/>
        </w:rPr>
        <w:t>A primary history of CLL/SLL and long-term use of immunosuppressive agents may be the cause of skin LCS</w:t>
      </w:r>
      <w:r w:rsidRPr="003F7B7C">
        <w:rPr>
          <w:rFonts w:ascii="Book Antiqua" w:eastAsia="Book Antiqua" w:hAnsi="Book Antiqua" w:cs="Book Antiqua"/>
          <w:color w:val="000000"/>
          <w:vertAlign w:val="superscript"/>
        </w:rPr>
        <w:t>[2,4-6,11-13]</w:t>
      </w:r>
      <w:r w:rsidRPr="003F7B7C">
        <w:rPr>
          <w:rFonts w:ascii="Book Antiqua" w:eastAsia="Book Antiqua" w:hAnsi="Book Antiqua" w:cs="Book Antiqua"/>
          <w:color w:val="000000"/>
        </w:rPr>
        <w:t>. Previous studies showed that some CLL/SLL could transform into aggressive hematopoietic tumors of another lineage, such as LCS</w:t>
      </w:r>
      <w:r w:rsidRPr="003F7B7C">
        <w:rPr>
          <w:rFonts w:ascii="Book Antiqua" w:eastAsia="Book Antiqua" w:hAnsi="Book Antiqua" w:cs="Book Antiqua"/>
          <w:color w:val="000000"/>
          <w:vertAlign w:val="superscript"/>
        </w:rPr>
        <w:t>[2</w:t>
      </w:r>
      <w:r w:rsidR="001659B1" w:rsidRPr="003F7B7C">
        <w:rPr>
          <w:rFonts w:ascii="Book Antiqua" w:eastAsia="Book Antiqua" w:hAnsi="Book Antiqua" w:cs="Book Antiqua"/>
          <w:color w:val="000000"/>
          <w:vertAlign w:val="superscript"/>
        </w:rPr>
        <w:t>,</w:t>
      </w:r>
      <w:r w:rsidRPr="003F7B7C">
        <w:rPr>
          <w:rFonts w:ascii="Book Antiqua" w:eastAsia="Book Antiqua" w:hAnsi="Book Antiqua" w:cs="Book Antiqua"/>
          <w:color w:val="000000"/>
          <w:vertAlign w:val="superscript"/>
        </w:rPr>
        <w:t>4-6,11-13]</w:t>
      </w:r>
      <w:r w:rsidRPr="003F7B7C">
        <w:rPr>
          <w:rFonts w:ascii="Book Antiqua" w:eastAsia="Book Antiqua" w:hAnsi="Book Antiqua" w:cs="Book Antiqua"/>
          <w:color w:val="000000"/>
        </w:rPr>
        <w:t>. LCS clonally related to low-grade B-cell lymphomas and leukemias has been described</w:t>
      </w:r>
      <w:r w:rsidRPr="003F7B7C">
        <w:rPr>
          <w:rFonts w:ascii="Book Antiqua" w:eastAsia="Book Antiqua" w:hAnsi="Book Antiqua" w:cs="Book Antiqua"/>
          <w:color w:val="000000"/>
          <w:vertAlign w:val="superscript"/>
        </w:rPr>
        <w:t>[4-6]</w:t>
      </w:r>
      <w:r w:rsidRPr="003F7B7C">
        <w:rPr>
          <w:rFonts w:ascii="Book Antiqua" w:eastAsia="Book Antiqua" w:hAnsi="Book Antiqua" w:cs="Book Antiqua"/>
          <w:color w:val="000000"/>
        </w:rPr>
        <w:t>. Among the previous studies, one reported that the two malignancies were detected in the same skin biopsy</w:t>
      </w:r>
      <w:r w:rsidRPr="003F7B7C">
        <w:rPr>
          <w:rFonts w:ascii="Book Antiqua" w:eastAsia="Book Antiqua" w:hAnsi="Book Antiqua" w:cs="Book Antiqua"/>
          <w:color w:val="000000"/>
          <w:vertAlign w:val="superscript"/>
        </w:rPr>
        <w:t>[4]</w:t>
      </w:r>
      <w:r w:rsidRPr="003F7B7C">
        <w:rPr>
          <w:rFonts w:ascii="Book Antiqua" w:eastAsia="Book Antiqua" w:hAnsi="Book Antiqua" w:cs="Book Antiqua"/>
          <w:color w:val="000000"/>
        </w:rPr>
        <w:t>, and three other studies reported that the two malignancies were detected in the same lymph nodes</w:t>
      </w:r>
      <w:r w:rsidRPr="003F7B7C">
        <w:rPr>
          <w:rFonts w:ascii="Book Antiqua" w:eastAsia="Book Antiqua" w:hAnsi="Book Antiqua" w:cs="Book Antiqua"/>
          <w:color w:val="000000"/>
          <w:vertAlign w:val="superscript"/>
        </w:rPr>
        <w:t>[5,6,12]</w:t>
      </w:r>
      <w:r w:rsidRPr="003F7B7C">
        <w:rPr>
          <w:rFonts w:ascii="Book Antiqua" w:eastAsia="Book Antiqua" w:hAnsi="Book Antiqua" w:cs="Book Antiqua"/>
          <w:color w:val="000000"/>
        </w:rPr>
        <w:t xml:space="preserve">. The mechanism is probably the </w:t>
      </w:r>
      <w:proofErr w:type="spellStart"/>
      <w:r w:rsidRPr="003F7B7C">
        <w:rPr>
          <w:rFonts w:ascii="Book Antiqua" w:eastAsia="Book Antiqua" w:hAnsi="Book Antiqua" w:cs="Book Antiqua"/>
          <w:color w:val="000000"/>
        </w:rPr>
        <w:t>transdifferentiation</w:t>
      </w:r>
      <w:proofErr w:type="spellEnd"/>
      <w:r w:rsidRPr="003F7B7C">
        <w:rPr>
          <w:rFonts w:ascii="Book Antiqua" w:eastAsia="Book Antiqua" w:hAnsi="Book Antiqua" w:cs="Book Antiqua"/>
          <w:color w:val="000000"/>
        </w:rPr>
        <w:t xml:space="preserve"> of the B cell lineage through direct </w:t>
      </w:r>
      <w:proofErr w:type="spellStart"/>
      <w:r w:rsidRPr="003F7B7C">
        <w:rPr>
          <w:rFonts w:ascii="Book Antiqua" w:eastAsia="Book Antiqua" w:hAnsi="Book Antiqua" w:cs="Book Antiqua"/>
          <w:color w:val="000000"/>
        </w:rPr>
        <w:t>transdifferentiation</w:t>
      </w:r>
      <w:proofErr w:type="spellEnd"/>
      <w:r w:rsidRPr="003F7B7C">
        <w:rPr>
          <w:rFonts w:ascii="Book Antiqua" w:eastAsia="Book Antiqua" w:hAnsi="Book Antiqua" w:cs="Book Antiqua"/>
          <w:color w:val="000000"/>
        </w:rPr>
        <w:t xml:space="preserve"> of neoplastic B cells into malignant histiocytes/DC</w:t>
      </w:r>
      <w:r w:rsidR="004B3714">
        <w:rPr>
          <w:rFonts w:ascii="Book Antiqua" w:eastAsia="Book Antiqua" w:hAnsi="Book Antiqua" w:cs="Book Antiqua"/>
          <w:color w:val="000000"/>
        </w:rPr>
        <w:t>,</w:t>
      </w:r>
      <w:r w:rsidRPr="003F7B7C">
        <w:rPr>
          <w:rFonts w:ascii="Book Antiqua" w:eastAsia="Book Antiqua" w:hAnsi="Book Antiqua" w:cs="Book Antiqua"/>
          <w:color w:val="000000"/>
        </w:rPr>
        <w:t xml:space="preserve"> tumor lymphocytes dedifferentiate into early progenitor cells, and then progenitor cells </w:t>
      </w:r>
      <w:proofErr w:type="spellStart"/>
      <w:r w:rsidRPr="003F7B7C">
        <w:rPr>
          <w:rFonts w:ascii="Book Antiqua" w:eastAsia="Book Antiqua" w:hAnsi="Book Antiqua" w:cs="Book Antiqua"/>
          <w:color w:val="000000"/>
        </w:rPr>
        <w:t>redifferentiate</w:t>
      </w:r>
      <w:proofErr w:type="spellEnd"/>
      <w:r w:rsidRPr="003F7B7C">
        <w:rPr>
          <w:rFonts w:ascii="Book Antiqua" w:eastAsia="Book Antiqua" w:hAnsi="Book Antiqua" w:cs="Book Antiqua"/>
          <w:color w:val="000000"/>
        </w:rPr>
        <w:t xml:space="preserve"> into histiocytes/DCs</w:t>
      </w:r>
      <w:r w:rsidRPr="003F7B7C">
        <w:rPr>
          <w:rFonts w:ascii="Book Antiqua" w:eastAsia="Book Antiqua" w:hAnsi="Book Antiqua" w:cs="Book Antiqua"/>
          <w:color w:val="000000"/>
          <w:vertAlign w:val="superscript"/>
        </w:rPr>
        <w:t>[4]</w:t>
      </w:r>
      <w:r w:rsidRPr="003F7B7C">
        <w:rPr>
          <w:rFonts w:ascii="Book Antiqua" w:eastAsia="Book Antiqua" w:hAnsi="Book Antiqua" w:cs="Book Antiqua"/>
          <w:color w:val="000000"/>
        </w:rPr>
        <w:t>. It has been reported that the BRAF V600E mutation was found in patients with LCS and concurrent CLL/SLL</w:t>
      </w:r>
      <w:r w:rsidRPr="003F7B7C">
        <w:rPr>
          <w:rFonts w:ascii="Book Antiqua" w:eastAsia="Book Antiqua" w:hAnsi="Book Antiqua" w:cs="Book Antiqua"/>
          <w:color w:val="000000"/>
          <w:vertAlign w:val="superscript"/>
        </w:rPr>
        <w:t>[5,6]</w:t>
      </w:r>
      <w:r w:rsidRPr="003F7B7C">
        <w:rPr>
          <w:rFonts w:ascii="Book Antiqua" w:eastAsia="Book Antiqua" w:hAnsi="Book Antiqua" w:cs="Book Antiqua"/>
          <w:color w:val="000000"/>
        </w:rPr>
        <w:t xml:space="preserve">. Because CLL/SLL and LCS existed independently in this case, </w:t>
      </w:r>
      <w:r w:rsidRPr="003F7B7C">
        <w:rPr>
          <w:rFonts w:ascii="Book Antiqua" w:eastAsia="Book Antiqua" w:hAnsi="Book Antiqua" w:cs="Book Antiqua"/>
          <w:color w:val="000000"/>
        </w:rPr>
        <w:lastRenderedPageBreak/>
        <w:t xml:space="preserve">we did not detect a mutation in the BRAF V600E gene. Besides, the pathogenesis of LCS in this case </w:t>
      </w:r>
      <w:r w:rsidR="002E2C4E">
        <w:rPr>
          <w:rFonts w:ascii="Book Antiqua" w:eastAsia="Book Antiqua" w:hAnsi="Book Antiqua" w:cs="Book Antiqua"/>
          <w:color w:val="000000"/>
        </w:rPr>
        <w:t>wa</w:t>
      </w:r>
      <w:r w:rsidRPr="003F7B7C">
        <w:rPr>
          <w:rFonts w:ascii="Book Antiqua" w:eastAsia="Book Antiqua" w:hAnsi="Book Antiqua" w:cs="Book Antiqua"/>
          <w:color w:val="000000"/>
        </w:rPr>
        <w:t>s unknown.</w:t>
      </w:r>
    </w:p>
    <w:p w14:paraId="44C0FC9E" w14:textId="459A1184" w:rsidR="00A77B3E" w:rsidRPr="003F7B7C" w:rsidRDefault="005430EF" w:rsidP="003F7B7C">
      <w:pPr>
        <w:spacing w:line="360" w:lineRule="auto"/>
        <w:ind w:firstLineChars="100" w:firstLine="240"/>
        <w:jc w:val="both"/>
        <w:rPr>
          <w:rFonts w:ascii="Book Antiqua" w:hAnsi="Book Antiqua"/>
        </w:rPr>
      </w:pPr>
      <w:r w:rsidRPr="003F7B7C">
        <w:rPr>
          <w:rFonts w:ascii="Book Antiqua" w:eastAsia="Book Antiqua" w:hAnsi="Book Antiqua" w:cs="Book Antiqua"/>
          <w:color w:val="000000"/>
        </w:rPr>
        <w:t xml:space="preserve">The Bruton tyrosine kinase (BTK) inhibitor ibrutinib is an inhibitor of the B cell receptor signaling pathway through BTK. It ultimately prevents B cell proliferation, chemotaxis, transport, and adhesion by covalently binding to the cysteine residue (C481) in the ATP binding pocket of BTK. The effective regulation of signal transduction might control the intrinsically invasive tumors to some extent. Still, under the selection pressure by inhibitors targeting the </w:t>
      </w:r>
      <w:r w:rsidR="002E2C4E" w:rsidRPr="003F7B7C">
        <w:rPr>
          <w:rFonts w:ascii="Book Antiqua" w:eastAsia="Book Antiqua" w:hAnsi="Book Antiqua" w:cs="Book Antiqua"/>
          <w:color w:val="000000"/>
        </w:rPr>
        <w:t>B cell receptor</w:t>
      </w:r>
      <w:r w:rsidRPr="003F7B7C">
        <w:rPr>
          <w:rFonts w:ascii="Book Antiqua" w:eastAsia="Book Antiqua" w:hAnsi="Book Antiqua" w:cs="Book Antiqua"/>
          <w:color w:val="000000"/>
        </w:rPr>
        <w:t xml:space="preserve"> signaling pathway, dedifferentiated or transdifferentiated tumor clones can appear</w:t>
      </w:r>
      <w:r w:rsidRPr="003F7B7C">
        <w:rPr>
          <w:rFonts w:ascii="Book Antiqua" w:eastAsia="Book Antiqua" w:hAnsi="Book Antiqua" w:cs="Book Antiqua"/>
          <w:color w:val="000000"/>
          <w:vertAlign w:val="superscript"/>
        </w:rPr>
        <w:t>[4,14]</w:t>
      </w:r>
      <w:r w:rsidRPr="003F7B7C">
        <w:rPr>
          <w:rFonts w:ascii="Book Antiqua" w:eastAsia="Book Antiqua" w:hAnsi="Book Antiqua" w:cs="Book Antiqua"/>
          <w:color w:val="000000"/>
        </w:rPr>
        <w:t>. In addition, enhanced maturation of BTK-deficient DC can be stimulated by lipopolysaccharides and their ability to stimulate T cells</w:t>
      </w:r>
      <w:r w:rsidRPr="003F7B7C">
        <w:rPr>
          <w:rFonts w:ascii="Book Antiqua" w:eastAsia="Book Antiqua" w:hAnsi="Book Antiqua" w:cs="Book Antiqua"/>
          <w:color w:val="000000"/>
          <w:vertAlign w:val="superscript"/>
        </w:rPr>
        <w:t>[15]</w:t>
      </w:r>
      <w:r w:rsidRPr="003F7B7C">
        <w:rPr>
          <w:rFonts w:ascii="Book Antiqua" w:eastAsia="Book Antiqua" w:hAnsi="Book Antiqua" w:cs="Book Antiqua"/>
          <w:color w:val="000000"/>
        </w:rPr>
        <w:t>. After the fusion of mature DC and tumor cells, DC can express tumor antigens in an immunogenic manner. When the DC of the tumor-bearing host engulfs apoptotic or necrotic tumor cells, these DC express tumor antigens in a tolerant manner. The tumor will defeat the host because of the tolerance, produce ubiquitous proto-oncogenes, and transform into malignant clones</w:t>
      </w:r>
      <w:r w:rsidRPr="003F7B7C">
        <w:rPr>
          <w:rFonts w:ascii="Book Antiqua" w:eastAsia="Book Antiqua" w:hAnsi="Book Antiqua" w:cs="Book Antiqua"/>
          <w:color w:val="000000"/>
          <w:vertAlign w:val="superscript"/>
        </w:rPr>
        <w:t>[16]</w:t>
      </w:r>
      <w:r w:rsidRPr="003F7B7C">
        <w:rPr>
          <w:rFonts w:ascii="Book Antiqua" w:eastAsia="Book Antiqua" w:hAnsi="Book Antiqua" w:cs="Book Antiqua"/>
          <w:color w:val="000000"/>
        </w:rPr>
        <w:t xml:space="preserve">. Since the case reported here received ibrutinib and ibrutinib can promote the </w:t>
      </w:r>
      <w:proofErr w:type="spellStart"/>
      <w:r w:rsidRPr="003F7B7C">
        <w:rPr>
          <w:rFonts w:ascii="Book Antiqua" w:eastAsia="Book Antiqua" w:hAnsi="Book Antiqua" w:cs="Book Antiqua"/>
          <w:color w:val="000000"/>
        </w:rPr>
        <w:t>transdifferentiation</w:t>
      </w:r>
      <w:proofErr w:type="spellEnd"/>
      <w:r w:rsidRPr="003F7B7C">
        <w:rPr>
          <w:rFonts w:ascii="Book Antiqua" w:eastAsia="Book Antiqua" w:hAnsi="Book Antiqua" w:cs="Book Antiqua"/>
          <w:color w:val="000000"/>
        </w:rPr>
        <w:t xml:space="preserve"> of B cells into DCs or stimulate the abnormal maturation of DCs, ibrutinib is a possible reason for the development of LCS in the present case. Still, the LCS lesion was not physically found at the same location as a CLL/SLL lesion but might have arisen elsewhere and moved through hematogenous migration. Since not all lesions seen at imaging were biopsied, this remains a possibility.</w:t>
      </w:r>
    </w:p>
    <w:p w14:paraId="3AA81A35" w14:textId="77777777" w:rsidR="00A77B3E" w:rsidRPr="003F7B7C" w:rsidRDefault="00A77B3E" w:rsidP="003F7B7C">
      <w:pPr>
        <w:spacing w:line="360" w:lineRule="auto"/>
        <w:ind w:firstLine="420"/>
        <w:jc w:val="both"/>
        <w:rPr>
          <w:rFonts w:ascii="Book Antiqua" w:hAnsi="Book Antiqua"/>
        </w:rPr>
      </w:pPr>
    </w:p>
    <w:p w14:paraId="5E0230CE"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aps/>
          <w:color w:val="000000"/>
          <w:u w:val="single"/>
        </w:rPr>
        <w:t>CONCLUSION</w:t>
      </w:r>
    </w:p>
    <w:p w14:paraId="1517289A"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In conclusion, the LCS case reported here is different from the previously reported cases of LCS with CLL/SLL. In the case reported here, LCS occurred on the skin, and there was no CLL/SLL in the same lesion. A possible mechanism is ibrutinib led to the activation of a proto-oncogene, resulting in the malignant transformation of DCs, but this is only a hypothesis.</w:t>
      </w:r>
    </w:p>
    <w:p w14:paraId="347D66A6" w14:textId="77777777" w:rsidR="00A77B3E" w:rsidRPr="003F7B7C" w:rsidRDefault="00A77B3E" w:rsidP="003F7B7C">
      <w:pPr>
        <w:spacing w:line="360" w:lineRule="auto"/>
        <w:ind w:firstLine="420"/>
        <w:jc w:val="both"/>
        <w:rPr>
          <w:rFonts w:ascii="Book Antiqua" w:hAnsi="Book Antiqua"/>
        </w:rPr>
      </w:pPr>
    </w:p>
    <w:p w14:paraId="49D7CBD1"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t>REFERENCES</w:t>
      </w:r>
    </w:p>
    <w:p w14:paraId="3F5C6F5A"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lastRenderedPageBreak/>
        <w:t xml:space="preserve">1 </w:t>
      </w:r>
      <w:proofErr w:type="spellStart"/>
      <w:r w:rsidRPr="003F7B7C">
        <w:rPr>
          <w:rFonts w:ascii="Book Antiqua" w:eastAsia="Book Antiqua" w:hAnsi="Book Antiqua" w:cs="Book Antiqua"/>
          <w:b/>
          <w:bCs/>
          <w:color w:val="000000"/>
        </w:rPr>
        <w:t>Swerdlow</w:t>
      </w:r>
      <w:proofErr w:type="spellEnd"/>
      <w:r w:rsidRPr="003F7B7C">
        <w:rPr>
          <w:rFonts w:ascii="Book Antiqua" w:eastAsia="Book Antiqua" w:hAnsi="Book Antiqua" w:cs="Book Antiqua"/>
          <w:b/>
          <w:bCs/>
          <w:color w:val="000000"/>
        </w:rPr>
        <w:t xml:space="preserve"> SH</w:t>
      </w:r>
      <w:r w:rsidRPr="003F7B7C">
        <w:rPr>
          <w:rFonts w:ascii="Book Antiqua" w:eastAsia="Book Antiqua" w:hAnsi="Book Antiqua" w:cs="Book Antiqua"/>
          <w:color w:val="000000"/>
        </w:rPr>
        <w:t xml:space="preserve">, Campo E, </w:t>
      </w:r>
      <w:proofErr w:type="spellStart"/>
      <w:r w:rsidRPr="003F7B7C">
        <w:rPr>
          <w:rFonts w:ascii="Book Antiqua" w:eastAsia="Book Antiqua" w:hAnsi="Book Antiqua" w:cs="Book Antiqua"/>
          <w:color w:val="000000"/>
        </w:rPr>
        <w:t>Pileri</w:t>
      </w:r>
      <w:proofErr w:type="spellEnd"/>
      <w:r w:rsidRPr="003F7B7C">
        <w:rPr>
          <w:rFonts w:ascii="Book Antiqua" w:eastAsia="Book Antiqua" w:hAnsi="Book Antiqua" w:cs="Book Antiqua"/>
          <w:color w:val="000000"/>
        </w:rPr>
        <w:t xml:space="preserve"> SA, Harris NL, Stein H, Siebert R, Advani R, </w:t>
      </w:r>
      <w:proofErr w:type="spellStart"/>
      <w:r w:rsidRPr="003F7B7C">
        <w:rPr>
          <w:rFonts w:ascii="Book Antiqua" w:eastAsia="Book Antiqua" w:hAnsi="Book Antiqua" w:cs="Book Antiqua"/>
          <w:color w:val="000000"/>
        </w:rPr>
        <w:t>Ghielmini</w:t>
      </w:r>
      <w:proofErr w:type="spellEnd"/>
      <w:r w:rsidRPr="003F7B7C">
        <w:rPr>
          <w:rFonts w:ascii="Book Antiqua" w:eastAsia="Book Antiqua" w:hAnsi="Book Antiqua" w:cs="Book Antiqua"/>
          <w:color w:val="000000"/>
        </w:rPr>
        <w:t xml:space="preserve"> M, Salles GA, </w:t>
      </w:r>
      <w:proofErr w:type="spellStart"/>
      <w:r w:rsidRPr="003F7B7C">
        <w:rPr>
          <w:rFonts w:ascii="Book Antiqua" w:eastAsia="Book Antiqua" w:hAnsi="Book Antiqua" w:cs="Book Antiqua"/>
          <w:color w:val="000000"/>
        </w:rPr>
        <w:t>Zelenetz</w:t>
      </w:r>
      <w:proofErr w:type="spellEnd"/>
      <w:r w:rsidRPr="003F7B7C">
        <w:rPr>
          <w:rFonts w:ascii="Book Antiqua" w:eastAsia="Book Antiqua" w:hAnsi="Book Antiqua" w:cs="Book Antiqua"/>
          <w:color w:val="000000"/>
        </w:rPr>
        <w:t xml:space="preserve"> AD, Jaffe ES. The 2016 revision of the World Health Organization classification of lymphoid neoplasms. </w:t>
      </w:r>
      <w:r w:rsidRPr="003F7B7C">
        <w:rPr>
          <w:rFonts w:ascii="Book Antiqua" w:eastAsia="Book Antiqua" w:hAnsi="Book Antiqua" w:cs="Book Antiqua"/>
          <w:i/>
          <w:iCs/>
          <w:color w:val="000000"/>
        </w:rPr>
        <w:t>Blood</w:t>
      </w:r>
      <w:r w:rsidRPr="003F7B7C">
        <w:rPr>
          <w:rFonts w:ascii="Book Antiqua" w:eastAsia="Book Antiqua" w:hAnsi="Book Antiqua" w:cs="Book Antiqua"/>
          <w:color w:val="000000"/>
        </w:rPr>
        <w:t xml:space="preserve"> 2016; </w:t>
      </w:r>
      <w:r w:rsidRPr="003F7B7C">
        <w:rPr>
          <w:rFonts w:ascii="Book Antiqua" w:eastAsia="Book Antiqua" w:hAnsi="Book Antiqua" w:cs="Book Antiqua"/>
          <w:b/>
          <w:bCs/>
          <w:color w:val="000000"/>
        </w:rPr>
        <w:t>127</w:t>
      </w:r>
      <w:r w:rsidRPr="003F7B7C">
        <w:rPr>
          <w:rFonts w:ascii="Book Antiqua" w:eastAsia="Book Antiqua" w:hAnsi="Book Antiqua" w:cs="Book Antiqua"/>
          <w:color w:val="000000"/>
        </w:rPr>
        <w:t>: 2375-2390 [PMID: 26980727 DOI: 10.1182/blood-2016-01-643569]</w:t>
      </w:r>
    </w:p>
    <w:p w14:paraId="5828B23A"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2 </w:t>
      </w:r>
      <w:r w:rsidRPr="003F7B7C">
        <w:rPr>
          <w:rFonts w:ascii="Book Antiqua" w:eastAsia="Book Antiqua" w:hAnsi="Book Antiqua" w:cs="Book Antiqua"/>
          <w:b/>
          <w:bCs/>
          <w:color w:val="000000"/>
        </w:rPr>
        <w:t>Howard JE</w:t>
      </w:r>
      <w:r w:rsidRPr="003F7B7C">
        <w:rPr>
          <w:rFonts w:ascii="Book Antiqua" w:eastAsia="Book Antiqua" w:hAnsi="Book Antiqua" w:cs="Book Antiqua"/>
          <w:color w:val="000000"/>
        </w:rPr>
        <w:t xml:space="preserve">, Dwivedi RC, Masterson L, Jani P. Langerhans cell sarcoma: a systematic review. </w:t>
      </w:r>
      <w:r w:rsidRPr="003F7B7C">
        <w:rPr>
          <w:rFonts w:ascii="Book Antiqua" w:eastAsia="Book Antiqua" w:hAnsi="Book Antiqua" w:cs="Book Antiqua"/>
          <w:i/>
          <w:iCs/>
          <w:color w:val="000000"/>
        </w:rPr>
        <w:t>Cancer Treat Rev</w:t>
      </w:r>
      <w:r w:rsidRPr="003F7B7C">
        <w:rPr>
          <w:rFonts w:ascii="Book Antiqua" w:eastAsia="Book Antiqua" w:hAnsi="Book Antiqua" w:cs="Book Antiqua"/>
          <w:color w:val="000000"/>
        </w:rPr>
        <w:t xml:space="preserve"> 2015; </w:t>
      </w:r>
      <w:r w:rsidRPr="003F7B7C">
        <w:rPr>
          <w:rFonts w:ascii="Book Antiqua" w:eastAsia="Book Antiqua" w:hAnsi="Book Antiqua" w:cs="Book Antiqua"/>
          <w:b/>
          <w:bCs/>
          <w:color w:val="000000"/>
        </w:rPr>
        <w:t>41</w:t>
      </w:r>
      <w:r w:rsidRPr="003F7B7C">
        <w:rPr>
          <w:rFonts w:ascii="Book Antiqua" w:eastAsia="Book Antiqua" w:hAnsi="Book Antiqua" w:cs="Book Antiqua"/>
          <w:color w:val="000000"/>
        </w:rPr>
        <w:t>: 320-331 [PMID: 25805533 DOI: 10.1016/j.ctrv.2015.02.011]</w:t>
      </w:r>
    </w:p>
    <w:p w14:paraId="2C4A2F71"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3 </w:t>
      </w:r>
      <w:r w:rsidRPr="003F7B7C">
        <w:rPr>
          <w:rFonts w:ascii="Book Antiqua" w:eastAsia="Book Antiqua" w:hAnsi="Book Antiqua" w:cs="Book Antiqua"/>
          <w:b/>
          <w:bCs/>
          <w:color w:val="000000"/>
        </w:rPr>
        <w:t>Wierda WG</w:t>
      </w:r>
      <w:r w:rsidRPr="003F7B7C">
        <w:rPr>
          <w:rFonts w:ascii="Book Antiqua" w:eastAsia="Book Antiqua" w:hAnsi="Book Antiqua" w:cs="Book Antiqua"/>
          <w:color w:val="000000"/>
        </w:rPr>
        <w:t xml:space="preserve">, Byrd JC, Abramson JS, </w:t>
      </w:r>
      <w:proofErr w:type="spellStart"/>
      <w:r w:rsidRPr="003F7B7C">
        <w:rPr>
          <w:rFonts w:ascii="Book Antiqua" w:eastAsia="Book Antiqua" w:hAnsi="Book Antiqua" w:cs="Book Antiqua"/>
          <w:color w:val="000000"/>
        </w:rPr>
        <w:t>Bilgrami</w:t>
      </w:r>
      <w:proofErr w:type="spellEnd"/>
      <w:r w:rsidRPr="003F7B7C">
        <w:rPr>
          <w:rFonts w:ascii="Book Antiqua" w:eastAsia="Book Antiqua" w:hAnsi="Book Antiqua" w:cs="Book Antiqua"/>
          <w:color w:val="000000"/>
        </w:rPr>
        <w:t xml:space="preserve"> SF, </w:t>
      </w:r>
      <w:proofErr w:type="spellStart"/>
      <w:r w:rsidRPr="003F7B7C">
        <w:rPr>
          <w:rFonts w:ascii="Book Antiqua" w:eastAsia="Book Antiqua" w:hAnsi="Book Antiqua" w:cs="Book Antiqua"/>
          <w:color w:val="000000"/>
        </w:rPr>
        <w:t>Bociek</w:t>
      </w:r>
      <w:proofErr w:type="spellEnd"/>
      <w:r w:rsidRPr="003F7B7C">
        <w:rPr>
          <w:rFonts w:ascii="Book Antiqua" w:eastAsia="Book Antiqua" w:hAnsi="Book Antiqua" w:cs="Book Antiqua"/>
          <w:color w:val="000000"/>
        </w:rPr>
        <w:t xml:space="preserve"> G, Brander D, Brown J, </w:t>
      </w:r>
      <w:proofErr w:type="spellStart"/>
      <w:r w:rsidRPr="003F7B7C">
        <w:rPr>
          <w:rFonts w:ascii="Book Antiqua" w:eastAsia="Book Antiqua" w:hAnsi="Book Antiqua" w:cs="Book Antiqua"/>
          <w:color w:val="000000"/>
        </w:rPr>
        <w:t>Chanan</w:t>
      </w:r>
      <w:proofErr w:type="spellEnd"/>
      <w:r w:rsidRPr="003F7B7C">
        <w:rPr>
          <w:rFonts w:ascii="Book Antiqua" w:eastAsia="Book Antiqua" w:hAnsi="Book Antiqua" w:cs="Book Antiqua"/>
          <w:color w:val="000000"/>
        </w:rPr>
        <w:t xml:space="preserve">-Khan AA, Chavez JC, </w:t>
      </w:r>
      <w:proofErr w:type="spellStart"/>
      <w:r w:rsidRPr="003F7B7C">
        <w:rPr>
          <w:rFonts w:ascii="Book Antiqua" w:eastAsia="Book Antiqua" w:hAnsi="Book Antiqua" w:cs="Book Antiqua"/>
          <w:color w:val="000000"/>
        </w:rPr>
        <w:t>Coutre</w:t>
      </w:r>
      <w:proofErr w:type="spellEnd"/>
      <w:r w:rsidRPr="003F7B7C">
        <w:rPr>
          <w:rFonts w:ascii="Book Antiqua" w:eastAsia="Book Antiqua" w:hAnsi="Book Antiqua" w:cs="Book Antiqua"/>
          <w:color w:val="000000"/>
        </w:rPr>
        <w:t xml:space="preserve"> SE, Davis RS, Fletcher CD, Hill B, Kahl BS, </w:t>
      </w:r>
      <w:proofErr w:type="spellStart"/>
      <w:r w:rsidRPr="003F7B7C">
        <w:rPr>
          <w:rFonts w:ascii="Book Antiqua" w:eastAsia="Book Antiqua" w:hAnsi="Book Antiqua" w:cs="Book Antiqua"/>
          <w:color w:val="000000"/>
        </w:rPr>
        <w:t>Kamdar</w:t>
      </w:r>
      <w:proofErr w:type="spellEnd"/>
      <w:r w:rsidRPr="003F7B7C">
        <w:rPr>
          <w:rFonts w:ascii="Book Antiqua" w:eastAsia="Book Antiqua" w:hAnsi="Book Antiqua" w:cs="Book Antiqua"/>
          <w:color w:val="000000"/>
        </w:rPr>
        <w:t xml:space="preserve"> M, Kaplan LD, Khan N, Kipps TJ, Lim MS, Ma S, Malek S, Mato A, </w:t>
      </w:r>
      <w:proofErr w:type="spellStart"/>
      <w:r w:rsidRPr="003F7B7C">
        <w:rPr>
          <w:rFonts w:ascii="Book Antiqua" w:eastAsia="Book Antiqua" w:hAnsi="Book Antiqua" w:cs="Book Antiqua"/>
          <w:color w:val="000000"/>
        </w:rPr>
        <w:t>Mosse</w:t>
      </w:r>
      <w:proofErr w:type="spellEnd"/>
      <w:r w:rsidRPr="003F7B7C">
        <w:rPr>
          <w:rFonts w:ascii="Book Antiqua" w:eastAsia="Book Antiqua" w:hAnsi="Book Antiqua" w:cs="Book Antiqua"/>
          <w:color w:val="000000"/>
        </w:rPr>
        <w:t xml:space="preserve"> C, </w:t>
      </w:r>
      <w:proofErr w:type="spellStart"/>
      <w:r w:rsidRPr="003F7B7C">
        <w:rPr>
          <w:rFonts w:ascii="Book Antiqua" w:eastAsia="Book Antiqua" w:hAnsi="Book Antiqua" w:cs="Book Antiqua"/>
          <w:color w:val="000000"/>
        </w:rPr>
        <w:t>Shadman</w:t>
      </w:r>
      <w:proofErr w:type="spellEnd"/>
      <w:r w:rsidRPr="003F7B7C">
        <w:rPr>
          <w:rFonts w:ascii="Book Antiqua" w:eastAsia="Book Antiqua" w:hAnsi="Book Antiqua" w:cs="Book Antiqua"/>
          <w:color w:val="000000"/>
        </w:rPr>
        <w:t xml:space="preserve"> M, Siddiqi T, Stephens D, Sundaram S, Wagner N, Dwyer M, Sundar H. Chronic Lymphocytic Leukemia/Small Lymphocytic Lymphoma, Version 4.2020, NCCN Clinical Practice Guidelines in Oncology. </w:t>
      </w:r>
      <w:r w:rsidRPr="003F7B7C">
        <w:rPr>
          <w:rFonts w:ascii="Book Antiqua" w:eastAsia="Book Antiqua" w:hAnsi="Book Antiqua" w:cs="Book Antiqua"/>
          <w:i/>
          <w:iCs/>
          <w:color w:val="000000"/>
        </w:rPr>
        <w:t xml:space="preserve">J Natl </w:t>
      </w:r>
      <w:proofErr w:type="spellStart"/>
      <w:r w:rsidRPr="003F7B7C">
        <w:rPr>
          <w:rFonts w:ascii="Book Antiqua" w:eastAsia="Book Antiqua" w:hAnsi="Book Antiqua" w:cs="Book Antiqua"/>
          <w:i/>
          <w:iCs/>
          <w:color w:val="000000"/>
        </w:rPr>
        <w:t>Compr</w:t>
      </w:r>
      <w:proofErr w:type="spellEnd"/>
      <w:r w:rsidRPr="003F7B7C">
        <w:rPr>
          <w:rFonts w:ascii="Book Antiqua" w:eastAsia="Book Antiqua" w:hAnsi="Book Antiqua" w:cs="Book Antiqua"/>
          <w:i/>
          <w:iCs/>
          <w:color w:val="000000"/>
        </w:rPr>
        <w:t xml:space="preserve"> </w:t>
      </w:r>
      <w:proofErr w:type="spellStart"/>
      <w:r w:rsidRPr="003F7B7C">
        <w:rPr>
          <w:rFonts w:ascii="Book Antiqua" w:eastAsia="Book Antiqua" w:hAnsi="Book Antiqua" w:cs="Book Antiqua"/>
          <w:i/>
          <w:iCs/>
          <w:color w:val="000000"/>
        </w:rPr>
        <w:t>Canc</w:t>
      </w:r>
      <w:proofErr w:type="spellEnd"/>
      <w:r w:rsidRPr="003F7B7C">
        <w:rPr>
          <w:rFonts w:ascii="Book Antiqua" w:eastAsia="Book Antiqua" w:hAnsi="Book Antiqua" w:cs="Book Antiqua"/>
          <w:i/>
          <w:iCs/>
          <w:color w:val="000000"/>
        </w:rPr>
        <w:t xml:space="preserve"> </w:t>
      </w:r>
      <w:proofErr w:type="spellStart"/>
      <w:r w:rsidRPr="003F7B7C">
        <w:rPr>
          <w:rFonts w:ascii="Book Antiqua" w:eastAsia="Book Antiqua" w:hAnsi="Book Antiqua" w:cs="Book Antiqua"/>
          <w:i/>
          <w:iCs/>
          <w:color w:val="000000"/>
        </w:rPr>
        <w:t>Netw</w:t>
      </w:r>
      <w:proofErr w:type="spellEnd"/>
      <w:r w:rsidRPr="003F7B7C">
        <w:rPr>
          <w:rFonts w:ascii="Book Antiqua" w:eastAsia="Book Antiqua" w:hAnsi="Book Antiqua" w:cs="Book Antiqua"/>
          <w:color w:val="000000"/>
        </w:rPr>
        <w:t xml:space="preserve"> 2020; </w:t>
      </w:r>
      <w:r w:rsidRPr="003F7B7C">
        <w:rPr>
          <w:rFonts w:ascii="Book Antiqua" w:eastAsia="Book Antiqua" w:hAnsi="Book Antiqua" w:cs="Book Antiqua"/>
          <w:b/>
          <w:bCs/>
          <w:color w:val="000000"/>
        </w:rPr>
        <w:t>18</w:t>
      </w:r>
      <w:r w:rsidRPr="003F7B7C">
        <w:rPr>
          <w:rFonts w:ascii="Book Antiqua" w:eastAsia="Book Antiqua" w:hAnsi="Book Antiqua" w:cs="Book Antiqua"/>
          <w:color w:val="000000"/>
        </w:rPr>
        <w:t>: 185-217 [PMID: 32023533 DOI: 10.6004/jnccn.2020.0006]</w:t>
      </w:r>
    </w:p>
    <w:p w14:paraId="350AC9C2"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4 </w:t>
      </w:r>
      <w:proofErr w:type="spellStart"/>
      <w:r w:rsidRPr="003F7B7C">
        <w:rPr>
          <w:rFonts w:ascii="Book Antiqua" w:eastAsia="Book Antiqua" w:hAnsi="Book Antiqua" w:cs="Book Antiqua"/>
          <w:b/>
          <w:bCs/>
          <w:color w:val="000000"/>
        </w:rPr>
        <w:t>Papoudou</w:t>
      </w:r>
      <w:proofErr w:type="spellEnd"/>
      <w:r w:rsidRPr="003F7B7C">
        <w:rPr>
          <w:rFonts w:ascii="Book Antiqua" w:eastAsia="Book Antiqua" w:hAnsi="Book Antiqua" w:cs="Book Antiqua"/>
          <w:b/>
          <w:bCs/>
          <w:color w:val="000000"/>
        </w:rPr>
        <w:t>-Bai A</w:t>
      </w:r>
      <w:r w:rsidRPr="003F7B7C">
        <w:rPr>
          <w:rFonts w:ascii="Book Antiqua" w:eastAsia="Book Antiqua" w:hAnsi="Book Antiqua" w:cs="Book Antiqua"/>
          <w:color w:val="000000"/>
        </w:rPr>
        <w:t xml:space="preserve">, </w:t>
      </w:r>
      <w:proofErr w:type="spellStart"/>
      <w:r w:rsidRPr="003F7B7C">
        <w:rPr>
          <w:rFonts w:ascii="Book Antiqua" w:eastAsia="Book Antiqua" w:hAnsi="Book Antiqua" w:cs="Book Antiqua"/>
          <w:color w:val="000000"/>
        </w:rPr>
        <w:t>Vassou</w:t>
      </w:r>
      <w:proofErr w:type="spellEnd"/>
      <w:r w:rsidRPr="003F7B7C">
        <w:rPr>
          <w:rFonts w:ascii="Book Antiqua" w:eastAsia="Book Antiqua" w:hAnsi="Book Antiqua" w:cs="Book Antiqua"/>
          <w:color w:val="000000"/>
        </w:rPr>
        <w:t xml:space="preserve"> A, </w:t>
      </w:r>
      <w:proofErr w:type="spellStart"/>
      <w:r w:rsidRPr="003F7B7C">
        <w:rPr>
          <w:rFonts w:ascii="Book Antiqua" w:eastAsia="Book Antiqua" w:hAnsi="Book Antiqua" w:cs="Book Antiqua"/>
          <w:color w:val="000000"/>
        </w:rPr>
        <w:t>Marinos</w:t>
      </w:r>
      <w:proofErr w:type="spellEnd"/>
      <w:r w:rsidRPr="003F7B7C">
        <w:rPr>
          <w:rFonts w:ascii="Book Antiqua" w:eastAsia="Book Antiqua" w:hAnsi="Book Antiqua" w:cs="Book Antiqua"/>
          <w:color w:val="000000"/>
        </w:rPr>
        <w:t xml:space="preserve"> L, </w:t>
      </w:r>
      <w:proofErr w:type="spellStart"/>
      <w:r w:rsidRPr="003F7B7C">
        <w:rPr>
          <w:rFonts w:ascii="Book Antiqua" w:eastAsia="Book Antiqua" w:hAnsi="Book Antiqua" w:cs="Book Antiqua"/>
          <w:color w:val="000000"/>
        </w:rPr>
        <w:t>Papathanasiou</w:t>
      </w:r>
      <w:proofErr w:type="spellEnd"/>
      <w:r w:rsidRPr="003F7B7C">
        <w:rPr>
          <w:rFonts w:ascii="Book Antiqua" w:eastAsia="Book Antiqua" w:hAnsi="Book Antiqua" w:cs="Book Antiqua"/>
          <w:color w:val="000000"/>
        </w:rPr>
        <w:t xml:space="preserve"> K, </w:t>
      </w:r>
      <w:proofErr w:type="spellStart"/>
      <w:r w:rsidRPr="003F7B7C">
        <w:rPr>
          <w:rFonts w:ascii="Book Antiqua" w:eastAsia="Book Antiqua" w:hAnsi="Book Antiqua" w:cs="Book Antiqua"/>
          <w:color w:val="000000"/>
        </w:rPr>
        <w:t>Kapsali</w:t>
      </w:r>
      <w:proofErr w:type="spellEnd"/>
      <w:r w:rsidRPr="003F7B7C">
        <w:rPr>
          <w:rFonts w:ascii="Book Antiqua" w:eastAsia="Book Antiqua" w:hAnsi="Book Antiqua" w:cs="Book Antiqua"/>
          <w:color w:val="000000"/>
        </w:rPr>
        <w:t xml:space="preserve"> E, </w:t>
      </w:r>
      <w:proofErr w:type="spellStart"/>
      <w:r w:rsidRPr="003F7B7C">
        <w:rPr>
          <w:rFonts w:ascii="Book Antiqua" w:eastAsia="Book Antiqua" w:hAnsi="Book Antiqua" w:cs="Book Antiqua"/>
          <w:color w:val="000000"/>
        </w:rPr>
        <w:t>Kanavaros</w:t>
      </w:r>
      <w:proofErr w:type="spellEnd"/>
      <w:r w:rsidRPr="003F7B7C">
        <w:rPr>
          <w:rFonts w:ascii="Book Antiqua" w:eastAsia="Book Antiqua" w:hAnsi="Book Antiqua" w:cs="Book Antiqua"/>
          <w:color w:val="000000"/>
        </w:rPr>
        <w:t xml:space="preserve"> P. Concurrent cutaneous localization of Langerhans cell sarcoma and chronic lymphocytic leukemia/small lymphocytic lymphoma in a patient with a history of chronic lymphocytic leukemia/small lymphocytic lymphoma. </w:t>
      </w:r>
      <w:r w:rsidRPr="003F7B7C">
        <w:rPr>
          <w:rFonts w:ascii="Book Antiqua" w:eastAsia="Book Antiqua" w:hAnsi="Book Antiqua" w:cs="Book Antiqua"/>
          <w:i/>
          <w:iCs/>
          <w:color w:val="000000"/>
        </w:rPr>
        <w:t xml:space="preserve">J </w:t>
      </w:r>
      <w:proofErr w:type="spellStart"/>
      <w:r w:rsidRPr="003F7B7C">
        <w:rPr>
          <w:rFonts w:ascii="Book Antiqua" w:eastAsia="Book Antiqua" w:hAnsi="Book Antiqua" w:cs="Book Antiqua"/>
          <w:i/>
          <w:iCs/>
          <w:color w:val="000000"/>
        </w:rPr>
        <w:t>Cutan</w:t>
      </w:r>
      <w:proofErr w:type="spellEnd"/>
      <w:r w:rsidRPr="003F7B7C">
        <w:rPr>
          <w:rFonts w:ascii="Book Antiqua" w:eastAsia="Book Antiqua" w:hAnsi="Book Antiqua" w:cs="Book Antiqua"/>
          <w:i/>
          <w:iCs/>
          <w:color w:val="000000"/>
        </w:rPr>
        <w:t xml:space="preserve"> </w:t>
      </w:r>
      <w:proofErr w:type="spellStart"/>
      <w:r w:rsidRPr="003F7B7C">
        <w:rPr>
          <w:rFonts w:ascii="Book Antiqua" w:eastAsia="Book Antiqua" w:hAnsi="Book Antiqua" w:cs="Book Antiqua"/>
          <w:i/>
          <w:iCs/>
          <w:color w:val="000000"/>
        </w:rPr>
        <w:t>Pathol</w:t>
      </w:r>
      <w:proofErr w:type="spellEnd"/>
      <w:r w:rsidRPr="003F7B7C">
        <w:rPr>
          <w:rFonts w:ascii="Book Antiqua" w:eastAsia="Book Antiqua" w:hAnsi="Book Antiqua" w:cs="Book Antiqua"/>
          <w:color w:val="000000"/>
        </w:rPr>
        <w:t xml:space="preserve"> 2020; </w:t>
      </w:r>
      <w:r w:rsidRPr="003F7B7C">
        <w:rPr>
          <w:rFonts w:ascii="Book Antiqua" w:eastAsia="Book Antiqua" w:hAnsi="Book Antiqua" w:cs="Book Antiqua"/>
          <w:b/>
          <w:bCs/>
          <w:color w:val="000000"/>
        </w:rPr>
        <w:t>47</w:t>
      </w:r>
      <w:r w:rsidRPr="003F7B7C">
        <w:rPr>
          <w:rFonts w:ascii="Book Antiqua" w:eastAsia="Book Antiqua" w:hAnsi="Book Antiqua" w:cs="Book Antiqua"/>
          <w:color w:val="000000"/>
        </w:rPr>
        <w:t>: 161-165 [PMID: 31441945 DOI: 10.1111/cup.13571]</w:t>
      </w:r>
    </w:p>
    <w:p w14:paraId="79EAEACB"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5 </w:t>
      </w:r>
      <w:r w:rsidRPr="003F7B7C">
        <w:rPr>
          <w:rFonts w:ascii="Book Antiqua" w:eastAsia="Book Antiqua" w:hAnsi="Book Antiqua" w:cs="Book Antiqua"/>
          <w:b/>
          <w:bCs/>
          <w:color w:val="000000"/>
        </w:rPr>
        <w:t>Shao H</w:t>
      </w:r>
      <w:r w:rsidRPr="003F7B7C">
        <w:rPr>
          <w:rFonts w:ascii="Book Antiqua" w:eastAsia="Book Antiqua" w:hAnsi="Book Antiqua" w:cs="Book Antiqua"/>
          <w:color w:val="000000"/>
        </w:rPr>
        <w:t xml:space="preserve">, Xi L, </w:t>
      </w:r>
      <w:proofErr w:type="spellStart"/>
      <w:r w:rsidRPr="003F7B7C">
        <w:rPr>
          <w:rFonts w:ascii="Book Antiqua" w:eastAsia="Book Antiqua" w:hAnsi="Book Antiqua" w:cs="Book Antiqua"/>
          <w:color w:val="000000"/>
        </w:rPr>
        <w:t>Raffeld</w:t>
      </w:r>
      <w:proofErr w:type="spellEnd"/>
      <w:r w:rsidRPr="003F7B7C">
        <w:rPr>
          <w:rFonts w:ascii="Book Antiqua" w:eastAsia="Book Antiqua" w:hAnsi="Book Antiqua" w:cs="Book Antiqua"/>
          <w:color w:val="000000"/>
        </w:rPr>
        <w:t xml:space="preserve"> M, Feldman AL, </w:t>
      </w:r>
      <w:proofErr w:type="spellStart"/>
      <w:r w:rsidRPr="003F7B7C">
        <w:rPr>
          <w:rFonts w:ascii="Book Antiqua" w:eastAsia="Book Antiqua" w:hAnsi="Book Antiqua" w:cs="Book Antiqua"/>
          <w:color w:val="000000"/>
        </w:rPr>
        <w:t>Ketterling</w:t>
      </w:r>
      <w:proofErr w:type="spellEnd"/>
      <w:r w:rsidRPr="003F7B7C">
        <w:rPr>
          <w:rFonts w:ascii="Book Antiqua" w:eastAsia="Book Antiqua" w:hAnsi="Book Antiqua" w:cs="Book Antiqua"/>
          <w:color w:val="000000"/>
        </w:rPr>
        <w:t xml:space="preserve"> RP, Knudson R, Rodriguez-Canales J, Hanson J, </w:t>
      </w:r>
      <w:proofErr w:type="spellStart"/>
      <w:r w:rsidRPr="003F7B7C">
        <w:rPr>
          <w:rFonts w:ascii="Book Antiqua" w:eastAsia="Book Antiqua" w:hAnsi="Book Antiqua" w:cs="Book Antiqua"/>
          <w:color w:val="000000"/>
        </w:rPr>
        <w:t>Pittaluga</w:t>
      </w:r>
      <w:proofErr w:type="spellEnd"/>
      <w:r w:rsidRPr="003F7B7C">
        <w:rPr>
          <w:rFonts w:ascii="Book Antiqua" w:eastAsia="Book Antiqua" w:hAnsi="Book Antiqua" w:cs="Book Antiqua"/>
          <w:color w:val="000000"/>
        </w:rPr>
        <w:t xml:space="preserve"> S, Jaffe ES. Clonally related histiocytic/dendritic cell sarcoma and chronic lymphocytic leukemia/small lymphocytic lymphoma: a study of seven cases. </w:t>
      </w:r>
      <w:r w:rsidRPr="003F7B7C">
        <w:rPr>
          <w:rFonts w:ascii="Book Antiqua" w:eastAsia="Book Antiqua" w:hAnsi="Book Antiqua" w:cs="Book Antiqua"/>
          <w:i/>
          <w:iCs/>
          <w:color w:val="000000"/>
        </w:rPr>
        <w:t xml:space="preserve">Mod </w:t>
      </w:r>
      <w:proofErr w:type="spellStart"/>
      <w:r w:rsidRPr="003F7B7C">
        <w:rPr>
          <w:rFonts w:ascii="Book Antiqua" w:eastAsia="Book Antiqua" w:hAnsi="Book Antiqua" w:cs="Book Antiqua"/>
          <w:i/>
          <w:iCs/>
          <w:color w:val="000000"/>
        </w:rPr>
        <w:t>Pathol</w:t>
      </w:r>
      <w:proofErr w:type="spellEnd"/>
      <w:r w:rsidRPr="003F7B7C">
        <w:rPr>
          <w:rFonts w:ascii="Book Antiqua" w:eastAsia="Book Antiqua" w:hAnsi="Book Antiqua" w:cs="Book Antiqua"/>
          <w:color w:val="000000"/>
        </w:rPr>
        <w:t xml:space="preserve"> 2011; </w:t>
      </w:r>
      <w:r w:rsidRPr="003F7B7C">
        <w:rPr>
          <w:rFonts w:ascii="Book Antiqua" w:eastAsia="Book Antiqua" w:hAnsi="Book Antiqua" w:cs="Book Antiqua"/>
          <w:b/>
          <w:bCs/>
          <w:color w:val="000000"/>
        </w:rPr>
        <w:t>24</w:t>
      </w:r>
      <w:r w:rsidRPr="003F7B7C">
        <w:rPr>
          <w:rFonts w:ascii="Book Antiqua" w:eastAsia="Book Antiqua" w:hAnsi="Book Antiqua" w:cs="Book Antiqua"/>
          <w:color w:val="000000"/>
        </w:rPr>
        <w:t>: 1421-1432 [PMID: 21666687 DOI: 10.1038/modpathol.2011.102]</w:t>
      </w:r>
    </w:p>
    <w:p w14:paraId="443E6D59"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6 </w:t>
      </w:r>
      <w:r w:rsidRPr="003F7B7C">
        <w:rPr>
          <w:rFonts w:ascii="Book Antiqua" w:eastAsia="Book Antiqua" w:hAnsi="Book Antiqua" w:cs="Book Antiqua"/>
          <w:b/>
          <w:bCs/>
          <w:color w:val="000000"/>
        </w:rPr>
        <w:t>Chen W</w:t>
      </w:r>
      <w:r w:rsidRPr="003F7B7C">
        <w:rPr>
          <w:rFonts w:ascii="Book Antiqua" w:eastAsia="Book Antiqua" w:hAnsi="Book Antiqua" w:cs="Book Antiqua"/>
          <w:color w:val="000000"/>
        </w:rPr>
        <w:t xml:space="preserve">, Jaffe R, Zhang L, Hill C, Block AM, </w:t>
      </w:r>
      <w:proofErr w:type="spellStart"/>
      <w:r w:rsidRPr="003F7B7C">
        <w:rPr>
          <w:rFonts w:ascii="Book Antiqua" w:eastAsia="Book Antiqua" w:hAnsi="Book Antiqua" w:cs="Book Antiqua"/>
          <w:color w:val="000000"/>
        </w:rPr>
        <w:t>Sait</w:t>
      </w:r>
      <w:proofErr w:type="spellEnd"/>
      <w:r w:rsidRPr="003F7B7C">
        <w:rPr>
          <w:rFonts w:ascii="Book Antiqua" w:eastAsia="Book Antiqua" w:hAnsi="Book Antiqua" w:cs="Book Antiqua"/>
          <w:color w:val="000000"/>
        </w:rPr>
        <w:t xml:space="preserve"> S, Song B, Liu Y, Cai D. Langerhans Cell Sarcoma Arising from Chronic Lymphocytic Lymphoma/Small Lymphocytic Leukemia: Lineage Analysis and BRAF V600E Mutation Study. </w:t>
      </w:r>
      <w:r w:rsidRPr="003F7B7C">
        <w:rPr>
          <w:rFonts w:ascii="Book Antiqua" w:eastAsia="Book Antiqua" w:hAnsi="Book Antiqua" w:cs="Book Antiqua"/>
          <w:i/>
          <w:iCs/>
          <w:color w:val="000000"/>
        </w:rPr>
        <w:t>N Am J Med Sci</w:t>
      </w:r>
      <w:r w:rsidRPr="003F7B7C">
        <w:rPr>
          <w:rFonts w:ascii="Book Antiqua" w:eastAsia="Book Antiqua" w:hAnsi="Book Antiqua" w:cs="Book Antiqua"/>
          <w:color w:val="000000"/>
        </w:rPr>
        <w:t xml:space="preserve"> 2013; </w:t>
      </w:r>
      <w:r w:rsidRPr="003F7B7C">
        <w:rPr>
          <w:rFonts w:ascii="Book Antiqua" w:eastAsia="Book Antiqua" w:hAnsi="Book Antiqua" w:cs="Book Antiqua"/>
          <w:b/>
          <w:bCs/>
          <w:color w:val="000000"/>
        </w:rPr>
        <w:t>5</w:t>
      </w:r>
      <w:r w:rsidRPr="003F7B7C">
        <w:rPr>
          <w:rFonts w:ascii="Book Antiqua" w:eastAsia="Book Antiqua" w:hAnsi="Book Antiqua" w:cs="Book Antiqua"/>
          <w:color w:val="000000"/>
        </w:rPr>
        <w:t>: 386-391 [PMID: 23923114 DOI: 10.4103/1947-2714.114172]</w:t>
      </w:r>
    </w:p>
    <w:p w14:paraId="29F5D60F"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7 </w:t>
      </w:r>
      <w:r w:rsidRPr="003F7B7C">
        <w:rPr>
          <w:rFonts w:ascii="Book Antiqua" w:eastAsia="Book Antiqua" w:hAnsi="Book Antiqua" w:cs="Book Antiqua"/>
          <w:b/>
          <w:bCs/>
          <w:color w:val="000000"/>
        </w:rPr>
        <w:t>Shipman L</w:t>
      </w:r>
      <w:r w:rsidRPr="003F7B7C">
        <w:rPr>
          <w:rFonts w:ascii="Book Antiqua" w:eastAsia="Book Antiqua" w:hAnsi="Book Antiqua" w:cs="Book Antiqua"/>
          <w:color w:val="000000"/>
        </w:rPr>
        <w:t xml:space="preserve">. Rheumatoid arthritis: Immunosuppressive therapies and cancer risk. </w:t>
      </w:r>
      <w:r w:rsidRPr="003F7B7C">
        <w:rPr>
          <w:rFonts w:ascii="Book Antiqua" w:eastAsia="Book Antiqua" w:hAnsi="Book Antiqua" w:cs="Book Antiqua"/>
          <w:i/>
          <w:iCs/>
          <w:color w:val="000000"/>
        </w:rPr>
        <w:t xml:space="preserve">Nat Rev </w:t>
      </w:r>
      <w:proofErr w:type="spellStart"/>
      <w:r w:rsidRPr="003F7B7C">
        <w:rPr>
          <w:rFonts w:ascii="Book Antiqua" w:eastAsia="Book Antiqua" w:hAnsi="Book Antiqua" w:cs="Book Antiqua"/>
          <w:i/>
          <w:iCs/>
          <w:color w:val="000000"/>
        </w:rPr>
        <w:t>Rheumatol</w:t>
      </w:r>
      <w:proofErr w:type="spellEnd"/>
      <w:r w:rsidRPr="003F7B7C">
        <w:rPr>
          <w:rFonts w:ascii="Book Antiqua" w:eastAsia="Book Antiqua" w:hAnsi="Book Antiqua" w:cs="Book Antiqua"/>
          <w:color w:val="000000"/>
        </w:rPr>
        <w:t xml:space="preserve"> 2016; </w:t>
      </w:r>
      <w:r w:rsidRPr="003F7B7C">
        <w:rPr>
          <w:rFonts w:ascii="Book Antiqua" w:eastAsia="Book Antiqua" w:hAnsi="Book Antiqua" w:cs="Book Antiqua"/>
          <w:b/>
          <w:bCs/>
          <w:color w:val="000000"/>
        </w:rPr>
        <w:t>12</w:t>
      </w:r>
      <w:r w:rsidRPr="003F7B7C">
        <w:rPr>
          <w:rFonts w:ascii="Book Antiqua" w:eastAsia="Book Antiqua" w:hAnsi="Book Antiqua" w:cs="Book Antiqua"/>
          <w:color w:val="000000"/>
        </w:rPr>
        <w:t>: 374 [PMID: 27225303 DOI: 10.1038/nrrheum.2016.88]</w:t>
      </w:r>
    </w:p>
    <w:p w14:paraId="5721D869"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lastRenderedPageBreak/>
        <w:t xml:space="preserve">8 </w:t>
      </w:r>
      <w:r w:rsidRPr="003F7B7C">
        <w:rPr>
          <w:rFonts w:ascii="Book Antiqua" w:eastAsia="Book Antiqua" w:hAnsi="Book Antiqua" w:cs="Book Antiqua"/>
          <w:b/>
          <w:bCs/>
          <w:color w:val="000000"/>
        </w:rPr>
        <w:t>Yoshimi A</w:t>
      </w:r>
      <w:r w:rsidRPr="003F7B7C">
        <w:rPr>
          <w:rFonts w:ascii="Book Antiqua" w:eastAsia="Book Antiqua" w:hAnsi="Book Antiqua" w:cs="Book Antiqua"/>
          <w:color w:val="000000"/>
        </w:rPr>
        <w:t xml:space="preserve">, Kumano K, </w:t>
      </w:r>
      <w:proofErr w:type="spellStart"/>
      <w:r w:rsidRPr="003F7B7C">
        <w:rPr>
          <w:rFonts w:ascii="Book Antiqua" w:eastAsia="Book Antiqua" w:hAnsi="Book Antiqua" w:cs="Book Antiqua"/>
          <w:color w:val="000000"/>
        </w:rPr>
        <w:t>Motokura</w:t>
      </w:r>
      <w:proofErr w:type="spellEnd"/>
      <w:r w:rsidRPr="003F7B7C">
        <w:rPr>
          <w:rFonts w:ascii="Book Antiqua" w:eastAsia="Book Antiqua" w:hAnsi="Book Antiqua" w:cs="Book Antiqua"/>
          <w:color w:val="000000"/>
        </w:rPr>
        <w:t xml:space="preserve"> T, </w:t>
      </w:r>
      <w:proofErr w:type="spellStart"/>
      <w:r w:rsidRPr="003F7B7C">
        <w:rPr>
          <w:rFonts w:ascii="Book Antiqua" w:eastAsia="Book Antiqua" w:hAnsi="Book Antiqua" w:cs="Book Antiqua"/>
          <w:color w:val="000000"/>
        </w:rPr>
        <w:t>Takazawa</w:t>
      </w:r>
      <w:proofErr w:type="spellEnd"/>
      <w:r w:rsidRPr="003F7B7C">
        <w:rPr>
          <w:rFonts w:ascii="Book Antiqua" w:eastAsia="Book Antiqua" w:hAnsi="Book Antiqua" w:cs="Book Antiqua"/>
          <w:color w:val="000000"/>
        </w:rPr>
        <w:t xml:space="preserve"> Y, Oota S, Chiba S, Takahashi T, </w:t>
      </w:r>
      <w:proofErr w:type="spellStart"/>
      <w:r w:rsidRPr="003F7B7C">
        <w:rPr>
          <w:rFonts w:ascii="Book Antiqua" w:eastAsia="Book Antiqua" w:hAnsi="Book Antiqua" w:cs="Book Antiqua"/>
          <w:color w:val="000000"/>
        </w:rPr>
        <w:t>Fukayama</w:t>
      </w:r>
      <w:proofErr w:type="spellEnd"/>
      <w:r w:rsidRPr="003F7B7C">
        <w:rPr>
          <w:rFonts w:ascii="Book Antiqua" w:eastAsia="Book Antiqua" w:hAnsi="Book Antiqua" w:cs="Book Antiqua"/>
          <w:color w:val="000000"/>
        </w:rPr>
        <w:t xml:space="preserve"> M, </w:t>
      </w:r>
      <w:proofErr w:type="spellStart"/>
      <w:r w:rsidRPr="003F7B7C">
        <w:rPr>
          <w:rFonts w:ascii="Book Antiqua" w:eastAsia="Book Antiqua" w:hAnsi="Book Antiqua" w:cs="Book Antiqua"/>
          <w:color w:val="000000"/>
        </w:rPr>
        <w:t>Kurokawa</w:t>
      </w:r>
      <w:proofErr w:type="spellEnd"/>
      <w:r w:rsidRPr="003F7B7C">
        <w:rPr>
          <w:rFonts w:ascii="Book Antiqua" w:eastAsia="Book Antiqua" w:hAnsi="Book Antiqua" w:cs="Book Antiqua"/>
          <w:color w:val="000000"/>
        </w:rPr>
        <w:t xml:space="preserve"> M. ESHAP therapy effective in a patient with Langerhans cell sarcoma. </w:t>
      </w:r>
      <w:r w:rsidRPr="003F7B7C">
        <w:rPr>
          <w:rFonts w:ascii="Book Antiqua" w:eastAsia="Book Antiqua" w:hAnsi="Book Antiqua" w:cs="Book Antiqua"/>
          <w:i/>
          <w:iCs/>
          <w:color w:val="000000"/>
        </w:rPr>
        <w:t xml:space="preserve">Int J </w:t>
      </w:r>
      <w:proofErr w:type="spellStart"/>
      <w:r w:rsidRPr="003F7B7C">
        <w:rPr>
          <w:rFonts w:ascii="Book Antiqua" w:eastAsia="Book Antiqua" w:hAnsi="Book Antiqua" w:cs="Book Antiqua"/>
          <w:i/>
          <w:iCs/>
          <w:color w:val="000000"/>
        </w:rPr>
        <w:t>Hematol</w:t>
      </w:r>
      <w:proofErr w:type="spellEnd"/>
      <w:r w:rsidRPr="003F7B7C">
        <w:rPr>
          <w:rFonts w:ascii="Book Antiqua" w:eastAsia="Book Antiqua" w:hAnsi="Book Antiqua" w:cs="Book Antiqua"/>
          <w:color w:val="000000"/>
        </w:rPr>
        <w:t xml:space="preserve"> 2008; </w:t>
      </w:r>
      <w:r w:rsidRPr="003F7B7C">
        <w:rPr>
          <w:rFonts w:ascii="Book Antiqua" w:eastAsia="Book Antiqua" w:hAnsi="Book Antiqua" w:cs="Book Antiqua"/>
          <w:b/>
          <w:bCs/>
          <w:color w:val="000000"/>
        </w:rPr>
        <w:t>87</w:t>
      </w:r>
      <w:r w:rsidRPr="003F7B7C">
        <w:rPr>
          <w:rFonts w:ascii="Book Antiqua" w:eastAsia="Book Antiqua" w:hAnsi="Book Antiqua" w:cs="Book Antiqua"/>
          <w:color w:val="000000"/>
        </w:rPr>
        <w:t>: 532-537 [PMID: 18415657 DOI: 10.1007/s12185-008-0075-6]</w:t>
      </w:r>
    </w:p>
    <w:p w14:paraId="4878219D"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9 </w:t>
      </w:r>
      <w:proofErr w:type="spellStart"/>
      <w:r w:rsidRPr="003F7B7C">
        <w:rPr>
          <w:rFonts w:ascii="Book Antiqua" w:eastAsia="Book Antiqua" w:hAnsi="Book Antiqua" w:cs="Book Antiqua"/>
          <w:b/>
          <w:bCs/>
          <w:color w:val="000000"/>
        </w:rPr>
        <w:t>AlBugami</w:t>
      </w:r>
      <w:proofErr w:type="spellEnd"/>
      <w:r w:rsidRPr="003F7B7C">
        <w:rPr>
          <w:rFonts w:ascii="Book Antiqua" w:eastAsia="Book Antiqua" w:hAnsi="Book Antiqua" w:cs="Book Antiqua"/>
          <w:b/>
          <w:bCs/>
          <w:color w:val="000000"/>
        </w:rPr>
        <w:t xml:space="preserve"> M</w:t>
      </w:r>
      <w:r w:rsidRPr="003F7B7C">
        <w:rPr>
          <w:rFonts w:ascii="Book Antiqua" w:eastAsia="Book Antiqua" w:hAnsi="Book Antiqua" w:cs="Book Antiqua"/>
          <w:color w:val="000000"/>
        </w:rPr>
        <w:t xml:space="preserve">, </w:t>
      </w:r>
      <w:proofErr w:type="spellStart"/>
      <w:r w:rsidRPr="003F7B7C">
        <w:rPr>
          <w:rFonts w:ascii="Book Antiqua" w:eastAsia="Book Antiqua" w:hAnsi="Book Antiqua" w:cs="Book Antiqua"/>
          <w:color w:val="000000"/>
        </w:rPr>
        <w:t>Kiberd</w:t>
      </w:r>
      <w:proofErr w:type="spellEnd"/>
      <w:r w:rsidRPr="003F7B7C">
        <w:rPr>
          <w:rFonts w:ascii="Book Antiqua" w:eastAsia="Book Antiqua" w:hAnsi="Book Antiqua" w:cs="Book Antiqua"/>
          <w:color w:val="000000"/>
        </w:rPr>
        <w:t xml:space="preserve"> B. Malignancies: pre and post transplantation strategies. </w:t>
      </w:r>
      <w:r w:rsidRPr="003F7B7C">
        <w:rPr>
          <w:rFonts w:ascii="Book Antiqua" w:eastAsia="Book Antiqua" w:hAnsi="Book Antiqua" w:cs="Book Antiqua"/>
          <w:i/>
          <w:iCs/>
          <w:color w:val="000000"/>
        </w:rPr>
        <w:t>Transplant Rev (Orlando)</w:t>
      </w:r>
      <w:r w:rsidRPr="003F7B7C">
        <w:rPr>
          <w:rFonts w:ascii="Book Antiqua" w:eastAsia="Book Antiqua" w:hAnsi="Book Antiqua" w:cs="Book Antiqua"/>
          <w:color w:val="000000"/>
        </w:rPr>
        <w:t xml:space="preserve"> 2014; </w:t>
      </w:r>
      <w:r w:rsidRPr="003F7B7C">
        <w:rPr>
          <w:rFonts w:ascii="Book Antiqua" w:eastAsia="Book Antiqua" w:hAnsi="Book Antiqua" w:cs="Book Antiqua"/>
          <w:b/>
          <w:bCs/>
          <w:color w:val="000000"/>
        </w:rPr>
        <w:t>28</w:t>
      </w:r>
      <w:r w:rsidRPr="003F7B7C">
        <w:rPr>
          <w:rFonts w:ascii="Book Antiqua" w:eastAsia="Book Antiqua" w:hAnsi="Book Antiqua" w:cs="Book Antiqua"/>
          <w:color w:val="000000"/>
        </w:rPr>
        <w:t>: 76-83 [PMID: 24439783 DOI: 10.1016/j.trre.2013.12.002]</w:t>
      </w:r>
    </w:p>
    <w:p w14:paraId="43AE6C56"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10 </w:t>
      </w:r>
      <w:r w:rsidRPr="003F7B7C">
        <w:rPr>
          <w:rFonts w:ascii="Book Antiqua" w:eastAsia="Book Antiqua" w:hAnsi="Book Antiqua" w:cs="Book Antiqua"/>
          <w:b/>
          <w:bCs/>
          <w:color w:val="000000"/>
        </w:rPr>
        <w:t>Murakami I</w:t>
      </w:r>
      <w:r w:rsidRPr="003F7B7C">
        <w:rPr>
          <w:rFonts w:ascii="Book Antiqua" w:eastAsia="Book Antiqua" w:hAnsi="Book Antiqua" w:cs="Book Antiqua"/>
          <w:color w:val="000000"/>
        </w:rPr>
        <w:t xml:space="preserve">, Matsushita M, Iwasaki T, </w:t>
      </w:r>
      <w:proofErr w:type="spellStart"/>
      <w:r w:rsidRPr="003F7B7C">
        <w:rPr>
          <w:rFonts w:ascii="Book Antiqua" w:eastAsia="Book Antiqua" w:hAnsi="Book Antiqua" w:cs="Book Antiqua"/>
          <w:color w:val="000000"/>
        </w:rPr>
        <w:t>Kuwamoto</w:t>
      </w:r>
      <w:proofErr w:type="spellEnd"/>
      <w:r w:rsidRPr="003F7B7C">
        <w:rPr>
          <w:rFonts w:ascii="Book Antiqua" w:eastAsia="Book Antiqua" w:hAnsi="Book Antiqua" w:cs="Book Antiqua"/>
          <w:color w:val="000000"/>
        </w:rPr>
        <w:t xml:space="preserve"> S, Kato M, </w:t>
      </w:r>
      <w:proofErr w:type="spellStart"/>
      <w:r w:rsidRPr="003F7B7C">
        <w:rPr>
          <w:rFonts w:ascii="Book Antiqua" w:eastAsia="Book Antiqua" w:hAnsi="Book Antiqua" w:cs="Book Antiqua"/>
          <w:color w:val="000000"/>
        </w:rPr>
        <w:t>Horie</w:t>
      </w:r>
      <w:proofErr w:type="spellEnd"/>
      <w:r w:rsidRPr="003F7B7C">
        <w:rPr>
          <w:rFonts w:ascii="Book Antiqua" w:eastAsia="Book Antiqua" w:hAnsi="Book Antiqua" w:cs="Book Antiqua"/>
          <w:color w:val="000000"/>
        </w:rPr>
        <w:t xml:space="preserve"> Y, Hayashi K, </w:t>
      </w:r>
      <w:proofErr w:type="spellStart"/>
      <w:r w:rsidRPr="003F7B7C">
        <w:rPr>
          <w:rFonts w:ascii="Book Antiqua" w:eastAsia="Book Antiqua" w:hAnsi="Book Antiqua" w:cs="Book Antiqua"/>
          <w:color w:val="000000"/>
        </w:rPr>
        <w:t>Gogusev</w:t>
      </w:r>
      <w:proofErr w:type="spellEnd"/>
      <w:r w:rsidRPr="003F7B7C">
        <w:rPr>
          <w:rFonts w:ascii="Book Antiqua" w:eastAsia="Book Antiqua" w:hAnsi="Book Antiqua" w:cs="Book Antiqua"/>
          <w:color w:val="000000"/>
        </w:rPr>
        <w:t xml:space="preserve"> J, </w:t>
      </w:r>
      <w:proofErr w:type="spellStart"/>
      <w:r w:rsidRPr="003F7B7C">
        <w:rPr>
          <w:rFonts w:ascii="Book Antiqua" w:eastAsia="Book Antiqua" w:hAnsi="Book Antiqua" w:cs="Book Antiqua"/>
          <w:color w:val="000000"/>
        </w:rPr>
        <w:t>Jaubert</w:t>
      </w:r>
      <w:proofErr w:type="spellEnd"/>
      <w:r w:rsidRPr="003F7B7C">
        <w:rPr>
          <w:rFonts w:ascii="Book Antiqua" w:eastAsia="Book Antiqua" w:hAnsi="Book Antiqua" w:cs="Book Antiqua"/>
          <w:color w:val="000000"/>
        </w:rPr>
        <w:t xml:space="preserve"> F, Nakamoto S, </w:t>
      </w:r>
      <w:proofErr w:type="spellStart"/>
      <w:r w:rsidRPr="003F7B7C">
        <w:rPr>
          <w:rFonts w:ascii="Book Antiqua" w:eastAsia="Book Antiqua" w:hAnsi="Book Antiqua" w:cs="Book Antiqua"/>
          <w:color w:val="000000"/>
        </w:rPr>
        <w:t>Yamakawa</w:t>
      </w:r>
      <w:proofErr w:type="spellEnd"/>
      <w:r w:rsidRPr="003F7B7C">
        <w:rPr>
          <w:rFonts w:ascii="Book Antiqua" w:eastAsia="Book Antiqua" w:hAnsi="Book Antiqua" w:cs="Book Antiqua"/>
          <w:color w:val="000000"/>
        </w:rPr>
        <w:t xml:space="preserve"> M, </w:t>
      </w:r>
      <w:proofErr w:type="spellStart"/>
      <w:r w:rsidRPr="003F7B7C">
        <w:rPr>
          <w:rFonts w:ascii="Book Antiqua" w:eastAsia="Book Antiqua" w:hAnsi="Book Antiqua" w:cs="Book Antiqua"/>
          <w:color w:val="000000"/>
        </w:rPr>
        <w:t>Nakamine</w:t>
      </w:r>
      <w:proofErr w:type="spellEnd"/>
      <w:r w:rsidRPr="003F7B7C">
        <w:rPr>
          <w:rFonts w:ascii="Book Antiqua" w:eastAsia="Book Antiqua" w:hAnsi="Book Antiqua" w:cs="Book Antiqua"/>
          <w:color w:val="000000"/>
        </w:rPr>
        <w:t xml:space="preserve"> H, Takata K, Oka T, Yoshino T. High viral load of Merkel cell polyomavirus DNA sequences in Langerhans cell sarcoma tissues. </w:t>
      </w:r>
      <w:r w:rsidRPr="003F7B7C">
        <w:rPr>
          <w:rFonts w:ascii="Book Antiqua" w:eastAsia="Book Antiqua" w:hAnsi="Book Antiqua" w:cs="Book Antiqua"/>
          <w:i/>
          <w:iCs/>
          <w:color w:val="000000"/>
        </w:rPr>
        <w:t>Infect Agent Cancer</w:t>
      </w:r>
      <w:r w:rsidRPr="003F7B7C">
        <w:rPr>
          <w:rFonts w:ascii="Book Antiqua" w:eastAsia="Book Antiqua" w:hAnsi="Book Antiqua" w:cs="Book Antiqua"/>
          <w:color w:val="000000"/>
        </w:rPr>
        <w:t xml:space="preserve"> 2014; </w:t>
      </w:r>
      <w:r w:rsidRPr="003F7B7C">
        <w:rPr>
          <w:rFonts w:ascii="Book Antiqua" w:eastAsia="Book Antiqua" w:hAnsi="Book Antiqua" w:cs="Book Antiqua"/>
          <w:b/>
          <w:bCs/>
          <w:color w:val="000000"/>
        </w:rPr>
        <w:t>9</w:t>
      </w:r>
      <w:r w:rsidRPr="003F7B7C">
        <w:rPr>
          <w:rFonts w:ascii="Book Antiqua" w:eastAsia="Book Antiqua" w:hAnsi="Book Antiqua" w:cs="Book Antiqua"/>
          <w:color w:val="000000"/>
        </w:rPr>
        <w:t>: 15 [PMID: 24834110 DOI: 10.1186/1750-9378-9-15]</w:t>
      </w:r>
    </w:p>
    <w:p w14:paraId="157EF317"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11 </w:t>
      </w:r>
      <w:r w:rsidRPr="003F7B7C">
        <w:rPr>
          <w:rFonts w:ascii="Book Antiqua" w:eastAsia="Book Antiqua" w:hAnsi="Book Antiqua" w:cs="Book Antiqua"/>
          <w:b/>
          <w:bCs/>
          <w:color w:val="000000"/>
        </w:rPr>
        <w:t>Fraser CR</w:t>
      </w:r>
      <w:r w:rsidRPr="003F7B7C">
        <w:rPr>
          <w:rFonts w:ascii="Book Antiqua" w:eastAsia="Book Antiqua" w:hAnsi="Book Antiqua" w:cs="Book Antiqua"/>
          <w:color w:val="000000"/>
        </w:rPr>
        <w:t xml:space="preserve">, Wang W, Gomez M, Zhang T, Mathew S, Furman RR, Knowles DM, </w:t>
      </w:r>
      <w:proofErr w:type="spellStart"/>
      <w:r w:rsidRPr="003F7B7C">
        <w:rPr>
          <w:rFonts w:ascii="Book Antiqua" w:eastAsia="Book Antiqua" w:hAnsi="Book Antiqua" w:cs="Book Antiqua"/>
          <w:color w:val="000000"/>
        </w:rPr>
        <w:t>Orazi</w:t>
      </w:r>
      <w:proofErr w:type="spellEnd"/>
      <w:r w:rsidRPr="003F7B7C">
        <w:rPr>
          <w:rFonts w:ascii="Book Antiqua" w:eastAsia="Book Antiqua" w:hAnsi="Book Antiqua" w:cs="Book Antiqua"/>
          <w:color w:val="000000"/>
        </w:rPr>
        <w:t xml:space="preserve"> A, Tam W. Transformation of chronic lymphocytic leukemia/small lymphocytic lymphoma to interdigitating dendritic cell sarcoma: evidence for transdifferentiation of the lymphoma clone. </w:t>
      </w:r>
      <w:r w:rsidRPr="003F7B7C">
        <w:rPr>
          <w:rFonts w:ascii="Book Antiqua" w:eastAsia="Book Antiqua" w:hAnsi="Book Antiqua" w:cs="Book Antiqua"/>
          <w:i/>
          <w:iCs/>
          <w:color w:val="000000"/>
        </w:rPr>
        <w:t xml:space="preserve">Am J Clin </w:t>
      </w:r>
      <w:proofErr w:type="spellStart"/>
      <w:r w:rsidRPr="003F7B7C">
        <w:rPr>
          <w:rFonts w:ascii="Book Antiqua" w:eastAsia="Book Antiqua" w:hAnsi="Book Antiqua" w:cs="Book Antiqua"/>
          <w:i/>
          <w:iCs/>
          <w:color w:val="000000"/>
        </w:rPr>
        <w:t>Pathol</w:t>
      </w:r>
      <w:proofErr w:type="spellEnd"/>
      <w:r w:rsidRPr="003F7B7C">
        <w:rPr>
          <w:rFonts w:ascii="Book Antiqua" w:eastAsia="Book Antiqua" w:hAnsi="Book Antiqua" w:cs="Book Antiqua"/>
          <w:color w:val="000000"/>
        </w:rPr>
        <w:t xml:space="preserve"> 2009; </w:t>
      </w:r>
      <w:r w:rsidRPr="003F7B7C">
        <w:rPr>
          <w:rFonts w:ascii="Book Antiqua" w:eastAsia="Book Antiqua" w:hAnsi="Book Antiqua" w:cs="Book Antiqua"/>
          <w:b/>
          <w:bCs/>
          <w:color w:val="000000"/>
        </w:rPr>
        <w:t>132</w:t>
      </w:r>
      <w:r w:rsidRPr="003F7B7C">
        <w:rPr>
          <w:rFonts w:ascii="Book Antiqua" w:eastAsia="Book Antiqua" w:hAnsi="Book Antiqua" w:cs="Book Antiqua"/>
          <w:color w:val="000000"/>
        </w:rPr>
        <w:t>: 928-939 [PMID: 19926586 DOI: 10.1309/AJCPWQ0I0DGXBMHO]</w:t>
      </w:r>
    </w:p>
    <w:p w14:paraId="424076A6"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12 </w:t>
      </w:r>
      <w:r w:rsidRPr="003F7B7C">
        <w:rPr>
          <w:rFonts w:ascii="Book Antiqua" w:eastAsia="Book Antiqua" w:hAnsi="Book Antiqua" w:cs="Book Antiqua"/>
          <w:b/>
          <w:bCs/>
          <w:color w:val="000000"/>
        </w:rPr>
        <w:t>Skala SL</w:t>
      </w:r>
      <w:r w:rsidRPr="003F7B7C">
        <w:rPr>
          <w:rFonts w:ascii="Book Antiqua" w:eastAsia="Book Antiqua" w:hAnsi="Book Antiqua" w:cs="Book Antiqua"/>
          <w:color w:val="000000"/>
        </w:rPr>
        <w:t xml:space="preserve">, Ye JC, </w:t>
      </w:r>
      <w:proofErr w:type="spellStart"/>
      <w:r w:rsidRPr="003F7B7C">
        <w:rPr>
          <w:rFonts w:ascii="Book Antiqua" w:eastAsia="Book Antiqua" w:hAnsi="Book Antiqua" w:cs="Book Antiqua"/>
          <w:color w:val="000000"/>
        </w:rPr>
        <w:t>Stumph</w:t>
      </w:r>
      <w:proofErr w:type="spellEnd"/>
      <w:r w:rsidRPr="003F7B7C">
        <w:rPr>
          <w:rFonts w:ascii="Book Antiqua" w:eastAsia="Book Antiqua" w:hAnsi="Book Antiqua" w:cs="Book Antiqua"/>
          <w:color w:val="000000"/>
        </w:rPr>
        <w:t xml:space="preserve"> J, Macon WR, Quinones FR, </w:t>
      </w:r>
      <w:proofErr w:type="spellStart"/>
      <w:r w:rsidRPr="003F7B7C">
        <w:rPr>
          <w:rFonts w:ascii="Book Antiqua" w:eastAsia="Book Antiqua" w:hAnsi="Book Antiqua" w:cs="Book Antiqua"/>
          <w:color w:val="000000"/>
        </w:rPr>
        <w:t>Khachaturov</w:t>
      </w:r>
      <w:proofErr w:type="spellEnd"/>
      <w:r w:rsidRPr="003F7B7C">
        <w:rPr>
          <w:rFonts w:ascii="Book Antiqua" w:eastAsia="Book Antiqua" w:hAnsi="Book Antiqua" w:cs="Book Antiqua"/>
          <w:color w:val="000000"/>
        </w:rPr>
        <w:t xml:space="preserve"> V, </w:t>
      </w:r>
      <w:proofErr w:type="spellStart"/>
      <w:r w:rsidRPr="003F7B7C">
        <w:rPr>
          <w:rFonts w:ascii="Book Antiqua" w:eastAsia="Book Antiqua" w:hAnsi="Book Antiqua" w:cs="Book Antiqua"/>
          <w:color w:val="000000"/>
        </w:rPr>
        <w:t>Ketterling</w:t>
      </w:r>
      <w:proofErr w:type="spellEnd"/>
      <w:r w:rsidRPr="003F7B7C">
        <w:rPr>
          <w:rFonts w:ascii="Book Antiqua" w:eastAsia="Book Antiqua" w:hAnsi="Book Antiqua" w:cs="Book Antiqua"/>
          <w:color w:val="000000"/>
        </w:rPr>
        <w:t xml:space="preserve"> RP, Dewar R. Combined Tumors in Hematolymphoid Neoplasms: Case Series of Histiocytic and Langerhans Cell Sarcomas Arising From Low-Grade B-Cell Lymphoma. </w:t>
      </w:r>
      <w:r w:rsidRPr="003F7B7C">
        <w:rPr>
          <w:rFonts w:ascii="Book Antiqua" w:eastAsia="Book Antiqua" w:hAnsi="Book Antiqua" w:cs="Book Antiqua"/>
          <w:i/>
          <w:iCs/>
          <w:color w:val="000000"/>
        </w:rPr>
        <w:t xml:space="preserve">Clin </w:t>
      </w:r>
      <w:proofErr w:type="spellStart"/>
      <w:r w:rsidRPr="003F7B7C">
        <w:rPr>
          <w:rFonts w:ascii="Book Antiqua" w:eastAsia="Book Antiqua" w:hAnsi="Book Antiqua" w:cs="Book Antiqua"/>
          <w:i/>
          <w:iCs/>
          <w:color w:val="000000"/>
        </w:rPr>
        <w:t>Pathol</w:t>
      </w:r>
      <w:proofErr w:type="spellEnd"/>
      <w:r w:rsidRPr="003F7B7C">
        <w:rPr>
          <w:rFonts w:ascii="Book Antiqua" w:eastAsia="Book Antiqua" w:hAnsi="Book Antiqua" w:cs="Book Antiqua"/>
          <w:color w:val="000000"/>
        </w:rPr>
        <w:t xml:space="preserve"> 2019; </w:t>
      </w:r>
      <w:r w:rsidRPr="003F7B7C">
        <w:rPr>
          <w:rFonts w:ascii="Book Antiqua" w:eastAsia="Book Antiqua" w:hAnsi="Book Antiqua" w:cs="Book Antiqua"/>
          <w:b/>
          <w:bCs/>
          <w:color w:val="000000"/>
        </w:rPr>
        <w:t>12</w:t>
      </w:r>
      <w:r w:rsidRPr="003F7B7C">
        <w:rPr>
          <w:rFonts w:ascii="Book Antiqua" w:eastAsia="Book Antiqua" w:hAnsi="Book Antiqua" w:cs="Book Antiqua"/>
          <w:color w:val="000000"/>
        </w:rPr>
        <w:t>: 2632010X19878410 [PMID: 31633108 DOI: 10.1177/2632010X19878410]</w:t>
      </w:r>
    </w:p>
    <w:p w14:paraId="3E14881C"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13 </w:t>
      </w:r>
      <w:r w:rsidRPr="003F7B7C">
        <w:rPr>
          <w:rFonts w:ascii="Book Antiqua" w:eastAsia="Book Antiqua" w:hAnsi="Book Antiqua" w:cs="Book Antiqua"/>
          <w:b/>
          <w:bCs/>
          <w:color w:val="000000"/>
        </w:rPr>
        <w:t>Zanelli M</w:t>
      </w:r>
      <w:r w:rsidRPr="003F7B7C">
        <w:rPr>
          <w:rFonts w:ascii="Book Antiqua" w:eastAsia="Book Antiqua" w:hAnsi="Book Antiqua" w:cs="Book Antiqua"/>
          <w:color w:val="000000"/>
        </w:rPr>
        <w:t xml:space="preserve">, Ricci S, </w:t>
      </w:r>
      <w:proofErr w:type="spellStart"/>
      <w:r w:rsidRPr="003F7B7C">
        <w:rPr>
          <w:rFonts w:ascii="Book Antiqua" w:eastAsia="Book Antiqua" w:hAnsi="Book Antiqua" w:cs="Book Antiqua"/>
          <w:color w:val="000000"/>
        </w:rPr>
        <w:t>Zizzo</w:t>
      </w:r>
      <w:proofErr w:type="spellEnd"/>
      <w:r w:rsidRPr="003F7B7C">
        <w:rPr>
          <w:rFonts w:ascii="Book Antiqua" w:eastAsia="Book Antiqua" w:hAnsi="Book Antiqua" w:cs="Book Antiqua"/>
          <w:color w:val="000000"/>
        </w:rPr>
        <w:t xml:space="preserve"> M, </w:t>
      </w:r>
      <w:proofErr w:type="spellStart"/>
      <w:r w:rsidRPr="003F7B7C">
        <w:rPr>
          <w:rFonts w:ascii="Book Antiqua" w:eastAsia="Book Antiqua" w:hAnsi="Book Antiqua" w:cs="Book Antiqua"/>
          <w:color w:val="000000"/>
        </w:rPr>
        <w:t>Sanguedolce</w:t>
      </w:r>
      <w:proofErr w:type="spellEnd"/>
      <w:r w:rsidRPr="003F7B7C">
        <w:rPr>
          <w:rFonts w:ascii="Book Antiqua" w:eastAsia="Book Antiqua" w:hAnsi="Book Antiqua" w:cs="Book Antiqua"/>
          <w:color w:val="000000"/>
        </w:rPr>
        <w:t xml:space="preserve"> F, Martino G, </w:t>
      </w:r>
      <w:proofErr w:type="spellStart"/>
      <w:r w:rsidRPr="003F7B7C">
        <w:rPr>
          <w:rFonts w:ascii="Book Antiqua" w:eastAsia="Book Antiqua" w:hAnsi="Book Antiqua" w:cs="Book Antiqua"/>
          <w:color w:val="000000"/>
        </w:rPr>
        <w:t>Fraternali</w:t>
      </w:r>
      <w:proofErr w:type="spellEnd"/>
      <w:r w:rsidRPr="003F7B7C">
        <w:rPr>
          <w:rFonts w:ascii="Book Antiqua" w:eastAsia="Book Antiqua" w:hAnsi="Book Antiqua" w:cs="Book Antiqua"/>
          <w:color w:val="000000"/>
        </w:rPr>
        <w:t xml:space="preserve"> </w:t>
      </w:r>
      <w:proofErr w:type="spellStart"/>
      <w:r w:rsidRPr="003F7B7C">
        <w:rPr>
          <w:rFonts w:ascii="Book Antiqua" w:eastAsia="Book Antiqua" w:hAnsi="Book Antiqua" w:cs="Book Antiqua"/>
          <w:color w:val="000000"/>
        </w:rPr>
        <w:t>Orcioni</w:t>
      </w:r>
      <w:proofErr w:type="spellEnd"/>
      <w:r w:rsidRPr="003F7B7C">
        <w:rPr>
          <w:rFonts w:ascii="Book Antiqua" w:eastAsia="Book Antiqua" w:hAnsi="Book Antiqua" w:cs="Book Antiqua"/>
          <w:color w:val="000000"/>
        </w:rPr>
        <w:t xml:space="preserve"> G, </w:t>
      </w:r>
      <w:proofErr w:type="spellStart"/>
      <w:r w:rsidRPr="003F7B7C">
        <w:rPr>
          <w:rFonts w:ascii="Book Antiqua" w:eastAsia="Book Antiqua" w:hAnsi="Book Antiqua" w:cs="Book Antiqua"/>
          <w:color w:val="000000"/>
        </w:rPr>
        <w:t>Ascani</w:t>
      </w:r>
      <w:proofErr w:type="spellEnd"/>
      <w:r w:rsidRPr="003F7B7C">
        <w:rPr>
          <w:rFonts w:ascii="Book Antiqua" w:eastAsia="Book Antiqua" w:hAnsi="Book Antiqua" w:cs="Book Antiqua"/>
          <w:color w:val="000000"/>
        </w:rPr>
        <w:t xml:space="preserve"> S. Bone marrow coexistence of chronic lymphocytic leukemia and Langerhans cell sarcoma. </w:t>
      </w:r>
      <w:r w:rsidRPr="003F7B7C">
        <w:rPr>
          <w:rFonts w:ascii="Book Antiqua" w:eastAsia="Book Antiqua" w:hAnsi="Book Antiqua" w:cs="Book Antiqua"/>
          <w:i/>
          <w:iCs/>
          <w:color w:val="000000"/>
        </w:rPr>
        <w:t xml:space="preserve">Ann </w:t>
      </w:r>
      <w:proofErr w:type="spellStart"/>
      <w:r w:rsidRPr="003F7B7C">
        <w:rPr>
          <w:rFonts w:ascii="Book Antiqua" w:eastAsia="Book Antiqua" w:hAnsi="Book Antiqua" w:cs="Book Antiqua"/>
          <w:i/>
          <w:iCs/>
          <w:color w:val="000000"/>
        </w:rPr>
        <w:t>Hematol</w:t>
      </w:r>
      <w:proofErr w:type="spellEnd"/>
      <w:r w:rsidRPr="003F7B7C">
        <w:rPr>
          <w:rFonts w:ascii="Book Antiqua" w:eastAsia="Book Antiqua" w:hAnsi="Book Antiqua" w:cs="Book Antiqua"/>
          <w:color w:val="000000"/>
        </w:rPr>
        <w:t xml:space="preserve"> 2020; </w:t>
      </w:r>
      <w:r w:rsidRPr="003F7B7C">
        <w:rPr>
          <w:rFonts w:ascii="Book Antiqua" w:eastAsia="Book Antiqua" w:hAnsi="Book Antiqua" w:cs="Book Antiqua"/>
          <w:b/>
          <w:bCs/>
          <w:color w:val="000000"/>
        </w:rPr>
        <w:t>99</w:t>
      </w:r>
      <w:r w:rsidRPr="003F7B7C">
        <w:rPr>
          <w:rFonts w:ascii="Book Antiqua" w:eastAsia="Book Antiqua" w:hAnsi="Book Antiqua" w:cs="Book Antiqua"/>
          <w:color w:val="000000"/>
        </w:rPr>
        <w:t>: 2957-2959 [PMID: 32621179 DOI: 10.1007/s00277-020-04167-3]</w:t>
      </w:r>
    </w:p>
    <w:p w14:paraId="34B670CA"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14 </w:t>
      </w:r>
      <w:r w:rsidRPr="003F7B7C">
        <w:rPr>
          <w:rFonts w:ascii="Book Antiqua" w:eastAsia="Book Antiqua" w:hAnsi="Book Antiqua" w:cs="Book Antiqua"/>
          <w:b/>
          <w:bCs/>
          <w:color w:val="000000"/>
        </w:rPr>
        <w:t>Valla K</w:t>
      </w:r>
      <w:r w:rsidRPr="003F7B7C">
        <w:rPr>
          <w:rFonts w:ascii="Book Antiqua" w:eastAsia="Book Antiqua" w:hAnsi="Book Antiqua" w:cs="Book Antiqua"/>
          <w:color w:val="000000"/>
        </w:rPr>
        <w:t xml:space="preserve">, Flowers CR, </w:t>
      </w:r>
      <w:proofErr w:type="spellStart"/>
      <w:r w:rsidRPr="003F7B7C">
        <w:rPr>
          <w:rFonts w:ascii="Book Antiqua" w:eastAsia="Book Antiqua" w:hAnsi="Book Antiqua" w:cs="Book Antiqua"/>
          <w:color w:val="000000"/>
        </w:rPr>
        <w:t>Koff</w:t>
      </w:r>
      <w:proofErr w:type="spellEnd"/>
      <w:r w:rsidRPr="003F7B7C">
        <w:rPr>
          <w:rFonts w:ascii="Book Antiqua" w:eastAsia="Book Antiqua" w:hAnsi="Book Antiqua" w:cs="Book Antiqua"/>
          <w:color w:val="000000"/>
        </w:rPr>
        <w:t xml:space="preserve"> JL. Targeting the B cell receptor pathway in non-Hodgkin lymphoma. </w:t>
      </w:r>
      <w:r w:rsidRPr="003F7B7C">
        <w:rPr>
          <w:rFonts w:ascii="Book Antiqua" w:eastAsia="Book Antiqua" w:hAnsi="Book Antiqua" w:cs="Book Antiqua"/>
          <w:i/>
          <w:iCs/>
          <w:color w:val="000000"/>
        </w:rPr>
        <w:t xml:space="preserve">Expert </w:t>
      </w:r>
      <w:proofErr w:type="spellStart"/>
      <w:r w:rsidRPr="003F7B7C">
        <w:rPr>
          <w:rFonts w:ascii="Book Antiqua" w:eastAsia="Book Antiqua" w:hAnsi="Book Antiqua" w:cs="Book Antiqua"/>
          <w:i/>
          <w:iCs/>
          <w:color w:val="000000"/>
        </w:rPr>
        <w:t>Opin</w:t>
      </w:r>
      <w:proofErr w:type="spellEnd"/>
      <w:r w:rsidRPr="003F7B7C">
        <w:rPr>
          <w:rFonts w:ascii="Book Antiqua" w:eastAsia="Book Antiqua" w:hAnsi="Book Antiqua" w:cs="Book Antiqua"/>
          <w:i/>
          <w:iCs/>
          <w:color w:val="000000"/>
        </w:rPr>
        <w:t xml:space="preserve"> </w:t>
      </w:r>
      <w:proofErr w:type="spellStart"/>
      <w:r w:rsidRPr="003F7B7C">
        <w:rPr>
          <w:rFonts w:ascii="Book Antiqua" w:eastAsia="Book Antiqua" w:hAnsi="Book Antiqua" w:cs="Book Antiqua"/>
          <w:i/>
          <w:iCs/>
          <w:color w:val="000000"/>
        </w:rPr>
        <w:t>Investig</w:t>
      </w:r>
      <w:proofErr w:type="spellEnd"/>
      <w:r w:rsidRPr="003F7B7C">
        <w:rPr>
          <w:rFonts w:ascii="Book Antiqua" w:eastAsia="Book Antiqua" w:hAnsi="Book Antiqua" w:cs="Book Antiqua"/>
          <w:i/>
          <w:iCs/>
          <w:color w:val="000000"/>
        </w:rPr>
        <w:t xml:space="preserve"> Drugs</w:t>
      </w:r>
      <w:r w:rsidRPr="003F7B7C">
        <w:rPr>
          <w:rFonts w:ascii="Book Antiqua" w:eastAsia="Book Antiqua" w:hAnsi="Book Antiqua" w:cs="Book Antiqua"/>
          <w:color w:val="000000"/>
        </w:rPr>
        <w:t xml:space="preserve"> 2018; </w:t>
      </w:r>
      <w:r w:rsidRPr="003F7B7C">
        <w:rPr>
          <w:rFonts w:ascii="Book Antiqua" w:eastAsia="Book Antiqua" w:hAnsi="Book Antiqua" w:cs="Book Antiqua"/>
          <w:b/>
          <w:bCs/>
          <w:color w:val="000000"/>
        </w:rPr>
        <w:t>27</w:t>
      </w:r>
      <w:r w:rsidRPr="003F7B7C">
        <w:rPr>
          <w:rFonts w:ascii="Book Antiqua" w:eastAsia="Book Antiqua" w:hAnsi="Book Antiqua" w:cs="Book Antiqua"/>
          <w:color w:val="000000"/>
        </w:rPr>
        <w:t>: 513-522 [PMID: 29855199 DOI: 10.1080/13543784.2018.1482273]</w:t>
      </w:r>
    </w:p>
    <w:p w14:paraId="5611CE52"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t xml:space="preserve">15 </w:t>
      </w:r>
      <w:r w:rsidRPr="003F7B7C">
        <w:rPr>
          <w:rFonts w:ascii="Book Antiqua" w:eastAsia="Book Antiqua" w:hAnsi="Book Antiqua" w:cs="Book Antiqua"/>
          <w:b/>
          <w:bCs/>
          <w:color w:val="000000"/>
        </w:rPr>
        <w:t>Rip J</w:t>
      </w:r>
      <w:r w:rsidRPr="003F7B7C">
        <w:rPr>
          <w:rFonts w:ascii="Book Antiqua" w:eastAsia="Book Antiqua" w:hAnsi="Book Antiqua" w:cs="Book Antiqua"/>
          <w:color w:val="000000"/>
        </w:rPr>
        <w:t xml:space="preserve">, Van Der Ploeg EK, Hendriks RW, </w:t>
      </w:r>
      <w:proofErr w:type="spellStart"/>
      <w:r w:rsidRPr="003F7B7C">
        <w:rPr>
          <w:rFonts w:ascii="Book Antiqua" w:eastAsia="Book Antiqua" w:hAnsi="Book Antiqua" w:cs="Book Antiqua"/>
          <w:color w:val="000000"/>
        </w:rPr>
        <w:t>Corneth</w:t>
      </w:r>
      <w:proofErr w:type="spellEnd"/>
      <w:r w:rsidRPr="003F7B7C">
        <w:rPr>
          <w:rFonts w:ascii="Book Antiqua" w:eastAsia="Book Antiqua" w:hAnsi="Book Antiqua" w:cs="Book Antiqua"/>
          <w:color w:val="000000"/>
        </w:rPr>
        <w:t xml:space="preserve"> OBJ. The Role of Bruton's Tyrosine Kinase in Immune Cell Signaling and Systemic Autoimmunity. </w:t>
      </w:r>
      <w:r w:rsidRPr="003F7B7C">
        <w:rPr>
          <w:rFonts w:ascii="Book Antiqua" w:eastAsia="Book Antiqua" w:hAnsi="Book Antiqua" w:cs="Book Antiqua"/>
          <w:i/>
          <w:iCs/>
          <w:color w:val="000000"/>
        </w:rPr>
        <w:t>Crit Rev Immunol</w:t>
      </w:r>
      <w:r w:rsidRPr="003F7B7C">
        <w:rPr>
          <w:rFonts w:ascii="Book Antiqua" w:eastAsia="Book Antiqua" w:hAnsi="Book Antiqua" w:cs="Book Antiqua"/>
          <w:color w:val="000000"/>
        </w:rPr>
        <w:t xml:space="preserve"> 2018; </w:t>
      </w:r>
      <w:r w:rsidRPr="003F7B7C">
        <w:rPr>
          <w:rFonts w:ascii="Book Antiqua" w:eastAsia="Book Antiqua" w:hAnsi="Book Antiqua" w:cs="Book Antiqua"/>
          <w:b/>
          <w:bCs/>
          <w:color w:val="000000"/>
        </w:rPr>
        <w:t>38</w:t>
      </w:r>
      <w:r w:rsidRPr="003F7B7C">
        <w:rPr>
          <w:rFonts w:ascii="Book Antiqua" w:eastAsia="Book Antiqua" w:hAnsi="Book Antiqua" w:cs="Book Antiqua"/>
          <w:color w:val="000000"/>
        </w:rPr>
        <w:t>: 17-62 [PMID: 29717662 DOI: 10.1615/CritRevImmunol.2018025184]</w:t>
      </w:r>
    </w:p>
    <w:p w14:paraId="042510EF" w14:textId="77777777" w:rsidR="001C67F1" w:rsidRPr="003F7B7C" w:rsidRDefault="001C67F1"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color w:val="000000"/>
        </w:rPr>
        <w:lastRenderedPageBreak/>
        <w:t xml:space="preserve">16 </w:t>
      </w:r>
      <w:proofErr w:type="spellStart"/>
      <w:r w:rsidRPr="003F7B7C">
        <w:rPr>
          <w:rFonts w:ascii="Book Antiqua" w:eastAsia="Book Antiqua" w:hAnsi="Book Antiqua" w:cs="Book Antiqua"/>
          <w:b/>
          <w:bCs/>
          <w:color w:val="000000"/>
        </w:rPr>
        <w:t>Sinkovics</w:t>
      </w:r>
      <w:proofErr w:type="spellEnd"/>
      <w:r w:rsidRPr="003F7B7C">
        <w:rPr>
          <w:rFonts w:ascii="Book Antiqua" w:eastAsia="Book Antiqua" w:hAnsi="Book Antiqua" w:cs="Book Antiqua"/>
          <w:b/>
          <w:bCs/>
          <w:color w:val="000000"/>
        </w:rPr>
        <w:t xml:space="preserve"> JG</w:t>
      </w:r>
      <w:r w:rsidRPr="003F7B7C">
        <w:rPr>
          <w:rFonts w:ascii="Book Antiqua" w:eastAsia="Book Antiqua" w:hAnsi="Book Antiqua" w:cs="Book Antiqua"/>
          <w:color w:val="000000"/>
        </w:rPr>
        <w:t xml:space="preserve">. Horizontal gene transfers and cell fusions in microbiology, immunology and oncology (Review). </w:t>
      </w:r>
      <w:r w:rsidRPr="003F7B7C">
        <w:rPr>
          <w:rFonts w:ascii="Book Antiqua" w:eastAsia="Book Antiqua" w:hAnsi="Book Antiqua" w:cs="Book Antiqua"/>
          <w:i/>
          <w:iCs/>
          <w:color w:val="000000"/>
        </w:rPr>
        <w:t>Int J Oncol</w:t>
      </w:r>
      <w:r w:rsidRPr="003F7B7C">
        <w:rPr>
          <w:rFonts w:ascii="Book Antiqua" w:eastAsia="Book Antiqua" w:hAnsi="Book Antiqua" w:cs="Book Antiqua"/>
          <w:color w:val="000000"/>
        </w:rPr>
        <w:t xml:space="preserve"> 2009; </w:t>
      </w:r>
      <w:r w:rsidRPr="003F7B7C">
        <w:rPr>
          <w:rFonts w:ascii="Book Antiqua" w:eastAsia="Book Antiqua" w:hAnsi="Book Antiqua" w:cs="Book Antiqua"/>
          <w:b/>
          <w:bCs/>
          <w:color w:val="000000"/>
        </w:rPr>
        <w:t>35</w:t>
      </w:r>
      <w:r w:rsidRPr="003F7B7C">
        <w:rPr>
          <w:rFonts w:ascii="Book Antiqua" w:eastAsia="Book Antiqua" w:hAnsi="Book Antiqua" w:cs="Book Antiqua"/>
          <w:color w:val="000000"/>
        </w:rPr>
        <w:t>: 441-465 [PMID: 19639166 DOI: 10.3892/ijo_00000357]</w:t>
      </w:r>
    </w:p>
    <w:p w14:paraId="561E4E65" w14:textId="77777777" w:rsidR="00A77B3E" w:rsidRPr="003F7B7C" w:rsidRDefault="00A77B3E" w:rsidP="003F7B7C">
      <w:pPr>
        <w:spacing w:line="360" w:lineRule="auto"/>
        <w:jc w:val="both"/>
        <w:rPr>
          <w:rFonts w:ascii="Book Antiqua" w:hAnsi="Book Antiqua"/>
        </w:rPr>
        <w:sectPr w:rsidR="00A77B3E" w:rsidRPr="003F7B7C" w:rsidSect="003F7B7C">
          <w:pgSz w:w="12240" w:h="15840"/>
          <w:pgMar w:top="1440" w:right="1440" w:bottom="1440" w:left="1440" w:header="720" w:footer="720" w:gutter="0"/>
          <w:cols w:space="720"/>
          <w:docGrid w:linePitch="360"/>
        </w:sectPr>
      </w:pPr>
    </w:p>
    <w:p w14:paraId="63B255E6"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lastRenderedPageBreak/>
        <w:t>Footnotes</w:t>
      </w:r>
    </w:p>
    <w:p w14:paraId="4B965742"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 xml:space="preserve">Informed consent statement: </w:t>
      </w:r>
      <w:r w:rsidRPr="003F7B7C">
        <w:rPr>
          <w:rFonts w:ascii="Book Antiqua" w:eastAsia="Book Antiqua" w:hAnsi="Book Antiqua" w:cs="Book Antiqua"/>
          <w:color w:val="000000"/>
        </w:rPr>
        <w:t>Consent was obtained from relatives of the patient for publication of this report and any accompanying images.</w:t>
      </w:r>
    </w:p>
    <w:p w14:paraId="619E5EBC" w14:textId="77777777" w:rsidR="00A77B3E" w:rsidRPr="003F7B7C" w:rsidRDefault="00A77B3E" w:rsidP="003F7B7C">
      <w:pPr>
        <w:spacing w:line="360" w:lineRule="auto"/>
        <w:jc w:val="both"/>
        <w:rPr>
          <w:rFonts w:ascii="Book Antiqua" w:hAnsi="Book Antiqua"/>
        </w:rPr>
      </w:pPr>
    </w:p>
    <w:p w14:paraId="13A53162"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 xml:space="preserve">Conflict-of-interest statement: </w:t>
      </w:r>
      <w:r w:rsidRPr="003F7B7C">
        <w:rPr>
          <w:rFonts w:ascii="Book Antiqua" w:eastAsia="Book Antiqua" w:hAnsi="Book Antiqua" w:cs="Book Antiqua"/>
          <w:color w:val="000000"/>
        </w:rPr>
        <w:t>The authors declare that they have no conflicts of interest.</w:t>
      </w:r>
    </w:p>
    <w:p w14:paraId="43644356" w14:textId="77777777" w:rsidR="00A77B3E" w:rsidRPr="003F7B7C" w:rsidRDefault="00A77B3E" w:rsidP="003F7B7C">
      <w:pPr>
        <w:spacing w:line="360" w:lineRule="auto"/>
        <w:jc w:val="both"/>
        <w:rPr>
          <w:rFonts w:ascii="Book Antiqua" w:hAnsi="Book Antiqua"/>
        </w:rPr>
      </w:pPr>
    </w:p>
    <w:p w14:paraId="7877FFB3"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 xml:space="preserve">CARE Checklist (2016) statement: </w:t>
      </w:r>
      <w:r w:rsidRPr="003F7B7C">
        <w:rPr>
          <w:rFonts w:ascii="Book Antiqua" w:eastAsia="Book Antiqua" w:hAnsi="Book Antiqua" w:cs="Book Antiqua"/>
          <w:color w:val="000000"/>
        </w:rPr>
        <w:t>The authors have read the CARE Checklist (2016), and the manuscript was prepared and revised according to the CARE Checklist (2016).</w:t>
      </w:r>
    </w:p>
    <w:p w14:paraId="2E995E7B" w14:textId="77777777" w:rsidR="00A77B3E" w:rsidRPr="003F7B7C" w:rsidRDefault="00A77B3E" w:rsidP="003F7B7C">
      <w:pPr>
        <w:spacing w:line="360" w:lineRule="auto"/>
        <w:jc w:val="both"/>
        <w:rPr>
          <w:rFonts w:ascii="Book Antiqua" w:hAnsi="Book Antiqua"/>
        </w:rPr>
      </w:pPr>
    </w:p>
    <w:p w14:paraId="4CCA5040"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 xml:space="preserve">Open-Access: </w:t>
      </w:r>
      <w:r w:rsidRPr="003F7B7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75909A" w14:textId="77777777" w:rsidR="00A77B3E" w:rsidRPr="003F7B7C" w:rsidRDefault="00A77B3E" w:rsidP="003F7B7C">
      <w:pPr>
        <w:spacing w:line="360" w:lineRule="auto"/>
        <w:jc w:val="both"/>
        <w:rPr>
          <w:rFonts w:ascii="Book Antiqua" w:hAnsi="Book Antiqua"/>
        </w:rPr>
      </w:pPr>
    </w:p>
    <w:p w14:paraId="21392642" w14:textId="1909AC1E"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t xml:space="preserve">Manuscript source: </w:t>
      </w:r>
      <w:r w:rsidRPr="003F7B7C">
        <w:rPr>
          <w:rFonts w:ascii="Book Antiqua" w:eastAsia="Book Antiqua" w:hAnsi="Book Antiqua" w:cs="Book Antiqua"/>
          <w:color w:val="000000"/>
        </w:rPr>
        <w:t xml:space="preserve">Unsolicited </w:t>
      </w:r>
      <w:r w:rsidR="001C67F1" w:rsidRPr="003F7B7C">
        <w:rPr>
          <w:rFonts w:ascii="Book Antiqua" w:eastAsia="Book Antiqua" w:hAnsi="Book Antiqua" w:cs="Book Antiqua"/>
          <w:color w:val="000000"/>
        </w:rPr>
        <w:t>m</w:t>
      </w:r>
      <w:r w:rsidRPr="003F7B7C">
        <w:rPr>
          <w:rFonts w:ascii="Book Antiqua" w:eastAsia="Book Antiqua" w:hAnsi="Book Antiqua" w:cs="Book Antiqua"/>
          <w:color w:val="000000"/>
        </w:rPr>
        <w:t>anuscript</w:t>
      </w:r>
    </w:p>
    <w:p w14:paraId="287D824D" w14:textId="77777777" w:rsidR="00A77B3E" w:rsidRPr="003F7B7C" w:rsidRDefault="00A77B3E" w:rsidP="003F7B7C">
      <w:pPr>
        <w:spacing w:line="360" w:lineRule="auto"/>
        <w:jc w:val="both"/>
        <w:rPr>
          <w:rFonts w:ascii="Book Antiqua" w:hAnsi="Book Antiqua"/>
        </w:rPr>
      </w:pPr>
    </w:p>
    <w:p w14:paraId="71FC9305"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t xml:space="preserve">Peer-review started: </w:t>
      </w:r>
      <w:r w:rsidRPr="003F7B7C">
        <w:rPr>
          <w:rFonts w:ascii="Book Antiqua" w:eastAsia="Book Antiqua" w:hAnsi="Book Antiqua" w:cs="Book Antiqua"/>
          <w:color w:val="000000"/>
        </w:rPr>
        <w:t>June 20, 2021</w:t>
      </w:r>
    </w:p>
    <w:p w14:paraId="01A118DD"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t xml:space="preserve">First decision: </w:t>
      </w:r>
      <w:r w:rsidRPr="003F7B7C">
        <w:rPr>
          <w:rFonts w:ascii="Book Antiqua" w:eastAsia="Book Antiqua" w:hAnsi="Book Antiqua" w:cs="Book Antiqua"/>
          <w:color w:val="000000"/>
        </w:rPr>
        <w:t>July 16, 2021</w:t>
      </w:r>
    </w:p>
    <w:p w14:paraId="1C437515"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t xml:space="preserve">Article in press: </w:t>
      </w:r>
    </w:p>
    <w:p w14:paraId="62EF7334" w14:textId="77777777" w:rsidR="00A77B3E" w:rsidRPr="003F7B7C" w:rsidRDefault="00A77B3E" w:rsidP="003F7B7C">
      <w:pPr>
        <w:spacing w:line="360" w:lineRule="auto"/>
        <w:jc w:val="both"/>
        <w:rPr>
          <w:rFonts w:ascii="Book Antiqua" w:hAnsi="Book Antiqua"/>
        </w:rPr>
      </w:pPr>
    </w:p>
    <w:p w14:paraId="3302779A" w14:textId="77777777" w:rsidR="001C67F1" w:rsidRPr="003F7B7C" w:rsidRDefault="005430EF"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b/>
          <w:color w:val="000000"/>
        </w:rPr>
        <w:t xml:space="preserve">Specialty type: </w:t>
      </w:r>
      <w:r w:rsidR="001C67F1" w:rsidRPr="003F7B7C">
        <w:rPr>
          <w:rFonts w:ascii="Book Antiqua" w:eastAsia="Book Antiqua" w:hAnsi="Book Antiqua" w:cs="Book Antiqua"/>
          <w:color w:val="000000"/>
        </w:rPr>
        <w:t xml:space="preserve">Medicine, research and experimental </w:t>
      </w:r>
    </w:p>
    <w:p w14:paraId="4A4B08A1" w14:textId="6C41CA80"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t xml:space="preserve">Country/Territory of origin: </w:t>
      </w:r>
      <w:r w:rsidRPr="003F7B7C">
        <w:rPr>
          <w:rFonts w:ascii="Book Antiqua" w:eastAsia="Book Antiqua" w:hAnsi="Book Antiqua" w:cs="Book Antiqua"/>
          <w:color w:val="000000"/>
        </w:rPr>
        <w:t>China</w:t>
      </w:r>
    </w:p>
    <w:p w14:paraId="3B96F835"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color w:val="000000"/>
        </w:rPr>
        <w:t>Peer-review report’s scientific quality classification</w:t>
      </w:r>
    </w:p>
    <w:p w14:paraId="29BCDC6D"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Grade A (Excellent): A</w:t>
      </w:r>
    </w:p>
    <w:p w14:paraId="4D610CE6"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Grade B (Very good): 0</w:t>
      </w:r>
    </w:p>
    <w:p w14:paraId="1F38C273"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Grade C (Good): 0</w:t>
      </w:r>
    </w:p>
    <w:p w14:paraId="5F888905"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Grade D (Fair): 0</w:t>
      </w:r>
    </w:p>
    <w:p w14:paraId="13FD7D74" w14:textId="77777777"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color w:val="000000"/>
        </w:rPr>
        <w:t>Grade E (Poor): 0</w:t>
      </w:r>
    </w:p>
    <w:p w14:paraId="7EC28F8C" w14:textId="77777777" w:rsidR="00A77B3E" w:rsidRPr="003F7B7C" w:rsidRDefault="00A77B3E" w:rsidP="003F7B7C">
      <w:pPr>
        <w:spacing w:line="360" w:lineRule="auto"/>
        <w:jc w:val="both"/>
        <w:rPr>
          <w:rFonts w:ascii="Book Antiqua" w:hAnsi="Book Antiqua"/>
        </w:rPr>
      </w:pPr>
    </w:p>
    <w:p w14:paraId="39D184B7" w14:textId="4C8F6775" w:rsidR="00A77B3E" w:rsidRPr="003F7B7C" w:rsidRDefault="005430EF" w:rsidP="003F7B7C">
      <w:pPr>
        <w:spacing w:line="360" w:lineRule="auto"/>
        <w:jc w:val="both"/>
        <w:rPr>
          <w:rFonts w:ascii="Book Antiqua" w:eastAsia="Book Antiqua" w:hAnsi="Book Antiqua" w:cs="Book Antiqua"/>
          <w:b/>
          <w:color w:val="000000"/>
        </w:rPr>
      </w:pPr>
      <w:r w:rsidRPr="003F7B7C">
        <w:rPr>
          <w:rFonts w:ascii="Book Antiqua" w:eastAsia="Book Antiqua" w:hAnsi="Book Antiqua" w:cs="Book Antiqua"/>
          <w:b/>
          <w:color w:val="000000"/>
        </w:rPr>
        <w:t xml:space="preserve">P-Reviewer: </w:t>
      </w:r>
      <w:r w:rsidRPr="003F7B7C">
        <w:rPr>
          <w:rFonts w:ascii="Book Antiqua" w:eastAsia="Book Antiqua" w:hAnsi="Book Antiqua" w:cs="Book Antiqua"/>
          <w:color w:val="000000"/>
        </w:rPr>
        <w:t>Panaitescu C</w:t>
      </w:r>
      <w:r w:rsidRPr="003F7B7C">
        <w:rPr>
          <w:rFonts w:ascii="Book Antiqua" w:eastAsia="Book Antiqua" w:hAnsi="Book Antiqua" w:cs="Book Antiqua"/>
          <w:b/>
          <w:color w:val="000000"/>
        </w:rPr>
        <w:t xml:space="preserve"> S-Editor: </w:t>
      </w:r>
      <w:r w:rsidR="001C67F1" w:rsidRPr="003F7B7C">
        <w:rPr>
          <w:rFonts w:ascii="Book Antiqua" w:eastAsia="Book Antiqua" w:hAnsi="Book Antiqua" w:cs="Book Antiqua"/>
          <w:color w:val="000000"/>
        </w:rPr>
        <w:t>Wang JJ</w:t>
      </w:r>
      <w:r w:rsidRPr="003F7B7C">
        <w:rPr>
          <w:rFonts w:ascii="Book Antiqua" w:eastAsia="Book Antiqua" w:hAnsi="Book Antiqua" w:cs="Book Antiqua"/>
          <w:b/>
          <w:color w:val="000000"/>
        </w:rPr>
        <w:t>L-Editor:</w:t>
      </w:r>
      <w:r w:rsidR="001C67F1" w:rsidRPr="003F7B7C">
        <w:rPr>
          <w:rFonts w:ascii="Book Antiqua" w:eastAsia="Book Antiqua" w:hAnsi="Book Antiqua" w:cs="Book Antiqua"/>
          <w:b/>
          <w:color w:val="000000"/>
        </w:rPr>
        <w:t xml:space="preserve"> </w:t>
      </w:r>
      <w:r w:rsidR="00567CBE" w:rsidRPr="003F7B7C">
        <w:rPr>
          <w:rFonts w:ascii="Book Antiqua" w:eastAsia="Book Antiqua" w:hAnsi="Book Antiqua" w:cs="Book Antiqua"/>
          <w:bCs/>
          <w:color w:val="000000"/>
        </w:rPr>
        <w:t xml:space="preserve">Filipodia </w:t>
      </w:r>
      <w:r w:rsidRPr="003F7B7C">
        <w:rPr>
          <w:rFonts w:ascii="Book Antiqua" w:eastAsia="Book Antiqua" w:hAnsi="Book Antiqua" w:cs="Book Antiqua"/>
          <w:b/>
          <w:color w:val="000000"/>
        </w:rPr>
        <w:t>P-Editor:</w:t>
      </w:r>
    </w:p>
    <w:p w14:paraId="5E7E02FE" w14:textId="77777777" w:rsidR="001C67F1" w:rsidRPr="003F7B7C" w:rsidRDefault="001C67F1" w:rsidP="003F7B7C">
      <w:pPr>
        <w:spacing w:line="360" w:lineRule="auto"/>
        <w:jc w:val="both"/>
        <w:rPr>
          <w:rFonts w:ascii="Book Antiqua" w:eastAsia="Book Antiqua" w:hAnsi="Book Antiqua" w:cs="Book Antiqua"/>
          <w:b/>
          <w:color w:val="000000"/>
        </w:rPr>
      </w:pPr>
    </w:p>
    <w:p w14:paraId="1CEC6780" w14:textId="77777777" w:rsidR="00E1691F" w:rsidRDefault="00E1691F">
      <w:pPr>
        <w:rPr>
          <w:rFonts w:ascii="Book Antiqua" w:eastAsia="Book Antiqua" w:hAnsi="Book Antiqua" w:cs="Book Antiqua"/>
          <w:b/>
          <w:color w:val="000000"/>
        </w:rPr>
      </w:pPr>
      <w:r>
        <w:rPr>
          <w:rFonts w:ascii="Book Antiqua" w:eastAsia="Book Antiqua" w:hAnsi="Book Antiqua" w:cs="Book Antiqua"/>
          <w:b/>
          <w:color w:val="000000"/>
        </w:rPr>
        <w:br w:type="page"/>
      </w:r>
    </w:p>
    <w:p w14:paraId="5C101838" w14:textId="0C5E68F0" w:rsidR="00A77B3E" w:rsidRPr="003F7B7C" w:rsidRDefault="005430EF" w:rsidP="003F7B7C">
      <w:pPr>
        <w:spacing w:line="360" w:lineRule="auto"/>
        <w:jc w:val="both"/>
        <w:rPr>
          <w:rFonts w:ascii="Book Antiqua" w:eastAsia="Book Antiqua" w:hAnsi="Book Antiqua" w:cs="Book Antiqua"/>
          <w:b/>
          <w:color w:val="000000"/>
        </w:rPr>
      </w:pPr>
      <w:r w:rsidRPr="003F7B7C">
        <w:rPr>
          <w:rFonts w:ascii="Book Antiqua" w:eastAsia="Book Antiqua" w:hAnsi="Book Antiqua" w:cs="Book Antiqua"/>
          <w:b/>
          <w:color w:val="000000"/>
        </w:rPr>
        <w:lastRenderedPageBreak/>
        <w:t>Figure Legends</w:t>
      </w:r>
    </w:p>
    <w:p w14:paraId="5C5C350B" w14:textId="28EF39F2" w:rsidR="001C67F1" w:rsidRPr="003F7B7C" w:rsidRDefault="003A0989" w:rsidP="003F7B7C">
      <w:pPr>
        <w:spacing w:line="360" w:lineRule="auto"/>
        <w:jc w:val="both"/>
        <w:rPr>
          <w:rFonts w:ascii="Book Antiqua" w:hAnsi="Book Antiqua"/>
        </w:rPr>
      </w:pPr>
      <w:r w:rsidRPr="003F7B7C">
        <w:rPr>
          <w:rFonts w:ascii="Book Antiqua" w:hAnsi="Book Antiqua"/>
          <w:noProof/>
        </w:rPr>
        <w:drawing>
          <wp:inline distT="0" distB="0" distL="0" distR="0" wp14:anchorId="627C6C74" wp14:editId="33EE779D">
            <wp:extent cx="2663254" cy="1714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7929" cy="1717510"/>
                    </a:xfrm>
                    <a:prstGeom prst="rect">
                      <a:avLst/>
                    </a:prstGeom>
                  </pic:spPr>
                </pic:pic>
              </a:graphicData>
            </a:graphic>
          </wp:inline>
        </w:drawing>
      </w:r>
      <w:r w:rsidRPr="003F7B7C">
        <w:rPr>
          <w:rFonts w:ascii="Book Antiqua" w:hAnsi="Book Antiqua"/>
        </w:rPr>
        <w:t xml:space="preserve"> </w:t>
      </w:r>
      <w:r w:rsidRPr="003F7B7C">
        <w:rPr>
          <w:rFonts w:ascii="Book Antiqua" w:hAnsi="Book Antiqua"/>
          <w:noProof/>
        </w:rPr>
        <w:drawing>
          <wp:inline distT="0" distB="0" distL="0" distR="0" wp14:anchorId="1BE6F038" wp14:editId="250AC333">
            <wp:extent cx="2659380" cy="16529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2597" cy="1661120"/>
                    </a:xfrm>
                    <a:prstGeom prst="rect">
                      <a:avLst/>
                    </a:prstGeom>
                  </pic:spPr>
                </pic:pic>
              </a:graphicData>
            </a:graphic>
          </wp:inline>
        </w:drawing>
      </w:r>
    </w:p>
    <w:p w14:paraId="7C8EB826" w14:textId="1B38C9D4" w:rsidR="003A0989" w:rsidRPr="003F7B7C" w:rsidRDefault="003A0989" w:rsidP="003F7B7C">
      <w:pPr>
        <w:spacing w:line="360" w:lineRule="auto"/>
        <w:jc w:val="both"/>
        <w:rPr>
          <w:rFonts w:ascii="Book Antiqua" w:hAnsi="Book Antiqua"/>
        </w:rPr>
      </w:pPr>
      <w:r w:rsidRPr="003F7B7C">
        <w:rPr>
          <w:rFonts w:ascii="Book Antiqua" w:hAnsi="Book Antiqua"/>
          <w:noProof/>
        </w:rPr>
        <w:drawing>
          <wp:inline distT="0" distB="0" distL="0" distR="0" wp14:anchorId="0005AC77" wp14:editId="4D51E3DF">
            <wp:extent cx="2659230" cy="1943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0925" cy="1951646"/>
                    </a:xfrm>
                    <a:prstGeom prst="rect">
                      <a:avLst/>
                    </a:prstGeom>
                  </pic:spPr>
                </pic:pic>
              </a:graphicData>
            </a:graphic>
          </wp:inline>
        </w:drawing>
      </w:r>
      <w:r w:rsidRPr="003F7B7C">
        <w:rPr>
          <w:rFonts w:ascii="Book Antiqua" w:hAnsi="Book Antiqua"/>
        </w:rPr>
        <w:t xml:space="preserve"> </w:t>
      </w:r>
      <w:r w:rsidRPr="003F7B7C">
        <w:rPr>
          <w:rFonts w:ascii="Book Antiqua" w:hAnsi="Book Antiqua"/>
          <w:noProof/>
        </w:rPr>
        <w:drawing>
          <wp:inline distT="0" distB="0" distL="0" distR="0" wp14:anchorId="3A37ABAE" wp14:editId="14019188">
            <wp:extent cx="2636520" cy="19366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8770" cy="1945604"/>
                    </a:xfrm>
                    <a:prstGeom prst="rect">
                      <a:avLst/>
                    </a:prstGeom>
                  </pic:spPr>
                </pic:pic>
              </a:graphicData>
            </a:graphic>
          </wp:inline>
        </w:drawing>
      </w:r>
    </w:p>
    <w:p w14:paraId="6CA37F10" w14:textId="6B58828B" w:rsidR="003A0989" w:rsidRPr="003F7B7C" w:rsidRDefault="003A0989" w:rsidP="003F7B7C">
      <w:pPr>
        <w:spacing w:line="360" w:lineRule="auto"/>
        <w:jc w:val="both"/>
        <w:rPr>
          <w:rFonts w:ascii="Book Antiqua" w:hAnsi="Book Antiqua"/>
        </w:rPr>
      </w:pPr>
      <w:r w:rsidRPr="003F7B7C">
        <w:rPr>
          <w:rFonts w:ascii="Book Antiqua" w:hAnsi="Book Antiqua"/>
          <w:noProof/>
        </w:rPr>
        <w:drawing>
          <wp:inline distT="0" distB="0" distL="0" distR="0" wp14:anchorId="3D9504CF" wp14:editId="33B399DF">
            <wp:extent cx="2676323" cy="19278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8109" cy="1936350"/>
                    </a:xfrm>
                    <a:prstGeom prst="rect">
                      <a:avLst/>
                    </a:prstGeom>
                  </pic:spPr>
                </pic:pic>
              </a:graphicData>
            </a:graphic>
          </wp:inline>
        </w:drawing>
      </w:r>
    </w:p>
    <w:p w14:paraId="707DF282" w14:textId="5E1F15F4" w:rsidR="003A0989" w:rsidRPr="003F7B7C" w:rsidRDefault="005430EF" w:rsidP="003F7B7C">
      <w:pPr>
        <w:spacing w:line="360" w:lineRule="auto"/>
        <w:jc w:val="both"/>
        <w:rPr>
          <w:rFonts w:ascii="Book Antiqua" w:eastAsia="Book Antiqua" w:hAnsi="Book Antiqua" w:cs="Book Antiqua"/>
          <w:color w:val="000000"/>
        </w:rPr>
      </w:pPr>
      <w:r w:rsidRPr="003F7B7C">
        <w:rPr>
          <w:rFonts w:ascii="Book Antiqua" w:eastAsia="Book Antiqua" w:hAnsi="Book Antiqua" w:cs="Book Antiqua"/>
          <w:b/>
          <w:bCs/>
          <w:color w:val="000000"/>
        </w:rPr>
        <w:t>Figure 1 Morphology and skin biopsy of the scalp lesion</w:t>
      </w:r>
      <w:r w:rsidR="00E1691F">
        <w:rPr>
          <w:rFonts w:ascii="Book Antiqua" w:eastAsia="Book Antiqua" w:hAnsi="Book Antiqua" w:cs="Book Antiqua"/>
          <w:b/>
          <w:bCs/>
          <w:color w:val="000000"/>
        </w:rPr>
        <w:t>.</w:t>
      </w:r>
      <w:r w:rsidRPr="003F7B7C">
        <w:rPr>
          <w:rFonts w:ascii="Book Antiqua" w:eastAsia="Book Antiqua" w:hAnsi="Book Antiqua" w:cs="Book Antiqua"/>
          <w:b/>
          <w:bCs/>
          <w:color w:val="000000"/>
        </w:rPr>
        <w:t xml:space="preserve"> </w:t>
      </w:r>
      <w:r w:rsidRPr="00C76BE1">
        <w:rPr>
          <w:rFonts w:ascii="Book Antiqua" w:eastAsia="Book Antiqua" w:hAnsi="Book Antiqua" w:cs="Book Antiqua"/>
          <w:color w:val="000000"/>
        </w:rPr>
        <w:t xml:space="preserve">The patient was admitted for the fourth time and was diagnosed as </w:t>
      </w:r>
      <w:r w:rsidR="001C67F1" w:rsidRPr="00C76BE1">
        <w:rPr>
          <w:rFonts w:ascii="Book Antiqua" w:eastAsia="Book Antiqua" w:hAnsi="Book Antiqua" w:cs="Book Antiqua"/>
          <w:color w:val="000000"/>
        </w:rPr>
        <w:t>chronic lymphocytic leukemia/small lymphocytic lymphoma</w:t>
      </w:r>
      <w:r w:rsidRPr="00C76BE1">
        <w:rPr>
          <w:rFonts w:ascii="Book Antiqua" w:eastAsia="Book Antiqua" w:hAnsi="Book Antiqua" w:cs="Book Antiqua"/>
          <w:color w:val="000000"/>
        </w:rPr>
        <w:t xml:space="preserve"> complicated with skin </w:t>
      </w:r>
      <w:r w:rsidR="00E1691F">
        <w:rPr>
          <w:rFonts w:ascii="Book Antiqua" w:eastAsia="Book Antiqua" w:hAnsi="Book Antiqua" w:cs="Book Antiqua"/>
          <w:color w:val="000000"/>
        </w:rPr>
        <w:t>L</w:t>
      </w:r>
      <w:r w:rsidR="001C67F1" w:rsidRPr="00C76BE1">
        <w:rPr>
          <w:rFonts w:ascii="Book Antiqua" w:eastAsia="Book Antiqua" w:hAnsi="Book Antiqua" w:cs="Book Antiqua"/>
          <w:color w:val="000000"/>
        </w:rPr>
        <w:t>angerhans cell sarcoma</w:t>
      </w:r>
      <w:r w:rsidRPr="00C76BE1">
        <w:rPr>
          <w:rFonts w:ascii="Book Antiqua" w:eastAsia="Book Antiqua" w:hAnsi="Book Antiqua" w:cs="Book Antiqua"/>
          <w:color w:val="000000"/>
        </w:rPr>
        <w:t>).</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A</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Lesion on the left side of the head, looking like a hanging bag, with a soft texture, a slightly hard base, and ulceration and blood scabs at the tip</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B</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Skin tissue local ulcer formation (</w:t>
      </w:r>
      <w:r w:rsidR="00E1691F">
        <w:rPr>
          <w:rFonts w:ascii="Book Antiqua" w:eastAsia="Book Antiqua" w:hAnsi="Book Antiqua" w:cs="Book Antiqua"/>
          <w:color w:val="000000"/>
        </w:rPr>
        <w:t>hematoxylin and eosin</w:t>
      </w:r>
      <w:r w:rsidR="007A7AA8">
        <w:rPr>
          <w:rFonts w:ascii="Book Antiqua" w:eastAsia="Book Antiqua" w:hAnsi="Book Antiqua" w:cs="Book Antiqua"/>
          <w:color w:val="000000"/>
        </w:rPr>
        <w:t xml:space="preserve"> [HE]</w:t>
      </w:r>
      <w:r w:rsidRPr="003F7B7C">
        <w:rPr>
          <w:rFonts w:ascii="Book Antiqua" w:eastAsia="Book Antiqua" w:hAnsi="Book Antiqua" w:cs="Book Antiqua"/>
          <w:color w:val="000000"/>
        </w:rPr>
        <w:t>, ×</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10)</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C</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Ulcer show</w:t>
      </w:r>
      <w:r w:rsidR="00E1691F">
        <w:rPr>
          <w:rFonts w:ascii="Book Antiqua" w:eastAsia="Book Antiqua" w:hAnsi="Book Antiqua" w:cs="Book Antiqua"/>
          <w:color w:val="000000"/>
        </w:rPr>
        <w:t>ed</w:t>
      </w:r>
      <w:r w:rsidRPr="003F7B7C">
        <w:rPr>
          <w:rFonts w:ascii="Book Antiqua" w:eastAsia="Book Antiqua" w:hAnsi="Book Antiqua" w:cs="Book Antiqua"/>
          <w:color w:val="000000"/>
        </w:rPr>
        <w:t xml:space="preserve"> mixed cell proliferation, vascular proliferation (HE, ×</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20)</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D</w:t>
      </w:r>
      <w:r w:rsidR="001C67F1" w:rsidRPr="003F7B7C">
        <w:rPr>
          <w:rFonts w:ascii="Book Antiqua" w:eastAsia="Book Antiqua" w:hAnsi="Book Antiqua" w:cs="Book Antiqua"/>
          <w:color w:val="000000"/>
        </w:rPr>
        <w:t xml:space="preserve">: Some cells </w:t>
      </w:r>
      <w:r w:rsidR="00714E42">
        <w:rPr>
          <w:rFonts w:ascii="Book Antiqua" w:eastAsia="Book Antiqua" w:hAnsi="Book Antiqua" w:cs="Book Antiqua"/>
          <w:color w:val="000000"/>
        </w:rPr>
        <w:t>we</w:t>
      </w:r>
      <w:r w:rsidR="001C67F1" w:rsidRPr="003F7B7C">
        <w:rPr>
          <w:rFonts w:ascii="Book Antiqua" w:eastAsia="Book Antiqua" w:hAnsi="Book Antiqua" w:cs="Book Antiqua"/>
          <w:color w:val="000000"/>
        </w:rPr>
        <w:t xml:space="preserve">re enlarged, with a rich cytoplasm, light staining, </w:t>
      </w:r>
      <w:r w:rsidR="001C67F1" w:rsidRPr="003F7B7C">
        <w:rPr>
          <w:rFonts w:ascii="Book Antiqua" w:eastAsia="Book Antiqua" w:hAnsi="Book Antiqua" w:cs="Book Antiqua"/>
          <w:color w:val="000000"/>
        </w:rPr>
        <w:lastRenderedPageBreak/>
        <w:t>mononuclear, binuclear, multinucleated</w:t>
      </w:r>
      <w:r w:rsidR="00714E42">
        <w:rPr>
          <w:rFonts w:ascii="Book Antiqua" w:eastAsia="Book Antiqua" w:hAnsi="Book Antiqua" w:cs="Book Antiqua"/>
          <w:color w:val="000000"/>
        </w:rPr>
        <w:t>,</w:t>
      </w:r>
      <w:r w:rsidR="001C67F1" w:rsidRPr="003F7B7C">
        <w:rPr>
          <w:rFonts w:ascii="Book Antiqua" w:eastAsia="Book Antiqua" w:hAnsi="Book Antiqua" w:cs="Book Antiqua"/>
          <w:color w:val="000000"/>
        </w:rPr>
        <w:t xml:space="preserve"> or lobulated nucleus; phagocytosis of lymphocytes c</w:t>
      </w:r>
      <w:r w:rsidR="00714E42">
        <w:rPr>
          <w:rFonts w:ascii="Book Antiqua" w:eastAsia="Book Antiqua" w:hAnsi="Book Antiqua" w:cs="Book Antiqua"/>
          <w:color w:val="000000"/>
        </w:rPr>
        <w:t>ould</w:t>
      </w:r>
      <w:r w:rsidR="001C67F1" w:rsidRPr="003F7B7C">
        <w:rPr>
          <w:rFonts w:ascii="Book Antiqua" w:eastAsia="Book Antiqua" w:hAnsi="Book Antiqua" w:cs="Book Antiqua"/>
          <w:color w:val="000000"/>
        </w:rPr>
        <w:t xml:space="preserve"> be seen in some cytoplasm</w:t>
      </w:r>
      <w:r w:rsidR="00714E42">
        <w:rPr>
          <w:rFonts w:ascii="Book Antiqua" w:eastAsia="Book Antiqua" w:hAnsi="Book Antiqua" w:cs="Book Antiqua"/>
          <w:color w:val="000000"/>
        </w:rPr>
        <w:t>.</w:t>
      </w:r>
      <w:r w:rsidR="001C67F1" w:rsidRPr="003F7B7C">
        <w:rPr>
          <w:rFonts w:ascii="Book Antiqua" w:eastAsia="Book Antiqua" w:hAnsi="Book Antiqua" w:cs="Book Antiqua"/>
          <w:color w:val="000000"/>
        </w:rPr>
        <w:t xml:space="preserve"> </w:t>
      </w:r>
      <w:r w:rsidR="00714E42">
        <w:rPr>
          <w:rFonts w:ascii="Book Antiqua" w:eastAsia="Book Antiqua" w:hAnsi="Book Antiqua" w:cs="Book Antiqua"/>
          <w:color w:val="000000"/>
        </w:rPr>
        <w:t>I</w:t>
      </w:r>
      <w:r w:rsidR="001C67F1" w:rsidRPr="003F7B7C">
        <w:rPr>
          <w:rFonts w:ascii="Book Antiqua" w:eastAsia="Book Antiqua" w:hAnsi="Book Antiqua" w:cs="Book Antiqua"/>
          <w:color w:val="000000"/>
        </w:rPr>
        <w:t xml:space="preserve">n the background, there </w:t>
      </w:r>
      <w:r w:rsidR="00714E42">
        <w:rPr>
          <w:rFonts w:ascii="Book Antiqua" w:eastAsia="Book Antiqua" w:hAnsi="Book Antiqua" w:cs="Book Antiqua"/>
          <w:color w:val="000000"/>
        </w:rPr>
        <w:t>we</w:t>
      </w:r>
      <w:r w:rsidR="001C67F1" w:rsidRPr="003F7B7C">
        <w:rPr>
          <w:rFonts w:ascii="Book Antiqua" w:eastAsia="Book Antiqua" w:hAnsi="Book Antiqua" w:cs="Book Antiqua"/>
          <w:color w:val="000000"/>
        </w:rPr>
        <w:t>re more scattered lymphocytes</w:t>
      </w:r>
      <w:r w:rsidR="00714E42">
        <w:rPr>
          <w:rFonts w:ascii="Book Antiqua" w:eastAsia="Book Antiqua" w:hAnsi="Book Antiqua" w:cs="Book Antiqua"/>
          <w:color w:val="000000"/>
        </w:rPr>
        <w:t>,</w:t>
      </w:r>
      <w:r w:rsidR="001C67F1" w:rsidRPr="003F7B7C">
        <w:rPr>
          <w:rFonts w:ascii="Book Antiqua" w:eastAsia="Book Antiqua" w:hAnsi="Book Antiqua" w:cs="Book Antiqua"/>
          <w:color w:val="000000"/>
        </w:rPr>
        <w:t xml:space="preserve"> neutrophils, and local interstitial mucoid degeneration pustular folliculitis (HE, × 100);</w:t>
      </w:r>
      <w:r w:rsidRPr="003F7B7C">
        <w:rPr>
          <w:rFonts w:ascii="Book Antiqua" w:eastAsia="Book Antiqua" w:hAnsi="Book Antiqua" w:cs="Book Antiqua"/>
          <w:color w:val="000000"/>
        </w:rPr>
        <w:t xml:space="preserve"> E</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Some cells </w:t>
      </w:r>
      <w:r w:rsidR="00714E42">
        <w:rPr>
          <w:rFonts w:ascii="Book Antiqua" w:eastAsia="Book Antiqua" w:hAnsi="Book Antiqua" w:cs="Book Antiqua"/>
          <w:color w:val="000000"/>
        </w:rPr>
        <w:t>we</w:t>
      </w:r>
      <w:r w:rsidRPr="003F7B7C">
        <w:rPr>
          <w:rFonts w:ascii="Book Antiqua" w:eastAsia="Book Antiqua" w:hAnsi="Book Antiqua" w:cs="Book Antiqua"/>
          <w:color w:val="000000"/>
        </w:rPr>
        <w:t>re enlarged, with a rich cytoplasm, light staining, mononuclear, binuclear, multinucleated</w:t>
      </w:r>
      <w:r w:rsidR="00714E42">
        <w:rPr>
          <w:rFonts w:ascii="Book Antiqua" w:eastAsia="Book Antiqua" w:hAnsi="Book Antiqua" w:cs="Book Antiqua"/>
          <w:color w:val="000000"/>
        </w:rPr>
        <w:t>,</w:t>
      </w:r>
      <w:r w:rsidRPr="003F7B7C">
        <w:rPr>
          <w:rFonts w:ascii="Book Antiqua" w:eastAsia="Book Antiqua" w:hAnsi="Book Antiqua" w:cs="Book Antiqua"/>
          <w:color w:val="000000"/>
        </w:rPr>
        <w:t xml:space="preserve"> or lobulated nucleus; phagocytosis of lymphocytes c</w:t>
      </w:r>
      <w:r w:rsidR="00714E42">
        <w:rPr>
          <w:rFonts w:ascii="Book Antiqua" w:eastAsia="Book Antiqua" w:hAnsi="Book Antiqua" w:cs="Book Antiqua"/>
          <w:color w:val="000000"/>
        </w:rPr>
        <w:t>ould</w:t>
      </w:r>
      <w:r w:rsidRPr="003F7B7C">
        <w:rPr>
          <w:rFonts w:ascii="Book Antiqua" w:eastAsia="Book Antiqua" w:hAnsi="Book Antiqua" w:cs="Book Antiqua"/>
          <w:color w:val="000000"/>
        </w:rPr>
        <w:t xml:space="preserve"> be seen in some cytoplasm</w:t>
      </w:r>
      <w:r w:rsidR="00714E42">
        <w:rPr>
          <w:rFonts w:ascii="Book Antiqua" w:eastAsia="Book Antiqua" w:hAnsi="Book Antiqua" w:cs="Book Antiqua"/>
          <w:color w:val="000000"/>
        </w:rPr>
        <w:t>.</w:t>
      </w:r>
      <w:r w:rsidRPr="003F7B7C">
        <w:rPr>
          <w:rFonts w:ascii="Book Antiqua" w:eastAsia="Book Antiqua" w:hAnsi="Book Antiqua" w:cs="Book Antiqua"/>
          <w:color w:val="000000"/>
        </w:rPr>
        <w:t xml:space="preserve"> </w:t>
      </w:r>
      <w:r w:rsidR="00714E42">
        <w:rPr>
          <w:rFonts w:ascii="Book Antiqua" w:eastAsia="Book Antiqua" w:hAnsi="Book Antiqua" w:cs="Book Antiqua"/>
          <w:color w:val="000000"/>
        </w:rPr>
        <w:t>I</w:t>
      </w:r>
      <w:r w:rsidRPr="003F7B7C">
        <w:rPr>
          <w:rFonts w:ascii="Book Antiqua" w:eastAsia="Book Antiqua" w:hAnsi="Book Antiqua" w:cs="Book Antiqua"/>
          <w:color w:val="000000"/>
        </w:rPr>
        <w:t xml:space="preserve">n the background, there </w:t>
      </w:r>
      <w:r w:rsidR="00714E42">
        <w:rPr>
          <w:rFonts w:ascii="Book Antiqua" w:eastAsia="Book Antiqua" w:hAnsi="Book Antiqua" w:cs="Book Antiqua"/>
          <w:color w:val="000000"/>
        </w:rPr>
        <w:t>we</w:t>
      </w:r>
      <w:r w:rsidRPr="003F7B7C">
        <w:rPr>
          <w:rFonts w:ascii="Book Antiqua" w:eastAsia="Book Antiqua" w:hAnsi="Book Antiqua" w:cs="Book Antiqua"/>
          <w:color w:val="000000"/>
        </w:rPr>
        <w:t>re more scattered lymphocytes</w:t>
      </w:r>
      <w:r w:rsidR="00714E42">
        <w:rPr>
          <w:rFonts w:ascii="Book Antiqua" w:eastAsia="Book Antiqua" w:hAnsi="Book Antiqua" w:cs="Book Antiqua"/>
          <w:color w:val="000000"/>
        </w:rPr>
        <w:t>,</w:t>
      </w:r>
      <w:r w:rsidRPr="003F7B7C">
        <w:rPr>
          <w:rFonts w:ascii="Book Antiqua" w:eastAsia="Book Antiqua" w:hAnsi="Book Antiqua" w:cs="Book Antiqua"/>
          <w:color w:val="000000"/>
        </w:rPr>
        <w:t xml:space="preserve"> neutrophils, and local interstitial mucoid degeneration pustular folliculitis (HE,</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200).</w:t>
      </w:r>
    </w:p>
    <w:p w14:paraId="2BC24345" w14:textId="55DE1D94" w:rsidR="00A77B3E" w:rsidRPr="003F7B7C" w:rsidRDefault="003A0989" w:rsidP="003F7B7C">
      <w:pPr>
        <w:spacing w:line="360" w:lineRule="auto"/>
        <w:jc w:val="both"/>
        <w:rPr>
          <w:rFonts w:ascii="Book Antiqua" w:hAnsi="Book Antiqua"/>
        </w:rPr>
      </w:pPr>
      <w:r w:rsidRPr="003F7B7C">
        <w:rPr>
          <w:rFonts w:ascii="Book Antiqua" w:eastAsia="Book Antiqua" w:hAnsi="Book Antiqua" w:cs="Book Antiqua"/>
          <w:color w:val="000000"/>
        </w:rPr>
        <w:br w:type="page"/>
      </w:r>
      <w:r w:rsidRPr="003F7B7C">
        <w:rPr>
          <w:rFonts w:ascii="Book Antiqua" w:hAnsi="Book Antiqua"/>
          <w:noProof/>
        </w:rPr>
        <w:lastRenderedPageBreak/>
        <w:drawing>
          <wp:inline distT="0" distB="0" distL="0" distR="0" wp14:anchorId="5A4D708D" wp14:editId="67445E76">
            <wp:extent cx="2785495" cy="1988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4175" cy="1995018"/>
                    </a:xfrm>
                    <a:prstGeom prst="rect">
                      <a:avLst/>
                    </a:prstGeom>
                  </pic:spPr>
                </pic:pic>
              </a:graphicData>
            </a:graphic>
          </wp:inline>
        </w:drawing>
      </w:r>
      <w:r w:rsidRPr="003F7B7C">
        <w:rPr>
          <w:rFonts w:ascii="Book Antiqua" w:hAnsi="Book Antiqua"/>
        </w:rPr>
        <w:t xml:space="preserve"> </w:t>
      </w:r>
      <w:r w:rsidRPr="003F7B7C">
        <w:rPr>
          <w:rFonts w:ascii="Book Antiqua" w:hAnsi="Book Antiqua"/>
          <w:noProof/>
        </w:rPr>
        <w:drawing>
          <wp:inline distT="0" distB="0" distL="0" distR="0" wp14:anchorId="1C9C2881" wp14:editId="4D1265F4">
            <wp:extent cx="2766060" cy="19827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4465" cy="1988824"/>
                    </a:xfrm>
                    <a:prstGeom prst="rect">
                      <a:avLst/>
                    </a:prstGeom>
                  </pic:spPr>
                </pic:pic>
              </a:graphicData>
            </a:graphic>
          </wp:inline>
        </w:drawing>
      </w:r>
    </w:p>
    <w:p w14:paraId="45218BBC" w14:textId="38E430FE" w:rsidR="003A0989" w:rsidRPr="003F7B7C" w:rsidRDefault="003A0989" w:rsidP="003F7B7C">
      <w:pPr>
        <w:spacing w:line="360" w:lineRule="auto"/>
        <w:jc w:val="both"/>
        <w:rPr>
          <w:rFonts w:ascii="Book Antiqua" w:hAnsi="Book Antiqua"/>
        </w:rPr>
      </w:pPr>
      <w:r w:rsidRPr="003F7B7C">
        <w:rPr>
          <w:rFonts w:ascii="Book Antiqua" w:hAnsi="Book Antiqua"/>
          <w:noProof/>
        </w:rPr>
        <w:drawing>
          <wp:inline distT="0" distB="0" distL="0" distR="0" wp14:anchorId="70780D9B" wp14:editId="3E74E946">
            <wp:extent cx="2819400" cy="193125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0596" cy="1938928"/>
                    </a:xfrm>
                    <a:prstGeom prst="rect">
                      <a:avLst/>
                    </a:prstGeom>
                  </pic:spPr>
                </pic:pic>
              </a:graphicData>
            </a:graphic>
          </wp:inline>
        </w:drawing>
      </w:r>
      <w:r w:rsidRPr="003F7B7C">
        <w:rPr>
          <w:rFonts w:ascii="Book Antiqua" w:hAnsi="Book Antiqua"/>
        </w:rPr>
        <w:t xml:space="preserve"> </w:t>
      </w:r>
      <w:r w:rsidRPr="003F7B7C">
        <w:rPr>
          <w:rFonts w:ascii="Book Antiqua" w:hAnsi="Book Antiqua"/>
          <w:noProof/>
        </w:rPr>
        <w:drawing>
          <wp:inline distT="0" distB="0" distL="0" distR="0" wp14:anchorId="747CFC13" wp14:editId="713FD53B">
            <wp:extent cx="2773680" cy="199625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0707" cy="2015702"/>
                    </a:xfrm>
                    <a:prstGeom prst="rect">
                      <a:avLst/>
                    </a:prstGeom>
                  </pic:spPr>
                </pic:pic>
              </a:graphicData>
            </a:graphic>
          </wp:inline>
        </w:drawing>
      </w:r>
    </w:p>
    <w:p w14:paraId="25386428" w14:textId="6338D86E" w:rsidR="003A0989" w:rsidRPr="003F7B7C" w:rsidRDefault="003A0989" w:rsidP="003F7B7C">
      <w:pPr>
        <w:spacing w:line="360" w:lineRule="auto"/>
        <w:jc w:val="both"/>
        <w:rPr>
          <w:rFonts w:ascii="Book Antiqua" w:hAnsi="Book Antiqua"/>
        </w:rPr>
      </w:pPr>
      <w:r w:rsidRPr="003F7B7C">
        <w:rPr>
          <w:rFonts w:ascii="Book Antiqua" w:hAnsi="Book Antiqua"/>
          <w:noProof/>
        </w:rPr>
        <w:drawing>
          <wp:inline distT="0" distB="0" distL="0" distR="0" wp14:anchorId="6DA4F75D" wp14:editId="1C75C39A">
            <wp:extent cx="2863378" cy="20878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0477" cy="2093057"/>
                    </a:xfrm>
                    <a:prstGeom prst="rect">
                      <a:avLst/>
                    </a:prstGeom>
                  </pic:spPr>
                </pic:pic>
              </a:graphicData>
            </a:graphic>
          </wp:inline>
        </w:drawing>
      </w:r>
      <w:r w:rsidRPr="003F7B7C">
        <w:rPr>
          <w:rFonts w:ascii="Book Antiqua" w:hAnsi="Book Antiqua"/>
        </w:rPr>
        <w:t xml:space="preserve"> </w:t>
      </w:r>
      <w:r w:rsidRPr="003F7B7C">
        <w:rPr>
          <w:rFonts w:ascii="Book Antiqua" w:hAnsi="Book Antiqua"/>
          <w:noProof/>
        </w:rPr>
        <w:drawing>
          <wp:inline distT="0" distB="0" distL="0" distR="0" wp14:anchorId="78B31311" wp14:editId="1837370F">
            <wp:extent cx="2829630" cy="2057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1842" cy="2066279"/>
                    </a:xfrm>
                    <a:prstGeom prst="rect">
                      <a:avLst/>
                    </a:prstGeom>
                  </pic:spPr>
                </pic:pic>
              </a:graphicData>
            </a:graphic>
          </wp:inline>
        </w:drawing>
      </w:r>
    </w:p>
    <w:p w14:paraId="2ACD6116" w14:textId="4CC97799" w:rsidR="00A77B3E" w:rsidRPr="003F7B7C" w:rsidRDefault="005430EF" w:rsidP="003F7B7C">
      <w:pPr>
        <w:spacing w:line="360" w:lineRule="auto"/>
        <w:jc w:val="both"/>
        <w:rPr>
          <w:rFonts w:ascii="Book Antiqua" w:hAnsi="Book Antiqua"/>
        </w:rPr>
      </w:pPr>
      <w:r w:rsidRPr="003F7B7C">
        <w:rPr>
          <w:rFonts w:ascii="Book Antiqua" w:eastAsia="Book Antiqua" w:hAnsi="Book Antiqua" w:cs="Book Antiqua"/>
          <w:b/>
          <w:bCs/>
          <w:color w:val="000000"/>
        </w:rPr>
        <w:t>Figure 2</w:t>
      </w:r>
      <w:r w:rsidRPr="003F7B7C">
        <w:rPr>
          <w:rFonts w:ascii="Book Antiqua" w:eastAsia="Book Antiqua" w:hAnsi="Book Antiqua" w:cs="Book Antiqua"/>
          <w:color w:val="000000"/>
        </w:rPr>
        <w:t xml:space="preserve"> </w:t>
      </w:r>
      <w:r w:rsidR="007A7AA8">
        <w:rPr>
          <w:rFonts w:ascii="Book Antiqua" w:eastAsia="Book Antiqua" w:hAnsi="Book Antiqua" w:cs="Book Antiqua"/>
          <w:b/>
          <w:bCs/>
          <w:color w:val="000000"/>
        </w:rPr>
        <w:t>I</w:t>
      </w:r>
      <w:r w:rsidRPr="003F7B7C">
        <w:rPr>
          <w:rFonts w:ascii="Book Antiqua" w:eastAsia="Book Antiqua" w:hAnsi="Book Antiqua" w:cs="Book Antiqua"/>
          <w:b/>
          <w:bCs/>
          <w:color w:val="000000"/>
        </w:rPr>
        <w:t>mmunohistochemical results.</w:t>
      </w:r>
      <w:r w:rsidRPr="003F7B7C">
        <w:rPr>
          <w:rFonts w:ascii="Book Antiqua" w:eastAsia="Book Antiqua" w:hAnsi="Book Antiqua" w:cs="Book Antiqua"/>
          <w:color w:val="000000"/>
        </w:rPr>
        <w:t xml:space="preserve"> A</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Positive immunostaining of cells for CD207/Langerin (magnification ×</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200)</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B</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Positive immunostaining of cells for CD1a (magnification ×</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400)</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C</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Positive immunostaining of cells for CD68 (magnification ×</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400)</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D</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Positive immunostaining of cells for S100 protein (magnification ×</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200)</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E</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A high proliferation index (Ki67 immunostaining &gt;</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80%, magnification ×</w:t>
      </w:r>
      <w:r w:rsidR="001C67F1" w:rsidRPr="003F7B7C">
        <w:rPr>
          <w:rFonts w:ascii="Book Antiqua" w:eastAsia="Book Antiqua" w:hAnsi="Book Antiqua" w:cs="Book Antiqua"/>
          <w:color w:val="000000"/>
        </w:rPr>
        <w:t xml:space="preserve"> </w:t>
      </w:r>
      <w:r w:rsidRPr="003F7B7C">
        <w:rPr>
          <w:rFonts w:ascii="Book Antiqua" w:eastAsia="Book Antiqua" w:hAnsi="Book Antiqua" w:cs="Book Antiqua"/>
          <w:color w:val="000000"/>
        </w:rPr>
        <w:t>400)</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F</w:t>
      </w:r>
      <w:r w:rsidR="001C67F1" w:rsidRPr="003F7B7C">
        <w:rPr>
          <w:rFonts w:ascii="Book Antiqua" w:eastAsia="Book Antiqua" w:hAnsi="Book Antiqua" w:cs="Book Antiqua"/>
          <w:color w:val="000000"/>
        </w:rPr>
        <w:t>:</w:t>
      </w:r>
      <w:r w:rsidRPr="003F7B7C">
        <w:rPr>
          <w:rFonts w:ascii="Book Antiqua" w:eastAsia="Book Antiqua" w:hAnsi="Book Antiqua" w:cs="Book Antiqua"/>
          <w:color w:val="000000"/>
        </w:rPr>
        <w:t xml:space="preserve"> Negative E</w:t>
      </w:r>
      <w:r w:rsidR="00471430">
        <w:rPr>
          <w:rFonts w:ascii="Book Antiqua" w:eastAsia="Book Antiqua" w:hAnsi="Book Antiqua" w:cs="Book Antiqua"/>
          <w:color w:val="000000"/>
        </w:rPr>
        <w:t>pstein-</w:t>
      </w:r>
      <w:r w:rsidRPr="003F7B7C">
        <w:rPr>
          <w:rFonts w:ascii="Book Antiqua" w:eastAsia="Book Antiqua" w:hAnsi="Book Antiqua" w:cs="Book Antiqua"/>
          <w:color w:val="000000"/>
        </w:rPr>
        <w:t>B</w:t>
      </w:r>
      <w:r w:rsidR="00471430">
        <w:rPr>
          <w:rFonts w:ascii="Book Antiqua" w:eastAsia="Book Antiqua" w:hAnsi="Book Antiqua" w:cs="Book Antiqua"/>
          <w:color w:val="000000"/>
        </w:rPr>
        <w:t>arr encoding region</w:t>
      </w:r>
      <w:r w:rsidRPr="003F7B7C">
        <w:rPr>
          <w:rFonts w:ascii="Book Antiqua" w:eastAsia="Book Antiqua" w:hAnsi="Book Antiqua" w:cs="Book Antiqua"/>
          <w:color w:val="000000"/>
        </w:rPr>
        <w:t xml:space="preserve"> mRNA by in situ hybridization.</w:t>
      </w:r>
    </w:p>
    <w:sectPr w:rsidR="00A77B3E" w:rsidRPr="003F7B7C" w:rsidSect="003F7B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63313" w14:textId="77777777" w:rsidR="004E3053" w:rsidRDefault="004E3053" w:rsidP="00044923">
      <w:r>
        <w:separator/>
      </w:r>
    </w:p>
  </w:endnote>
  <w:endnote w:type="continuationSeparator" w:id="0">
    <w:p w14:paraId="4B7170E6" w14:textId="77777777" w:rsidR="004E3053" w:rsidRDefault="004E3053" w:rsidP="00044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9FD6" w14:textId="77777777" w:rsidR="00044923" w:rsidRPr="00044923" w:rsidRDefault="00044923" w:rsidP="00044923">
    <w:pPr>
      <w:pStyle w:val="Footer"/>
      <w:jc w:val="right"/>
      <w:rPr>
        <w:rFonts w:ascii="Book Antiqua" w:hAnsi="Book Antiqua"/>
        <w:color w:val="000000" w:themeColor="text1"/>
        <w:sz w:val="24"/>
        <w:szCs w:val="24"/>
      </w:rPr>
    </w:pPr>
    <w:r w:rsidRPr="00044923">
      <w:rPr>
        <w:rFonts w:ascii="Book Antiqua" w:hAnsi="Book Antiqua"/>
        <w:color w:val="000000" w:themeColor="text1"/>
        <w:sz w:val="24"/>
        <w:szCs w:val="24"/>
        <w:lang w:val="zh-CN" w:eastAsia="zh-CN"/>
      </w:rPr>
      <w:t xml:space="preserve"> </w:t>
    </w:r>
    <w:r w:rsidRPr="00044923">
      <w:rPr>
        <w:rFonts w:ascii="Book Antiqua" w:hAnsi="Book Antiqua"/>
        <w:color w:val="000000" w:themeColor="text1"/>
        <w:sz w:val="24"/>
        <w:szCs w:val="24"/>
      </w:rPr>
      <w:fldChar w:fldCharType="begin"/>
    </w:r>
    <w:r w:rsidRPr="00044923">
      <w:rPr>
        <w:rFonts w:ascii="Book Antiqua" w:hAnsi="Book Antiqua"/>
        <w:color w:val="000000" w:themeColor="text1"/>
        <w:sz w:val="24"/>
        <w:szCs w:val="24"/>
      </w:rPr>
      <w:instrText>PAGE  \* Arabic  \* MERGEFORMAT</w:instrText>
    </w:r>
    <w:r w:rsidRPr="00044923">
      <w:rPr>
        <w:rFonts w:ascii="Book Antiqua" w:hAnsi="Book Antiqua"/>
        <w:color w:val="000000" w:themeColor="text1"/>
        <w:sz w:val="24"/>
        <w:szCs w:val="24"/>
      </w:rPr>
      <w:fldChar w:fldCharType="separate"/>
    </w:r>
    <w:r w:rsidRPr="00044923">
      <w:rPr>
        <w:rFonts w:ascii="Book Antiqua" w:hAnsi="Book Antiqua"/>
        <w:color w:val="000000" w:themeColor="text1"/>
        <w:sz w:val="24"/>
        <w:szCs w:val="24"/>
        <w:lang w:val="zh-CN" w:eastAsia="zh-CN"/>
      </w:rPr>
      <w:t>2</w:t>
    </w:r>
    <w:r w:rsidRPr="00044923">
      <w:rPr>
        <w:rFonts w:ascii="Book Antiqua" w:hAnsi="Book Antiqua"/>
        <w:color w:val="000000" w:themeColor="text1"/>
        <w:sz w:val="24"/>
        <w:szCs w:val="24"/>
      </w:rPr>
      <w:fldChar w:fldCharType="end"/>
    </w:r>
    <w:r w:rsidRPr="00044923">
      <w:rPr>
        <w:rFonts w:ascii="Book Antiqua" w:hAnsi="Book Antiqua"/>
        <w:color w:val="000000" w:themeColor="text1"/>
        <w:sz w:val="24"/>
        <w:szCs w:val="24"/>
        <w:lang w:val="zh-CN" w:eastAsia="zh-CN"/>
      </w:rPr>
      <w:t xml:space="preserve"> / </w:t>
    </w:r>
    <w:r w:rsidRPr="00044923">
      <w:rPr>
        <w:rFonts w:ascii="Book Antiqua" w:hAnsi="Book Antiqua"/>
        <w:color w:val="000000" w:themeColor="text1"/>
        <w:sz w:val="24"/>
        <w:szCs w:val="24"/>
      </w:rPr>
      <w:fldChar w:fldCharType="begin"/>
    </w:r>
    <w:r w:rsidRPr="00044923">
      <w:rPr>
        <w:rFonts w:ascii="Book Antiqua" w:hAnsi="Book Antiqua"/>
        <w:color w:val="000000" w:themeColor="text1"/>
        <w:sz w:val="24"/>
        <w:szCs w:val="24"/>
      </w:rPr>
      <w:instrText>NUMPAGES  \* Arabic  \* MERGEFORMAT</w:instrText>
    </w:r>
    <w:r w:rsidRPr="00044923">
      <w:rPr>
        <w:rFonts w:ascii="Book Antiqua" w:hAnsi="Book Antiqua"/>
        <w:color w:val="000000" w:themeColor="text1"/>
        <w:sz w:val="24"/>
        <w:szCs w:val="24"/>
      </w:rPr>
      <w:fldChar w:fldCharType="separate"/>
    </w:r>
    <w:r w:rsidRPr="00044923">
      <w:rPr>
        <w:rFonts w:ascii="Book Antiqua" w:hAnsi="Book Antiqua"/>
        <w:color w:val="000000" w:themeColor="text1"/>
        <w:sz w:val="24"/>
        <w:szCs w:val="24"/>
        <w:lang w:val="zh-CN" w:eastAsia="zh-CN"/>
      </w:rPr>
      <w:t>2</w:t>
    </w:r>
    <w:r w:rsidRPr="00044923">
      <w:rPr>
        <w:rFonts w:ascii="Book Antiqua" w:hAnsi="Book Antiqua"/>
        <w:color w:val="000000" w:themeColor="text1"/>
        <w:sz w:val="24"/>
        <w:szCs w:val="24"/>
      </w:rPr>
      <w:fldChar w:fldCharType="end"/>
    </w:r>
  </w:p>
  <w:p w14:paraId="2EA722AD" w14:textId="77777777" w:rsidR="00044923" w:rsidRDefault="00044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2F4EE" w14:textId="77777777" w:rsidR="004E3053" w:rsidRDefault="004E3053" w:rsidP="00044923">
      <w:r>
        <w:separator/>
      </w:r>
    </w:p>
  </w:footnote>
  <w:footnote w:type="continuationSeparator" w:id="0">
    <w:p w14:paraId="6BB2DE6A" w14:textId="77777777" w:rsidR="004E3053" w:rsidRDefault="004E3053" w:rsidP="000449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923"/>
    <w:rsid w:val="000F273A"/>
    <w:rsid w:val="001659B1"/>
    <w:rsid w:val="001B39AE"/>
    <w:rsid w:val="001C67F1"/>
    <w:rsid w:val="002B0856"/>
    <w:rsid w:val="002E2C4E"/>
    <w:rsid w:val="00357F1E"/>
    <w:rsid w:val="00372A15"/>
    <w:rsid w:val="00384595"/>
    <w:rsid w:val="00385057"/>
    <w:rsid w:val="003A0989"/>
    <w:rsid w:val="003F7B7C"/>
    <w:rsid w:val="0042680C"/>
    <w:rsid w:val="00471430"/>
    <w:rsid w:val="004B2936"/>
    <w:rsid w:val="004B3714"/>
    <w:rsid w:val="004D773D"/>
    <w:rsid w:val="004E3053"/>
    <w:rsid w:val="00511644"/>
    <w:rsid w:val="005430EF"/>
    <w:rsid w:val="005518B3"/>
    <w:rsid w:val="00565CBB"/>
    <w:rsid w:val="00567CBE"/>
    <w:rsid w:val="00593BEC"/>
    <w:rsid w:val="005B3DC4"/>
    <w:rsid w:val="005C189C"/>
    <w:rsid w:val="00607658"/>
    <w:rsid w:val="006169C2"/>
    <w:rsid w:val="00635489"/>
    <w:rsid w:val="00714E42"/>
    <w:rsid w:val="00724B02"/>
    <w:rsid w:val="00733428"/>
    <w:rsid w:val="0078258A"/>
    <w:rsid w:val="007A7AA8"/>
    <w:rsid w:val="007E3435"/>
    <w:rsid w:val="00803467"/>
    <w:rsid w:val="00884227"/>
    <w:rsid w:val="008A506B"/>
    <w:rsid w:val="008D65C5"/>
    <w:rsid w:val="009055BD"/>
    <w:rsid w:val="00956278"/>
    <w:rsid w:val="009D7D32"/>
    <w:rsid w:val="009E054D"/>
    <w:rsid w:val="00A073DA"/>
    <w:rsid w:val="00A16B4B"/>
    <w:rsid w:val="00A53DBF"/>
    <w:rsid w:val="00A77B3E"/>
    <w:rsid w:val="00A934E0"/>
    <w:rsid w:val="00AA5812"/>
    <w:rsid w:val="00BD1404"/>
    <w:rsid w:val="00C039BA"/>
    <w:rsid w:val="00C32141"/>
    <w:rsid w:val="00C76BE1"/>
    <w:rsid w:val="00CA2A55"/>
    <w:rsid w:val="00DB5A85"/>
    <w:rsid w:val="00DB5C11"/>
    <w:rsid w:val="00E1691F"/>
    <w:rsid w:val="00F04315"/>
    <w:rsid w:val="00FB6D21"/>
    <w:rsid w:val="00FE23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B36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4492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44923"/>
    <w:rPr>
      <w:sz w:val="18"/>
      <w:szCs w:val="18"/>
    </w:rPr>
  </w:style>
  <w:style w:type="paragraph" w:styleId="Footer">
    <w:name w:val="footer"/>
    <w:basedOn w:val="Normal"/>
    <w:link w:val="FooterChar"/>
    <w:uiPriority w:val="99"/>
    <w:unhideWhenUsed/>
    <w:rsid w:val="0004492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44923"/>
    <w:rPr>
      <w:sz w:val="18"/>
      <w:szCs w:val="18"/>
    </w:rPr>
  </w:style>
  <w:style w:type="character" w:styleId="CommentReference">
    <w:name w:val="annotation reference"/>
    <w:basedOn w:val="DefaultParagraphFont"/>
    <w:semiHidden/>
    <w:unhideWhenUsed/>
    <w:rsid w:val="00044923"/>
    <w:rPr>
      <w:sz w:val="21"/>
      <w:szCs w:val="21"/>
    </w:rPr>
  </w:style>
  <w:style w:type="paragraph" w:styleId="CommentText">
    <w:name w:val="annotation text"/>
    <w:basedOn w:val="Normal"/>
    <w:link w:val="CommentTextChar"/>
    <w:semiHidden/>
    <w:unhideWhenUsed/>
    <w:rsid w:val="00044923"/>
  </w:style>
  <w:style w:type="character" w:customStyle="1" w:styleId="CommentTextChar">
    <w:name w:val="Comment Text Char"/>
    <w:basedOn w:val="DefaultParagraphFont"/>
    <w:link w:val="CommentText"/>
    <w:semiHidden/>
    <w:rsid w:val="00044923"/>
    <w:rPr>
      <w:sz w:val="24"/>
      <w:szCs w:val="24"/>
    </w:rPr>
  </w:style>
  <w:style w:type="paragraph" w:styleId="CommentSubject">
    <w:name w:val="annotation subject"/>
    <w:basedOn w:val="CommentText"/>
    <w:next w:val="CommentText"/>
    <w:link w:val="CommentSubjectChar"/>
    <w:semiHidden/>
    <w:unhideWhenUsed/>
    <w:rsid w:val="00044923"/>
    <w:rPr>
      <w:b/>
      <w:bCs/>
    </w:rPr>
  </w:style>
  <w:style w:type="character" w:customStyle="1" w:styleId="CommentSubjectChar">
    <w:name w:val="Comment Subject Char"/>
    <w:basedOn w:val="CommentTextChar"/>
    <w:link w:val="CommentSubject"/>
    <w:semiHidden/>
    <w:rsid w:val="00044923"/>
    <w:rPr>
      <w:b/>
      <w:bCs/>
      <w:sz w:val="24"/>
      <w:szCs w:val="24"/>
    </w:rPr>
  </w:style>
  <w:style w:type="paragraph" w:styleId="BalloonText">
    <w:name w:val="Balloon Text"/>
    <w:basedOn w:val="Normal"/>
    <w:link w:val="BalloonTextChar"/>
    <w:rsid w:val="00A16B4B"/>
    <w:rPr>
      <w:sz w:val="18"/>
      <w:szCs w:val="18"/>
    </w:rPr>
  </w:style>
  <w:style w:type="character" w:customStyle="1" w:styleId="BalloonTextChar">
    <w:name w:val="Balloon Text Char"/>
    <w:basedOn w:val="DefaultParagraphFont"/>
    <w:link w:val="BalloonText"/>
    <w:rsid w:val="00A16B4B"/>
    <w:rPr>
      <w:sz w:val="18"/>
      <w:szCs w:val="18"/>
    </w:rPr>
  </w:style>
  <w:style w:type="paragraph" w:styleId="Revision">
    <w:name w:val="Revision"/>
    <w:hidden/>
    <w:uiPriority w:val="99"/>
    <w:semiHidden/>
    <w:rsid w:val="00C76B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3804</Words>
  <Characters>21689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2021-10-16T21:19:00Z</dcterms:created>
  <dcterms:modified xsi:type="dcterms:W3CDTF">2021-10-17T03:16:00Z</dcterms:modified>
</cp:coreProperties>
</file>