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312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3B210D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69184</w:t>
      </w:r>
    </w:p>
    <w:p w14:paraId="613C05B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B4AEAC" w14:textId="77777777" w:rsidR="009F3374" w:rsidRDefault="009F3374">
      <w:pPr>
        <w:spacing w:line="360" w:lineRule="auto"/>
        <w:jc w:val="both"/>
        <w:rPr>
          <w:rFonts w:ascii="Book Antiqua" w:eastAsia="Book Antiqua" w:hAnsi="Book Antiqua" w:cs="Book Antiqua"/>
        </w:rPr>
      </w:pPr>
    </w:p>
    <w:p w14:paraId="6C9DF138" w14:textId="77777777" w:rsidR="009F3374" w:rsidRDefault="00ED0470">
      <w:pPr>
        <w:spacing w:line="360" w:lineRule="auto"/>
        <w:jc w:val="both"/>
        <w:rPr>
          <w:rFonts w:ascii="Book Antiqua" w:eastAsia="Book Antiqua" w:hAnsi="Book Antiqua" w:cs="Book Antiqua"/>
          <w:i/>
        </w:rPr>
      </w:pPr>
      <w:r>
        <w:rPr>
          <w:rFonts w:ascii="Book Antiqua" w:eastAsia="Book Antiqua" w:hAnsi="Book Antiqua" w:cs="Book Antiqua"/>
          <w:b/>
          <w:i/>
          <w:color w:val="000000"/>
        </w:rPr>
        <w:t>Retrospective Study</w:t>
      </w:r>
    </w:p>
    <w:p w14:paraId="023BF166"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Association between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 and food-specific immunoglobulin G in Southwest China</w:t>
      </w:r>
    </w:p>
    <w:p w14:paraId="50A899DD" w14:textId="77777777" w:rsidR="009F3374" w:rsidRDefault="009F3374">
      <w:pPr>
        <w:spacing w:line="360" w:lineRule="auto"/>
        <w:jc w:val="both"/>
        <w:rPr>
          <w:rFonts w:ascii="Book Antiqua" w:eastAsia="Book Antiqua" w:hAnsi="Book Antiqua" w:cs="Book Antiqua"/>
        </w:rPr>
      </w:pPr>
    </w:p>
    <w:p w14:paraId="6F239BE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Liu Y </w:t>
      </w:r>
      <w:r>
        <w:rPr>
          <w:rFonts w:ascii="Book Antiqua" w:eastAsia="Book Antiqua" w:hAnsi="Book Antiqua" w:cs="Book Antiqua"/>
          <w:i/>
          <w:color w:val="000000"/>
        </w:rPr>
        <w:t>et al. H. pylori</w:t>
      </w:r>
      <w:r>
        <w:rPr>
          <w:rFonts w:ascii="Book Antiqua" w:eastAsia="Book Antiqua" w:hAnsi="Book Antiqua" w:cs="Book Antiqua"/>
          <w:color w:val="000000"/>
        </w:rPr>
        <w:t xml:space="preserve"> and food-specific IgG</w:t>
      </w:r>
    </w:p>
    <w:p w14:paraId="442033D3" w14:textId="77777777" w:rsidR="009F3374" w:rsidRDefault="009F3374">
      <w:pPr>
        <w:spacing w:line="360" w:lineRule="auto"/>
        <w:jc w:val="both"/>
        <w:rPr>
          <w:rFonts w:ascii="Book Antiqua" w:eastAsia="Book Antiqua" w:hAnsi="Book Antiqua" w:cs="Book Antiqua"/>
        </w:rPr>
      </w:pPr>
    </w:p>
    <w:p w14:paraId="2270EFE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Ying Liu, Ping Shuai, Yu-Ping Liu, Dong-Yu Li</w:t>
      </w:r>
    </w:p>
    <w:p w14:paraId="61B07158" w14:textId="77777777" w:rsidR="009F3374" w:rsidRDefault="009F3374">
      <w:pPr>
        <w:spacing w:line="360" w:lineRule="auto"/>
        <w:jc w:val="both"/>
        <w:rPr>
          <w:rFonts w:ascii="Book Antiqua" w:eastAsia="Book Antiqua" w:hAnsi="Book Antiqua" w:cs="Book Antiqua"/>
        </w:rPr>
      </w:pPr>
    </w:p>
    <w:p w14:paraId="48F9238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Ying Liu, Ping Shuai, Yu-Ping Liu, Dong-Yu Li, </w:t>
      </w:r>
      <w:r>
        <w:rPr>
          <w:rFonts w:ascii="Book Antiqua" w:eastAsia="Book Antiqua" w:hAnsi="Book Antiqua" w:cs="Book Antiqua"/>
          <w:color w:val="000000"/>
        </w:rPr>
        <w:t>Health Management Center, Sichuan Provincial Peopl</w:t>
      </w:r>
      <w:r>
        <w:rPr>
          <w:rFonts w:ascii="Book Antiqua" w:eastAsia="Book Antiqua" w:hAnsi="Book Antiqua" w:cs="Book Antiqua"/>
          <w:color w:val="000000"/>
        </w:rPr>
        <w:t>e’s Hospital, University of Electronic Science and Technology of China, Chengdu 611731, Sichuan Province, China</w:t>
      </w:r>
    </w:p>
    <w:p w14:paraId="18D57EE3" w14:textId="77777777" w:rsidR="009F3374" w:rsidRDefault="009F3374">
      <w:pPr>
        <w:spacing w:line="360" w:lineRule="auto"/>
        <w:jc w:val="both"/>
        <w:rPr>
          <w:rFonts w:ascii="Book Antiqua" w:eastAsia="Book Antiqua" w:hAnsi="Book Antiqua" w:cs="Book Antiqua"/>
        </w:rPr>
      </w:pPr>
    </w:p>
    <w:p w14:paraId="517199D0"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Ying Liu, Ping Shuai, Yu-Ping Liu, Dong-Yu Li, </w:t>
      </w:r>
      <w:r>
        <w:rPr>
          <w:rFonts w:ascii="Book Antiqua" w:eastAsia="Book Antiqua" w:hAnsi="Book Antiqua" w:cs="Book Antiqua"/>
          <w:color w:val="000000"/>
        </w:rPr>
        <w:t>Health Management Center, Chinese Academy of Sciences Sichuan Translational Medicine Research Ho</w:t>
      </w:r>
      <w:r>
        <w:rPr>
          <w:rFonts w:ascii="Book Antiqua" w:eastAsia="Book Antiqua" w:hAnsi="Book Antiqua" w:cs="Book Antiqua"/>
          <w:color w:val="000000"/>
        </w:rPr>
        <w:t>spital, Chengdu 610072, Sichuan Province, China</w:t>
      </w:r>
    </w:p>
    <w:p w14:paraId="0E26A81E" w14:textId="77777777" w:rsidR="009F3374" w:rsidRDefault="009F3374">
      <w:pPr>
        <w:spacing w:line="360" w:lineRule="auto"/>
        <w:jc w:val="both"/>
        <w:rPr>
          <w:rFonts w:ascii="Book Antiqua" w:eastAsia="Book Antiqua" w:hAnsi="Book Antiqua" w:cs="Book Antiqua"/>
        </w:rPr>
      </w:pPr>
    </w:p>
    <w:p w14:paraId="7C0C3B6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Liu Y and Li DY contributed to the conception and design of the work; Liu Y and Shuai P contributed to the acquisition, analysis and interpretation of data for the study; Liu Y contribu</w:t>
      </w:r>
      <w:r>
        <w:rPr>
          <w:rFonts w:ascii="Book Antiqua" w:eastAsia="Book Antiqua" w:hAnsi="Book Antiqua" w:cs="Book Antiqua"/>
          <w:color w:val="000000"/>
        </w:rPr>
        <w:t>ted to drafting the work; Li DY and Liu YP revised the manuscript; Li DY was accountable for all aspects of the work.</w:t>
      </w:r>
    </w:p>
    <w:p w14:paraId="7C5084BC" w14:textId="77777777" w:rsidR="009F3374" w:rsidRDefault="009F3374">
      <w:pPr>
        <w:spacing w:line="360" w:lineRule="auto"/>
        <w:jc w:val="both"/>
        <w:rPr>
          <w:rFonts w:ascii="Book Antiqua" w:eastAsia="Book Antiqua" w:hAnsi="Book Antiqua" w:cs="Book Antiqua"/>
        </w:rPr>
      </w:pPr>
    </w:p>
    <w:p w14:paraId="38010CB8"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Supported by </w:t>
      </w:r>
      <w:r>
        <w:rPr>
          <w:rFonts w:ascii="Book Antiqua" w:eastAsia="Book Antiqua" w:hAnsi="Book Antiqua" w:cs="Book Antiqua"/>
          <w:color w:val="000000"/>
        </w:rPr>
        <w:t>Key Research and Development Projects of the Ministry of Science and Technology, China, No. 2017YFC0113901.</w:t>
      </w:r>
    </w:p>
    <w:p w14:paraId="1B51C264" w14:textId="77777777" w:rsidR="009F3374" w:rsidRDefault="009F3374">
      <w:pPr>
        <w:spacing w:line="360" w:lineRule="auto"/>
        <w:jc w:val="both"/>
        <w:rPr>
          <w:rFonts w:ascii="Book Antiqua" w:eastAsia="Book Antiqua" w:hAnsi="Book Antiqua" w:cs="Book Antiqua"/>
        </w:rPr>
      </w:pPr>
    </w:p>
    <w:p w14:paraId="2A9B3E1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Corresponding a</w:t>
      </w:r>
      <w:r>
        <w:rPr>
          <w:rFonts w:ascii="Book Antiqua" w:eastAsia="Book Antiqua" w:hAnsi="Book Antiqua" w:cs="Book Antiqua"/>
          <w:b/>
          <w:color w:val="000000"/>
        </w:rPr>
        <w:t xml:space="preserve">uthor: Dong-Yu Li, MD, Doctor, </w:t>
      </w:r>
      <w:r>
        <w:rPr>
          <w:rFonts w:ascii="Book Antiqua" w:eastAsia="Book Antiqua" w:hAnsi="Book Antiqua" w:cs="Book Antiqua"/>
          <w:color w:val="000000"/>
        </w:rPr>
        <w:t>Health Management Center, Sichuan Provincial People’s Hospital, University of Electronic Science and Technology of China, No. 32 Section 2, West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Ring Road, Qingyang District, Chengdu 611731, Sichuan Province, China. dongy</w:t>
      </w:r>
      <w:r>
        <w:rPr>
          <w:rFonts w:ascii="Book Antiqua" w:eastAsia="Book Antiqua" w:hAnsi="Book Antiqua" w:cs="Book Antiqua"/>
          <w:color w:val="000000"/>
        </w:rPr>
        <w:t>uzhiyin@163.com</w:t>
      </w:r>
    </w:p>
    <w:p w14:paraId="20AA9276" w14:textId="77777777" w:rsidR="009F3374" w:rsidRDefault="009F3374">
      <w:pPr>
        <w:spacing w:line="360" w:lineRule="auto"/>
        <w:jc w:val="both"/>
        <w:rPr>
          <w:rFonts w:ascii="Book Antiqua" w:eastAsia="Book Antiqua" w:hAnsi="Book Antiqua" w:cs="Book Antiqua"/>
        </w:rPr>
      </w:pPr>
    </w:p>
    <w:p w14:paraId="4AC18DF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June 27, 2021</w:t>
      </w:r>
    </w:p>
    <w:p w14:paraId="7E70E39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July 19, 2021</w:t>
      </w:r>
    </w:p>
    <w:p w14:paraId="4BD74EE0"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r>
        <w:rPr>
          <w:rFonts w:ascii="Book Antiqua" w:eastAsia="Book Antiqua" w:hAnsi="Book Antiqua" w:cs="Book Antiqua"/>
          <w:color w:val="000000"/>
        </w:rPr>
        <w:t>September 1, 2021</w:t>
      </w:r>
    </w:p>
    <w:p w14:paraId="1DF9C48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Published online: </w:t>
      </w:r>
      <w:r>
        <w:rPr>
          <w:rFonts w:ascii="Book Antiqua" w:eastAsia="Book Antiqua" w:hAnsi="Book Antiqua" w:cs="Book Antiqua"/>
          <w:color w:val="000000"/>
        </w:rPr>
        <w:t>November 16</w:t>
      </w:r>
      <w:r>
        <w:rPr>
          <w:rFonts w:ascii="Book Antiqua" w:eastAsia="宋体" w:hAnsi="Book Antiqua" w:cs="Book Antiqua" w:hint="eastAsia"/>
          <w:color w:val="000000"/>
          <w:lang w:eastAsia="zh-CN"/>
        </w:rPr>
        <w:t>, 2021</w:t>
      </w:r>
    </w:p>
    <w:p w14:paraId="11F4A6F7" w14:textId="77777777" w:rsidR="009F3374" w:rsidRDefault="00ED0470">
      <w:pPr>
        <w:rPr>
          <w:rFonts w:ascii="Book Antiqua" w:eastAsia="Book Antiqua" w:hAnsi="Book Antiqua" w:cs="Book Antiqua"/>
          <w:b/>
          <w:color w:val="000000"/>
        </w:rPr>
      </w:pPr>
      <w:r>
        <w:rPr>
          <w:rFonts w:ascii="Book Antiqua" w:eastAsia="Book Antiqua" w:hAnsi="Book Antiqua" w:cs="Book Antiqua"/>
          <w:b/>
          <w:color w:val="000000"/>
        </w:rPr>
        <w:br w:type="page"/>
      </w:r>
    </w:p>
    <w:p w14:paraId="71B60F3E"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7073C298"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23FD31D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been found to be associated with extragastrointestinal diseases, possibly including adverse food reactions (such as food allergy or intolerance). However, there are few studies on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food allergy or intolerance, and the results are inconsi</w:t>
      </w:r>
      <w:r>
        <w:rPr>
          <w:rFonts w:ascii="Book Antiqua" w:eastAsia="Book Antiqua" w:hAnsi="Book Antiqua" w:cs="Book Antiqua"/>
          <w:color w:val="000000"/>
        </w:rPr>
        <w:t xml:space="preserve">stent. Food-specific immunoglobulin (Ig) G has been revealed to be associated with food allergy or intolerance and can be used as a marker to explore the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allergy or intolerance.</w:t>
      </w:r>
    </w:p>
    <w:p w14:paraId="436DB8E2" w14:textId="77777777" w:rsidR="009F3374" w:rsidRDefault="009F3374">
      <w:pPr>
        <w:spacing w:line="360" w:lineRule="auto"/>
        <w:jc w:val="both"/>
        <w:rPr>
          <w:rFonts w:ascii="Book Antiqua" w:eastAsia="Book Antiqua" w:hAnsi="Book Antiqua" w:cs="Book Antiqua"/>
        </w:rPr>
      </w:pPr>
    </w:p>
    <w:p w14:paraId="635A7D48"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2185226D"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To explore the relations</w:t>
      </w:r>
      <w:r>
        <w:rPr>
          <w:rFonts w:ascii="Book Antiqua" w:eastAsia="Book Antiqua" w:hAnsi="Book Antiqua" w:cs="Book Antiqua"/>
          <w:color w:val="000000"/>
        </w:rPr>
        <w:t xml:space="preserve">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0B867F53" w14:textId="77777777" w:rsidR="009F3374" w:rsidRDefault="009F3374">
      <w:pPr>
        <w:spacing w:line="360" w:lineRule="auto"/>
        <w:jc w:val="both"/>
        <w:rPr>
          <w:rFonts w:ascii="Book Antiqua" w:eastAsia="Book Antiqua" w:hAnsi="Book Antiqua" w:cs="Book Antiqua"/>
        </w:rPr>
      </w:pPr>
    </w:p>
    <w:p w14:paraId="41CF50D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495C4E9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retrospectively analyzed the physical examination data of 21822 subjects from February 2014 to December 2018 in this study.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detected using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 urea breath test. F</w:t>
      </w:r>
      <w:r>
        <w:rPr>
          <w:rFonts w:ascii="Book Antiqua" w:eastAsia="Book Antiqua" w:hAnsi="Book Antiqua" w:cs="Book Antiqua"/>
          <w:color w:val="000000"/>
        </w:rPr>
        <w:t xml:space="preserve">ood-specific IgG of eggs, milk and wheat in serum was assessed. </w:t>
      </w:r>
      <w:r>
        <w:rPr>
          <w:rFonts w:ascii="Book Antiqua" w:eastAsia="Book Antiqua" w:hAnsi="Book Antiqua" w:cs="Book Antiqua"/>
          <w:color w:val="000000"/>
          <w:highlight w:val="white"/>
        </w:rPr>
        <w:t xml:space="preserve">Subjects were grouped according to </w:t>
      </w: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 positivity, and t</w:t>
      </w:r>
      <w:r>
        <w:rPr>
          <w:rFonts w:ascii="Book Antiqua" w:eastAsia="Book Antiqua" w:hAnsi="Book Antiqua" w:cs="Book Antiqua"/>
          <w:color w:val="000000"/>
        </w:rPr>
        <w:t>he positive rates of three kinds of food-specific IgG were compared between the two groups. Multivariable logistic regression anal</w:t>
      </w:r>
      <w:r>
        <w:rPr>
          <w:rFonts w:ascii="Book Antiqua" w:eastAsia="Book Antiqua" w:hAnsi="Book Antiqua" w:cs="Book Antiqua"/>
          <w:color w:val="000000"/>
        </w:rPr>
        <w:t xml:space="preserve">ysis was performed to elucidate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753F1F69" w14:textId="77777777" w:rsidR="009F3374" w:rsidRDefault="009F3374">
      <w:pPr>
        <w:spacing w:line="360" w:lineRule="auto"/>
        <w:jc w:val="both"/>
        <w:rPr>
          <w:rFonts w:ascii="Book Antiqua" w:eastAsia="Book Antiqua" w:hAnsi="Book Antiqua" w:cs="Book Antiqua"/>
        </w:rPr>
      </w:pPr>
    </w:p>
    <w:p w14:paraId="11A5005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020A295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total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39.3%, and the total food-specific IgG-positive rates of eggs, milk and wheat were 25.2%, 9.0% and 4.9%, r</w:t>
      </w:r>
      <w:r>
        <w:rPr>
          <w:rFonts w:ascii="Book Antiqua" w:eastAsia="Book Antiqua" w:hAnsi="Book Antiqua" w:cs="Book Antiqua"/>
          <w:color w:val="000000"/>
        </w:rPr>
        <w:t xml:space="preserve">espectively. The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higher in males than in females, while the positive rates of food-specific IgG were lower in males than in females. The positive rates of food-specific IgG decreased with age in both males and females. In th</w:t>
      </w:r>
      <w:r>
        <w:rPr>
          <w:rFonts w:ascii="Book Antiqua" w:eastAsia="Book Antiqua" w:hAnsi="Book Antiqua" w:cs="Book Antiqua"/>
          <w:color w:val="000000"/>
        </w:rPr>
        <w:t xml:space="preserve">e </w:t>
      </w:r>
      <w:r>
        <w:rPr>
          <w:rFonts w:ascii="Book Antiqua" w:eastAsia="Book Antiqua" w:hAnsi="Book Antiqua" w:cs="Book Antiqua"/>
          <w:i/>
          <w:color w:val="000000"/>
        </w:rPr>
        <w:t>H. pylori</w:t>
      </w:r>
      <w:r>
        <w:rPr>
          <w:rFonts w:ascii="Book Antiqua" w:eastAsia="Book Antiqua" w:hAnsi="Book Antiqua" w:cs="Book Antiqua"/>
          <w:color w:val="000000"/>
        </w:rPr>
        <w:t xml:space="preserve">-positive groups, the positive rates of food-specific IgG of eggs, milk and wheat were all lower than those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-negative groups. Multivariate logistic regression analysis revealed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t>
      </w:r>
      <w:r>
        <w:rPr>
          <w:rFonts w:ascii="Book Antiqua" w:eastAsia="Book Antiqua" w:hAnsi="Book Antiqua" w:cs="Book Antiqua"/>
          <w:color w:val="000000"/>
        </w:rPr>
        <w:lastRenderedPageBreak/>
        <w:t>was negatively correlated w</w:t>
      </w:r>
      <w:r>
        <w:rPr>
          <w:rFonts w:ascii="Book Antiqua" w:eastAsia="Book Antiqua" w:hAnsi="Book Antiqua" w:cs="Book Antiqua"/>
          <w:color w:val="000000"/>
        </w:rPr>
        <w:t>ith the food-specific IgG-positive rates of eggs, milk and wheat (odds ratio value of eggs 0.844-0.873, milk 0.741-0.751 and wheat 0.755-0.788, in different models).</w:t>
      </w:r>
    </w:p>
    <w:p w14:paraId="5AE01F54" w14:textId="77777777" w:rsidR="009F3374" w:rsidRDefault="009F3374">
      <w:pPr>
        <w:spacing w:line="360" w:lineRule="auto"/>
        <w:jc w:val="both"/>
        <w:rPr>
          <w:rFonts w:ascii="Book Antiqua" w:eastAsia="Book Antiqua" w:hAnsi="Book Antiqua" w:cs="Book Antiqua"/>
        </w:rPr>
      </w:pPr>
    </w:p>
    <w:p w14:paraId="631ED2F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30909C2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found to be negatively associated with the food-specific IgG of eggs, milk and wheat in Southwest China.</w:t>
      </w:r>
    </w:p>
    <w:p w14:paraId="36C3947B" w14:textId="77777777" w:rsidR="009F3374" w:rsidRDefault="009F3374">
      <w:pPr>
        <w:spacing w:line="360" w:lineRule="auto"/>
        <w:jc w:val="both"/>
        <w:rPr>
          <w:rFonts w:ascii="Book Antiqua" w:eastAsia="Book Antiqua" w:hAnsi="Book Antiqua" w:cs="Book Antiqua"/>
        </w:rPr>
      </w:pPr>
    </w:p>
    <w:p w14:paraId="0824066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Food-specific IgG; </w:t>
      </w:r>
      <w:r>
        <w:rPr>
          <w:rFonts w:ascii="Book Antiqua" w:eastAsia="Book Antiqua" w:hAnsi="Book Antiqua" w:cs="Book Antiqua"/>
          <w:i/>
          <w:color w:val="000000"/>
        </w:rPr>
        <w:t>Helicobacter pylori</w:t>
      </w:r>
      <w:r>
        <w:rPr>
          <w:rFonts w:ascii="Book Antiqua" w:eastAsia="Book Antiqua" w:hAnsi="Book Antiqua" w:cs="Book Antiqua"/>
          <w:color w:val="000000"/>
        </w:rPr>
        <w:t>; Adverse food reaction; Food allergy; Food intolerance; Humoral immunity</w:t>
      </w:r>
    </w:p>
    <w:p w14:paraId="1359182B" w14:textId="77777777" w:rsidR="00626B91" w:rsidRDefault="00626B91" w:rsidP="00626B91">
      <w:pPr>
        <w:spacing w:line="360" w:lineRule="auto"/>
        <w:jc w:val="both"/>
        <w:rPr>
          <w:lang w:eastAsia="zh-CN"/>
        </w:rPr>
      </w:pPr>
    </w:p>
    <w:p w14:paraId="5C00EFFA" w14:textId="77777777" w:rsidR="00626B91" w:rsidRDefault="00626B91" w:rsidP="00626B9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B03392A" w14:textId="77777777" w:rsidR="00626B91" w:rsidRDefault="00626B91" w:rsidP="00626B91">
      <w:pPr>
        <w:spacing w:line="360" w:lineRule="auto"/>
        <w:jc w:val="both"/>
        <w:rPr>
          <w:rFonts w:eastAsiaTheme="minorEastAsia"/>
          <w:lang w:eastAsia="zh-CN"/>
        </w:rPr>
      </w:pPr>
    </w:p>
    <w:p w14:paraId="681739EF" w14:textId="75803946" w:rsidR="00A26B3C" w:rsidRDefault="00626B91" w:rsidP="00626B91">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D0470">
        <w:rPr>
          <w:rFonts w:ascii="Book Antiqua" w:eastAsia="Book Antiqua" w:hAnsi="Book Antiqua" w:cs="Book Antiqua"/>
          <w:color w:val="000000"/>
        </w:rPr>
        <w:t>Liu Y, Shua</w:t>
      </w:r>
      <w:r w:rsidR="00ED0470">
        <w:rPr>
          <w:rFonts w:ascii="Book Antiqua" w:eastAsia="Book Antiqua" w:hAnsi="Book Antiqua" w:cs="Book Antiqua"/>
          <w:color w:val="000000"/>
        </w:rPr>
        <w:t xml:space="preserve">i P, Liu YP, Li DY. Association between </w:t>
      </w:r>
      <w:r w:rsidR="00ED0470">
        <w:rPr>
          <w:rFonts w:ascii="Book Antiqua" w:eastAsia="Book Antiqua" w:hAnsi="Book Antiqua" w:cs="Book Antiqua"/>
          <w:i/>
          <w:color w:val="000000"/>
        </w:rPr>
        <w:t>Helicobacter pylori</w:t>
      </w:r>
      <w:r w:rsidR="00ED0470">
        <w:rPr>
          <w:rFonts w:ascii="Book Antiqua" w:eastAsia="Book Antiqua" w:hAnsi="Book Antiqua" w:cs="Book Antiqua"/>
          <w:color w:val="000000"/>
        </w:rPr>
        <w:t xml:space="preserve"> infection and food-specific immunoglobulin G in Southwest China. </w:t>
      </w:r>
      <w:r w:rsidR="00ED0470">
        <w:rPr>
          <w:rFonts w:ascii="Book Antiqua" w:eastAsia="Book Antiqua" w:hAnsi="Book Antiqua" w:cs="Book Antiqua"/>
          <w:i/>
          <w:color w:val="000000"/>
        </w:rPr>
        <w:t>World J Clin Cases</w:t>
      </w:r>
      <w:r w:rsidR="00ED0470">
        <w:rPr>
          <w:rFonts w:ascii="Book Antiqua" w:eastAsia="Book Antiqua" w:hAnsi="Book Antiqua" w:cs="Book Antiqua"/>
          <w:color w:val="000000"/>
        </w:rPr>
        <w:t xml:space="preserve"> 2021; </w:t>
      </w:r>
      <w:r w:rsidR="00ED0470">
        <w:rPr>
          <w:rFonts w:ascii="Book Antiqua" w:eastAsia="Book Antiqua" w:hAnsi="Book Antiqua" w:cs="Book Antiqua" w:hint="eastAsia"/>
          <w:color w:val="000000"/>
        </w:rPr>
        <w:t>9(3</w:t>
      </w:r>
      <w:r w:rsidR="00ED0470">
        <w:rPr>
          <w:rFonts w:ascii="Book Antiqua" w:eastAsia="宋体" w:hAnsi="Book Antiqua" w:cs="Book Antiqua" w:hint="eastAsia"/>
          <w:color w:val="000000"/>
          <w:lang w:eastAsia="zh-CN"/>
        </w:rPr>
        <w:t>2</w:t>
      </w:r>
      <w:r w:rsidR="00ED0470">
        <w:rPr>
          <w:rFonts w:ascii="Book Antiqua" w:eastAsia="Book Antiqua" w:hAnsi="Book Antiqua" w:cs="Book Antiqua" w:hint="eastAsia"/>
          <w:color w:val="000000"/>
        </w:rPr>
        <w:t xml:space="preserve">): </w:t>
      </w:r>
      <w:r w:rsidR="00C073BA">
        <w:rPr>
          <w:rFonts w:ascii="Book Antiqua" w:hAnsi="Book Antiqua"/>
        </w:rPr>
        <w:t>9815-9824</w:t>
      </w:r>
    </w:p>
    <w:p w14:paraId="1E6BCB62" w14:textId="693067DD" w:rsidR="00A26B3C" w:rsidRDefault="00ED0470" w:rsidP="00626B91">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https://www.wjgnet.com/2307-8960/full/v9/i3</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281C7B">
        <w:rPr>
          <w:rFonts w:ascii="Book Antiqua" w:hAnsi="Book Antiqua"/>
        </w:rPr>
        <w:t>9815</w:t>
      </w:r>
      <w:r>
        <w:rPr>
          <w:rFonts w:ascii="Book Antiqua" w:eastAsia="Book Antiqua" w:hAnsi="Book Antiqua" w:cs="Book Antiqua" w:hint="eastAsia"/>
          <w:color w:val="000000"/>
        </w:rPr>
        <w:t xml:space="preserve">.htm  </w:t>
      </w:r>
    </w:p>
    <w:p w14:paraId="7ACD650C" w14:textId="20F95F6E" w:rsidR="009F3374" w:rsidRDefault="00ED0470" w:rsidP="00626B91">
      <w:pPr>
        <w:spacing w:line="360" w:lineRule="auto"/>
        <w:jc w:val="both"/>
        <w:rPr>
          <w:rFonts w:ascii="Book Antiqua" w:eastAsia="Book Antiqua" w:hAnsi="Book Antiqua" w:cs="Book Antiqua"/>
        </w:rPr>
      </w:pPr>
      <w:r>
        <w:rPr>
          <w:rFonts w:ascii="Book Antiqua" w:eastAsia="Book Antiqua" w:hAnsi="Book Antiqua" w:cs="Book Antiqua" w:hint="eastAsia"/>
          <w:color w:val="000000"/>
        </w:rPr>
        <w:t>DOI: https://dx.doi.org/10.1</w:t>
      </w:r>
      <w:r>
        <w:rPr>
          <w:rFonts w:ascii="Book Antiqua" w:eastAsia="Book Antiqua" w:hAnsi="Book Antiqua" w:cs="Book Antiqua" w:hint="eastAsia"/>
          <w:color w:val="000000"/>
        </w:rPr>
        <w:t>2998/wjcc.v9.i3</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281C7B">
        <w:rPr>
          <w:rFonts w:ascii="Book Antiqua" w:hAnsi="Book Antiqua"/>
        </w:rPr>
        <w:t>9815</w:t>
      </w:r>
    </w:p>
    <w:p w14:paraId="34AA7997" w14:textId="77777777" w:rsidR="009F3374" w:rsidRDefault="009F3374">
      <w:pPr>
        <w:spacing w:line="360" w:lineRule="auto"/>
        <w:jc w:val="both"/>
        <w:rPr>
          <w:rFonts w:ascii="Book Antiqua" w:eastAsia="Book Antiqua" w:hAnsi="Book Antiqua" w:cs="Book Antiqua"/>
        </w:rPr>
      </w:pPr>
    </w:p>
    <w:p w14:paraId="0B0775FE"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This is a retrospective study to evaluate the association of </w:t>
      </w:r>
      <w:r>
        <w:rPr>
          <w:rFonts w:ascii="Book Antiqua" w:eastAsia="Book Antiqua" w:hAnsi="Book Antiqua" w:cs="Book Antiqua"/>
          <w:i/>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immunoglobulin G. We analyzed the data of 21822 subjects who underwent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assessment </w:t>
      </w:r>
      <w:r>
        <w:rPr>
          <w:rFonts w:ascii="Book Antiqua" w:eastAsia="Book Antiqua" w:hAnsi="Book Antiqua" w:cs="Book Antiqua"/>
          <w:color w:val="000000"/>
        </w:rPr>
        <w:t xml:space="preserve">by the urea breath test and testing for food-specific immunoglobulin G of eggs, milk and wheat. The key finding was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associated with lower positivity for food-specific immunoglobulin G. If the negative correlation could be furth</w:t>
      </w:r>
      <w:r>
        <w:rPr>
          <w:rFonts w:ascii="Book Antiqua" w:eastAsia="Book Antiqua" w:hAnsi="Book Antiqua" w:cs="Book Antiqua"/>
          <w:color w:val="000000"/>
        </w:rPr>
        <w:t xml:space="preserve">er confirmed and the mechanism could be clarified, it would provide some advisable suggestions for medical decisions regarding asymptomatic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p>
    <w:p w14:paraId="38464679" w14:textId="77777777" w:rsidR="009F3374" w:rsidRDefault="009F3374">
      <w:pPr>
        <w:spacing w:line="360" w:lineRule="auto"/>
        <w:jc w:val="both"/>
        <w:rPr>
          <w:rFonts w:ascii="Book Antiqua" w:eastAsia="Book Antiqua" w:hAnsi="Book Antiqua" w:cs="Book Antiqua"/>
        </w:rPr>
      </w:pPr>
    </w:p>
    <w:p w14:paraId="7B0A6872" w14:textId="77777777" w:rsidR="009F3374" w:rsidRDefault="00ED0470">
      <w:pPr>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br w:type="page"/>
      </w:r>
    </w:p>
    <w:p w14:paraId="5955CB1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14:paraId="4B5DC80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infection, which is considered a major pathogen</w:t>
      </w:r>
      <w:r>
        <w:rPr>
          <w:rFonts w:ascii="Book Antiqua" w:eastAsia="Book Antiqua" w:hAnsi="Book Antiqua" w:cs="Book Antiqua"/>
          <w:color w:val="000000"/>
        </w:rPr>
        <w:t>ic factor in chronic gastritis, gastric ulcer and gastric cancer, is an important public health issue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growing evidence suggests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affects not only the gastrointestinal tract but also extragastrointestinal function, which has become a research hotspot. In contrast to the traditional view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is a risk factor for disease, some studies have found a negative correla</w:t>
      </w:r>
      <w:r>
        <w:rPr>
          <w:rFonts w:ascii="Book Antiqua" w:eastAsia="Book Antiqua" w:hAnsi="Book Antiqua" w:cs="Book Antiqua"/>
          <w:color w:val="000000"/>
        </w:rPr>
        <w:t xml:space="preserve">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the development of certain diseases. For example,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showed a negative correlation with the development of some allergic diseases, such as asthma and eosinophilic esophagitis, especially in children and</w:t>
      </w:r>
      <w:r>
        <w:rPr>
          <w:rFonts w:ascii="Book Antiqua" w:eastAsia="Book Antiqua" w:hAnsi="Book Antiqua" w:cs="Book Antiqua"/>
          <w:color w:val="000000"/>
        </w:rPr>
        <w:t xml:space="preserve"> young people with early allergic reactions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7CF08EF"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Notably, the relationship between food and chronic diseases has received increasing attention. Specific epitopes of food can be used as specific antigens to induce the immune response of the body, thus produc</w:t>
      </w:r>
      <w:r>
        <w:rPr>
          <w:rFonts w:ascii="Book Antiqua" w:eastAsia="Book Antiqua" w:hAnsi="Book Antiqua" w:cs="Book Antiqua"/>
          <w:color w:val="000000"/>
        </w:rPr>
        <w:t xml:space="preserve">ing food-specific antibodies. Food allergy related to the classic pathway, which can be mediated by food-specific immunoglobulin (Ig)E, is well known by scholars. Few studies have researched the relationship between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and food allergy, an</w:t>
      </w:r>
      <w:r>
        <w:rPr>
          <w:rFonts w:ascii="Book Antiqua" w:eastAsia="Book Antiqua" w:hAnsi="Book Antiqua" w:cs="Book Antiqua"/>
          <w:color w:val="000000"/>
        </w:rPr>
        <w:t>d the results remain controversial</w:t>
      </w:r>
      <w:r>
        <w:rPr>
          <w:rFonts w:ascii="Book Antiqua" w:eastAsia="Book Antiqua" w:hAnsi="Book Antiqua" w:cs="Book Antiqua"/>
          <w:color w:val="000000"/>
          <w:vertAlign w:val="superscript"/>
        </w:rPr>
        <w:t>[3]</w:t>
      </w:r>
      <w:r>
        <w:rPr>
          <w:rFonts w:ascii="Book Antiqua" w:eastAsia="Book Antiqua" w:hAnsi="Book Antiqua" w:cs="Book Antiqua"/>
          <w:color w:val="000000"/>
        </w:rPr>
        <w:t>. In recent years, the correlation between food-specific IgG and a variety of allergic diseases or symptoms has attracted the attention of scholars and has been found to be related to irritable bowel syndrome</w:t>
      </w:r>
      <w:r>
        <w:rPr>
          <w:rFonts w:ascii="Book Antiqua" w:eastAsia="Book Antiqua" w:hAnsi="Book Antiqua" w:cs="Book Antiqua"/>
          <w:color w:val="000000"/>
          <w:vertAlign w:val="superscript"/>
        </w:rPr>
        <w:t>[4]</w:t>
      </w:r>
      <w:r>
        <w:rPr>
          <w:rFonts w:ascii="Book Antiqua" w:eastAsia="Book Antiqua" w:hAnsi="Book Antiqua" w:cs="Book Antiqua"/>
          <w:color w:val="000000"/>
        </w:rPr>
        <w:t>, inflam</w:t>
      </w:r>
      <w:r>
        <w:rPr>
          <w:rFonts w:ascii="Book Antiqua" w:eastAsia="Book Antiqua" w:hAnsi="Book Antiqua" w:cs="Book Antiqua"/>
          <w:color w:val="000000"/>
        </w:rPr>
        <w:t>matory bowel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eosinophilic esophagitis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other autoimmune diseases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role of food-specific IgG in food allergy has also been discussed, and its application value in non-IgE-mediated detection of food adverse reactions has been affirme</w:t>
      </w:r>
      <w:r>
        <w:rPr>
          <w:rFonts w:ascii="Book Antiqua" w:eastAsia="Book Antiqua" w:hAnsi="Book Antiqua" w:cs="Book Antiqua"/>
          <w:color w:val="000000"/>
        </w:rPr>
        <w:t>d by international authoritative guidelines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C969D9B"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Food intolerance is another common adverse food reaction. Although the pathogenesis of food intolerance is not directly related to immunity, some scholars indicate increased gut permeability in patients with </w:t>
      </w:r>
      <w:r>
        <w:rPr>
          <w:rFonts w:ascii="Book Antiqua" w:eastAsia="Book Antiqua" w:hAnsi="Book Antiqua" w:cs="Book Antiqua"/>
          <w:color w:val="000000"/>
        </w:rPr>
        <w:t>food intolerance, which permits food substances to gain access to the circulation and trigger food-specific IgG production; thus, a correlation may also exist between food intolerance and food-specific IgG. Fewer studies have directly discussed the relatio</w:t>
      </w:r>
      <w:r>
        <w:rPr>
          <w:rFonts w:ascii="Book Antiqua" w:eastAsia="Book Antiqua" w:hAnsi="Book Antiqua" w:cs="Book Antiqua"/>
          <w:color w:val="000000"/>
        </w:rPr>
        <w:t xml:space="preserve">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intolerance. A study of </w:t>
      </w:r>
      <w:r>
        <w:rPr>
          <w:rFonts w:ascii="Book Antiqua" w:eastAsia="Book Antiqua" w:hAnsi="Book Antiqua" w:cs="Book Antiqua"/>
          <w:color w:val="000000"/>
        </w:rPr>
        <w:lastRenderedPageBreak/>
        <w:t xml:space="preserve">12765 people in North China by Sai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[9] </w:t>
      </w:r>
      <w:r>
        <w:rPr>
          <w:rFonts w:ascii="Book Antiqua" w:eastAsia="Book Antiqua" w:hAnsi="Book Antiqua" w:cs="Book Antiqua"/>
          <w:color w:val="000000"/>
        </w:rPr>
        <w:t xml:space="preserve">suggested that crab intolerance may be related to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p>
    <w:p w14:paraId="0929028D"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In China, adverse reactions to food may be affected by various socioeconom</w:t>
      </w:r>
      <w:r>
        <w:rPr>
          <w:rFonts w:ascii="Book Antiqua" w:eastAsia="Book Antiqua" w:hAnsi="Book Antiqua" w:cs="Book Antiqua"/>
          <w:color w:val="000000"/>
        </w:rPr>
        <w:t>ic factors, eating habits, food types, geographical climates and so on</w:t>
      </w:r>
      <w:r>
        <w:rPr>
          <w:rFonts w:ascii="Book Antiqua" w:eastAsia="Book Antiqua" w:hAnsi="Book Antiqua" w:cs="Book Antiqua"/>
          <w:color w:val="000000"/>
          <w:vertAlign w:val="superscript"/>
        </w:rPr>
        <w:t>[10]</w:t>
      </w:r>
      <w:r>
        <w:rPr>
          <w:rFonts w:ascii="Book Antiqua" w:eastAsia="Book Antiqua" w:hAnsi="Book Antiqua" w:cs="Book Antiqua"/>
          <w:color w:val="000000"/>
        </w:rPr>
        <w:t>. Our study focused on food types and serum food-specific IgG. The three types of food—egg, milk and wheat—are widely consumed in Southwest China, where there is a relatively high po</w:t>
      </w:r>
      <w:r>
        <w:rPr>
          <w:rFonts w:ascii="Book Antiqua" w:eastAsia="Book Antiqua" w:hAnsi="Book Antiqua" w:cs="Book Antiqua"/>
          <w:color w:val="000000"/>
        </w:rPr>
        <w:t xml:space="preserve">sitive rate of serum food-specific IgG. In this study, we used these three foods to explore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serum food-specific IgG in Southwest China.</w:t>
      </w:r>
    </w:p>
    <w:p w14:paraId="05539A64" w14:textId="77777777" w:rsidR="009F3374" w:rsidRDefault="009F3374">
      <w:pPr>
        <w:spacing w:line="360" w:lineRule="auto"/>
        <w:jc w:val="both"/>
        <w:rPr>
          <w:rFonts w:ascii="Book Antiqua" w:eastAsia="Book Antiqua" w:hAnsi="Book Antiqua" w:cs="Book Antiqua"/>
        </w:rPr>
      </w:pPr>
    </w:p>
    <w:p w14:paraId="7356A686"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5E3F455C"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Participants</w:t>
      </w:r>
    </w:p>
    <w:p w14:paraId="3C54BCCE"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The physical examination data of the subjects were obtained from the Health Management Center, Sichuan Provincial People’s Hospital (Chengdu, Sichuan Province). All the subjects completed the medical history questionnaire. Physical examinations, which incl</w:t>
      </w:r>
      <w:r>
        <w:rPr>
          <w:rFonts w:ascii="Book Antiqua" w:eastAsia="Book Antiqua" w:hAnsi="Book Antiqua" w:cs="Book Antiqua"/>
          <w:color w:val="000000"/>
        </w:rPr>
        <w:t>uded height, body weight and blood pressure, were performed by trained nurses. All subjects underwent laboratory examinations (routine blood tests and measurement of alanine aminotransferase, aspartate aminotransferase, gamma-glutamyl transpeptidase, serum</w:t>
      </w:r>
      <w:r>
        <w:rPr>
          <w:rFonts w:ascii="Book Antiqua" w:eastAsia="Book Antiqua" w:hAnsi="Book Antiqua" w:cs="Book Antiqua"/>
          <w:color w:val="000000"/>
        </w:rPr>
        <w:t xml:space="preserve"> creatinine, fasting blood glucose, hemoglobin A1c, total cholesterol, triglycerides, low-density lipoprotein cholesterol, high-density lipoprotein cholesterol, and uric acid), abdominal ultrasonography, chest imaging (X-ray or computed tomography), </w:t>
      </w:r>
      <w:r>
        <w:rPr>
          <w:rFonts w:ascii="Book Antiqua" w:eastAsia="Book Antiqua" w:hAnsi="Book Antiqua" w:cs="Book Antiqua"/>
          <w:color w:val="000000"/>
          <w:vertAlign w:val="superscript"/>
        </w:rPr>
        <w:t>13</w:t>
      </w:r>
      <w:r>
        <w:rPr>
          <w:rFonts w:ascii="Book Antiqua" w:eastAsia="Book Antiqua" w:hAnsi="Book Antiqua" w:cs="Book Antiqua"/>
          <w:color w:val="000000"/>
        </w:rPr>
        <w:t>C ur</w:t>
      </w:r>
      <w:r>
        <w:rPr>
          <w:rFonts w:ascii="Book Antiqua" w:eastAsia="Book Antiqua" w:hAnsi="Book Antiqua" w:cs="Book Antiqua"/>
          <w:color w:val="000000"/>
        </w:rPr>
        <w:t>ea breath tests and testing for food-specific IgG of eggs, milk and wheat.</w:t>
      </w:r>
    </w:p>
    <w:p w14:paraId="19DBF145"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Subjects were excluded if they had: (1) A history of gastrectomy or subtotal gastrectomy; (2) Organic diseases that have been identified to affect gastrointestinal digestion and abs</w:t>
      </w:r>
      <w:r>
        <w:rPr>
          <w:rFonts w:ascii="Book Antiqua" w:eastAsia="Book Antiqua" w:hAnsi="Book Antiqua" w:cs="Book Antiqua"/>
          <w:color w:val="000000"/>
        </w:rPr>
        <w:t xml:space="preserve">orption; (3) An inability to perform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 urea breath tests due to pregnancy, lactation or other reasons; (4) Immune system diseases, severe heart, liver or kidney dysfunction or tumors; or (5) A history of anti-</w:t>
      </w:r>
      <w:r>
        <w:rPr>
          <w:rFonts w:ascii="Book Antiqua" w:eastAsia="Book Antiqua" w:hAnsi="Book Antiqua" w:cs="Book Antiqua"/>
          <w:i/>
          <w:color w:val="000000"/>
        </w:rPr>
        <w:t>H. pylori</w:t>
      </w:r>
      <w:r>
        <w:rPr>
          <w:rFonts w:ascii="Book Antiqua" w:eastAsia="Book Antiqua" w:hAnsi="Book Antiqua" w:cs="Book Antiqua"/>
          <w:color w:val="000000"/>
        </w:rPr>
        <w:t xml:space="preserve"> therapy in the past 6 mo.</w:t>
      </w:r>
    </w:p>
    <w:p w14:paraId="25C3B40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All m</w:t>
      </w:r>
      <w:r>
        <w:rPr>
          <w:rFonts w:ascii="Book Antiqua" w:eastAsia="Book Antiqua" w:hAnsi="Book Antiqua" w:cs="Book Antiqua"/>
          <w:color w:val="000000"/>
        </w:rPr>
        <w:t>ethods were carried out based on relevant guidelines and regulations. Ethics approval was obtained from the Ethical Committee of Sichuan Academy of Medical Sciences and Sichuan Provincial People’s Hospital. Approval No. 408(2020).</w:t>
      </w:r>
    </w:p>
    <w:p w14:paraId="5FDDD006" w14:textId="77777777" w:rsidR="009F3374" w:rsidRDefault="009F3374">
      <w:pPr>
        <w:spacing w:line="360" w:lineRule="auto"/>
        <w:jc w:val="both"/>
        <w:rPr>
          <w:rFonts w:ascii="Book Antiqua" w:eastAsia="Book Antiqua" w:hAnsi="Book Antiqua" w:cs="Book Antiqua"/>
          <w:b/>
          <w:i/>
          <w:color w:val="000000"/>
        </w:rPr>
      </w:pPr>
    </w:p>
    <w:p w14:paraId="5B825676" w14:textId="77777777" w:rsidR="009F3374" w:rsidRDefault="00ED047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 xml:space="preserve">H. pylori </w:t>
      </w:r>
      <w:r>
        <w:rPr>
          <w:rFonts w:ascii="Book Antiqua" w:eastAsia="Book Antiqua" w:hAnsi="Book Antiqua" w:cs="Book Antiqua"/>
          <w:b/>
          <w:i/>
          <w:color w:val="000000"/>
        </w:rPr>
        <w:t>infection test</w:t>
      </w:r>
    </w:p>
    <w:p w14:paraId="323BD65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detected using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urea breath testing (Beijing Boran Pharmaceutical Co., Ltd. Beijing, China), according to the recommendation of the Fifth Chinese National Consensus Report on the management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Pr>
          <w:rFonts w:ascii="Book Antiqua" w:eastAsia="Book Antiqua" w:hAnsi="Book Antiqua" w:cs="Book Antiqua"/>
          <w:color w:val="000000"/>
        </w:rPr>
        <w:t>. All subjects fasted overnight for more than 8 h, maintained normal breathing, inserted a straw into the bottom of one sample tube, and exhaled slowly into the sample tube through the straw for 4 to 5 s. Thereafter, they pulled the straw out and tighten</w:t>
      </w:r>
      <w:r>
        <w:rPr>
          <w:rFonts w:ascii="Book Antiqua" w:eastAsia="Book Antiqua" w:hAnsi="Book Antiqua" w:cs="Book Antiqua"/>
          <w:color w:val="000000"/>
        </w:rPr>
        <w:t xml:space="preserve">ed the cap immediately; this was considered a sample of zero points. Then, the subjects took another bottle with urea </w:t>
      </w:r>
      <w:r>
        <w:rPr>
          <w:rFonts w:ascii="Book Antiqua" w:eastAsia="Book Antiqua" w:hAnsi="Book Antiqua" w:cs="Book Antiqua"/>
          <w:color w:val="000000"/>
          <w:vertAlign w:val="superscript"/>
        </w:rPr>
        <w:t>13</w:t>
      </w:r>
      <w:r>
        <w:rPr>
          <w:rFonts w:ascii="Book Antiqua" w:eastAsia="Book Antiqua" w:hAnsi="Book Antiqua" w:cs="Book Antiqua"/>
          <w:color w:val="000000"/>
        </w:rPr>
        <w:t>C granules and 80 mL to 100 mL cold drinking water, rested for 30 min, and then collected another breath sample. The two collected gas s</w:t>
      </w:r>
      <w:r>
        <w:rPr>
          <w:rFonts w:ascii="Book Antiqua" w:eastAsia="Book Antiqua" w:hAnsi="Book Antiqua" w:cs="Book Antiqua"/>
          <w:color w:val="000000"/>
        </w:rPr>
        <w:t xml:space="preserve">amples were tested for </w:t>
      </w:r>
      <w:r>
        <w:rPr>
          <w:rFonts w:ascii="Book Antiqua" w:eastAsia="Book Antiqua" w:hAnsi="Book Antiqua" w:cs="Book Antiqua"/>
          <w:color w:val="000000"/>
          <w:vertAlign w:val="superscript"/>
        </w:rPr>
        <w:t>13</w:t>
      </w:r>
      <w:r>
        <w:rPr>
          <w:rFonts w:ascii="Book Antiqua" w:eastAsia="Book Antiqua" w:hAnsi="Book Antiqua" w:cs="Book Antiqua"/>
          <w:color w:val="000000"/>
        </w:rPr>
        <w:t>CO</w:t>
      </w:r>
      <w:r>
        <w:rPr>
          <w:rFonts w:ascii="Book Antiqua" w:eastAsia="Book Antiqua" w:hAnsi="Book Antiqua" w:cs="Book Antiqua"/>
          <w:color w:val="000000"/>
          <w:vertAlign w:val="subscript"/>
        </w:rPr>
        <w:t>2</w:t>
      </w:r>
      <w:r>
        <w:rPr>
          <w:rFonts w:ascii="Book Antiqua" w:eastAsia="Book Antiqua" w:hAnsi="Book Antiqua" w:cs="Book Antiqua"/>
          <w:color w:val="000000"/>
        </w:rPr>
        <w:t>, and δ</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was used to represent the result: δ</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 (isotopic abundance of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for the test sample - isotopic abundance of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for the reference sample) </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1000/isotopic abundance of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for the reference sample. The detection value </w:t>
      </w:r>
      <w:r>
        <w:rPr>
          <w:rFonts w:ascii="Book Antiqua" w:eastAsia="Book Antiqua" w:hAnsi="Book Antiqua" w:cs="Book Antiqua"/>
          <w:color w:val="000000"/>
        </w:rPr>
        <w:t>was defined as the δ</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measured at 30 min subtracted from that measured at 0 min.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considered positive when the detection value was ≥ 4.0.</w:t>
      </w:r>
    </w:p>
    <w:p w14:paraId="3C9BA466" w14:textId="77777777" w:rsidR="009F3374" w:rsidRDefault="009F3374">
      <w:pPr>
        <w:spacing w:line="360" w:lineRule="auto"/>
        <w:jc w:val="both"/>
        <w:rPr>
          <w:rFonts w:ascii="Book Antiqua" w:eastAsia="Book Antiqua" w:hAnsi="Book Antiqua" w:cs="Book Antiqua"/>
        </w:rPr>
      </w:pPr>
    </w:p>
    <w:p w14:paraId="39FEA523" w14:textId="77777777" w:rsidR="009F3374" w:rsidRDefault="00ED047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Food-specific IgG test</w:t>
      </w:r>
    </w:p>
    <w:p w14:paraId="7911FF8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food-specific IgG screening enzyme-linked immunosorbent assay kit (HO</w:t>
      </w:r>
      <w:r>
        <w:rPr>
          <w:rFonts w:ascii="Book Antiqua" w:eastAsia="Book Antiqua" w:hAnsi="Book Antiqua" w:cs="Book Antiqua"/>
          <w:color w:val="000000"/>
        </w:rPr>
        <w:t>B Biotech Co., Ltd. Jiangsu, China) was used. Serum samples were collected from the subjects, the amount used was 5 μL, and the test was carried out according to the operation manual. A blank well was used to calibrate the zero value of the enzyme analyzer</w:t>
      </w:r>
      <w:r>
        <w:rPr>
          <w:rFonts w:ascii="Book Antiqua" w:eastAsia="Book Antiqua" w:hAnsi="Book Antiqua" w:cs="Book Antiqua"/>
          <w:color w:val="000000"/>
        </w:rPr>
        <w:t xml:space="preserve"> [Thermo Fisher Scientific (China) Co., Ltd. Shanghai, China] at a wavelength of 450 nm, and the absorbance value Y of each tested sample was read. The standardized activity value X (U/mL) was obtained with the formula Y = AX</w:t>
      </w:r>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 BX</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CX + D </w:t>
      </w:r>
      <w:r>
        <w:rPr>
          <w:rFonts w:ascii="Book Antiqua" w:eastAsia="Book Antiqua" w:hAnsi="Book Antiqua" w:cs="Book Antiqua"/>
          <w:color w:val="000000"/>
        </w:rPr>
        <w:t xml:space="preserve">calculated from the </w:t>
      </w:r>
      <w:r>
        <w:rPr>
          <w:rFonts w:ascii="Book Antiqua" w:eastAsia="Book Antiqua" w:hAnsi="Book Antiqua" w:cs="Book Antiqua"/>
          <w:color w:val="000000"/>
        </w:rPr>
        <w:lastRenderedPageBreak/>
        <w:t>standard curve. An activity value of X ≥ 50 U/mL was defined as food-specific IgG positive.</w:t>
      </w:r>
    </w:p>
    <w:p w14:paraId="42842F96" w14:textId="77777777" w:rsidR="009F3374" w:rsidRDefault="009F3374">
      <w:pPr>
        <w:spacing w:line="360" w:lineRule="auto"/>
        <w:jc w:val="both"/>
        <w:rPr>
          <w:rFonts w:ascii="Book Antiqua" w:eastAsia="Book Antiqua" w:hAnsi="Book Antiqua" w:cs="Book Antiqua"/>
        </w:rPr>
      </w:pPr>
    </w:p>
    <w:p w14:paraId="6422760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Statistical analysis</w:t>
      </w:r>
    </w:p>
    <w:p w14:paraId="1916603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Statistical analysis was performed using IBM SPSS 21.0 (IBM Corp., Armonk, NY, United States). Continuous data were expres</w:t>
      </w:r>
      <w:r>
        <w:rPr>
          <w:rFonts w:ascii="Book Antiqua" w:eastAsia="Book Antiqua" w:hAnsi="Book Antiqua" w:cs="Book Antiqua"/>
          <w:color w:val="000000"/>
        </w:rPr>
        <w:t>sed as the mean ± standard deviation for normally distributed data or the median with 25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75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percentiles for non-normally distributed data. Categorical data were described as percentages. Student’s </w:t>
      </w:r>
      <w:r>
        <w:rPr>
          <w:rFonts w:ascii="Book Antiqua" w:eastAsia="Book Antiqua" w:hAnsi="Book Antiqua" w:cs="Book Antiqua"/>
          <w:i/>
          <w:color w:val="000000"/>
        </w:rPr>
        <w:t>t</w:t>
      </w:r>
      <w:r>
        <w:rPr>
          <w:rFonts w:ascii="Book Antiqua" w:eastAsia="Book Antiqua" w:hAnsi="Book Antiqua" w:cs="Book Antiqua"/>
          <w:color w:val="000000"/>
        </w:rPr>
        <w:t>-test was used to analyze continuous variables, an</w:t>
      </w:r>
      <w:r>
        <w:rPr>
          <w:rFonts w:ascii="Book Antiqua" w:eastAsia="Book Antiqua" w:hAnsi="Book Antiqua" w:cs="Book Antiqua"/>
          <w:color w:val="000000"/>
        </w:rPr>
        <w:t>d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analyze categorical variables. Univariable and multivariable regression models were performed using logistic regression analysis to identify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Various covariates, su</w:t>
      </w:r>
      <w:r>
        <w:rPr>
          <w:rFonts w:ascii="Book Antiqua" w:eastAsia="Book Antiqua" w:hAnsi="Book Antiqua" w:cs="Book Antiqua"/>
          <w:color w:val="000000"/>
        </w:rPr>
        <w:t>ch as age, sex, body mass index, hemoglobin A1c, total cholesterol, triglycerides, alanine aminotransferase, aspartate aminotransferase, gamma-glutamyl transpeptidase, serum creatinine, uric acid, blood pressure, smoking and drinking, were used to adjust t</w:t>
      </w:r>
      <w:r>
        <w:rPr>
          <w:rFonts w:ascii="Book Antiqua" w:eastAsia="Book Antiqua" w:hAnsi="Book Antiqua" w:cs="Book Antiqua"/>
          <w:color w:val="000000"/>
        </w:rPr>
        <w:t xml:space="preserve">he confounding factors, with the results expressed as odds ratios (ORs) and 95% confidence intervals. A </w:t>
      </w:r>
      <w:r>
        <w:rPr>
          <w:rFonts w:ascii="Book Antiqua" w:eastAsia="Book Antiqua" w:hAnsi="Book Antiqua" w:cs="Book Antiqua"/>
          <w:i/>
          <w:color w:val="000000"/>
        </w:rPr>
        <w:t xml:space="preserve">P </w:t>
      </w:r>
      <w:r>
        <w:rPr>
          <w:rFonts w:ascii="Book Antiqua" w:eastAsia="Book Antiqua" w:hAnsi="Book Antiqua" w:cs="Book Antiqua"/>
          <w:color w:val="000000"/>
        </w:rPr>
        <w:t>value &lt; 0.05 was considered statistically significant.</w:t>
      </w:r>
    </w:p>
    <w:p w14:paraId="0A758230" w14:textId="77777777" w:rsidR="009F3374" w:rsidRDefault="009F3374">
      <w:pPr>
        <w:spacing w:line="360" w:lineRule="auto"/>
        <w:jc w:val="both"/>
        <w:rPr>
          <w:rFonts w:ascii="Book Antiqua" w:eastAsia="Book Antiqua" w:hAnsi="Book Antiqua" w:cs="Book Antiqua"/>
        </w:rPr>
      </w:pPr>
    </w:p>
    <w:p w14:paraId="59101000"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5842C26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Baseline of the study population characteristics</w:t>
      </w:r>
    </w:p>
    <w:p w14:paraId="1429445D"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The demographic and laboratory baseli</w:t>
      </w:r>
      <w:r>
        <w:rPr>
          <w:rFonts w:ascii="Book Antiqua" w:eastAsia="Book Antiqua" w:hAnsi="Book Antiqua" w:cs="Book Antiqua"/>
          <w:color w:val="000000"/>
        </w:rPr>
        <w:t xml:space="preserve">ne characteristics of 21822 subjects (12396 males and 9426 females) are shown in Table 1. The average age was 43.82 ± 10.98 years (range: 18-89 years). The total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39.3%, and the food-specific IgG-positive rates of eggs, milk </w:t>
      </w:r>
      <w:r>
        <w:rPr>
          <w:rFonts w:ascii="Book Antiqua" w:eastAsia="Book Antiqua" w:hAnsi="Book Antiqua" w:cs="Book Antiqua"/>
          <w:color w:val="000000"/>
        </w:rPr>
        <w:t xml:space="preserve">and wheat were 25.2%, 9.0% and 4.9%, respectively. The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was higher in males than in females (39.9% </w:t>
      </w:r>
      <w:r>
        <w:rPr>
          <w:rFonts w:ascii="Book Antiqua" w:eastAsia="Book Antiqua" w:hAnsi="Book Antiqua" w:cs="Book Antiqua"/>
          <w:i/>
          <w:color w:val="000000"/>
        </w:rPr>
        <w:t>vs</w:t>
      </w:r>
      <w:r>
        <w:rPr>
          <w:rFonts w:ascii="Book Antiqua" w:eastAsia="Book Antiqua" w:hAnsi="Book Antiqua" w:cs="Book Antiqua"/>
          <w:color w:val="000000"/>
        </w:rPr>
        <w:t xml:space="preserve"> 38.6%, </w:t>
      </w:r>
      <w:r>
        <w:rPr>
          <w:rFonts w:ascii="Book Antiqua" w:eastAsia="Book Antiqua" w:hAnsi="Book Antiqua" w:cs="Book Antiqua"/>
          <w:i/>
          <w:color w:val="000000"/>
        </w:rPr>
        <w:t>P</w:t>
      </w:r>
      <w:r>
        <w:rPr>
          <w:rFonts w:ascii="Book Antiqua" w:eastAsia="Book Antiqua" w:hAnsi="Book Antiqua" w:cs="Book Antiqua"/>
          <w:color w:val="000000"/>
        </w:rPr>
        <w:t xml:space="preserve"> = 0.043). The food-specific IgG-positive rates of the three foods in males were all significantly lower than those in </w:t>
      </w:r>
      <w:r>
        <w:rPr>
          <w:rFonts w:ascii="Book Antiqua" w:eastAsia="Book Antiqua" w:hAnsi="Book Antiqua" w:cs="Book Antiqua"/>
          <w:color w:val="000000"/>
        </w:rPr>
        <w:t xml:space="preserve">females (20.4% </w:t>
      </w:r>
      <w:r>
        <w:rPr>
          <w:rFonts w:ascii="Book Antiqua" w:eastAsia="Book Antiqua" w:hAnsi="Book Antiqua" w:cs="Book Antiqua"/>
          <w:i/>
          <w:color w:val="000000"/>
        </w:rPr>
        <w:t>vs</w:t>
      </w:r>
      <w:r>
        <w:rPr>
          <w:rFonts w:ascii="Book Antiqua" w:eastAsia="Book Antiqua" w:hAnsi="Book Antiqua" w:cs="Book Antiqua"/>
          <w:color w:val="000000"/>
        </w:rPr>
        <w:t xml:space="preserve"> 31.5% for eggs, 7.9% </w:t>
      </w:r>
      <w:r>
        <w:rPr>
          <w:rFonts w:ascii="Book Antiqua" w:eastAsia="Book Antiqua" w:hAnsi="Book Antiqua" w:cs="Book Antiqua"/>
          <w:i/>
          <w:color w:val="000000"/>
        </w:rPr>
        <w:t>vs</w:t>
      </w:r>
      <w:r>
        <w:rPr>
          <w:rFonts w:ascii="Book Antiqua" w:eastAsia="Book Antiqua" w:hAnsi="Book Antiqua" w:cs="Book Antiqua"/>
          <w:color w:val="000000"/>
        </w:rPr>
        <w:t xml:space="preserve"> 10.5% for milk and 4.0% </w:t>
      </w:r>
      <w:r>
        <w:rPr>
          <w:rFonts w:ascii="Book Antiqua" w:eastAsia="Book Antiqua" w:hAnsi="Book Antiqua" w:cs="Book Antiqua"/>
          <w:i/>
          <w:color w:val="000000"/>
        </w:rPr>
        <w:t>vs</w:t>
      </w:r>
      <w:r>
        <w:rPr>
          <w:rFonts w:ascii="Book Antiqua" w:eastAsia="Book Antiqua" w:hAnsi="Book Antiqua" w:cs="Book Antiqua"/>
          <w:color w:val="000000"/>
        </w:rPr>
        <w:t xml:space="preserve"> 6.2% for wheat, all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0E304DD3"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lastRenderedPageBreak/>
        <w:t xml:space="preserve">The subjects were further stratified by age to investigate the prevalence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positive rates of food-specific IgG. The results revea</w:t>
      </w:r>
      <w:r>
        <w:rPr>
          <w:rFonts w:ascii="Book Antiqua" w:eastAsia="Book Antiqua" w:hAnsi="Book Antiqua" w:cs="Book Antiqua"/>
          <w:color w:val="000000"/>
        </w:rPr>
        <w:t>led that the positive rates of the three food-specific IgG antibodies all decreased with age in both males and females (Table 2).</w:t>
      </w:r>
    </w:p>
    <w:p w14:paraId="6E26474E" w14:textId="77777777" w:rsidR="009F3374" w:rsidRDefault="009F3374">
      <w:pPr>
        <w:spacing w:line="360" w:lineRule="auto"/>
        <w:jc w:val="both"/>
        <w:rPr>
          <w:rFonts w:ascii="Book Antiqua" w:eastAsia="Book Antiqua" w:hAnsi="Book Antiqua" w:cs="Book Antiqua"/>
        </w:rPr>
      </w:pPr>
    </w:p>
    <w:p w14:paraId="4D8A6941"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Comparison of the positive rates of food-specific IgG between different H. pylori infection status groups</w:t>
      </w:r>
    </w:p>
    <w:p w14:paraId="51F4CE6F"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Whether in the gene</w:t>
      </w:r>
      <w:r>
        <w:rPr>
          <w:rFonts w:ascii="Book Antiqua" w:eastAsia="Book Antiqua" w:hAnsi="Book Antiqua" w:cs="Book Antiqua"/>
          <w:color w:val="000000"/>
        </w:rPr>
        <w:t xml:space="preserve">ral population or between sexes, the positive rates of the three food-specific IgG antibodies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-positive group were all significantly lower than those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-negative group (22.8% </w:t>
      </w:r>
      <w:r>
        <w:rPr>
          <w:rFonts w:ascii="Book Antiqua" w:eastAsia="Book Antiqua" w:hAnsi="Book Antiqua" w:cs="Book Antiqua"/>
          <w:i/>
          <w:color w:val="000000"/>
        </w:rPr>
        <w:t>vs</w:t>
      </w:r>
      <w:r>
        <w:rPr>
          <w:rFonts w:ascii="Book Antiqua" w:eastAsia="Book Antiqua" w:hAnsi="Book Antiqua" w:cs="Book Antiqua"/>
          <w:color w:val="000000"/>
        </w:rPr>
        <w:t xml:space="preserve"> 26.7% for eggs, 7.4% </w:t>
      </w:r>
      <w:r>
        <w:rPr>
          <w:rFonts w:ascii="Book Antiqua" w:eastAsia="Book Antiqua" w:hAnsi="Book Antiqua" w:cs="Book Antiqua"/>
          <w:i/>
          <w:color w:val="000000"/>
        </w:rPr>
        <w:t>vs</w:t>
      </w:r>
      <w:r>
        <w:rPr>
          <w:rFonts w:ascii="Book Antiqua" w:eastAsia="Book Antiqua" w:hAnsi="Book Antiqua" w:cs="Book Antiqua"/>
          <w:color w:val="000000"/>
        </w:rPr>
        <w:t xml:space="preserve"> 10.1% for milk and 3.9% </w:t>
      </w:r>
      <w:r>
        <w:rPr>
          <w:rFonts w:ascii="Book Antiqua" w:eastAsia="Book Antiqua" w:hAnsi="Book Antiqua" w:cs="Book Antiqua"/>
          <w:i/>
          <w:color w:val="000000"/>
        </w:rPr>
        <w:t>vs</w:t>
      </w:r>
      <w:r>
        <w:rPr>
          <w:rFonts w:ascii="Book Antiqua" w:eastAsia="Book Antiqua" w:hAnsi="Book Antiqua" w:cs="Book Antiqua"/>
          <w:color w:val="000000"/>
        </w:rPr>
        <w:t xml:space="preserve"> 5.3% for wheat) (Figure 1).</w:t>
      </w:r>
    </w:p>
    <w:p w14:paraId="37A060C6" w14:textId="77777777" w:rsidR="009F3374" w:rsidRDefault="009F3374">
      <w:pPr>
        <w:spacing w:line="360" w:lineRule="auto"/>
        <w:jc w:val="both"/>
        <w:rPr>
          <w:rFonts w:ascii="Book Antiqua" w:eastAsia="Book Antiqua" w:hAnsi="Book Antiqua" w:cs="Book Antiqua"/>
        </w:rPr>
      </w:pPr>
    </w:p>
    <w:p w14:paraId="1EAD6DB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Logistic regression analysis of H. pylori infection and food-specific IgG positivity</w:t>
      </w:r>
    </w:p>
    <w:p w14:paraId="7E56BA8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Logistic regression analysis was performed to explore the independent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In uni</w:t>
      </w:r>
      <w:r>
        <w:rPr>
          <w:rFonts w:ascii="Book Antiqua" w:eastAsia="Book Antiqua" w:hAnsi="Book Antiqua" w:cs="Book Antiqua"/>
          <w:color w:val="000000"/>
        </w:rPr>
        <w:t xml:space="preserve">variate analysis, the results revealed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associated with a lower risk of food-specific IgG (OR = 0.814, </w:t>
      </w:r>
      <w:r>
        <w:rPr>
          <w:rFonts w:ascii="Book Antiqua" w:eastAsia="Book Antiqua" w:hAnsi="Book Antiqua" w:cs="Book Antiqua"/>
          <w:i/>
          <w:color w:val="000000"/>
        </w:rPr>
        <w:t>P</w:t>
      </w:r>
      <w:r>
        <w:rPr>
          <w:rFonts w:ascii="Book Antiqua" w:eastAsia="Book Antiqua" w:hAnsi="Book Antiqua" w:cs="Book Antiqua"/>
          <w:color w:val="000000"/>
        </w:rPr>
        <w:t xml:space="preserve"> &lt; 0.001 for eggs; OR = 0.714, </w:t>
      </w:r>
      <w:r>
        <w:rPr>
          <w:rFonts w:ascii="Book Antiqua" w:eastAsia="Book Antiqua" w:hAnsi="Book Antiqua" w:cs="Book Antiqua"/>
          <w:i/>
          <w:color w:val="000000"/>
        </w:rPr>
        <w:t>P</w:t>
      </w:r>
      <w:r>
        <w:rPr>
          <w:rFonts w:ascii="Book Antiqua" w:eastAsia="Book Antiqua" w:hAnsi="Book Antiqua" w:cs="Book Antiqua"/>
          <w:color w:val="000000"/>
        </w:rPr>
        <w:t xml:space="preserve"> &lt; 0.001 for milk; and OR = 0.720, </w:t>
      </w:r>
      <w:r>
        <w:rPr>
          <w:rFonts w:ascii="Book Antiqua" w:eastAsia="Book Antiqua" w:hAnsi="Book Antiqua" w:cs="Book Antiqua"/>
          <w:i/>
          <w:color w:val="000000"/>
        </w:rPr>
        <w:t>P</w:t>
      </w:r>
      <w:r>
        <w:rPr>
          <w:rFonts w:ascii="Book Antiqua" w:eastAsia="Book Antiqua" w:hAnsi="Book Antiqua" w:cs="Book Antiqua"/>
          <w:color w:val="000000"/>
        </w:rPr>
        <w:t xml:space="preserve"> &lt; 0.001 for wheat). After adjusting for confounding fac</w:t>
      </w:r>
      <w:r>
        <w:rPr>
          <w:rFonts w:ascii="Book Antiqua" w:eastAsia="Book Antiqua" w:hAnsi="Book Antiqua" w:cs="Book Antiqua"/>
          <w:color w:val="000000"/>
        </w:rPr>
        <w:t xml:space="preserve">tors in different models, the results remained significant (OR value of egg 0.844-0.873, milk 0.741-0.751 and wheat 0.755-0.788, </w:t>
      </w:r>
      <w:r>
        <w:rPr>
          <w:rFonts w:ascii="Book Antiqua" w:eastAsia="Book Antiqua" w:hAnsi="Book Antiqua" w:cs="Book Antiqua"/>
          <w:i/>
          <w:color w:val="000000"/>
        </w:rPr>
        <w:t>P</w:t>
      </w:r>
      <w:r>
        <w:rPr>
          <w:rFonts w:ascii="Book Antiqua" w:eastAsia="Book Antiqua" w:hAnsi="Book Antiqua" w:cs="Book Antiqua"/>
          <w:color w:val="000000"/>
        </w:rPr>
        <w:t xml:space="preserve"> &lt; 0.001) (Table 3).</w:t>
      </w:r>
    </w:p>
    <w:p w14:paraId="603EBDF5" w14:textId="77777777" w:rsidR="009F3374" w:rsidRDefault="009F3374">
      <w:pPr>
        <w:spacing w:line="360" w:lineRule="auto"/>
        <w:jc w:val="both"/>
        <w:rPr>
          <w:rFonts w:ascii="Book Antiqua" w:eastAsia="Book Antiqua" w:hAnsi="Book Antiqua" w:cs="Book Antiqua"/>
        </w:rPr>
      </w:pPr>
    </w:p>
    <w:p w14:paraId="620A560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4192B48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infection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is high worldwide and is 50% in China</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compared with the high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 only 15%-20% of infected subjects have peptic ulcers, 5%-10% have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dyspepsia, and approximately 1% have gastric cancer, </w:t>
      </w:r>
      <w:r>
        <w:rPr>
          <w:rFonts w:ascii="Book Antiqua" w:eastAsia="Book Antiqua" w:hAnsi="Book Antiqua" w:cs="Book Antiqua"/>
          <w:color w:val="000000"/>
          <w:highlight w:val="white"/>
        </w:rPr>
        <w:t>mucosa-associated</w:t>
      </w:r>
      <w:r>
        <w:rPr>
          <w:rFonts w:ascii="Book Antiqua" w:eastAsia="Book Antiqua" w:hAnsi="Book Antiqua" w:cs="Book Antiqua"/>
          <w:color w:val="000000"/>
          <w:highlight w:val="white"/>
        </w:rPr>
        <w:t xml:space="preserve"> lymphoid tissue</w:t>
      </w:r>
      <w:r>
        <w:rPr>
          <w:rFonts w:ascii="Book Antiqua" w:eastAsia="Book Antiqua" w:hAnsi="Book Antiqua" w:cs="Book Antiqua"/>
          <w:color w:val="000000"/>
        </w:rPr>
        <w:t xml:space="preserve"> lymphoma and other gastric malignant tumors</w:t>
      </w:r>
      <w:r>
        <w:rPr>
          <w:rFonts w:ascii="Book Antiqua" w:eastAsia="Book Antiqua" w:hAnsi="Book Antiqua" w:cs="Book Antiqua"/>
          <w:color w:val="000000"/>
          <w:vertAlign w:val="superscript"/>
        </w:rPr>
        <w:t>[13-15]</w:t>
      </w:r>
      <w:r>
        <w:rPr>
          <w:rFonts w:ascii="Book Antiqua" w:eastAsia="Book Antiqua" w:hAnsi="Book Antiqua" w:cs="Book Antiqua"/>
          <w:color w:val="000000"/>
        </w:rPr>
        <w:t>. Most of the infected subjects are asymptomatic</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and do not receive drug treatment. Scholars have focused on exploring the chronic process in such a large number of asymptomatic carriers. M</w:t>
      </w:r>
      <w:r>
        <w:rPr>
          <w:rFonts w:ascii="Book Antiqua" w:eastAsia="Book Antiqua" w:hAnsi="Book Antiqua" w:cs="Book Antiqua"/>
          <w:color w:val="000000"/>
        </w:rPr>
        <w:t xml:space="preserve">oreover, the influence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is not </w:t>
      </w:r>
      <w:r>
        <w:rPr>
          <w:rFonts w:ascii="Book Antiqua" w:eastAsia="Book Antiqua" w:hAnsi="Book Antiqua" w:cs="Book Antiqua"/>
          <w:color w:val="000000"/>
        </w:rPr>
        <w:lastRenderedPageBreak/>
        <w:t xml:space="preserve">limited to the gastrointestinal tract itself. In 1994, Mendall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[16] </w:t>
      </w:r>
      <w:r>
        <w:rPr>
          <w:rFonts w:ascii="Book Antiqua" w:eastAsia="Book Antiqua" w:hAnsi="Book Antiqua" w:cs="Book Antiqua"/>
          <w:color w:val="000000"/>
        </w:rPr>
        <w:t xml:space="preserve">first reported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extragastric diseases. Subsequently, neurological, cardiovascular,</w:t>
      </w:r>
      <w:r>
        <w:rPr>
          <w:rFonts w:ascii="Book Antiqua" w:eastAsia="Book Antiqua" w:hAnsi="Book Antiqua" w:cs="Book Antiqua"/>
          <w:color w:val="000000"/>
        </w:rPr>
        <w:t xml:space="preserve"> hematologic, dermatological, ocular, metabolic and allergic diseases were found to be associated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Immune mechanisms may play an important role in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extragastrointestinal diseases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consideration of the high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many other extragastrointes</w:t>
      </w:r>
      <w:r>
        <w:rPr>
          <w:rFonts w:ascii="Book Antiqua" w:eastAsia="Book Antiqua" w:hAnsi="Book Antiqua" w:cs="Book Antiqua"/>
          <w:color w:val="000000"/>
        </w:rPr>
        <w:t>tinal diseases cannot be ignored.</w:t>
      </w:r>
    </w:p>
    <w:p w14:paraId="3423F65C"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Over the years, adverse food reactions, which can be classified as food allergy or intolerance, have been increasing and have received more attention. Immune factors are very important in the pathogenesis of adverse food r</w:t>
      </w:r>
      <w:r>
        <w:rPr>
          <w:rFonts w:ascii="Book Antiqua" w:eastAsia="Book Antiqua" w:hAnsi="Book Antiqua" w:cs="Book Antiqua"/>
          <w:color w:val="000000"/>
        </w:rPr>
        <w:t>eactions. As an immune-based disease, food allergy is estimated to affect 5% of children under the age of 5 years and 4% of teens and adults in the United States</w:t>
      </w:r>
      <w:r>
        <w:rPr>
          <w:rFonts w:ascii="Book Antiqua" w:eastAsia="Book Antiqua" w:hAnsi="Book Antiqua" w:cs="Book Antiqua"/>
          <w:color w:val="000000"/>
          <w:vertAlign w:val="superscript"/>
        </w:rPr>
        <w:t>[19]</w:t>
      </w:r>
      <w:r>
        <w:rPr>
          <w:rFonts w:ascii="Book Antiqua" w:eastAsia="Book Antiqua" w:hAnsi="Book Antiqua" w:cs="Book Antiqua"/>
          <w:color w:val="000000"/>
        </w:rPr>
        <w:t>. Classic food allergy is usually identified as IgE-mediated immediate hypersensitivity rea</w:t>
      </w:r>
      <w:r>
        <w:rPr>
          <w:rFonts w:ascii="Book Antiqua" w:eastAsia="Book Antiqua" w:hAnsi="Book Antiqua" w:cs="Book Antiqua"/>
          <w:color w:val="000000"/>
        </w:rPr>
        <w:t>ctions. However, with the development of research, delayed non-IgE-mediated reactions have also been included in the mechanism of food allergy</w:t>
      </w:r>
      <w:r>
        <w:rPr>
          <w:rFonts w:ascii="Book Antiqua" w:eastAsia="Book Antiqua" w:hAnsi="Book Antiqua" w:cs="Book Antiqua"/>
          <w:color w:val="000000"/>
          <w:vertAlign w:val="superscript"/>
        </w:rPr>
        <w:t>[20]</w:t>
      </w:r>
      <w:r>
        <w:rPr>
          <w:rFonts w:ascii="Book Antiqua" w:eastAsia="Book Antiqua" w:hAnsi="Book Antiqua" w:cs="Book Antiqua"/>
          <w:color w:val="000000"/>
        </w:rPr>
        <w:t>. IgG is the immunoglobulin with the highest serum content, accounting for 70%-75%; IgG can be divided into Ig</w:t>
      </w:r>
      <w:r>
        <w:rPr>
          <w:rFonts w:ascii="Book Antiqua" w:eastAsia="Book Antiqua" w:hAnsi="Book Antiqua" w:cs="Book Antiqua"/>
          <w:color w:val="000000"/>
        </w:rPr>
        <w:t>G1, IgG2, IgG3 and IgG4 subtypes, and the normal body content is approximately 66%, 23%, 7% and 4%, respectively</w:t>
      </w:r>
      <w:r>
        <w:rPr>
          <w:rFonts w:ascii="Book Antiqua" w:eastAsia="Book Antiqua" w:hAnsi="Book Antiqua" w:cs="Book Antiqua"/>
          <w:color w:val="000000"/>
          <w:vertAlign w:val="superscript"/>
        </w:rPr>
        <w:t>[21]</w:t>
      </w:r>
      <w:r>
        <w:rPr>
          <w:rFonts w:ascii="Book Antiqua" w:eastAsia="Book Antiqua" w:hAnsi="Book Antiqua" w:cs="Book Antiqua"/>
          <w:color w:val="000000"/>
        </w:rPr>
        <w:t>. Unlike IgE-mediated type I hypersensitivity (immediate hypersensitivity), IgG is mainly involved in type II (cytotoxic hypersensitivity) a</w:t>
      </w:r>
      <w:r>
        <w:rPr>
          <w:rFonts w:ascii="Book Antiqua" w:eastAsia="Book Antiqua" w:hAnsi="Book Antiqua" w:cs="Book Antiqua"/>
          <w:color w:val="000000"/>
        </w:rPr>
        <w:t>nd type III hypersensitivity (immune complex-mediated hypersensitivity)</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immune system can identify certain food molecules as harmful substances and produce an excessive protective immune response against these substances, generating food-specific </w:t>
      </w:r>
      <w:r>
        <w:rPr>
          <w:rFonts w:ascii="Book Antiqua" w:eastAsia="Book Antiqua" w:hAnsi="Book Antiqua" w:cs="Book Antiqua"/>
          <w:color w:val="000000"/>
        </w:rPr>
        <w:t xml:space="preserve">IgG. Through antigen-antibody reactions, IgG antibodies form circulating immune complexes with food particles that are deposited in various organs or systems </w:t>
      </w:r>
      <w:r>
        <w:rPr>
          <w:rFonts w:ascii="Book Antiqua" w:eastAsia="Book Antiqua" w:hAnsi="Book Antiqua" w:cs="Book Antiqua"/>
          <w:i/>
          <w:iCs/>
          <w:color w:val="000000"/>
        </w:rPr>
        <w:t>via</w:t>
      </w:r>
      <w:r>
        <w:rPr>
          <w:rFonts w:ascii="Book Antiqua" w:eastAsia="Book Antiqua" w:hAnsi="Book Antiqua" w:cs="Book Antiqua"/>
          <w:color w:val="000000"/>
        </w:rPr>
        <w:t xml:space="preserve"> blood circulation. Therefore, food-specific-IgG may participate in the mechanism of non-IgE-me</w:t>
      </w:r>
      <w:r>
        <w:rPr>
          <w:rFonts w:ascii="Book Antiqua" w:eastAsia="Book Antiqua" w:hAnsi="Book Antiqua" w:cs="Book Antiqua"/>
          <w:color w:val="000000"/>
        </w:rPr>
        <w:t>diated adverse food reactions, which is related to food allergy</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2AEE90F"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Food intolerance is another common chronic disease with many extragastrointestinal clinical manifestations and affects 15%-20% of the population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mechanism of food </w:t>
      </w:r>
      <w:r>
        <w:rPr>
          <w:rFonts w:ascii="Book Antiqua" w:eastAsia="Book Antiqua" w:hAnsi="Book Antiqua" w:cs="Book Antiqua"/>
          <w:color w:val="000000"/>
        </w:rPr>
        <w:lastRenderedPageBreak/>
        <w:t>intolerance is m</w:t>
      </w:r>
      <w:r>
        <w:rPr>
          <w:rFonts w:ascii="Book Antiqua" w:eastAsia="Book Antiqua" w:hAnsi="Book Antiqua" w:cs="Book Antiqua"/>
          <w:color w:val="000000"/>
        </w:rPr>
        <w:t>ultifactorial and is related to digestive system factors such as food composition, metabolic enzyme activity, transport mechanisms and intestinal permeability changes. Although food intolerance is defined as not directly related to the immune response, con</w:t>
      </w:r>
      <w:r>
        <w:rPr>
          <w:rFonts w:ascii="Book Antiqua" w:eastAsia="Book Antiqua" w:hAnsi="Book Antiqua" w:cs="Book Antiqua"/>
          <w:color w:val="000000"/>
        </w:rPr>
        <w:t>sidering the mechanism of food intolerance mentioned above, more allergenic food components may enter the circulation through digestion in individuals with food intolerance, thus inducing the production of food-specific IgG</w:t>
      </w:r>
      <w:r>
        <w:rPr>
          <w:rFonts w:ascii="Book Antiqua" w:eastAsia="Book Antiqua" w:hAnsi="Book Antiqua" w:cs="Book Antiqua"/>
          <w:color w:val="000000"/>
          <w:vertAlign w:val="superscript"/>
        </w:rPr>
        <w:t>[23]</w:t>
      </w:r>
      <w:r>
        <w:rPr>
          <w:rFonts w:ascii="Book Antiqua" w:eastAsia="Book Antiqua" w:hAnsi="Book Antiqua" w:cs="Book Antiqua"/>
          <w:color w:val="000000"/>
        </w:rPr>
        <w:t>. Specific IgG antibodies tha</w:t>
      </w:r>
      <w:r>
        <w:rPr>
          <w:rFonts w:ascii="Book Antiqua" w:eastAsia="Book Antiqua" w:hAnsi="Book Antiqua" w:cs="Book Antiqua"/>
          <w:color w:val="000000"/>
        </w:rPr>
        <w:t>t corresponding to certain foods could be detected in the serum of food-intolerant patients</w:t>
      </w:r>
      <w:r>
        <w:rPr>
          <w:rFonts w:ascii="Book Antiqua" w:eastAsia="Book Antiqua" w:hAnsi="Book Antiqua" w:cs="Book Antiqua"/>
          <w:color w:val="000000"/>
          <w:vertAlign w:val="superscript"/>
        </w:rPr>
        <w:t>[24]</w:t>
      </w:r>
      <w:r>
        <w:rPr>
          <w:rFonts w:ascii="Book Antiqua" w:eastAsia="Book Antiqua" w:hAnsi="Book Antiqua" w:cs="Book Antiqua"/>
          <w:color w:val="000000"/>
        </w:rPr>
        <w:t>. Therefore, food-specific IgG can also be indirectly or secondarily correlated with food intolerance. The high prevalence and chronic process of food allergy or</w:t>
      </w:r>
      <w:r>
        <w:rPr>
          <w:rFonts w:ascii="Book Antiqua" w:eastAsia="Book Antiqua" w:hAnsi="Book Antiqua" w:cs="Book Antiqua"/>
          <w:color w:val="000000"/>
        </w:rPr>
        <w:t xml:space="preserve"> intolerance as well as its relationship with the digestive system and immune system are similar to those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which made us interested in exploring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6B2FC2C8"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To date, studies on t</w:t>
      </w:r>
      <w:r>
        <w:rPr>
          <w:rFonts w:ascii="Book Antiqua" w:eastAsia="Book Antiqua" w:hAnsi="Book Antiqua" w:cs="Book Antiqua"/>
          <w:color w:val="000000"/>
        </w:rPr>
        <w:t xml:space="preserve">he relationship between food allergy or intolerance and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in large samples are limited. In our study, we analyzed the physical examination data of more than 20000 subjects. We selected eggs, milk and wheat as the research objects, as they</w:t>
      </w:r>
      <w:r>
        <w:rPr>
          <w:rFonts w:ascii="Book Antiqua" w:eastAsia="Book Antiqua" w:hAnsi="Book Antiqua" w:cs="Book Antiqua"/>
          <w:color w:val="000000"/>
        </w:rPr>
        <w:t xml:space="preserve"> are commonly consumed in Southwest China where there is a relatively high positive rate of food-specific IgG. The results suggested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seemed to help the body achieve a lower rate of food-specific IgG positivity. Interestingly, our r</w:t>
      </w:r>
      <w:r>
        <w:rPr>
          <w:rFonts w:ascii="Book Antiqua" w:eastAsia="Book Antiqua" w:hAnsi="Book Antiqua" w:cs="Book Antiqua"/>
          <w:color w:val="000000"/>
        </w:rPr>
        <w:t>esults were in contrast to those of a similar study in China</w:t>
      </w:r>
      <w:r>
        <w:rPr>
          <w:rFonts w:ascii="Book Antiqua" w:eastAsia="Book Antiqua" w:hAnsi="Book Antiqua" w:cs="Book Antiqua"/>
          <w:color w:val="000000"/>
          <w:vertAlign w:val="superscript"/>
        </w:rPr>
        <w:t>[9]</w:t>
      </w:r>
      <w:r>
        <w:rPr>
          <w:rFonts w:ascii="Book Antiqua" w:eastAsia="Book Antiqua" w:hAnsi="Book Antiqua" w:cs="Book Antiqua"/>
          <w:color w:val="000000"/>
        </w:rPr>
        <w:t>. The differences might be related to the sample size, food types and geographical differences, which need to be further studied.</w:t>
      </w:r>
    </w:p>
    <w:p w14:paraId="225066CC"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Previous studies have found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affects im</w:t>
      </w:r>
      <w:r>
        <w:rPr>
          <w:rFonts w:ascii="Book Antiqua" w:eastAsia="Book Antiqua" w:hAnsi="Book Antiqua" w:cs="Book Antiqua"/>
          <w:color w:val="000000"/>
        </w:rPr>
        <w:t xml:space="preserve">mune regulation so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can avoid immune surveillance to establish long-term colonization.</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This may also be the cause of its association with some extragastrointestinal diseases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For example, asthma has been reported </w:t>
      </w:r>
      <w:r>
        <w:rPr>
          <w:rFonts w:ascii="Book Antiqua" w:eastAsia="Book Antiqua" w:hAnsi="Book Antiqua" w:cs="Book Antiqua"/>
        </w:rPr>
        <w:t>to be inversely associate</w:t>
      </w:r>
      <w:r>
        <w:rPr>
          <w:rFonts w:ascii="Book Antiqua" w:eastAsia="Book Antiqua" w:hAnsi="Book Antiqua" w:cs="Book Antiqua"/>
        </w:rPr>
        <w:t>d</w:t>
      </w:r>
      <w:r>
        <w:rPr>
          <w:rFonts w:ascii="Book Antiqua" w:eastAsia="Book Antiqua" w:hAnsi="Book Antiqua" w:cs="Book Antiqua"/>
          <w:color w:val="000000"/>
        </w:rPr>
        <w:t xml:space="preserve">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The protective effects of </w:t>
      </w:r>
      <w:r>
        <w:rPr>
          <w:rFonts w:ascii="Book Antiqua" w:eastAsia="Book Antiqua" w:hAnsi="Book Antiqua" w:cs="Book Antiqua"/>
          <w:i/>
          <w:color w:val="000000"/>
        </w:rPr>
        <w:t>H. pylori</w:t>
      </w:r>
      <w:r>
        <w:rPr>
          <w:rFonts w:ascii="Book Antiqua" w:eastAsia="Book Antiqua" w:hAnsi="Book Antiqua" w:cs="Book Antiqua"/>
          <w:color w:val="000000"/>
        </w:rPr>
        <w:t xml:space="preserve"> depend on Foxp3+ regulatory T cells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Regulatory T cells are a potently immunosuppressive CD4+ T cell subset and play a key role in immune tolerance by controlling the extent of the </w:t>
      </w:r>
      <w:r>
        <w:rPr>
          <w:rFonts w:ascii="Book Antiqua" w:eastAsia="Book Antiqua" w:hAnsi="Book Antiqua" w:cs="Book Antiqua"/>
          <w:color w:val="000000"/>
        </w:rPr>
        <w:t>response to self- and non-self-antigens. These cells can promote the rapid recovery of immune homeostasis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also upregulates </w:t>
      </w:r>
      <w:r>
        <w:rPr>
          <w:rFonts w:ascii="Book Antiqua" w:eastAsia="Book Antiqua" w:hAnsi="Book Antiqua" w:cs="Book Antiqua"/>
          <w:color w:val="000000"/>
        </w:rPr>
        <w:lastRenderedPageBreak/>
        <w:t xml:space="preserve">the expression of CD80 and interleukin 10 </w:t>
      </w:r>
      <w:r>
        <w:rPr>
          <w:rFonts w:ascii="Book Antiqua" w:eastAsia="Book Antiqua" w:hAnsi="Book Antiqua" w:cs="Book Antiqua"/>
          <w:i/>
          <w:color w:val="000000"/>
        </w:rPr>
        <w:t>via</w:t>
      </w:r>
      <w:r>
        <w:rPr>
          <w:rFonts w:ascii="Book Antiqua" w:eastAsia="Book Antiqua" w:hAnsi="Book Antiqua" w:cs="Book Antiqua"/>
          <w:color w:val="000000"/>
        </w:rPr>
        <w:t xml:space="preserve"> </w:t>
      </w:r>
      <w:r>
        <w:rPr>
          <w:rFonts w:ascii="Book Antiqua" w:eastAsia="Book Antiqua" w:hAnsi="Book Antiqua" w:cs="Book Antiqua"/>
        </w:rPr>
        <w:t xml:space="preserve">toll-like receptors </w:t>
      </w:r>
      <w:r>
        <w:rPr>
          <w:rFonts w:ascii="Book Antiqua" w:eastAsia="Book Antiqua" w:hAnsi="Book Antiqua" w:cs="Book Antiqua"/>
          <w:color w:val="000000"/>
        </w:rPr>
        <w:t>on B lymphocytes and then promotes regulatory T cell</w:t>
      </w:r>
      <w:r>
        <w:rPr>
          <w:rFonts w:ascii="Book Antiqua" w:eastAsia="Book Antiqua" w:hAnsi="Book Antiqua" w:cs="Book Antiqua"/>
          <w:color w:val="000000"/>
        </w:rPr>
        <w:t xml:space="preserve"> differentiation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Idiopathic thrombocytopenic purpura, an autoimmune disorder, was found to be associated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in 1999</w:t>
      </w:r>
      <w:r>
        <w:rPr>
          <w:rFonts w:ascii="Book Antiqua" w:eastAsia="Book Antiqua" w:hAnsi="Book Antiqua" w:cs="Book Antiqua"/>
          <w:color w:val="000000"/>
          <w:vertAlign w:val="superscript"/>
        </w:rPr>
        <w:t>[29]</w:t>
      </w:r>
      <w:r>
        <w:rPr>
          <w:rFonts w:ascii="Book Antiqua" w:eastAsia="Book Antiqua" w:hAnsi="Book Antiqua" w:cs="Book Antiqua"/>
          <w:color w:val="000000"/>
        </w:rPr>
        <w:t>. One of the mechanisms involves an enhanced phagocytic capacity and low levels of inhibitory FcγRIIB in monoc</w:t>
      </w:r>
      <w:r>
        <w:rPr>
          <w:rFonts w:ascii="Book Antiqua" w:eastAsia="Book Antiqua" w:hAnsi="Book Antiqua" w:cs="Book Antiqua"/>
          <w:color w:val="000000"/>
        </w:rPr>
        <w:t xml:space="preserve">ytes from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patients, leading to increased monocyte autoreactivity with B and T lymphocytes. This may cause </w:t>
      </w:r>
      <w:r>
        <w:rPr>
          <w:rFonts w:ascii="Book Antiqua" w:eastAsia="Book Antiqua" w:hAnsi="Book Antiqua" w:cs="Book Antiqua"/>
        </w:rPr>
        <w:t>B lymphocytes to</w:t>
      </w:r>
      <w:r>
        <w:rPr>
          <w:rFonts w:ascii="Book Antiqua" w:eastAsia="Book Antiqua" w:hAnsi="Book Antiqua" w:cs="Book Antiqua"/>
          <w:color w:val="000000"/>
        </w:rPr>
        <w:t xml:space="preserve"> produce autoantibodies against circulating platelets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Therefore, </w:t>
      </w:r>
      <w:r>
        <w:rPr>
          <w:rFonts w:ascii="Book Antiqua" w:eastAsia="Book Antiqua" w:hAnsi="Book Antiqua" w:cs="Book Antiqua"/>
          <w:i/>
          <w:color w:val="000000"/>
        </w:rPr>
        <w:t>H. pylori</w:t>
      </w:r>
      <w:r>
        <w:rPr>
          <w:rFonts w:ascii="Book Antiqua" w:eastAsia="Book Antiqua" w:hAnsi="Book Antiqua" w:cs="Book Antiqua"/>
          <w:color w:val="000000"/>
        </w:rPr>
        <w:t xml:space="preserve"> may be related to some extragastroi</w:t>
      </w:r>
      <w:r>
        <w:rPr>
          <w:rFonts w:ascii="Book Antiqua" w:eastAsia="Book Antiqua" w:hAnsi="Book Antiqua" w:cs="Book Antiqua"/>
          <w:color w:val="000000"/>
        </w:rPr>
        <w:t>ntestinal diseases through the regulation of both cellular and humoral immunity. The symptoms of both food allergy and intolerance are related to humoral immunity mediated by IgG. Future research on humoral immunity may be helpful for understanding the cor</w:t>
      </w:r>
      <w:r>
        <w:rPr>
          <w:rFonts w:ascii="Book Antiqua" w:eastAsia="Book Antiqua" w:hAnsi="Book Antiqua" w:cs="Book Antiqua"/>
          <w:color w:val="000000"/>
        </w:rPr>
        <w:t xml:space="preserve">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allergy or intolerance.</w:t>
      </w:r>
    </w:p>
    <w:p w14:paraId="01846892"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 limitation of our study was that the subjects were from the health examination population rather than from a random sampling of the community, which led to sample deviation. Furthermor</w:t>
      </w:r>
      <w:r>
        <w:rPr>
          <w:rFonts w:ascii="Book Antiqua" w:eastAsia="Book Antiqua" w:hAnsi="Book Antiqua" w:cs="Book Antiqua"/>
          <w:color w:val="000000"/>
        </w:rPr>
        <w:t xml:space="preserve">e, our study lacked sociological data. Previous studies have revealed that the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 is higher in developing countries</w:t>
      </w:r>
      <w:r>
        <w:rPr>
          <w:rFonts w:ascii="Book Antiqua" w:eastAsia="Book Antiqua" w:hAnsi="Book Antiqua" w:cs="Book Antiqua"/>
          <w:color w:val="000000"/>
          <w:vertAlign w:val="superscript"/>
        </w:rPr>
        <w:t>[30]</w:t>
      </w:r>
      <w:r>
        <w:rPr>
          <w:rFonts w:ascii="Book Antiqua" w:eastAsia="Book Antiqua" w:hAnsi="Book Antiqua" w:cs="Book Antiqua"/>
          <w:color w:val="000000"/>
        </w:rPr>
        <w:t>. Poor health conditions, low socioeconomic status and associated unhealthy dietary hygiene habits may facilitate e</w:t>
      </w:r>
      <w:r>
        <w:rPr>
          <w:rFonts w:ascii="Book Antiqua" w:eastAsia="Book Antiqua" w:hAnsi="Book Antiqua" w:cs="Book Antiqua"/>
          <w:color w:val="000000"/>
        </w:rPr>
        <w:t xml:space="preserve">xposure to more bacteria or antigens, which will promote immune tolerance to the corresponding antigens in the body and reduce the risk of adverse food reactions. Therefore, the two flowers—higher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rates and lower rates of food-specific </w:t>
      </w:r>
      <w:r>
        <w:rPr>
          <w:rFonts w:ascii="Book Antiqua" w:eastAsia="Book Antiqua" w:hAnsi="Book Antiqua" w:cs="Book Antiqua"/>
          <w:color w:val="000000"/>
        </w:rPr>
        <w:t xml:space="preserve">IgG positivity—may both grow in the common soil of poor socioeconomic conditions mentioned above. Our study found that there may be a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and whether there is a causal </w:t>
      </w:r>
      <w:r>
        <w:rPr>
          <w:rFonts w:ascii="Book Antiqua" w:eastAsia="Book Antiqua" w:hAnsi="Book Antiqua" w:cs="Book Antiqua"/>
        </w:rPr>
        <w:t>relationship and the mechanis</w:t>
      </w:r>
      <w:r>
        <w:rPr>
          <w:rFonts w:ascii="Book Antiqua" w:eastAsia="Book Antiqua" w:hAnsi="Book Antiqua" w:cs="Book Antiqua"/>
        </w:rPr>
        <w:t>m between them require further study.</w:t>
      </w:r>
    </w:p>
    <w:p w14:paraId="4FAC4EF4" w14:textId="77777777" w:rsidR="009F3374" w:rsidRDefault="00ED0470">
      <w:pPr>
        <w:spacing w:line="360" w:lineRule="auto"/>
        <w:ind w:firstLine="240"/>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is considered an important risk factor for gastric ulcer and gastric cancer. Aggressive drug therapy is recommended for patients who meet the indications</w:t>
      </w:r>
      <w:r>
        <w:rPr>
          <w:rFonts w:ascii="Book Antiqua" w:eastAsia="Book Antiqua" w:hAnsi="Book Antiqua" w:cs="Book Antiqua"/>
          <w:color w:val="000000"/>
          <w:vertAlign w:val="superscript"/>
        </w:rPr>
        <w:t>[31]</w:t>
      </w:r>
      <w:r>
        <w:rPr>
          <w:rFonts w:ascii="Book Antiqua" w:eastAsia="Book Antiqua" w:hAnsi="Book Antiqua" w:cs="Book Antiqua"/>
          <w:color w:val="000000"/>
        </w:rPr>
        <w:t>. However, our study found a negative correlation b</w:t>
      </w:r>
      <w:r>
        <w:rPr>
          <w:rFonts w:ascii="Book Antiqua" w:eastAsia="Book Antiqua" w:hAnsi="Book Antiqua" w:cs="Book Antiqua"/>
          <w:color w:val="000000"/>
        </w:rPr>
        <w:t xml:space="preserve">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which was not consistent with the commonly held perception of </w:t>
      </w:r>
      <w:r>
        <w:rPr>
          <w:rFonts w:ascii="Book Antiqua" w:eastAsia="Book Antiqua" w:hAnsi="Book Antiqua" w:cs="Book Antiqua"/>
          <w:i/>
          <w:color w:val="000000"/>
        </w:rPr>
        <w:t>H. pylori</w:t>
      </w:r>
      <w:r>
        <w:rPr>
          <w:rFonts w:ascii="Book Antiqua" w:eastAsia="Book Antiqua" w:hAnsi="Book Antiqua" w:cs="Book Antiqua"/>
          <w:color w:val="000000"/>
        </w:rPr>
        <w:t xml:space="preserve">. Considering the “beneficial protective effect”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 some diseases as well as its </w:t>
      </w:r>
      <w:r>
        <w:rPr>
          <w:rFonts w:ascii="Book Antiqua" w:eastAsia="Book Antiqua" w:hAnsi="Book Antiqua" w:cs="Book Antiqua"/>
          <w:color w:val="000000"/>
        </w:rPr>
        <w:lastRenderedPageBreak/>
        <w:t>high infection rate and the relatively li</w:t>
      </w:r>
      <w:r>
        <w:rPr>
          <w:rFonts w:ascii="Book Antiqua" w:eastAsia="Book Antiqua" w:hAnsi="Book Antiqua" w:cs="Book Antiqua"/>
          <w:color w:val="000000"/>
        </w:rPr>
        <w:t>mited proportion of symptomatic infected individuals in a population, some researchers have reassessed the role of such bacteria in the human body and proposed the question</w:t>
      </w:r>
      <w:r>
        <w:rPr>
          <w:rFonts w:ascii="Book Antiqua" w:eastAsia="Book Antiqua" w:hAnsi="Book Antiqua" w:cs="Book Antiqua"/>
          <w:color w:val="000000"/>
          <w:shd w:val="clear" w:color="auto" w:fill="F7F8FA"/>
        </w:rPr>
        <w:t xml:space="preserve"> </w:t>
      </w:r>
      <w:r>
        <w:rPr>
          <w:rFonts w:ascii="Book Antiqua" w:eastAsia="Book Antiqua" w:hAnsi="Book Antiqua"/>
        </w:rPr>
        <w:t xml:space="preserve">of whether </w:t>
      </w:r>
      <w:r>
        <w:rPr>
          <w:rFonts w:ascii="Book Antiqua" w:eastAsia="Book Antiqua" w:hAnsi="Book Antiqua"/>
          <w:i/>
          <w:iCs/>
        </w:rPr>
        <w:t>H. pylori</w:t>
      </w:r>
      <w:r>
        <w:rPr>
          <w:rFonts w:ascii="Book Antiqua" w:eastAsia="Book Antiqua" w:hAnsi="Book Antiqua"/>
        </w:rPr>
        <w:t xml:space="preserve"> is a “commensal,</w:t>
      </w:r>
      <w:r>
        <w:rPr>
          <w:rFonts w:ascii="Book Antiqua" w:eastAsia="Book Antiqua" w:hAnsi="Book Antiqua" w:cs="Book Antiqua"/>
        </w:rPr>
        <w:t xml:space="preserve"> symbiont or pathogen”</w:t>
      </w:r>
      <w:r>
        <w:rPr>
          <w:rFonts w:ascii="Book Antiqua" w:eastAsia="Book Antiqua" w:hAnsi="Book Antiqua" w:cs="Book Antiqua"/>
          <w:color w:val="000000"/>
          <w:vertAlign w:val="superscript"/>
        </w:rPr>
        <w:t>[32]</w:t>
      </w:r>
      <w:r>
        <w:rPr>
          <w:rFonts w:ascii="Book Antiqua" w:eastAsia="Book Antiqua" w:hAnsi="Book Antiqua" w:cs="Book Antiqua"/>
          <w:color w:val="000000"/>
        </w:rPr>
        <w:t>. Our results seem t</w:t>
      </w:r>
      <w:r>
        <w:rPr>
          <w:rFonts w:ascii="Book Antiqua" w:eastAsia="Book Antiqua" w:hAnsi="Book Antiqua" w:cs="Book Antiqua"/>
          <w:color w:val="000000"/>
        </w:rPr>
        <w:t xml:space="preserve">o provide a positive evaluation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 discussing this issue and suggest that we need more individualized understanding of the effect of </w:t>
      </w:r>
      <w:r>
        <w:rPr>
          <w:rFonts w:ascii="Book Antiqua" w:eastAsia="Book Antiqua" w:hAnsi="Book Antiqua" w:cs="Book Antiqua"/>
          <w:i/>
          <w:color w:val="000000"/>
        </w:rPr>
        <w:t>H. pylori</w:t>
      </w:r>
      <w:r>
        <w:rPr>
          <w:rFonts w:ascii="Book Antiqua" w:eastAsia="Book Antiqua" w:hAnsi="Book Antiqua" w:cs="Book Antiqua"/>
          <w:color w:val="000000"/>
        </w:rPr>
        <w:t xml:space="preserve"> on the body’s immunity. Further confirmation of the negative correlation found in our study and clarification of the mechanism in future studies would provide some advisable suggestions for medical decisions.</w:t>
      </w:r>
    </w:p>
    <w:p w14:paraId="205DBD09" w14:textId="77777777" w:rsidR="009F3374" w:rsidRDefault="009F3374">
      <w:pPr>
        <w:spacing w:line="360" w:lineRule="auto"/>
        <w:jc w:val="both"/>
        <w:rPr>
          <w:rFonts w:ascii="Book Antiqua" w:eastAsia="Book Antiqua" w:hAnsi="Book Antiqua" w:cs="Book Antiqua"/>
        </w:rPr>
      </w:pPr>
    </w:p>
    <w:p w14:paraId="4729D1C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2A6141B1"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conclusion,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was found to be negatively associated with the food-specific IgG of eggs, milk and wheat in Southwest China.</w:t>
      </w:r>
    </w:p>
    <w:p w14:paraId="7021F5F2" w14:textId="77777777" w:rsidR="009F3374" w:rsidRDefault="009F3374">
      <w:pPr>
        <w:spacing w:line="360" w:lineRule="auto"/>
        <w:jc w:val="both"/>
        <w:rPr>
          <w:rFonts w:ascii="Book Antiqua" w:eastAsia="Book Antiqua" w:hAnsi="Book Antiqua" w:cs="Book Antiqua"/>
        </w:rPr>
      </w:pPr>
    </w:p>
    <w:p w14:paraId="61E52C2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2FDC2CC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2CAEF99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has been found to be associated with extragastrointestinal diseases, possi</w:t>
      </w:r>
      <w:r>
        <w:rPr>
          <w:rFonts w:ascii="Book Antiqua" w:eastAsia="Book Antiqua" w:hAnsi="Book Antiqua" w:cs="Book Antiqua"/>
          <w:color w:val="000000"/>
        </w:rPr>
        <w:t xml:space="preserve">bly including adverse food reactions (such as food allergy or intolerance). However, there are few studies on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food allergy or intolerance, and the results are inconsistent.</w:t>
      </w:r>
    </w:p>
    <w:p w14:paraId="4FA98572" w14:textId="77777777" w:rsidR="009F3374" w:rsidRDefault="009F3374">
      <w:pPr>
        <w:spacing w:line="360" w:lineRule="auto"/>
        <w:jc w:val="both"/>
        <w:rPr>
          <w:rFonts w:ascii="Book Antiqua" w:eastAsia="Book Antiqua" w:hAnsi="Book Antiqua" w:cs="Book Antiqua"/>
        </w:rPr>
      </w:pPr>
    </w:p>
    <w:p w14:paraId="357148B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55FFA0A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Food-specific immunoglobulin (Ig) G has been rev</w:t>
      </w:r>
      <w:r>
        <w:rPr>
          <w:rFonts w:ascii="Book Antiqua" w:eastAsia="Book Antiqua" w:hAnsi="Book Antiqua" w:cs="Book Antiqua"/>
          <w:color w:val="000000"/>
        </w:rPr>
        <w:t xml:space="preserve">ealed to be associated with food allergy or intolerance and can be used as a marker to explore the correlation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 allergy or intolerance.</w:t>
      </w:r>
    </w:p>
    <w:p w14:paraId="4AC3BA8E" w14:textId="77777777" w:rsidR="009F3374" w:rsidRDefault="009F3374">
      <w:pPr>
        <w:spacing w:line="360" w:lineRule="auto"/>
        <w:jc w:val="both"/>
        <w:rPr>
          <w:rFonts w:ascii="Book Antiqua" w:eastAsia="Book Antiqua" w:hAnsi="Book Antiqua" w:cs="Book Antiqua"/>
        </w:rPr>
      </w:pPr>
    </w:p>
    <w:p w14:paraId="51D8ABC8"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0042FB7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To explore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w:t>
      </w:r>
      <w:r>
        <w:rPr>
          <w:rFonts w:ascii="Book Antiqua" w:eastAsia="Book Antiqua" w:hAnsi="Book Antiqua" w:cs="Book Antiqua"/>
          <w:color w:val="000000"/>
        </w:rPr>
        <w:t>d-specific IgG.</w:t>
      </w:r>
    </w:p>
    <w:p w14:paraId="24B5B59C" w14:textId="77777777" w:rsidR="009F3374" w:rsidRDefault="009F3374">
      <w:pPr>
        <w:spacing w:line="360" w:lineRule="auto"/>
        <w:jc w:val="both"/>
        <w:rPr>
          <w:rFonts w:ascii="Book Antiqua" w:eastAsia="Book Antiqua" w:hAnsi="Book Antiqua" w:cs="Book Antiqua"/>
        </w:rPr>
      </w:pPr>
    </w:p>
    <w:p w14:paraId="6A04F00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5A79E46F"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color w:val="000000"/>
        </w:rPr>
        <w:lastRenderedPageBreak/>
        <w:t>H. pylori</w:t>
      </w:r>
      <w:r>
        <w:rPr>
          <w:rFonts w:ascii="Book Antiqua" w:eastAsia="Book Antiqua" w:hAnsi="Book Antiqua" w:cs="Book Antiqua"/>
          <w:color w:val="000000"/>
        </w:rPr>
        <w:t xml:space="preserve"> infection was detected with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 urea breath test. Food-specific IgG of eggs, milk and wheat was detected in serum. </w:t>
      </w:r>
      <w:r>
        <w:rPr>
          <w:rFonts w:ascii="Book Antiqua" w:eastAsia="Book Antiqua" w:hAnsi="Book Antiqua" w:cs="Book Antiqua"/>
          <w:color w:val="000000"/>
          <w:highlight w:val="white"/>
        </w:rPr>
        <w:t xml:space="preserve">Subjects were grouped according to </w:t>
      </w: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 positivity, and t</w:t>
      </w:r>
      <w:r>
        <w:rPr>
          <w:rFonts w:ascii="Book Antiqua" w:eastAsia="Book Antiqua" w:hAnsi="Book Antiqua" w:cs="Book Antiqua"/>
          <w:color w:val="000000"/>
        </w:rPr>
        <w:t>he positive rates of three kind</w:t>
      </w:r>
      <w:r>
        <w:rPr>
          <w:rFonts w:ascii="Book Antiqua" w:eastAsia="Book Antiqua" w:hAnsi="Book Antiqua" w:cs="Book Antiqua"/>
          <w:color w:val="000000"/>
        </w:rPr>
        <w:t xml:space="preserve">s of food-specific IgG were compared between the two groups. Multivariable logistic regression analysis was performed to identify the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w:t>
      </w:r>
    </w:p>
    <w:p w14:paraId="113D5BA1" w14:textId="77777777" w:rsidR="009F3374" w:rsidRDefault="009F3374">
      <w:pPr>
        <w:spacing w:line="360" w:lineRule="auto"/>
        <w:jc w:val="both"/>
        <w:rPr>
          <w:rFonts w:ascii="Book Antiqua" w:eastAsia="Book Antiqua" w:hAnsi="Book Antiqua" w:cs="Book Antiqua"/>
        </w:rPr>
      </w:pPr>
    </w:p>
    <w:p w14:paraId="79F0F92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2C92C920"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the </w:t>
      </w:r>
      <w:r>
        <w:rPr>
          <w:rFonts w:ascii="Book Antiqua" w:eastAsia="Book Antiqua" w:hAnsi="Book Antiqua" w:cs="Book Antiqua"/>
          <w:i/>
          <w:color w:val="000000"/>
        </w:rPr>
        <w:t>H. pylori</w:t>
      </w:r>
      <w:r>
        <w:rPr>
          <w:rFonts w:ascii="Book Antiqua" w:eastAsia="Book Antiqua" w:hAnsi="Book Antiqua" w:cs="Book Antiqua"/>
          <w:color w:val="000000"/>
        </w:rPr>
        <w:t>-positive groups, the pos</w:t>
      </w:r>
      <w:r>
        <w:rPr>
          <w:rFonts w:ascii="Book Antiqua" w:eastAsia="Book Antiqua" w:hAnsi="Book Antiqua" w:cs="Book Antiqua"/>
          <w:color w:val="000000"/>
        </w:rPr>
        <w:t xml:space="preserve">itive rates of food-specific IgG of eggs, milk and wheat were all lower than those 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-negative groups. Multivariate logistic regression analysis showed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negatively correlated with the food-specific IgG-positive rat</w:t>
      </w:r>
      <w:r>
        <w:rPr>
          <w:rFonts w:ascii="Book Antiqua" w:eastAsia="Book Antiqua" w:hAnsi="Book Antiqua" w:cs="Book Antiqua"/>
          <w:color w:val="000000"/>
        </w:rPr>
        <w:t>es of eggs, milk, and wheat.</w:t>
      </w:r>
    </w:p>
    <w:p w14:paraId="163A8B99" w14:textId="77777777" w:rsidR="009F3374" w:rsidRDefault="009F3374">
      <w:pPr>
        <w:spacing w:line="360" w:lineRule="auto"/>
        <w:jc w:val="both"/>
        <w:rPr>
          <w:rFonts w:ascii="Book Antiqua" w:eastAsia="Book Antiqua" w:hAnsi="Book Antiqua" w:cs="Book Antiqua"/>
        </w:rPr>
      </w:pPr>
    </w:p>
    <w:p w14:paraId="5F0A1E2F"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2234D45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was negatively correlated with the food-specific IgG of eggs, milk and wheat in Southwest China.</w:t>
      </w:r>
    </w:p>
    <w:p w14:paraId="5FC37462" w14:textId="77777777" w:rsidR="009F3374" w:rsidRDefault="009F3374">
      <w:pPr>
        <w:spacing w:line="360" w:lineRule="auto"/>
        <w:jc w:val="both"/>
        <w:rPr>
          <w:rFonts w:ascii="Book Antiqua" w:eastAsia="Book Antiqua" w:hAnsi="Book Antiqua" w:cs="Book Antiqua"/>
        </w:rPr>
      </w:pPr>
    </w:p>
    <w:p w14:paraId="6854BED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16297BB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Our study might reflect only a negative association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food-specific IgG rather than causality. Establishing relevant animal models and exploring the underlying mechanism based on immunity or a well-designed clinical intervention study may help to verify our findings. Moreover, finding additiona</w:t>
      </w:r>
      <w:r>
        <w:rPr>
          <w:rFonts w:ascii="Book Antiqua" w:eastAsia="Book Antiqua" w:hAnsi="Book Antiqua" w:cs="Book Antiqua"/>
          <w:color w:val="000000"/>
        </w:rPr>
        <w:t xml:space="preserve">l similar “protective” effects in asymptomatic patients with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may help us reassess the role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 the body and provide advisable suggestions for medical decisions.</w:t>
      </w:r>
    </w:p>
    <w:p w14:paraId="507C1E3B" w14:textId="77777777" w:rsidR="009F3374" w:rsidRDefault="009F3374">
      <w:pPr>
        <w:spacing w:line="360" w:lineRule="auto"/>
        <w:jc w:val="both"/>
        <w:rPr>
          <w:rFonts w:ascii="Book Antiqua" w:eastAsia="Book Antiqua" w:hAnsi="Book Antiqua" w:cs="Book Antiqua"/>
        </w:rPr>
      </w:pPr>
    </w:p>
    <w:p w14:paraId="44A095D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5FA18C8F"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color w:val="000000"/>
        </w:rPr>
        <w:t>Blaser MJ</w:t>
      </w:r>
      <w:r>
        <w:rPr>
          <w:rFonts w:ascii="Book Antiqua" w:eastAsia="Book Antiqua" w:hAnsi="Book Antiqua" w:cs="Book Antiqua"/>
          <w:color w:val="000000"/>
        </w:rPr>
        <w:t>. Hypothesis: the changing relationships</w:t>
      </w:r>
      <w:r>
        <w:rPr>
          <w:rFonts w:ascii="Book Antiqua" w:eastAsia="Book Antiqua" w:hAnsi="Book Antiqua" w:cs="Book Antiqua"/>
          <w:color w:val="000000"/>
        </w:rPr>
        <w:t xml:space="preserve"> of Helicobacter pylori and humans: implications for health and disease.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1999; </w:t>
      </w:r>
      <w:r>
        <w:rPr>
          <w:rFonts w:ascii="Book Antiqua" w:eastAsia="Book Antiqua" w:hAnsi="Book Antiqua" w:cs="Book Antiqua"/>
          <w:b/>
          <w:color w:val="000000"/>
        </w:rPr>
        <w:t>179</w:t>
      </w:r>
      <w:r>
        <w:rPr>
          <w:rFonts w:ascii="Book Antiqua" w:eastAsia="Book Antiqua" w:hAnsi="Book Antiqua" w:cs="Book Antiqua"/>
          <w:color w:val="000000"/>
        </w:rPr>
        <w:t>: 1523-1530 [PMID: 10228075 DOI: 10.1086/314785]</w:t>
      </w:r>
    </w:p>
    <w:p w14:paraId="539A24E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color w:val="000000"/>
        </w:rPr>
        <w:t>Blaser MJ</w:t>
      </w:r>
      <w:r>
        <w:rPr>
          <w:rFonts w:ascii="Book Antiqua" w:eastAsia="Book Antiqua" w:hAnsi="Book Antiqua" w:cs="Book Antiqua"/>
          <w:color w:val="000000"/>
        </w:rPr>
        <w:t xml:space="preserve">, Chen Y, Reibman J. Does Helicobacter pylori protect against asthma and allergy? </w:t>
      </w:r>
      <w:r>
        <w:rPr>
          <w:rFonts w:ascii="Book Antiqua" w:eastAsia="Book Antiqua" w:hAnsi="Book Antiqua" w:cs="Book Antiqua"/>
          <w:i/>
          <w:color w:val="000000"/>
        </w:rPr>
        <w:t>Gut</w:t>
      </w:r>
      <w:r>
        <w:rPr>
          <w:rFonts w:ascii="Book Antiqua" w:eastAsia="Book Antiqua" w:hAnsi="Book Antiqua" w:cs="Book Antiqua"/>
          <w:color w:val="000000"/>
        </w:rPr>
        <w:t xml:space="preserve"> 2008; </w:t>
      </w:r>
      <w:r>
        <w:rPr>
          <w:rFonts w:ascii="Book Antiqua" w:eastAsia="Book Antiqua" w:hAnsi="Book Antiqua" w:cs="Book Antiqua"/>
          <w:b/>
          <w:color w:val="000000"/>
        </w:rPr>
        <w:t>57</w:t>
      </w:r>
      <w:r>
        <w:rPr>
          <w:rFonts w:ascii="Book Antiqua" w:eastAsia="Book Antiqua" w:hAnsi="Book Antiqua" w:cs="Book Antiqua"/>
          <w:color w:val="000000"/>
        </w:rPr>
        <w:t>: 561-5</w:t>
      </w:r>
      <w:r>
        <w:rPr>
          <w:rFonts w:ascii="Book Antiqua" w:eastAsia="Book Antiqua" w:hAnsi="Book Antiqua" w:cs="Book Antiqua"/>
          <w:color w:val="000000"/>
        </w:rPr>
        <w:t>67 [PMID: 18194986 DOI: 10.1136/gut.2007.133462]</w:t>
      </w:r>
    </w:p>
    <w:p w14:paraId="5B86EC1D"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color w:val="000000"/>
        </w:rPr>
        <w:t>Ma ZF</w:t>
      </w:r>
      <w:r>
        <w:rPr>
          <w:rFonts w:ascii="Book Antiqua" w:eastAsia="Book Antiqua" w:hAnsi="Book Antiqua" w:cs="Book Antiqua"/>
          <w:color w:val="000000"/>
        </w:rPr>
        <w:t xml:space="preserve">, Majid NA, Yamaoka Y, Lee YY. Food Allergy and Helicobacter pylori Infection: A Systematic Review. </w:t>
      </w:r>
      <w:r>
        <w:rPr>
          <w:rFonts w:ascii="Book Antiqua" w:eastAsia="Book Antiqua" w:hAnsi="Book Antiqua" w:cs="Book Antiqua"/>
          <w:i/>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color w:val="000000"/>
        </w:rPr>
        <w:t>7</w:t>
      </w:r>
      <w:r>
        <w:rPr>
          <w:rFonts w:ascii="Book Antiqua" w:eastAsia="Book Antiqua" w:hAnsi="Book Antiqua" w:cs="Book Antiqua"/>
          <w:color w:val="000000"/>
        </w:rPr>
        <w:t>: 368 [PMID: 27047479 DOI: 10.3389/fmicb.2016.00368]</w:t>
      </w:r>
    </w:p>
    <w:p w14:paraId="621CFCD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color w:val="000000"/>
        </w:rPr>
        <w:t>Atkinson W</w:t>
      </w:r>
      <w:r>
        <w:rPr>
          <w:rFonts w:ascii="Book Antiqua" w:eastAsia="Book Antiqua" w:hAnsi="Book Antiqua" w:cs="Book Antiqua"/>
          <w:color w:val="000000"/>
        </w:rPr>
        <w:t>, Sheldon TA</w:t>
      </w:r>
      <w:r>
        <w:rPr>
          <w:rFonts w:ascii="Book Antiqua" w:eastAsia="Book Antiqua" w:hAnsi="Book Antiqua" w:cs="Book Antiqua"/>
          <w:color w:val="000000"/>
        </w:rPr>
        <w:t xml:space="preserve">, Shaath N, Whorwell PJ. Food elimination based on IgG antibodies in irritable bowel syndrome: a randomised controlled trial. </w:t>
      </w:r>
      <w:r>
        <w:rPr>
          <w:rFonts w:ascii="Book Antiqua" w:eastAsia="Book Antiqua" w:hAnsi="Book Antiqua" w:cs="Book Antiqua"/>
          <w:i/>
          <w:color w:val="000000"/>
        </w:rPr>
        <w:t>Gut</w:t>
      </w:r>
      <w:r>
        <w:rPr>
          <w:rFonts w:ascii="Book Antiqua" w:eastAsia="Book Antiqua" w:hAnsi="Book Antiqua" w:cs="Book Antiqua"/>
          <w:color w:val="000000"/>
        </w:rPr>
        <w:t xml:space="preserve"> 2004; </w:t>
      </w:r>
      <w:r>
        <w:rPr>
          <w:rFonts w:ascii="Book Antiqua" w:eastAsia="Book Antiqua" w:hAnsi="Book Antiqua" w:cs="Book Antiqua"/>
          <w:b/>
          <w:color w:val="000000"/>
        </w:rPr>
        <w:t>53</w:t>
      </w:r>
      <w:r>
        <w:rPr>
          <w:rFonts w:ascii="Book Antiqua" w:eastAsia="Book Antiqua" w:hAnsi="Book Antiqua" w:cs="Book Antiqua"/>
          <w:color w:val="000000"/>
        </w:rPr>
        <w:t>: 1459-1464 [PMID: 15361495 DOI: 10.1136/gut.2003.037697]</w:t>
      </w:r>
    </w:p>
    <w:p w14:paraId="0D1C719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color w:val="000000"/>
        </w:rPr>
        <w:t>Cai C</w:t>
      </w:r>
      <w:r>
        <w:rPr>
          <w:rFonts w:ascii="Book Antiqua" w:eastAsia="Book Antiqua" w:hAnsi="Book Antiqua" w:cs="Book Antiqua"/>
          <w:color w:val="000000"/>
        </w:rPr>
        <w:t>, Shen J, Zhao D, Qiao Y, Xu A, Jin S, Ran Z, Zheng Q</w:t>
      </w:r>
      <w:r>
        <w:rPr>
          <w:rFonts w:ascii="Book Antiqua" w:eastAsia="Book Antiqua" w:hAnsi="Book Antiqua" w:cs="Book Antiqua"/>
          <w:color w:val="000000"/>
        </w:rPr>
        <w:t xml:space="preserve">. Serological investigation of food specific immunoglobulin G antibodies in patients with inflammatory bowel diseases. </w:t>
      </w:r>
      <w:r>
        <w:rPr>
          <w:rFonts w:ascii="Book Antiqua" w:eastAsia="Book Antiqua" w:hAnsi="Book Antiqua" w:cs="Book Antiqua"/>
          <w:i/>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e112154 [PMID: 25393003 DOI: 10.1371/journal.pone.0112154]</w:t>
      </w:r>
    </w:p>
    <w:p w14:paraId="173E6B26"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color w:val="000000"/>
        </w:rPr>
        <w:t>Schuyler AJ</w:t>
      </w:r>
      <w:r>
        <w:rPr>
          <w:rFonts w:ascii="Book Antiqua" w:eastAsia="Book Antiqua" w:hAnsi="Book Antiqua" w:cs="Book Antiqua"/>
          <w:color w:val="000000"/>
        </w:rPr>
        <w:t>, Wilson JM, Tripathi A, Commins SP, Ogbogu PU,</w:t>
      </w:r>
      <w:r>
        <w:rPr>
          <w:rFonts w:ascii="Book Antiqua" w:eastAsia="Book Antiqua" w:hAnsi="Book Antiqua" w:cs="Book Antiqua"/>
          <w:color w:val="000000"/>
        </w:rPr>
        <w:t xml:space="preserve"> Kruzsewski PG, Barnes BH, McGowan EC, Workman LJ, Lidholm J, Rifas-Shiman SL, Oken E, Gold DR, Platts-Mills TAE, Erwin EA. Specific IgG</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antibodies to cow</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milk proteins in pediatric patients with eosinophilic esophagitis. </w:t>
      </w:r>
      <w:r>
        <w:rPr>
          <w:rFonts w:ascii="Book Antiqua" w:eastAsia="Book Antiqua" w:hAnsi="Book Antiqua" w:cs="Book Antiqua"/>
          <w:i/>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color w:val="000000"/>
        </w:rPr>
        <w:t>142</w:t>
      </w:r>
      <w:r>
        <w:rPr>
          <w:rFonts w:ascii="Book Antiqua" w:eastAsia="Book Antiqua" w:hAnsi="Book Antiqua" w:cs="Book Antiqua"/>
          <w:color w:val="000000"/>
        </w:rPr>
        <w:t>: 139-148.e12 [PMID: 29678750 DOI: 10.1016/j.jaci.2018.02.049]</w:t>
      </w:r>
    </w:p>
    <w:p w14:paraId="50A15A9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color w:val="000000"/>
        </w:rPr>
        <w:t>Coucke F</w:t>
      </w:r>
      <w:r>
        <w:rPr>
          <w:rFonts w:ascii="Book Antiqua" w:eastAsia="Book Antiqua" w:hAnsi="Book Antiqua" w:cs="Book Antiqua"/>
          <w:color w:val="000000"/>
        </w:rPr>
        <w:t xml:space="preserve">. Food intolerance in patients with manifest autoimmunity. Observational study. </w:t>
      </w:r>
      <w:r>
        <w:rPr>
          <w:rFonts w:ascii="Book Antiqua" w:eastAsia="Book Antiqua" w:hAnsi="Book Antiqua" w:cs="Book Antiqua"/>
          <w:i/>
          <w:color w:val="000000"/>
        </w:rPr>
        <w:t>Autoimmun Rev</w:t>
      </w:r>
      <w:r>
        <w:rPr>
          <w:rFonts w:ascii="Book Antiqua" w:eastAsia="Book Antiqua" w:hAnsi="Book Antiqua" w:cs="Book Antiqua"/>
          <w:color w:val="000000"/>
        </w:rPr>
        <w:t xml:space="preserve"> 2018; </w:t>
      </w:r>
      <w:r>
        <w:rPr>
          <w:rFonts w:ascii="Book Antiqua" w:eastAsia="Book Antiqua" w:hAnsi="Book Antiqua" w:cs="Book Antiqua"/>
          <w:b/>
          <w:color w:val="000000"/>
        </w:rPr>
        <w:t>17</w:t>
      </w:r>
      <w:r>
        <w:rPr>
          <w:rFonts w:ascii="Book Antiqua" w:eastAsia="Book Antiqua" w:hAnsi="Book Antiqua" w:cs="Book Antiqua"/>
          <w:color w:val="000000"/>
        </w:rPr>
        <w:t>: 1078-1080 [PMID: 30213697 DOI: 10.1016/j.autrev.2018.05.011]</w:t>
      </w:r>
    </w:p>
    <w:p w14:paraId="591DE94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color w:val="000000"/>
        </w:rPr>
        <w:t>NIAID-</w:t>
      </w:r>
      <w:r>
        <w:rPr>
          <w:rFonts w:ascii="Book Antiqua" w:eastAsia="Book Antiqua" w:hAnsi="Book Antiqua" w:cs="Book Antiqua"/>
          <w:b/>
          <w:color w:val="000000"/>
        </w:rPr>
        <w:t>Sponsored Expert Panel</w:t>
      </w:r>
      <w:r>
        <w:rPr>
          <w:rFonts w:ascii="Book Antiqua" w:eastAsia="Book Antiqua" w:hAnsi="Book Antiqua" w:cs="Book Antiqua"/>
          <w:color w:val="000000"/>
        </w:rPr>
        <w:t xml:space="preserve">, Boyce JA, Assa'ad A, Burks AW, Jones SM, Sampson HA, Wood RA, Plaut M, Cooper SF, Fenton MJ, Arshad SH, Bahna SL, Beck LA, Byrd-Bredbenner C, Camargo CA Jr, Eichenfield L, Furuta GT, Hanifin JM, Jones C, Kraft M, Levy BD, Lieberman </w:t>
      </w:r>
      <w:r>
        <w:rPr>
          <w:rFonts w:ascii="Book Antiqua" w:eastAsia="Book Antiqua" w:hAnsi="Book Antiqua" w:cs="Book Antiqua"/>
          <w:color w:val="000000"/>
        </w:rPr>
        <w:t xml:space="preserve">P, Luccioli S, McCall KM, Schneider LC, Simon RA, Simons FE, Teach SJ, Yawn BP, Schwaninger JM. Guidelines for the diagnosis and management of food allergy in the United States: report of the NIAID-sponsored expert panel. </w:t>
      </w:r>
      <w:r>
        <w:rPr>
          <w:rFonts w:ascii="Book Antiqua" w:eastAsia="Book Antiqua" w:hAnsi="Book Antiqua" w:cs="Book Antiqua"/>
          <w:i/>
          <w:color w:val="000000"/>
        </w:rPr>
        <w:t>J Allergy Clin Immunol</w:t>
      </w:r>
      <w:r>
        <w:rPr>
          <w:rFonts w:ascii="Book Antiqua" w:eastAsia="Book Antiqua" w:hAnsi="Book Antiqua" w:cs="Book Antiqua"/>
          <w:color w:val="000000"/>
        </w:rPr>
        <w:t xml:space="preserve"> 2010; </w:t>
      </w:r>
      <w:r>
        <w:rPr>
          <w:rFonts w:ascii="Book Antiqua" w:eastAsia="Book Antiqua" w:hAnsi="Book Antiqua" w:cs="Book Antiqua"/>
          <w:b/>
          <w:color w:val="000000"/>
        </w:rPr>
        <w:t>126</w:t>
      </w:r>
      <w:r>
        <w:rPr>
          <w:rFonts w:ascii="Book Antiqua" w:eastAsia="Book Antiqua" w:hAnsi="Book Antiqua" w:cs="Book Antiqua"/>
          <w:color w:val="000000"/>
        </w:rPr>
        <w:t xml:space="preserve">: </w:t>
      </w:r>
      <w:r>
        <w:rPr>
          <w:rFonts w:ascii="Book Antiqua" w:eastAsia="Book Antiqua" w:hAnsi="Book Antiqua" w:cs="Book Antiqua"/>
          <w:color w:val="000000"/>
        </w:rPr>
        <w:t>S1-58 [PMID: 21134576 DOI: 10.1016/j.jaci.2010.10.007]</w:t>
      </w:r>
    </w:p>
    <w:p w14:paraId="6B8B94D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Sai XY</w:t>
      </w:r>
      <w:r>
        <w:rPr>
          <w:rFonts w:ascii="Book Antiqua" w:eastAsia="Book Antiqua" w:hAnsi="Book Antiqua" w:cs="Book Antiqua"/>
          <w:color w:val="000000"/>
        </w:rPr>
        <w:t xml:space="preserve">, Zheng YS, Sun YF, Sun J. [A cross-sectional survey of crab intolerance positive rate and its determinants in healthy medical examination population in Beijing]. </w:t>
      </w:r>
      <w:r>
        <w:rPr>
          <w:rFonts w:ascii="Book Antiqua" w:eastAsia="Book Antiqua" w:hAnsi="Book Antiqua" w:cs="Book Antiqua"/>
          <w:i/>
          <w:color w:val="000000"/>
        </w:rPr>
        <w:t>Zhonghua Yi Xue Za Zhi</w:t>
      </w:r>
      <w:r>
        <w:rPr>
          <w:rFonts w:ascii="Book Antiqua" w:eastAsia="Book Antiqua" w:hAnsi="Book Antiqua" w:cs="Book Antiqua"/>
          <w:color w:val="000000"/>
        </w:rPr>
        <w:t xml:space="preserve"> 2012; </w:t>
      </w:r>
      <w:r>
        <w:rPr>
          <w:rFonts w:ascii="Book Antiqua" w:eastAsia="Book Antiqua" w:hAnsi="Book Antiqua" w:cs="Book Antiqua"/>
          <w:b/>
          <w:color w:val="000000"/>
        </w:rPr>
        <w:t>9</w:t>
      </w:r>
      <w:r>
        <w:rPr>
          <w:rFonts w:ascii="Book Antiqua" w:eastAsia="Book Antiqua" w:hAnsi="Book Antiqua" w:cs="Book Antiqua"/>
          <w:b/>
          <w:color w:val="000000"/>
        </w:rPr>
        <w:t>2</w:t>
      </w:r>
      <w:r>
        <w:rPr>
          <w:rFonts w:ascii="Book Antiqua" w:eastAsia="Book Antiqua" w:hAnsi="Book Antiqua" w:cs="Book Antiqua"/>
          <w:color w:val="000000"/>
        </w:rPr>
        <w:t>: 1959-1962 [PMID: 22944268]</w:t>
      </w:r>
    </w:p>
    <w:p w14:paraId="64D92D6E"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color w:val="000000"/>
        </w:rPr>
        <w:t>Lomer MC</w:t>
      </w:r>
      <w:r>
        <w:rPr>
          <w:rFonts w:ascii="Book Antiqua" w:eastAsia="Book Antiqua" w:hAnsi="Book Antiqua" w:cs="Book Antiqua"/>
          <w:color w:val="000000"/>
        </w:rPr>
        <w:t xml:space="preserve">. Review article: the aetiology, diagnosis, mechanisms and clinical evidence for food intolerance. </w:t>
      </w:r>
      <w:r>
        <w:rPr>
          <w:rFonts w:ascii="Book Antiqua" w:eastAsia="Book Antiqua" w:hAnsi="Book Antiqua" w:cs="Book Antiqua"/>
          <w:i/>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color w:val="000000"/>
        </w:rPr>
        <w:t>41</w:t>
      </w:r>
      <w:r>
        <w:rPr>
          <w:rFonts w:ascii="Book Antiqua" w:eastAsia="Book Antiqua" w:hAnsi="Book Antiqua" w:cs="Book Antiqua"/>
          <w:color w:val="000000"/>
        </w:rPr>
        <w:t>: 262-275 [PMID: 25471897 DOI: 10.1111/apt.13041]</w:t>
      </w:r>
    </w:p>
    <w:p w14:paraId="7AB0B996"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color w:val="000000"/>
        </w:rPr>
        <w:t>Liu WZ</w:t>
      </w:r>
      <w:r>
        <w:rPr>
          <w:rFonts w:ascii="Book Antiqua" w:eastAsia="Book Antiqua" w:hAnsi="Book Antiqua" w:cs="Book Antiqua"/>
          <w:color w:val="000000"/>
        </w:rPr>
        <w:t>, Xie Y, Lu H, Cheng H, Ze</w:t>
      </w:r>
      <w:r>
        <w:rPr>
          <w:rFonts w:ascii="Book Antiqua" w:eastAsia="Book Antiqua" w:hAnsi="Book Antiqua" w:cs="Book Antiqua"/>
          <w:color w:val="000000"/>
        </w:rPr>
        <w:t xml:space="preserve">ng ZR, Zhou LY, Chen Y, Wang JB, Du YQ, Lu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2018; </w:t>
      </w:r>
      <w:r>
        <w:rPr>
          <w:rFonts w:ascii="Book Antiqua" w:eastAsia="Book Antiqua" w:hAnsi="Book Antiqua" w:cs="Book Antiqua"/>
          <w:b/>
          <w:color w:val="000000"/>
        </w:rPr>
        <w:t>23</w:t>
      </w:r>
      <w:r>
        <w:rPr>
          <w:rFonts w:ascii="Book Antiqua" w:eastAsia="Book Antiqua" w:hAnsi="Book Antiqua" w:cs="Book Antiqua"/>
          <w:color w:val="000000"/>
        </w:rPr>
        <w:t>: e12475 [PMID: 29512258 DOI: 10.1111/hel.12475]</w:t>
      </w:r>
    </w:p>
    <w:p w14:paraId="68CCAD8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color w:val="000000"/>
        </w:rPr>
        <w:t>Nagy P</w:t>
      </w:r>
      <w:r>
        <w:rPr>
          <w:rFonts w:ascii="Book Antiqua" w:eastAsia="Book Antiqua" w:hAnsi="Book Antiqua" w:cs="Book Antiqua"/>
          <w:color w:val="000000"/>
        </w:rPr>
        <w:t xml:space="preserve">, Johansson S, Molloy-Bland M. Systematic review of time trends in the prevalence of Helicobacter pylori infection in China and the USA. </w:t>
      </w:r>
      <w:r>
        <w:rPr>
          <w:rFonts w:ascii="Book Antiqua" w:eastAsia="Book Antiqua" w:hAnsi="Book Antiqua" w:cs="Book Antiqua"/>
          <w:i/>
          <w:color w:val="000000"/>
        </w:rPr>
        <w:t>Gut Pathog</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8 [PMID: 26981156 DOI: 10.1186/s13099-0</w:t>
      </w:r>
      <w:r>
        <w:rPr>
          <w:rFonts w:ascii="Book Antiqua" w:eastAsia="Book Antiqua" w:hAnsi="Book Antiqua" w:cs="Book Antiqua"/>
          <w:color w:val="000000"/>
        </w:rPr>
        <w:t>16-0091-7]</w:t>
      </w:r>
    </w:p>
    <w:p w14:paraId="0F29B53D"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color w:val="000000"/>
        </w:rPr>
        <w:t>Moayyedi P</w:t>
      </w:r>
      <w:r>
        <w:rPr>
          <w:rFonts w:ascii="Book Antiqua" w:eastAsia="Book Antiqua" w:hAnsi="Book Antiqua" w:cs="Book Antiqua"/>
          <w:color w:val="000000"/>
        </w:rPr>
        <w:t>, Forman D, Braunholtz D, Feltbower R, Crocombe W, Liptrott M, Axon A. The proportion of upper gastrointestinal symptoms in the community associated with Helicobacter pylori, lifestyle factors, and nonsteroidal anti-inflammatory dru</w:t>
      </w:r>
      <w:r>
        <w:rPr>
          <w:rFonts w:ascii="Book Antiqua" w:eastAsia="Book Antiqua" w:hAnsi="Book Antiqua" w:cs="Book Antiqua"/>
          <w:color w:val="000000"/>
        </w:rPr>
        <w:t xml:space="preserve">gs. Leeds HELP Study Group. </w:t>
      </w:r>
      <w:r>
        <w:rPr>
          <w:rFonts w:ascii="Book Antiqua" w:eastAsia="Book Antiqua" w:hAnsi="Book Antiqua" w:cs="Book Antiqua"/>
          <w:i/>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color w:val="000000"/>
        </w:rPr>
        <w:t>95</w:t>
      </w:r>
      <w:r>
        <w:rPr>
          <w:rFonts w:ascii="Book Antiqua" w:eastAsia="Book Antiqua" w:hAnsi="Book Antiqua" w:cs="Book Antiqua"/>
          <w:color w:val="000000"/>
        </w:rPr>
        <w:t>: 1448-1455 [PMID: 10894577 DOI: 10.1111/j.1572-0241.2000.2126_1.x]</w:t>
      </w:r>
    </w:p>
    <w:p w14:paraId="4E1AAA8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color w:val="000000"/>
        </w:rPr>
        <w:t>Sipponen P</w:t>
      </w:r>
      <w:r>
        <w:rPr>
          <w:rFonts w:ascii="Book Antiqua" w:eastAsia="Book Antiqua" w:hAnsi="Book Antiqua" w:cs="Book Antiqua"/>
          <w:color w:val="000000"/>
        </w:rPr>
        <w:t xml:space="preserve">. Natural history of gastritis and its relationship to peptic ulcer disease. </w:t>
      </w:r>
      <w:r>
        <w:rPr>
          <w:rFonts w:ascii="Book Antiqua" w:eastAsia="Book Antiqua" w:hAnsi="Book Antiqua" w:cs="Book Antiqua"/>
          <w:i/>
          <w:color w:val="000000"/>
        </w:rPr>
        <w:t>Digestion</w:t>
      </w:r>
      <w:r>
        <w:rPr>
          <w:rFonts w:ascii="Book Antiqua" w:eastAsia="Book Antiqua" w:hAnsi="Book Antiqua" w:cs="Book Antiqua"/>
          <w:color w:val="000000"/>
        </w:rPr>
        <w:t xml:space="preserve"> 1992; </w:t>
      </w:r>
      <w:r>
        <w:rPr>
          <w:rFonts w:ascii="Book Antiqua" w:eastAsia="Book Antiqua" w:hAnsi="Book Antiqua" w:cs="Book Antiqua"/>
          <w:b/>
          <w:color w:val="000000"/>
        </w:rPr>
        <w:t>51 Suppl 1</w:t>
      </w:r>
      <w:r>
        <w:rPr>
          <w:rFonts w:ascii="Book Antiqua" w:eastAsia="Book Antiqua" w:hAnsi="Book Antiqua" w:cs="Book Antiqua"/>
          <w:color w:val="000000"/>
        </w:rPr>
        <w:t>: 70-75 [PMID: 13</w:t>
      </w:r>
      <w:r>
        <w:rPr>
          <w:rFonts w:ascii="Book Antiqua" w:eastAsia="Book Antiqua" w:hAnsi="Book Antiqua" w:cs="Book Antiqua"/>
          <w:color w:val="000000"/>
        </w:rPr>
        <w:t>97747 DOI: 10.1159/000200919]</w:t>
      </w:r>
    </w:p>
    <w:p w14:paraId="700D77F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color w:val="000000"/>
        </w:rPr>
        <w:t>Sugano K</w:t>
      </w:r>
      <w:r>
        <w:rPr>
          <w:rFonts w:ascii="Book Antiqua" w:eastAsia="Book Antiqua" w:hAnsi="Book Antiqua" w:cs="Book Antiqua"/>
          <w:color w:val="000000"/>
        </w:rPr>
        <w:t xml:space="preserve">. Screening of gastric cancer in Asia. </w:t>
      </w:r>
      <w:r>
        <w:rPr>
          <w:rFonts w:ascii="Book Antiqua" w:eastAsia="Book Antiqua" w:hAnsi="Book Antiqua" w:cs="Book Antiqua"/>
          <w:i/>
          <w:color w:val="000000"/>
        </w:rPr>
        <w:t>Best Pract Res Clin Gastroenterol</w:t>
      </w:r>
      <w:r>
        <w:rPr>
          <w:rFonts w:ascii="Book Antiqua" w:eastAsia="Book Antiqua" w:hAnsi="Book Antiqua" w:cs="Book Antiqua"/>
          <w:color w:val="000000"/>
        </w:rPr>
        <w:t xml:space="preserve"> 2015; </w:t>
      </w:r>
      <w:r>
        <w:rPr>
          <w:rFonts w:ascii="Book Antiqua" w:eastAsia="Book Antiqua" w:hAnsi="Book Antiqua" w:cs="Book Antiqua"/>
          <w:b/>
          <w:color w:val="000000"/>
        </w:rPr>
        <w:t>29</w:t>
      </w:r>
      <w:r>
        <w:rPr>
          <w:rFonts w:ascii="Book Antiqua" w:eastAsia="Book Antiqua" w:hAnsi="Book Antiqua" w:cs="Book Antiqua"/>
          <w:color w:val="000000"/>
        </w:rPr>
        <w:t>: 895-905 [PMID: 26651251 DOI: 10.1016/j.bpg.2015.09.013]</w:t>
      </w:r>
    </w:p>
    <w:p w14:paraId="4FC097B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color w:val="000000"/>
        </w:rPr>
        <w:t>Mendall MA</w:t>
      </w:r>
      <w:r>
        <w:rPr>
          <w:rFonts w:ascii="Book Antiqua" w:eastAsia="Book Antiqua" w:hAnsi="Book Antiqua" w:cs="Book Antiqua"/>
          <w:color w:val="000000"/>
        </w:rPr>
        <w:t xml:space="preserve">, Goggin PM, Molineaux N, Levy J, Toosy T, Strachan D, Camm AJ, Northfield TC. Relation of Helicobacter pylori infection and coronary heart disease. </w:t>
      </w:r>
      <w:r>
        <w:rPr>
          <w:rFonts w:ascii="Book Antiqua" w:eastAsia="Book Antiqua" w:hAnsi="Book Antiqua" w:cs="Book Antiqua"/>
          <w:i/>
          <w:color w:val="000000"/>
        </w:rPr>
        <w:t>Br Heart J</w:t>
      </w:r>
      <w:r>
        <w:rPr>
          <w:rFonts w:ascii="Book Antiqua" w:eastAsia="Book Antiqua" w:hAnsi="Book Antiqua" w:cs="Book Antiqua"/>
          <w:color w:val="000000"/>
        </w:rPr>
        <w:t xml:space="preserve"> 1994; </w:t>
      </w:r>
      <w:r>
        <w:rPr>
          <w:rFonts w:ascii="Book Antiqua" w:eastAsia="Book Antiqua" w:hAnsi="Book Antiqua" w:cs="Book Antiqua"/>
          <w:b/>
          <w:color w:val="000000"/>
        </w:rPr>
        <w:t>71</w:t>
      </w:r>
      <w:r>
        <w:rPr>
          <w:rFonts w:ascii="Book Antiqua" w:eastAsia="Book Antiqua" w:hAnsi="Book Antiqua" w:cs="Book Antiqua"/>
          <w:color w:val="000000"/>
        </w:rPr>
        <w:t>: 437-439 [PMID: 8011406 DOI: 10.1136/hrt.71.5.437]</w:t>
      </w:r>
    </w:p>
    <w:p w14:paraId="2A896F3F"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color w:val="000000"/>
        </w:rPr>
        <w:t>Franceschi F</w:t>
      </w:r>
      <w:r>
        <w:rPr>
          <w:rFonts w:ascii="Book Antiqua" w:eastAsia="Book Antiqua" w:hAnsi="Book Antiqua" w:cs="Book Antiqua"/>
          <w:color w:val="000000"/>
        </w:rPr>
        <w:t>, Covino M, Roubaud B</w:t>
      </w:r>
      <w:r>
        <w:rPr>
          <w:rFonts w:ascii="Book Antiqua" w:eastAsia="Book Antiqua" w:hAnsi="Book Antiqua" w:cs="Book Antiqua"/>
          <w:color w:val="000000"/>
        </w:rPr>
        <w:t xml:space="preserve">audron C. Review: Helicobacter pylori and extragastric diseases.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color w:val="000000"/>
        </w:rPr>
        <w:t>24 Suppl 1</w:t>
      </w:r>
      <w:r>
        <w:rPr>
          <w:rFonts w:ascii="Book Antiqua" w:eastAsia="Book Antiqua" w:hAnsi="Book Antiqua" w:cs="Book Antiqua"/>
          <w:color w:val="000000"/>
        </w:rPr>
        <w:t>: e12636 [PMID: 31486239 DOI: 10.1111/hel.12636]</w:t>
      </w:r>
    </w:p>
    <w:p w14:paraId="757D91F6"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color w:val="000000"/>
        </w:rPr>
        <w:t>Gravina AG</w:t>
      </w:r>
      <w:r>
        <w:rPr>
          <w:rFonts w:ascii="Book Antiqua" w:eastAsia="Book Antiqua" w:hAnsi="Book Antiqua" w:cs="Book Antiqua"/>
          <w:color w:val="000000"/>
        </w:rPr>
        <w:t xml:space="preserve">, Zagari RM, De Musis C, Romano L, Loguercio C, Romano M.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and extragastric disea</w:t>
      </w:r>
      <w:r>
        <w:rPr>
          <w:rFonts w:ascii="Book Antiqua" w:eastAsia="Book Antiqua" w:hAnsi="Book Antiqua" w:cs="Book Antiqua"/>
          <w:color w:val="000000"/>
        </w:rPr>
        <w:t xml:space="preserve">ses: A review.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color w:val="000000"/>
        </w:rPr>
        <w:t>24</w:t>
      </w:r>
      <w:r>
        <w:rPr>
          <w:rFonts w:ascii="Book Antiqua" w:eastAsia="Book Antiqua" w:hAnsi="Book Antiqua" w:cs="Book Antiqua"/>
          <w:color w:val="000000"/>
        </w:rPr>
        <w:t>: 3204-3221 [PMID: 30090002 DOI: 10.3748/wjg.v24.i29.3204]</w:t>
      </w:r>
    </w:p>
    <w:p w14:paraId="6D556E8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color w:val="000000"/>
        </w:rPr>
        <w:t>Chafen JJ</w:t>
      </w:r>
      <w:r>
        <w:rPr>
          <w:rFonts w:ascii="Book Antiqua" w:eastAsia="Book Antiqua" w:hAnsi="Book Antiqua" w:cs="Book Antiqua"/>
          <w:color w:val="000000"/>
        </w:rPr>
        <w:t>, Newberry SJ, Riedl MA, Bravata DM, Maglione M, Suttorp MJ, Sundaram V, Paige NM, Towfigh A, Hulley BJ, Shekelle PG. Diagnosing and managin</w:t>
      </w:r>
      <w:r>
        <w:rPr>
          <w:rFonts w:ascii="Book Antiqua" w:eastAsia="Book Antiqua" w:hAnsi="Book Antiqua" w:cs="Book Antiqua"/>
          <w:color w:val="000000"/>
        </w:rPr>
        <w:t xml:space="preserve">g common food allergies: a systematic review. </w:t>
      </w:r>
      <w:r>
        <w:rPr>
          <w:rFonts w:ascii="Book Antiqua" w:eastAsia="Book Antiqua" w:hAnsi="Book Antiqua" w:cs="Book Antiqua"/>
          <w:i/>
          <w:color w:val="000000"/>
        </w:rPr>
        <w:t>JAMA</w:t>
      </w:r>
      <w:r>
        <w:rPr>
          <w:rFonts w:ascii="Book Antiqua" w:eastAsia="Book Antiqua" w:hAnsi="Book Antiqua" w:cs="Book Antiqua"/>
          <w:color w:val="000000"/>
        </w:rPr>
        <w:t xml:space="preserve"> 2010; </w:t>
      </w:r>
      <w:r>
        <w:rPr>
          <w:rFonts w:ascii="Book Antiqua" w:eastAsia="Book Antiqua" w:hAnsi="Book Antiqua" w:cs="Book Antiqua"/>
          <w:b/>
          <w:color w:val="000000"/>
        </w:rPr>
        <w:t>303</w:t>
      </w:r>
      <w:r>
        <w:rPr>
          <w:rFonts w:ascii="Book Antiqua" w:eastAsia="Book Antiqua" w:hAnsi="Book Antiqua" w:cs="Book Antiqua"/>
          <w:color w:val="000000"/>
        </w:rPr>
        <w:t>: 1848-1856 [PMID: 20460624 DOI: 10.1001/jama.2010.582]</w:t>
      </w:r>
    </w:p>
    <w:p w14:paraId="017EC528"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Tordesillas L</w:t>
      </w:r>
      <w:r>
        <w:rPr>
          <w:rFonts w:ascii="Book Antiqua" w:eastAsia="Book Antiqua" w:hAnsi="Book Antiqua" w:cs="Book Antiqua"/>
          <w:color w:val="000000"/>
        </w:rPr>
        <w:t xml:space="preserve">, Berin MC, Sampson HA. Immunology of Food Allergy. </w:t>
      </w:r>
      <w:r>
        <w:rPr>
          <w:rFonts w:ascii="Book Antiqua" w:eastAsia="Book Antiqua" w:hAnsi="Book Antiqua" w:cs="Book Antiqua"/>
          <w:i/>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color w:val="000000"/>
        </w:rPr>
        <w:t>47</w:t>
      </w:r>
      <w:r>
        <w:rPr>
          <w:rFonts w:ascii="Book Antiqua" w:eastAsia="Book Antiqua" w:hAnsi="Book Antiqua" w:cs="Book Antiqua"/>
          <w:color w:val="000000"/>
        </w:rPr>
        <w:t>: 32-50 [PMID: 28723552 DOI: 10.1016/j.immuni.2017.07.0</w:t>
      </w:r>
      <w:r>
        <w:rPr>
          <w:rFonts w:ascii="Book Antiqua" w:eastAsia="Book Antiqua" w:hAnsi="Book Antiqua" w:cs="Book Antiqua"/>
          <w:color w:val="000000"/>
        </w:rPr>
        <w:t>04]</w:t>
      </w:r>
    </w:p>
    <w:p w14:paraId="775E505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Gocki J</w:t>
      </w:r>
      <w:r>
        <w:rPr>
          <w:rFonts w:ascii="Book Antiqua" w:eastAsia="Book Antiqua" w:hAnsi="Book Antiqua" w:cs="Book Antiqua"/>
          <w:color w:val="000000"/>
        </w:rPr>
        <w:t xml:space="preserve">, Bartuzi Z. Role of immunoglobulin G antibodies in diagnosis of food allergy. </w:t>
      </w:r>
      <w:r>
        <w:rPr>
          <w:rFonts w:ascii="Book Antiqua" w:eastAsia="Book Antiqua" w:hAnsi="Book Antiqua" w:cs="Book Antiqua"/>
          <w:i/>
          <w:color w:val="000000"/>
        </w:rPr>
        <w:t>Postepy Dermatol Alergol</w:t>
      </w:r>
      <w:r>
        <w:rPr>
          <w:rFonts w:ascii="Book Antiqua" w:eastAsia="Book Antiqua" w:hAnsi="Book Antiqua" w:cs="Book Antiqua"/>
          <w:color w:val="000000"/>
        </w:rPr>
        <w:t xml:space="preserve"> 2016; </w:t>
      </w:r>
      <w:r>
        <w:rPr>
          <w:rFonts w:ascii="Book Antiqua" w:eastAsia="Book Antiqua" w:hAnsi="Book Antiqua" w:cs="Book Antiqua"/>
          <w:b/>
          <w:color w:val="000000"/>
        </w:rPr>
        <w:t>33</w:t>
      </w:r>
      <w:r>
        <w:rPr>
          <w:rFonts w:ascii="Book Antiqua" w:eastAsia="Book Antiqua" w:hAnsi="Book Antiqua" w:cs="Book Antiqua"/>
          <w:color w:val="000000"/>
        </w:rPr>
        <w:t>: 253-256 [PMID: 27605894 DOI: 10.5114/ada.2016.61600]</w:t>
      </w:r>
    </w:p>
    <w:p w14:paraId="783D1E60"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Rajan TV</w:t>
      </w:r>
      <w:r>
        <w:rPr>
          <w:rFonts w:ascii="Book Antiqua" w:eastAsia="Book Antiqua" w:hAnsi="Book Antiqua" w:cs="Book Antiqua"/>
          <w:color w:val="000000"/>
        </w:rPr>
        <w:t xml:space="preserve">. The Gell-Coombs classification of hypersensitivity reactions: a re-interpretation. </w:t>
      </w:r>
      <w:r>
        <w:rPr>
          <w:rFonts w:ascii="Book Antiqua" w:eastAsia="Book Antiqua" w:hAnsi="Book Antiqua" w:cs="Book Antiqua"/>
          <w:i/>
          <w:color w:val="000000"/>
        </w:rPr>
        <w:t>Trends Immunol</w:t>
      </w:r>
      <w:r>
        <w:rPr>
          <w:rFonts w:ascii="Book Antiqua" w:eastAsia="Book Antiqua" w:hAnsi="Book Antiqua" w:cs="Book Antiqua"/>
          <w:color w:val="000000"/>
        </w:rPr>
        <w:t xml:space="preserve"> 2003; </w:t>
      </w:r>
      <w:r>
        <w:rPr>
          <w:rFonts w:ascii="Book Antiqua" w:eastAsia="Book Antiqua" w:hAnsi="Book Antiqua" w:cs="Book Antiqua"/>
          <w:b/>
          <w:color w:val="000000"/>
        </w:rPr>
        <w:t>24</w:t>
      </w:r>
      <w:r>
        <w:rPr>
          <w:rFonts w:ascii="Book Antiqua" w:eastAsia="Book Antiqua" w:hAnsi="Book Antiqua" w:cs="Book Antiqua"/>
          <w:color w:val="000000"/>
        </w:rPr>
        <w:t>: 376-379 [PMID: 12860528 DOI: 10.1016/s1471-4906(03)00142-x]</w:t>
      </w:r>
    </w:p>
    <w:p w14:paraId="5BC34F8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color w:val="000000"/>
        </w:rPr>
        <w:t>Shakoor Z</w:t>
      </w:r>
      <w:r>
        <w:rPr>
          <w:rFonts w:ascii="Book Antiqua" w:eastAsia="Book Antiqua" w:hAnsi="Book Antiqua" w:cs="Book Antiqua"/>
          <w:color w:val="000000"/>
        </w:rPr>
        <w:t xml:space="preserve">, AlFaifi A, AlAmro B, AlTawil LN, AlOhaly RY. Prevalence of IgG-mediated </w:t>
      </w:r>
      <w:r>
        <w:rPr>
          <w:rFonts w:ascii="Book Antiqua" w:eastAsia="Book Antiqua" w:hAnsi="Book Antiqua" w:cs="Book Antiqua"/>
          <w:color w:val="000000"/>
        </w:rPr>
        <w:t xml:space="preserve">food intolerance among patients with allergic symptoms. </w:t>
      </w:r>
      <w:r>
        <w:rPr>
          <w:rFonts w:ascii="Book Antiqua" w:eastAsia="Book Antiqua" w:hAnsi="Book Antiqua" w:cs="Book Antiqua"/>
          <w:i/>
          <w:color w:val="000000"/>
        </w:rPr>
        <w:t>Ann Saudi Med</w:t>
      </w:r>
      <w:r>
        <w:rPr>
          <w:rFonts w:ascii="Book Antiqua" w:eastAsia="Book Antiqua" w:hAnsi="Book Antiqua" w:cs="Book Antiqua"/>
          <w:color w:val="000000"/>
        </w:rPr>
        <w:t xml:space="preserve"> 2016; </w:t>
      </w:r>
      <w:r>
        <w:rPr>
          <w:rFonts w:ascii="Book Antiqua" w:eastAsia="Book Antiqua" w:hAnsi="Book Antiqua" w:cs="Book Antiqua"/>
          <w:b/>
          <w:color w:val="000000"/>
        </w:rPr>
        <w:t>36</w:t>
      </w:r>
      <w:r>
        <w:rPr>
          <w:rFonts w:ascii="Book Antiqua" w:eastAsia="Book Antiqua" w:hAnsi="Book Antiqua" w:cs="Book Antiqua"/>
          <w:color w:val="000000"/>
        </w:rPr>
        <w:t>: 386-390 [PMID: 27920409 DOI: 10.5144/0256-4947.2016.386]</w:t>
      </w:r>
    </w:p>
    <w:p w14:paraId="6ECE8AE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color w:val="000000"/>
        </w:rPr>
        <w:t>Tan QH,</w:t>
      </w:r>
      <w:r>
        <w:rPr>
          <w:rFonts w:ascii="Book Antiqua" w:eastAsia="Book Antiqua" w:hAnsi="Book Antiqua" w:cs="Book Antiqua"/>
          <w:color w:val="000000"/>
        </w:rPr>
        <w:t xml:space="preserve"> Li XH. Progress in understanding the relationship between food intolerance and functional gastrointestinal d</w:t>
      </w:r>
      <w:r>
        <w:rPr>
          <w:rFonts w:ascii="Book Antiqua" w:eastAsia="Book Antiqua" w:hAnsi="Book Antiqua" w:cs="Book Antiqua"/>
          <w:color w:val="000000"/>
        </w:rPr>
        <w:t xml:space="preserve">isorders. </w:t>
      </w:r>
      <w:r>
        <w:rPr>
          <w:rFonts w:ascii="Book Antiqua" w:eastAsia="Book Antiqua" w:hAnsi="Book Antiqua" w:cs="Book Antiqua"/>
          <w:i/>
          <w:color w:val="000000"/>
        </w:rPr>
        <w:t>Shijie Huaren Xiaohua Zazhi</w:t>
      </w:r>
      <w:r>
        <w:rPr>
          <w:rFonts w:ascii="Book Antiqua" w:eastAsia="Book Antiqua" w:hAnsi="Book Antiqua" w:cs="Book Antiqua"/>
          <w:color w:val="000000"/>
        </w:rPr>
        <w:t xml:space="preserve"> 2013; </w:t>
      </w:r>
      <w:r>
        <w:rPr>
          <w:rFonts w:ascii="Book Antiqua" w:eastAsia="Book Antiqua" w:hAnsi="Book Antiqua" w:cs="Book Antiqua"/>
          <w:b/>
          <w:color w:val="000000"/>
        </w:rPr>
        <w:t>21</w:t>
      </w:r>
      <w:r>
        <w:rPr>
          <w:rFonts w:ascii="Book Antiqua" w:eastAsia="Book Antiqua" w:hAnsi="Book Antiqua" w:cs="Book Antiqua"/>
          <w:color w:val="000000"/>
        </w:rPr>
        <w:t>: 2551-2556 [DOI: 10.11569/wcjd.v21.i25.2551]</w:t>
      </w:r>
    </w:p>
    <w:p w14:paraId="04B3240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Lina TT</w:t>
      </w:r>
      <w:r>
        <w:rPr>
          <w:rFonts w:ascii="Book Antiqua" w:eastAsia="Book Antiqua" w:hAnsi="Book Antiqua" w:cs="Book Antiqua"/>
          <w:color w:val="000000"/>
        </w:rPr>
        <w:t xml:space="preserve">, Alzahrani S, Gonzalez J, Pinchuk IV, Beswick EJ, Reyes VE. Immune evasion strategies used by Helicobacter pylori.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20</w:t>
      </w:r>
      <w:r>
        <w:rPr>
          <w:rFonts w:ascii="Book Antiqua" w:eastAsia="Book Antiqua" w:hAnsi="Book Antiqua" w:cs="Book Antiqua"/>
          <w:color w:val="000000"/>
        </w:rPr>
        <w:t>: 12753-12766 [PMID: 25278676 DOI: 10.3748/wjg.v20.i36.12753]</w:t>
      </w:r>
    </w:p>
    <w:p w14:paraId="677AA451"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color w:val="000000"/>
        </w:rPr>
        <w:t>Chen Y</w:t>
      </w:r>
      <w:r>
        <w:rPr>
          <w:rFonts w:ascii="Book Antiqua" w:eastAsia="Book Antiqua" w:hAnsi="Book Antiqua" w:cs="Book Antiqua"/>
          <w:color w:val="000000"/>
        </w:rPr>
        <w:t>, Blaser MJ. Inverse associations of He</w:t>
      </w:r>
      <w:r>
        <w:rPr>
          <w:rFonts w:ascii="Book Antiqua" w:eastAsia="Book Antiqua" w:hAnsi="Book Antiqua" w:cs="Book Antiqua"/>
          <w:color w:val="000000"/>
        </w:rPr>
        <w:t xml:space="preserve">licobacter pylori with asthma and allergy. </w:t>
      </w:r>
      <w:r>
        <w:rPr>
          <w:rFonts w:ascii="Book Antiqua" w:eastAsia="Book Antiqua" w:hAnsi="Book Antiqua" w:cs="Book Antiqua"/>
          <w:i/>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color w:val="000000"/>
        </w:rPr>
        <w:t>167</w:t>
      </w:r>
      <w:r>
        <w:rPr>
          <w:rFonts w:ascii="Book Antiqua" w:eastAsia="Book Antiqua" w:hAnsi="Book Antiqua" w:cs="Book Antiqua"/>
          <w:color w:val="000000"/>
        </w:rPr>
        <w:t>: 821-827 [PMID: 17452546 DOI: 10.1001/archinte.167.8.821]</w:t>
      </w:r>
    </w:p>
    <w:p w14:paraId="66FEADF6"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color w:val="000000"/>
        </w:rPr>
        <w:t>Alvarez F</w:t>
      </w:r>
      <w:r>
        <w:rPr>
          <w:rFonts w:ascii="Book Antiqua" w:eastAsia="Book Antiqua" w:hAnsi="Book Antiqua" w:cs="Book Antiqua"/>
          <w:color w:val="000000"/>
        </w:rPr>
        <w:t>, Al-Aubodah TA, Yang YH, Piccirillo CA. Mechanisms of T</w:t>
      </w:r>
      <w:r>
        <w:rPr>
          <w:rFonts w:ascii="Book Antiqua" w:eastAsia="Book Antiqua" w:hAnsi="Book Antiqua" w:cs="Book Antiqua"/>
          <w:color w:val="000000"/>
          <w:vertAlign w:val="subscript"/>
        </w:rPr>
        <w:t>REG</w:t>
      </w:r>
      <w:r>
        <w:rPr>
          <w:rFonts w:ascii="Book Antiqua" w:eastAsia="Book Antiqua" w:hAnsi="Book Antiqua" w:cs="Book Antiqua"/>
          <w:color w:val="000000"/>
        </w:rPr>
        <w:t xml:space="preserve"> cell adaptation to inflammation. </w:t>
      </w:r>
      <w:r>
        <w:rPr>
          <w:rFonts w:ascii="Book Antiqua" w:eastAsia="Book Antiqua" w:hAnsi="Book Antiqua" w:cs="Book Antiqua"/>
          <w:i/>
          <w:color w:val="000000"/>
        </w:rPr>
        <w:t>J Leukoc Biol</w:t>
      </w:r>
      <w:r>
        <w:rPr>
          <w:rFonts w:ascii="Book Antiqua" w:eastAsia="Book Antiqua" w:hAnsi="Book Antiqua" w:cs="Book Antiqua"/>
          <w:color w:val="000000"/>
        </w:rPr>
        <w:t xml:space="preserve"> 2020; </w:t>
      </w:r>
      <w:r>
        <w:rPr>
          <w:rFonts w:ascii="Book Antiqua" w:eastAsia="Book Antiqua" w:hAnsi="Book Antiqua" w:cs="Book Antiqua"/>
          <w:b/>
          <w:color w:val="000000"/>
        </w:rPr>
        <w:t>108</w:t>
      </w:r>
      <w:r>
        <w:rPr>
          <w:rFonts w:ascii="Book Antiqua" w:eastAsia="Book Antiqua" w:hAnsi="Book Antiqua" w:cs="Book Antiqua"/>
          <w:color w:val="000000"/>
        </w:rPr>
        <w:t>:</w:t>
      </w:r>
      <w:r>
        <w:rPr>
          <w:rFonts w:ascii="Book Antiqua" w:eastAsia="Book Antiqua" w:hAnsi="Book Antiqua" w:cs="Book Antiqua"/>
          <w:color w:val="000000"/>
        </w:rPr>
        <w:t xml:space="preserve"> 559-571 [PMID: 32202345 DOI: 10.1002/JLB.1MR0120-196R]</w:t>
      </w:r>
    </w:p>
    <w:p w14:paraId="53649DD8"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color w:val="000000"/>
        </w:rPr>
        <w:t>Reyes VE</w:t>
      </w:r>
      <w:r>
        <w:rPr>
          <w:rFonts w:ascii="Book Antiqua" w:eastAsia="Book Antiqua" w:hAnsi="Book Antiqua" w:cs="Book Antiqua"/>
          <w:color w:val="000000"/>
        </w:rPr>
        <w:t xml:space="preserve">, Peniche AG. Helicobacter pylori Deregulates T and B Cell Signaling to Trigger Immune Evasion. </w:t>
      </w:r>
      <w:r>
        <w:rPr>
          <w:rFonts w:ascii="Book Antiqua" w:eastAsia="Book Antiqua" w:hAnsi="Book Antiqua" w:cs="Book Antiqua"/>
          <w:i/>
          <w:color w:val="000000"/>
        </w:rPr>
        <w:t>Curr Top Microbiol Immunol</w:t>
      </w:r>
      <w:r>
        <w:rPr>
          <w:rFonts w:ascii="Book Antiqua" w:eastAsia="Book Antiqua" w:hAnsi="Book Antiqua" w:cs="Book Antiqua"/>
          <w:color w:val="000000"/>
        </w:rPr>
        <w:t xml:space="preserve"> 2019; </w:t>
      </w:r>
      <w:r>
        <w:rPr>
          <w:rFonts w:ascii="Book Antiqua" w:eastAsia="Book Antiqua" w:hAnsi="Book Antiqua" w:cs="Book Antiqua"/>
          <w:b/>
          <w:color w:val="000000"/>
        </w:rPr>
        <w:t>421</w:t>
      </w:r>
      <w:r>
        <w:rPr>
          <w:rFonts w:ascii="Book Antiqua" w:eastAsia="Book Antiqua" w:hAnsi="Book Antiqua" w:cs="Book Antiqua"/>
          <w:color w:val="000000"/>
        </w:rPr>
        <w:t>: 229-265 [PMID: 31123892 DOI: 10.1007/978-3-030-15138-6_</w:t>
      </w:r>
      <w:r>
        <w:rPr>
          <w:rFonts w:ascii="Book Antiqua" w:eastAsia="Book Antiqua" w:hAnsi="Book Antiqua" w:cs="Book Antiqua"/>
          <w:color w:val="000000"/>
        </w:rPr>
        <w:t>10]</w:t>
      </w:r>
    </w:p>
    <w:p w14:paraId="56083B6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color w:val="000000"/>
        </w:rPr>
        <w:t>García Pérez A</w:t>
      </w:r>
      <w:r>
        <w:rPr>
          <w:rFonts w:ascii="Book Antiqua" w:eastAsia="Book Antiqua" w:hAnsi="Book Antiqua" w:cs="Book Antiqua"/>
          <w:color w:val="000000"/>
        </w:rPr>
        <w:t xml:space="preserve">, Valverde de La Osa J, Giménez Samper M, Alonso García I. [Resolution of an autoimmune thrombocytopenic purpura after eradicating treatment of Helicobacter pylori]. </w:t>
      </w:r>
      <w:r>
        <w:rPr>
          <w:rFonts w:ascii="Book Antiqua" w:eastAsia="Book Antiqua" w:hAnsi="Book Antiqua" w:cs="Book Antiqua"/>
          <w:i/>
          <w:color w:val="000000"/>
        </w:rPr>
        <w:t>Sangre (Barc)</w:t>
      </w:r>
      <w:r>
        <w:rPr>
          <w:rFonts w:ascii="Book Antiqua" w:eastAsia="Book Antiqua" w:hAnsi="Book Antiqua" w:cs="Book Antiqua"/>
          <w:color w:val="000000"/>
        </w:rPr>
        <w:t xml:space="preserve"> 1999; </w:t>
      </w:r>
      <w:r>
        <w:rPr>
          <w:rFonts w:ascii="Book Antiqua" w:eastAsia="Book Antiqua" w:hAnsi="Book Antiqua" w:cs="Book Antiqua"/>
          <w:b/>
          <w:color w:val="000000"/>
        </w:rPr>
        <w:t>44</w:t>
      </w:r>
      <w:r>
        <w:rPr>
          <w:rFonts w:ascii="Book Antiqua" w:eastAsia="Book Antiqua" w:hAnsi="Book Antiqua" w:cs="Book Antiqua"/>
          <w:color w:val="000000"/>
        </w:rPr>
        <w:t>: 387-388 [PMID: 10618919]</w:t>
      </w:r>
    </w:p>
    <w:p w14:paraId="14DB2F9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color w:val="000000"/>
        </w:rPr>
        <w:t>Mandeville KL</w:t>
      </w:r>
      <w:r>
        <w:rPr>
          <w:rFonts w:ascii="Book Antiqua" w:eastAsia="Book Antiqua" w:hAnsi="Book Antiqua" w:cs="Book Antiqua"/>
          <w:color w:val="000000"/>
        </w:rPr>
        <w:t>, Kr</w:t>
      </w:r>
      <w:r>
        <w:rPr>
          <w:rFonts w:ascii="Book Antiqua" w:eastAsia="Book Antiqua" w:hAnsi="Book Antiqua" w:cs="Book Antiqua"/>
          <w:color w:val="000000"/>
        </w:rPr>
        <w:t xml:space="preserve">abshuis J, Ladep NG, Mulder CJ, Quigley EM, Khan SA. Gastroenterology in developing countries: issues and advances.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color w:val="000000"/>
        </w:rPr>
        <w:t>15</w:t>
      </w:r>
      <w:r>
        <w:rPr>
          <w:rFonts w:ascii="Book Antiqua" w:eastAsia="Book Antiqua" w:hAnsi="Book Antiqua" w:cs="Book Antiqua"/>
          <w:color w:val="000000"/>
        </w:rPr>
        <w:t>: 2839-2854 [PMID: 19533805 DOI: 10.3748/wjg.15.2839]</w:t>
      </w:r>
    </w:p>
    <w:p w14:paraId="37BD798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color w:val="000000"/>
        </w:rPr>
        <w:t>Chey WD</w:t>
      </w:r>
      <w:r>
        <w:rPr>
          <w:rFonts w:ascii="Book Antiqua" w:eastAsia="Book Antiqua" w:hAnsi="Book Antiqua" w:cs="Book Antiqua"/>
          <w:color w:val="000000"/>
        </w:rPr>
        <w:t>, Leontiadis GI, Howden CW, Moss SF. ACG Clini</w:t>
      </w:r>
      <w:r>
        <w:rPr>
          <w:rFonts w:ascii="Book Antiqua" w:eastAsia="Book Antiqua" w:hAnsi="Book Antiqua" w:cs="Book Antiqua"/>
          <w:color w:val="000000"/>
        </w:rPr>
        <w:t xml:space="preserve">cal Guideline: Treatment of Helicobacter pylori Infection. </w:t>
      </w:r>
      <w:r>
        <w:rPr>
          <w:rFonts w:ascii="Book Antiqua" w:eastAsia="Book Antiqua" w:hAnsi="Book Antiqua" w:cs="Book Antiqua"/>
          <w:i/>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color w:val="000000"/>
        </w:rPr>
        <w:t>112</w:t>
      </w:r>
      <w:r>
        <w:rPr>
          <w:rFonts w:ascii="Book Antiqua" w:eastAsia="Book Antiqua" w:hAnsi="Book Antiqua" w:cs="Book Antiqua"/>
          <w:color w:val="000000"/>
        </w:rPr>
        <w:t>: 212-239 [PMID: 28071659 DOI: 10.1038/ajg.2016.563]</w:t>
      </w:r>
    </w:p>
    <w:p w14:paraId="7AEC7A1F" w14:textId="77777777" w:rsidR="009F3374" w:rsidRDefault="00ED0470">
      <w:pPr>
        <w:spacing w:line="360" w:lineRule="auto"/>
        <w:jc w:val="both"/>
        <w:rPr>
          <w:rFonts w:ascii="Book Antiqua" w:eastAsia="Book Antiqua" w:hAnsi="Book Antiqua" w:cs="Book Antiqua"/>
        </w:rPr>
        <w:sectPr w:rsidR="009F3374">
          <w:footerReference w:type="default" r:id="rId7"/>
          <w:pgSz w:w="12240" w:h="15840"/>
          <w:pgMar w:top="1440" w:right="1440" w:bottom="1440" w:left="1440" w:header="720" w:footer="720" w:gutter="0"/>
          <w:pgNumType w:start="1"/>
          <w:cols w:space="720"/>
        </w:sectPr>
      </w:pPr>
      <w:r>
        <w:rPr>
          <w:rFonts w:ascii="Book Antiqua" w:eastAsia="Book Antiqua" w:hAnsi="Book Antiqua" w:cs="Book Antiqua"/>
          <w:color w:val="000000"/>
        </w:rPr>
        <w:t xml:space="preserve">32 </w:t>
      </w:r>
      <w:r>
        <w:rPr>
          <w:rFonts w:ascii="Book Antiqua" w:eastAsia="Book Antiqua" w:hAnsi="Book Antiqua" w:cs="Book Antiqua"/>
          <w:b/>
          <w:color w:val="000000"/>
        </w:rPr>
        <w:t>Reshetnyak VI</w:t>
      </w:r>
      <w:r>
        <w:rPr>
          <w:rFonts w:ascii="Book Antiqua" w:eastAsia="Book Antiqua" w:hAnsi="Book Antiqua" w:cs="Book Antiqua"/>
          <w:color w:val="000000"/>
        </w:rPr>
        <w:t xml:space="preserve">, Burmistrov AI, Maev IV.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Commensal, symbiont or pathogen?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color w:val="000000"/>
        </w:rPr>
        <w:t>27</w:t>
      </w:r>
      <w:r>
        <w:rPr>
          <w:rFonts w:ascii="Book Antiqua" w:eastAsia="Book Antiqua" w:hAnsi="Book Antiqua" w:cs="Book Antiqua"/>
          <w:color w:val="000000"/>
        </w:rPr>
        <w:t>: 545-560 [PMID: 33642828 DOI: 10.3748/wjg.v27.i7.545]</w:t>
      </w:r>
    </w:p>
    <w:p w14:paraId="5D15F30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2E19C989"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Institutional review board statement: </w:t>
      </w:r>
      <w:r>
        <w:rPr>
          <w:rFonts w:ascii="Book Antiqua" w:eastAsia="Book Antiqua" w:hAnsi="Book Antiqua" w:cs="Book Antiqua"/>
          <w:color w:val="000000"/>
        </w:rPr>
        <w:t xml:space="preserve">The study was reviewed and approved by </w:t>
      </w:r>
      <w:r>
        <w:rPr>
          <w:rFonts w:ascii="Book Antiqua" w:eastAsia="Book Antiqua" w:hAnsi="Book Antiqua" w:cs="Book Antiqua"/>
          <w:color w:val="000000"/>
        </w:rPr>
        <w:t>the Ethical Committee of Sichuan Academy of Medical Sciences and Sichuan Provincial People’s Hospital [Approval No. 408(2020)].</w:t>
      </w:r>
    </w:p>
    <w:p w14:paraId="2E554CC2" w14:textId="77777777" w:rsidR="009F3374" w:rsidRDefault="009F3374">
      <w:pPr>
        <w:spacing w:line="360" w:lineRule="auto"/>
        <w:jc w:val="both"/>
        <w:rPr>
          <w:rFonts w:ascii="Book Antiqua" w:eastAsia="Book Antiqua" w:hAnsi="Book Antiqua" w:cs="Book Antiqua"/>
        </w:rPr>
      </w:pPr>
    </w:p>
    <w:p w14:paraId="196E8CF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 of interest statement: </w:t>
      </w:r>
      <w:r>
        <w:rPr>
          <w:rFonts w:ascii="Book Antiqua" w:eastAsia="Book Antiqua" w:hAnsi="Book Antiqua" w:cs="Book Antiqua"/>
          <w:color w:val="000000"/>
        </w:rPr>
        <w:t>The authors declare that they have no conflicts of interest.</w:t>
      </w:r>
    </w:p>
    <w:p w14:paraId="41229514" w14:textId="77777777" w:rsidR="009F3374" w:rsidRDefault="009F3374">
      <w:pPr>
        <w:spacing w:line="360" w:lineRule="auto"/>
        <w:jc w:val="both"/>
        <w:rPr>
          <w:rFonts w:ascii="Book Antiqua" w:eastAsia="Book Antiqua" w:hAnsi="Book Antiqua" w:cs="Book Antiqua"/>
        </w:rPr>
      </w:pPr>
    </w:p>
    <w:p w14:paraId="66BE06B1"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Data sharing statement: </w:t>
      </w:r>
      <w:r>
        <w:rPr>
          <w:rFonts w:ascii="Book Antiqua" w:eastAsia="Book Antiqua" w:hAnsi="Book Antiqua" w:cs="Book Antiqua"/>
          <w:color w:val="000000"/>
          <w:highlight w:val="white"/>
        </w:rPr>
        <w:t>No additi</w:t>
      </w:r>
      <w:r>
        <w:rPr>
          <w:rFonts w:ascii="Book Antiqua" w:eastAsia="Book Antiqua" w:hAnsi="Book Antiqua" w:cs="Book Antiqua"/>
          <w:color w:val="000000"/>
          <w:highlight w:val="white"/>
        </w:rPr>
        <w:t>onal data are available.</w:t>
      </w:r>
    </w:p>
    <w:p w14:paraId="231399C1" w14:textId="77777777" w:rsidR="009F3374" w:rsidRDefault="009F3374">
      <w:pPr>
        <w:spacing w:line="360" w:lineRule="auto"/>
        <w:jc w:val="both"/>
        <w:rPr>
          <w:rFonts w:ascii="Book Antiqua" w:eastAsia="Book Antiqua" w:hAnsi="Book Antiqua" w:cs="Book Antiqua"/>
        </w:rPr>
      </w:pPr>
    </w:p>
    <w:p w14:paraId="41FE58B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w:t>
      </w:r>
      <w:r>
        <w:rPr>
          <w:rFonts w:ascii="Book Antiqua" w:eastAsia="Book Antiqua" w:hAnsi="Book Antiqua" w:cs="Book Antiqua"/>
          <w:color w:val="000000"/>
        </w:rPr>
        <w:t>NC 4.0) license, which permits others to distribute, remix, adapt, build upon this work non-commercially, and license their derivative works on different terms, provided the original work is properly cited and the use is non-commercial. See: http://creativ</w:t>
      </w:r>
      <w:r>
        <w:rPr>
          <w:rFonts w:ascii="Book Antiqua" w:eastAsia="Book Antiqua" w:hAnsi="Book Antiqua" w:cs="Book Antiqua"/>
          <w:color w:val="000000"/>
        </w:rPr>
        <w:t>ecommons.org/Licenses/by-nc/4.0/</w:t>
      </w:r>
    </w:p>
    <w:p w14:paraId="559DD831" w14:textId="77777777" w:rsidR="009F3374" w:rsidRDefault="009F3374">
      <w:pPr>
        <w:spacing w:line="360" w:lineRule="auto"/>
        <w:jc w:val="both"/>
        <w:rPr>
          <w:rFonts w:ascii="Book Antiqua" w:eastAsia="Book Antiqua" w:hAnsi="Book Antiqua" w:cs="Book Antiqua"/>
        </w:rPr>
      </w:pPr>
    </w:p>
    <w:p w14:paraId="237BB1BC"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B5E3C48" w14:textId="77777777" w:rsidR="009F3374" w:rsidRDefault="009F3374">
      <w:pPr>
        <w:spacing w:line="360" w:lineRule="auto"/>
        <w:jc w:val="both"/>
        <w:rPr>
          <w:rFonts w:ascii="Book Antiqua" w:eastAsia="Book Antiqua" w:hAnsi="Book Antiqua" w:cs="Book Antiqua"/>
        </w:rPr>
      </w:pPr>
    </w:p>
    <w:p w14:paraId="493B7ED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2021</w:t>
      </w:r>
    </w:p>
    <w:p w14:paraId="0A7D81B5"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0BE5A57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 2021</w:t>
      </w:r>
    </w:p>
    <w:p w14:paraId="0408ABBB" w14:textId="77777777" w:rsidR="009F3374" w:rsidRDefault="009F3374">
      <w:pPr>
        <w:spacing w:line="360" w:lineRule="auto"/>
        <w:jc w:val="both"/>
        <w:rPr>
          <w:rFonts w:ascii="Book Antiqua" w:eastAsia="Book Antiqua" w:hAnsi="Book Antiqua" w:cs="Book Antiqua"/>
        </w:rPr>
      </w:pPr>
    </w:p>
    <w:p w14:paraId="5BB0E9F1"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D0BA78E"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Country/Territory of orig</w:t>
      </w:r>
      <w:r>
        <w:rPr>
          <w:rFonts w:ascii="Book Antiqua" w:eastAsia="Book Antiqua" w:hAnsi="Book Antiqua" w:cs="Book Antiqua"/>
          <w:b/>
          <w:color w:val="000000"/>
        </w:rPr>
        <w:t xml:space="preserve">in: </w:t>
      </w:r>
      <w:r>
        <w:rPr>
          <w:rFonts w:ascii="Book Antiqua" w:eastAsia="Book Antiqua" w:hAnsi="Book Antiqua" w:cs="Book Antiqua"/>
          <w:color w:val="000000"/>
        </w:rPr>
        <w:t>China</w:t>
      </w:r>
    </w:p>
    <w:p w14:paraId="3327C6BB"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17FFCD1A"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4B6C17C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B</w:t>
      </w:r>
    </w:p>
    <w:p w14:paraId="0CD8925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w:t>
      </w:r>
    </w:p>
    <w:p w14:paraId="6B721EA4"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140E6507"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Grade E (Poor): 0</w:t>
      </w:r>
    </w:p>
    <w:p w14:paraId="0746834E" w14:textId="77777777" w:rsidR="009F3374" w:rsidRDefault="009F3374">
      <w:pPr>
        <w:spacing w:line="360" w:lineRule="auto"/>
        <w:jc w:val="both"/>
        <w:rPr>
          <w:rFonts w:ascii="Book Antiqua" w:eastAsia="Book Antiqua" w:hAnsi="Book Antiqua" w:cs="Book Antiqua"/>
        </w:rPr>
      </w:pPr>
    </w:p>
    <w:p w14:paraId="3727FEEF"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Reshetnyak VI, Toyoshima O</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Filipodia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14:paraId="146BE820" w14:textId="77777777" w:rsidR="009F3374" w:rsidRDefault="009F3374">
      <w:pPr>
        <w:spacing w:line="360" w:lineRule="auto"/>
        <w:jc w:val="both"/>
        <w:rPr>
          <w:rFonts w:ascii="Book Antiqua" w:eastAsia="Book Antiqua" w:hAnsi="Book Antiqua" w:cs="Book Antiqua"/>
          <w:b/>
          <w:color w:val="000000"/>
        </w:rPr>
      </w:pPr>
    </w:p>
    <w:p w14:paraId="0AB4CA2D" w14:textId="77777777" w:rsidR="009F3374" w:rsidRDefault="009F3374">
      <w:pPr>
        <w:spacing w:line="360" w:lineRule="auto"/>
        <w:jc w:val="both"/>
        <w:rPr>
          <w:rFonts w:ascii="Book Antiqua" w:eastAsia="Book Antiqua" w:hAnsi="Book Antiqua" w:cs="Book Antiqua"/>
          <w:b/>
          <w:color w:val="000000"/>
        </w:rPr>
      </w:pPr>
    </w:p>
    <w:p w14:paraId="54BCDCD0" w14:textId="77777777" w:rsidR="009F3374" w:rsidRDefault="00ED0470">
      <w:pPr>
        <w:rPr>
          <w:rFonts w:ascii="Book Antiqua" w:eastAsia="Book Antiqua" w:hAnsi="Book Antiqua" w:cs="Book Antiqua"/>
          <w:b/>
          <w:color w:val="000000"/>
        </w:rPr>
      </w:pPr>
      <w:r>
        <w:rPr>
          <w:rFonts w:ascii="Book Antiqua" w:eastAsia="Book Antiqua" w:hAnsi="Book Antiqua" w:cs="Book Antiqua"/>
          <w:b/>
          <w:color w:val="000000"/>
        </w:rPr>
        <w:br w:type="page"/>
      </w:r>
    </w:p>
    <w:p w14:paraId="6C7007CD"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E8476C"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noProof/>
        </w:rPr>
        <w:drawing>
          <wp:inline distT="0" distB="0" distL="0" distR="0" wp14:anchorId="2A2FD3A3" wp14:editId="07D6D87A">
            <wp:extent cx="3148330" cy="1799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3148728" cy="1800000"/>
                    </a:xfrm>
                    <a:prstGeom prst="rect">
                      <a:avLst/>
                    </a:prstGeom>
                  </pic:spPr>
                </pic:pic>
              </a:graphicData>
            </a:graphic>
          </wp:inline>
        </w:drawing>
      </w:r>
      <w:r>
        <w:rPr>
          <w:rFonts w:ascii="Book Antiqua" w:eastAsia="Book Antiqua" w:hAnsi="Book Antiqua" w:cs="Book Antiqua"/>
          <w:b/>
          <w:noProof/>
        </w:rPr>
        <w:drawing>
          <wp:inline distT="0" distB="0" distL="0" distR="0" wp14:anchorId="583B8601" wp14:editId="7E90AB5A">
            <wp:extent cx="3148330" cy="17995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9"/>
                    <a:srcRect/>
                    <a:stretch>
                      <a:fillRect/>
                    </a:stretch>
                  </pic:blipFill>
                  <pic:spPr>
                    <a:xfrm>
                      <a:off x="0" y="0"/>
                      <a:ext cx="3148728" cy="1800000"/>
                    </a:xfrm>
                    <a:prstGeom prst="rect">
                      <a:avLst/>
                    </a:prstGeom>
                  </pic:spPr>
                </pic:pic>
              </a:graphicData>
            </a:graphic>
          </wp:inline>
        </w:drawing>
      </w:r>
      <w:r>
        <w:rPr>
          <w:rFonts w:ascii="Book Antiqua" w:eastAsia="Book Antiqua" w:hAnsi="Book Antiqua" w:cs="Book Antiqua"/>
          <w:b/>
          <w:noProof/>
        </w:rPr>
        <w:drawing>
          <wp:inline distT="0" distB="0" distL="0" distR="0" wp14:anchorId="0F0A977B" wp14:editId="2461FFDC">
            <wp:extent cx="3148330" cy="17995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0"/>
                    <a:srcRect/>
                    <a:stretch>
                      <a:fillRect/>
                    </a:stretch>
                  </pic:blipFill>
                  <pic:spPr>
                    <a:xfrm>
                      <a:off x="0" y="0"/>
                      <a:ext cx="3148728" cy="1800000"/>
                    </a:xfrm>
                    <a:prstGeom prst="rect">
                      <a:avLst/>
                    </a:prstGeom>
                  </pic:spPr>
                </pic:pic>
              </a:graphicData>
            </a:graphic>
          </wp:inline>
        </w:drawing>
      </w:r>
    </w:p>
    <w:p w14:paraId="0A08CF22" w14:textId="77777777" w:rsidR="009F3374" w:rsidRDefault="00ED0470">
      <w:pPr>
        <w:spacing w:line="360" w:lineRule="auto"/>
        <w:jc w:val="both"/>
        <w:rPr>
          <w:rFonts w:ascii="Book Antiqua" w:eastAsia="Book Antiqua" w:hAnsi="Book Antiqua" w:cs="Book Antiqua"/>
          <w:b/>
          <w:bCs/>
          <w:i/>
          <w:iCs/>
        </w:rPr>
        <w:sectPr w:rsidR="009F3374">
          <w:pgSz w:w="12240" w:h="15840"/>
          <w:pgMar w:top="1440" w:right="1440" w:bottom="1440" w:left="1440" w:header="720" w:footer="720" w:gutter="0"/>
          <w:cols w:space="720"/>
        </w:sectPr>
      </w:pPr>
      <w:r>
        <w:rPr>
          <w:rFonts w:ascii="Book Antiqua" w:eastAsia="Book Antiqua" w:hAnsi="Book Antiqua" w:cs="Book Antiqua"/>
          <w:b/>
        </w:rPr>
        <w:t xml:space="preserve">Figure 1 Positive rates of the three food-specific immunoglobulin G antibodies. </w:t>
      </w:r>
      <w:r>
        <w:rPr>
          <w:rFonts w:ascii="Book Antiqua" w:eastAsia="Book Antiqua" w:hAnsi="Book Antiqua" w:cs="Book Antiqua"/>
          <w:bCs/>
          <w:i/>
          <w:iCs/>
        </w:rPr>
        <w:t>H. pylori</w:t>
      </w:r>
      <w:r>
        <w:rPr>
          <w:rFonts w:ascii="Book Antiqua" w:eastAsia="Book Antiqua" w:hAnsi="Book Antiqua" w:cs="Book Antiqua"/>
          <w:bCs/>
        </w:rPr>
        <w:t xml:space="preserve">: </w:t>
      </w:r>
      <w:r>
        <w:rPr>
          <w:rFonts w:ascii="Book Antiqua" w:eastAsia="Book Antiqua" w:hAnsi="Book Antiqua" w:cs="Book Antiqua"/>
          <w:bCs/>
          <w:i/>
          <w:iCs/>
        </w:rPr>
        <w:t>Helicobacter pylori.</w:t>
      </w:r>
    </w:p>
    <w:p w14:paraId="0EFEF71D"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Table 1 </w:t>
      </w:r>
      <w:r>
        <w:rPr>
          <w:rFonts w:ascii="Book Antiqua" w:eastAsia="Book Antiqua" w:hAnsi="Book Antiqua" w:cs="Book Antiqua"/>
          <w:b/>
          <w:color w:val="000000"/>
        </w:rPr>
        <w:t>Demographic and clinical characteristics of the participants</w:t>
      </w:r>
    </w:p>
    <w:tbl>
      <w:tblPr>
        <w:tblStyle w:val="Style11"/>
        <w:tblW w:w="9360" w:type="dxa"/>
        <w:tblLayout w:type="fixed"/>
        <w:tblLook w:val="04A0" w:firstRow="1" w:lastRow="0" w:firstColumn="1" w:lastColumn="0" w:noHBand="0" w:noVBand="1"/>
      </w:tblPr>
      <w:tblGrid>
        <w:gridCol w:w="240"/>
        <w:gridCol w:w="2387"/>
        <w:gridCol w:w="1439"/>
        <w:gridCol w:w="2241"/>
        <w:gridCol w:w="1912"/>
        <w:gridCol w:w="1141"/>
      </w:tblGrid>
      <w:tr w:rsidR="009F3374" w14:paraId="2090DB1E" w14:textId="77777777">
        <w:tc>
          <w:tcPr>
            <w:tcW w:w="2627" w:type="dxa"/>
            <w:gridSpan w:val="2"/>
            <w:tcBorders>
              <w:top w:val="single" w:sz="8" w:space="0" w:color="000000"/>
              <w:bottom w:val="single" w:sz="8" w:space="0" w:color="000000"/>
            </w:tcBorders>
          </w:tcPr>
          <w:p w14:paraId="665ACA02"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Variables</w:t>
            </w:r>
          </w:p>
        </w:tc>
        <w:tc>
          <w:tcPr>
            <w:tcW w:w="1439" w:type="dxa"/>
            <w:tcBorders>
              <w:top w:val="single" w:sz="8" w:space="0" w:color="000000"/>
              <w:bottom w:val="single" w:sz="8" w:space="0" w:color="000000"/>
            </w:tcBorders>
            <w:vAlign w:val="center"/>
          </w:tcPr>
          <w:p w14:paraId="44048A97"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Total, </w:t>
            </w:r>
            <w:r>
              <w:rPr>
                <w:rFonts w:ascii="Book Antiqua" w:eastAsia="Book Antiqua" w:hAnsi="Book Antiqua" w:cs="Book Antiqua"/>
                <w:b/>
                <w:i/>
                <w:color w:val="000000"/>
              </w:rPr>
              <w:t>n</w:t>
            </w:r>
            <w:r>
              <w:rPr>
                <w:rFonts w:ascii="Book Antiqua" w:eastAsia="Book Antiqua" w:hAnsi="Book Antiqua" w:cs="Book Antiqua"/>
                <w:b/>
                <w:color w:val="000000"/>
              </w:rPr>
              <w:t xml:space="preserve"> = 21822</w:t>
            </w:r>
          </w:p>
        </w:tc>
        <w:tc>
          <w:tcPr>
            <w:tcW w:w="2241" w:type="dxa"/>
            <w:tcBorders>
              <w:top w:val="single" w:sz="8" w:space="0" w:color="000000"/>
              <w:bottom w:val="single" w:sz="8" w:space="0" w:color="000000"/>
            </w:tcBorders>
            <w:vAlign w:val="center"/>
          </w:tcPr>
          <w:p w14:paraId="7D4590DA"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H. pylori</w:t>
            </w:r>
            <w:r>
              <w:rPr>
                <w:rFonts w:ascii="Book Antiqua" w:eastAsia="Book Antiqua" w:hAnsi="Book Antiqua" w:cs="Book Antiqua"/>
                <w:b/>
                <w:color w:val="000000"/>
              </w:rPr>
              <w:t xml:space="preserve"> negative, </w:t>
            </w:r>
            <w:r>
              <w:rPr>
                <w:rFonts w:ascii="Book Antiqua" w:eastAsia="Book Antiqua" w:hAnsi="Book Antiqua" w:cs="Book Antiqua"/>
                <w:b/>
                <w:i/>
                <w:color w:val="000000"/>
              </w:rPr>
              <w:t>n</w:t>
            </w:r>
            <w:r>
              <w:rPr>
                <w:rFonts w:ascii="Book Antiqua" w:eastAsia="Book Antiqua" w:hAnsi="Book Antiqua" w:cs="Book Antiqua"/>
                <w:b/>
                <w:color w:val="000000"/>
              </w:rPr>
              <w:t xml:space="preserve"> = 13239</w:t>
            </w:r>
          </w:p>
        </w:tc>
        <w:tc>
          <w:tcPr>
            <w:tcW w:w="1912" w:type="dxa"/>
            <w:tcBorders>
              <w:top w:val="single" w:sz="8" w:space="0" w:color="000000"/>
              <w:bottom w:val="single" w:sz="8" w:space="0" w:color="000000"/>
            </w:tcBorders>
            <w:vAlign w:val="center"/>
          </w:tcPr>
          <w:p w14:paraId="70D2FEC4"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H. pylori</w:t>
            </w:r>
            <w:r>
              <w:rPr>
                <w:rFonts w:ascii="Book Antiqua" w:eastAsia="Book Antiqua" w:hAnsi="Book Antiqua" w:cs="Book Antiqua"/>
                <w:b/>
                <w:color w:val="000000"/>
              </w:rPr>
              <w:t xml:space="preserve"> positive, </w:t>
            </w:r>
            <w:r>
              <w:rPr>
                <w:rFonts w:ascii="Book Antiqua" w:eastAsia="Book Antiqua" w:hAnsi="Book Antiqua" w:cs="Book Antiqua"/>
                <w:b/>
                <w:i/>
                <w:color w:val="000000"/>
              </w:rPr>
              <w:t>n</w:t>
            </w:r>
            <w:r>
              <w:rPr>
                <w:rFonts w:ascii="Book Antiqua" w:eastAsia="Book Antiqua" w:hAnsi="Book Antiqua" w:cs="Book Antiqua"/>
                <w:b/>
                <w:color w:val="000000"/>
              </w:rPr>
              <w:t xml:space="preserve"> = 8583</w:t>
            </w:r>
          </w:p>
        </w:tc>
        <w:tc>
          <w:tcPr>
            <w:tcW w:w="1141" w:type="dxa"/>
            <w:tcBorders>
              <w:top w:val="single" w:sz="8" w:space="0" w:color="000000"/>
              <w:bottom w:val="single" w:sz="8" w:space="0" w:color="000000"/>
            </w:tcBorders>
            <w:vAlign w:val="center"/>
          </w:tcPr>
          <w:p w14:paraId="6984A3E8"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w:t>
            </w:r>
            <w:r>
              <w:rPr>
                <w:rFonts w:ascii="Book Antiqua" w:eastAsia="Book Antiqua" w:hAnsi="Book Antiqua" w:cs="Book Antiqua"/>
                <w:b/>
                <w:color w:val="000000"/>
              </w:rPr>
              <w:t xml:space="preserve"> value</w:t>
            </w:r>
          </w:p>
        </w:tc>
      </w:tr>
      <w:tr w:rsidR="009F3374" w14:paraId="6E0464D4" w14:textId="77777777">
        <w:tc>
          <w:tcPr>
            <w:tcW w:w="2627" w:type="dxa"/>
            <w:gridSpan w:val="2"/>
            <w:tcBorders>
              <w:top w:val="single" w:sz="8" w:space="0" w:color="000000"/>
            </w:tcBorders>
          </w:tcPr>
          <w:p w14:paraId="7032CD9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Demographic data</w:t>
            </w:r>
          </w:p>
        </w:tc>
        <w:tc>
          <w:tcPr>
            <w:tcW w:w="1439" w:type="dxa"/>
            <w:tcBorders>
              <w:top w:val="single" w:sz="8" w:space="0" w:color="000000"/>
            </w:tcBorders>
            <w:vAlign w:val="center"/>
          </w:tcPr>
          <w:p w14:paraId="6805DC77" w14:textId="77777777" w:rsidR="009F3374" w:rsidRDefault="009F3374">
            <w:pPr>
              <w:spacing w:line="360" w:lineRule="auto"/>
              <w:jc w:val="both"/>
              <w:rPr>
                <w:rFonts w:ascii="Book Antiqua" w:eastAsia="Book Antiqua" w:hAnsi="Book Antiqua" w:cs="Book Antiqua"/>
                <w:color w:val="000000"/>
              </w:rPr>
            </w:pPr>
          </w:p>
        </w:tc>
        <w:tc>
          <w:tcPr>
            <w:tcW w:w="2241" w:type="dxa"/>
            <w:tcBorders>
              <w:top w:val="single" w:sz="8" w:space="0" w:color="000000"/>
            </w:tcBorders>
            <w:vAlign w:val="center"/>
          </w:tcPr>
          <w:p w14:paraId="43E7AD80" w14:textId="77777777" w:rsidR="009F3374" w:rsidRDefault="009F3374">
            <w:pPr>
              <w:spacing w:line="360" w:lineRule="auto"/>
              <w:jc w:val="both"/>
              <w:rPr>
                <w:rFonts w:ascii="Book Antiqua" w:eastAsia="Book Antiqua" w:hAnsi="Book Antiqua" w:cs="Book Antiqua"/>
                <w:color w:val="000000"/>
              </w:rPr>
            </w:pPr>
          </w:p>
        </w:tc>
        <w:tc>
          <w:tcPr>
            <w:tcW w:w="1912" w:type="dxa"/>
            <w:tcBorders>
              <w:top w:val="single" w:sz="8" w:space="0" w:color="000000"/>
            </w:tcBorders>
            <w:vAlign w:val="center"/>
          </w:tcPr>
          <w:p w14:paraId="29F7F366" w14:textId="77777777" w:rsidR="009F3374" w:rsidRDefault="009F3374">
            <w:pPr>
              <w:spacing w:line="360" w:lineRule="auto"/>
              <w:jc w:val="both"/>
              <w:rPr>
                <w:rFonts w:ascii="Book Antiqua" w:eastAsia="Book Antiqua" w:hAnsi="Book Antiqua" w:cs="Book Antiqua"/>
                <w:color w:val="000000"/>
              </w:rPr>
            </w:pPr>
          </w:p>
        </w:tc>
        <w:tc>
          <w:tcPr>
            <w:tcW w:w="1141" w:type="dxa"/>
            <w:tcBorders>
              <w:top w:val="single" w:sz="8" w:space="0" w:color="000000"/>
            </w:tcBorders>
            <w:vAlign w:val="center"/>
          </w:tcPr>
          <w:p w14:paraId="2841591D" w14:textId="77777777" w:rsidR="009F3374" w:rsidRDefault="009F3374">
            <w:pPr>
              <w:spacing w:line="360" w:lineRule="auto"/>
              <w:jc w:val="both"/>
              <w:rPr>
                <w:rFonts w:ascii="Book Antiqua" w:eastAsia="Book Antiqua" w:hAnsi="Book Antiqua" w:cs="Book Antiqua"/>
                <w:color w:val="000000"/>
              </w:rPr>
            </w:pPr>
          </w:p>
        </w:tc>
      </w:tr>
      <w:tr w:rsidR="009F3374" w14:paraId="7341C5A2" w14:textId="77777777">
        <w:tc>
          <w:tcPr>
            <w:tcW w:w="240" w:type="dxa"/>
          </w:tcPr>
          <w:p w14:paraId="399D1B2B" w14:textId="77777777" w:rsidR="009F3374" w:rsidRDefault="009F3374">
            <w:pPr>
              <w:spacing w:line="360" w:lineRule="auto"/>
              <w:ind w:firstLineChars="100" w:firstLine="240"/>
              <w:jc w:val="both"/>
              <w:rPr>
                <w:rFonts w:ascii="Book Antiqua" w:eastAsia="Book Antiqua" w:hAnsi="Book Antiqua" w:cs="Book Antiqua"/>
                <w:color w:val="000000"/>
              </w:rPr>
            </w:pPr>
          </w:p>
        </w:tc>
        <w:tc>
          <w:tcPr>
            <w:tcW w:w="2387" w:type="dxa"/>
          </w:tcPr>
          <w:p w14:paraId="5B2807BA" w14:textId="77777777" w:rsidR="009F3374" w:rsidRDefault="00ED04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Sex (female),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1439" w:type="dxa"/>
            <w:vAlign w:val="center"/>
          </w:tcPr>
          <w:p w14:paraId="29BD52D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9426 (43.2)</w:t>
            </w:r>
          </w:p>
        </w:tc>
        <w:tc>
          <w:tcPr>
            <w:tcW w:w="2241" w:type="dxa"/>
            <w:vAlign w:val="center"/>
          </w:tcPr>
          <w:p w14:paraId="5F2108D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5791 (43.7)</w:t>
            </w:r>
          </w:p>
        </w:tc>
        <w:tc>
          <w:tcPr>
            <w:tcW w:w="1912" w:type="dxa"/>
            <w:vAlign w:val="center"/>
          </w:tcPr>
          <w:p w14:paraId="115D9D3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3635 (42.4)</w:t>
            </w:r>
          </w:p>
        </w:tc>
        <w:tc>
          <w:tcPr>
            <w:tcW w:w="1141" w:type="dxa"/>
            <w:vAlign w:val="center"/>
          </w:tcPr>
          <w:p w14:paraId="4F6510C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0.043</w:t>
            </w:r>
          </w:p>
        </w:tc>
      </w:tr>
      <w:tr w:rsidR="009F3374" w14:paraId="7215C2AA" w14:textId="77777777">
        <w:trPr>
          <w:trHeight w:val="90"/>
        </w:trPr>
        <w:tc>
          <w:tcPr>
            <w:tcW w:w="240" w:type="dxa"/>
          </w:tcPr>
          <w:p w14:paraId="3D47D728"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0815E463"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Age (yr)</w:t>
            </w:r>
          </w:p>
        </w:tc>
        <w:tc>
          <w:tcPr>
            <w:tcW w:w="1439" w:type="dxa"/>
            <w:vAlign w:val="center"/>
          </w:tcPr>
          <w:p w14:paraId="4AE76F0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43.82 ± 10.98</w:t>
            </w:r>
          </w:p>
        </w:tc>
        <w:tc>
          <w:tcPr>
            <w:tcW w:w="2241" w:type="dxa"/>
            <w:vAlign w:val="center"/>
          </w:tcPr>
          <w:p w14:paraId="2B9C0B5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43.49 ± 11.10</w:t>
            </w:r>
          </w:p>
        </w:tc>
        <w:tc>
          <w:tcPr>
            <w:tcW w:w="1912" w:type="dxa"/>
            <w:vAlign w:val="center"/>
          </w:tcPr>
          <w:p w14:paraId="1C6B8BE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44.32 ± 10.76</w:t>
            </w:r>
          </w:p>
        </w:tc>
        <w:tc>
          <w:tcPr>
            <w:tcW w:w="1141" w:type="dxa"/>
            <w:vAlign w:val="center"/>
          </w:tcPr>
          <w:p w14:paraId="64E2F67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0F605027" w14:textId="77777777">
        <w:tc>
          <w:tcPr>
            <w:tcW w:w="240" w:type="dxa"/>
          </w:tcPr>
          <w:p w14:paraId="47D9DDA2"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0C185CA8"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Drinking,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1439" w:type="dxa"/>
            <w:vAlign w:val="center"/>
          </w:tcPr>
          <w:p w14:paraId="1DA7537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2295 </w:t>
            </w:r>
            <w:r>
              <w:rPr>
                <w:rFonts w:ascii="Book Antiqua" w:eastAsia="Book Antiqua" w:hAnsi="Book Antiqua" w:cs="Book Antiqua"/>
                <w:color w:val="000000"/>
              </w:rPr>
              <w:t>(10.5)</w:t>
            </w:r>
          </w:p>
        </w:tc>
        <w:tc>
          <w:tcPr>
            <w:tcW w:w="2241" w:type="dxa"/>
            <w:vAlign w:val="center"/>
          </w:tcPr>
          <w:p w14:paraId="373A3CD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1304 (9.8)</w:t>
            </w:r>
          </w:p>
        </w:tc>
        <w:tc>
          <w:tcPr>
            <w:tcW w:w="1912" w:type="dxa"/>
            <w:vAlign w:val="center"/>
          </w:tcPr>
          <w:p w14:paraId="503E10C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991 (11.5)</w:t>
            </w:r>
          </w:p>
        </w:tc>
        <w:tc>
          <w:tcPr>
            <w:tcW w:w="1141" w:type="dxa"/>
            <w:vAlign w:val="center"/>
          </w:tcPr>
          <w:p w14:paraId="78166CF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06B4C155" w14:textId="77777777">
        <w:trPr>
          <w:trHeight w:val="90"/>
        </w:trPr>
        <w:tc>
          <w:tcPr>
            <w:tcW w:w="240" w:type="dxa"/>
          </w:tcPr>
          <w:p w14:paraId="7CEF8FA7"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0D66EF4F"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Smoking,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1439" w:type="dxa"/>
            <w:vAlign w:val="center"/>
          </w:tcPr>
          <w:p w14:paraId="40F7641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4578 (21.0)</w:t>
            </w:r>
          </w:p>
        </w:tc>
        <w:tc>
          <w:tcPr>
            <w:tcW w:w="2241" w:type="dxa"/>
            <w:vAlign w:val="center"/>
          </w:tcPr>
          <w:p w14:paraId="6DC6CD1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2661 (20.1)</w:t>
            </w:r>
          </w:p>
        </w:tc>
        <w:tc>
          <w:tcPr>
            <w:tcW w:w="1912" w:type="dxa"/>
            <w:vAlign w:val="center"/>
          </w:tcPr>
          <w:p w14:paraId="7EB7FC2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1917 (22.3)</w:t>
            </w:r>
          </w:p>
        </w:tc>
        <w:tc>
          <w:tcPr>
            <w:tcW w:w="1141" w:type="dxa"/>
            <w:vAlign w:val="center"/>
          </w:tcPr>
          <w:p w14:paraId="7351083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60874FE2" w14:textId="77777777">
        <w:tc>
          <w:tcPr>
            <w:tcW w:w="2627" w:type="dxa"/>
            <w:gridSpan w:val="2"/>
          </w:tcPr>
          <w:p w14:paraId="5F6998E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Anthropometric data</w:t>
            </w:r>
          </w:p>
        </w:tc>
        <w:tc>
          <w:tcPr>
            <w:tcW w:w="1439" w:type="dxa"/>
            <w:vAlign w:val="center"/>
          </w:tcPr>
          <w:p w14:paraId="711B59D0" w14:textId="77777777" w:rsidR="009F3374" w:rsidRDefault="009F3374">
            <w:pPr>
              <w:spacing w:line="360" w:lineRule="auto"/>
              <w:jc w:val="both"/>
              <w:rPr>
                <w:rFonts w:ascii="Book Antiqua" w:eastAsia="Book Antiqua" w:hAnsi="Book Antiqua" w:cs="Book Antiqua"/>
                <w:color w:val="000000"/>
              </w:rPr>
            </w:pPr>
          </w:p>
        </w:tc>
        <w:tc>
          <w:tcPr>
            <w:tcW w:w="2241" w:type="dxa"/>
            <w:vAlign w:val="center"/>
          </w:tcPr>
          <w:p w14:paraId="41516B7C" w14:textId="77777777" w:rsidR="009F3374" w:rsidRDefault="009F3374">
            <w:pPr>
              <w:spacing w:line="360" w:lineRule="auto"/>
              <w:jc w:val="both"/>
              <w:rPr>
                <w:rFonts w:ascii="Book Antiqua" w:eastAsia="Book Antiqua" w:hAnsi="Book Antiqua" w:cs="Book Antiqua"/>
                <w:color w:val="000000"/>
              </w:rPr>
            </w:pPr>
          </w:p>
        </w:tc>
        <w:tc>
          <w:tcPr>
            <w:tcW w:w="1912" w:type="dxa"/>
            <w:vAlign w:val="center"/>
          </w:tcPr>
          <w:p w14:paraId="6B9555AD" w14:textId="77777777" w:rsidR="009F3374" w:rsidRDefault="009F3374">
            <w:pPr>
              <w:spacing w:line="360" w:lineRule="auto"/>
              <w:jc w:val="both"/>
              <w:rPr>
                <w:rFonts w:ascii="Book Antiqua" w:eastAsia="Book Antiqua" w:hAnsi="Book Antiqua" w:cs="Book Antiqua"/>
                <w:color w:val="000000"/>
              </w:rPr>
            </w:pPr>
          </w:p>
        </w:tc>
        <w:tc>
          <w:tcPr>
            <w:tcW w:w="1141" w:type="dxa"/>
            <w:vAlign w:val="center"/>
          </w:tcPr>
          <w:p w14:paraId="5B04C1AF" w14:textId="77777777" w:rsidR="009F3374" w:rsidRDefault="009F3374">
            <w:pPr>
              <w:spacing w:line="360" w:lineRule="auto"/>
              <w:jc w:val="both"/>
              <w:rPr>
                <w:rFonts w:ascii="Book Antiqua" w:eastAsia="Book Antiqua" w:hAnsi="Book Antiqua" w:cs="Book Antiqua"/>
                <w:color w:val="000000"/>
              </w:rPr>
            </w:pPr>
          </w:p>
        </w:tc>
      </w:tr>
      <w:tr w:rsidR="009F3374" w14:paraId="51AF8FCE" w14:textId="77777777">
        <w:tc>
          <w:tcPr>
            <w:tcW w:w="240" w:type="dxa"/>
          </w:tcPr>
          <w:p w14:paraId="42106DDD"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0B538C2F"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Body weight (kg)</w:t>
            </w:r>
          </w:p>
        </w:tc>
        <w:tc>
          <w:tcPr>
            <w:tcW w:w="1439" w:type="dxa"/>
            <w:vAlign w:val="center"/>
          </w:tcPr>
          <w:p w14:paraId="1F3592D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64.08 ± 12.02</w:t>
            </w:r>
          </w:p>
        </w:tc>
        <w:tc>
          <w:tcPr>
            <w:tcW w:w="2241" w:type="dxa"/>
            <w:vAlign w:val="center"/>
          </w:tcPr>
          <w:p w14:paraId="654ED23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63.52 ± 11.83</w:t>
            </w:r>
          </w:p>
        </w:tc>
        <w:tc>
          <w:tcPr>
            <w:tcW w:w="1912" w:type="dxa"/>
            <w:vAlign w:val="center"/>
          </w:tcPr>
          <w:p w14:paraId="1BE363D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64.94 ± 12.26</w:t>
            </w:r>
          </w:p>
        </w:tc>
        <w:tc>
          <w:tcPr>
            <w:tcW w:w="1141" w:type="dxa"/>
            <w:vAlign w:val="center"/>
          </w:tcPr>
          <w:p w14:paraId="7D7A237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69EE590C" w14:textId="77777777">
        <w:tc>
          <w:tcPr>
            <w:tcW w:w="240" w:type="dxa"/>
          </w:tcPr>
          <w:p w14:paraId="572CAA2D"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6789601B"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Height (cm)</w:t>
            </w:r>
          </w:p>
        </w:tc>
        <w:tc>
          <w:tcPr>
            <w:tcW w:w="1439" w:type="dxa"/>
            <w:vAlign w:val="center"/>
          </w:tcPr>
          <w:p w14:paraId="1C38CAE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163.65 ± 8.23</w:t>
            </w:r>
          </w:p>
        </w:tc>
        <w:tc>
          <w:tcPr>
            <w:tcW w:w="2241" w:type="dxa"/>
            <w:vAlign w:val="center"/>
          </w:tcPr>
          <w:p w14:paraId="49CC79E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163.48 ± 8.26</w:t>
            </w:r>
          </w:p>
        </w:tc>
        <w:tc>
          <w:tcPr>
            <w:tcW w:w="1912" w:type="dxa"/>
            <w:vAlign w:val="center"/>
          </w:tcPr>
          <w:p w14:paraId="446E3E8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163.90 ± 8.18</w:t>
            </w:r>
          </w:p>
        </w:tc>
        <w:tc>
          <w:tcPr>
            <w:tcW w:w="1141" w:type="dxa"/>
            <w:vAlign w:val="center"/>
          </w:tcPr>
          <w:p w14:paraId="5462B60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&lt; </w:t>
            </w:r>
            <w:r>
              <w:rPr>
                <w:rFonts w:ascii="Book Antiqua" w:eastAsia="Book Antiqua" w:hAnsi="Book Antiqua" w:cs="Book Antiqua"/>
                <w:color w:val="000000"/>
              </w:rPr>
              <w:t>0.001</w:t>
            </w:r>
          </w:p>
        </w:tc>
      </w:tr>
      <w:tr w:rsidR="009F3374" w14:paraId="3AA2E9EC" w14:textId="77777777">
        <w:tc>
          <w:tcPr>
            <w:tcW w:w="240" w:type="dxa"/>
          </w:tcPr>
          <w:p w14:paraId="77DB2322"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2CDFC045"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BMI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tc>
        <w:tc>
          <w:tcPr>
            <w:tcW w:w="1439" w:type="dxa"/>
            <w:vAlign w:val="center"/>
          </w:tcPr>
          <w:p w14:paraId="1EDFE6B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23.81 ± 3.37</w:t>
            </w:r>
          </w:p>
        </w:tc>
        <w:tc>
          <w:tcPr>
            <w:tcW w:w="2241" w:type="dxa"/>
            <w:vAlign w:val="center"/>
          </w:tcPr>
          <w:p w14:paraId="0EA2D78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23.65 ± 3.33</w:t>
            </w:r>
          </w:p>
        </w:tc>
        <w:tc>
          <w:tcPr>
            <w:tcW w:w="1912" w:type="dxa"/>
            <w:vAlign w:val="center"/>
          </w:tcPr>
          <w:p w14:paraId="1833B9E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24.05 ± 3.41</w:t>
            </w:r>
          </w:p>
        </w:tc>
        <w:tc>
          <w:tcPr>
            <w:tcW w:w="1141" w:type="dxa"/>
            <w:vAlign w:val="center"/>
          </w:tcPr>
          <w:p w14:paraId="136F948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314629BC" w14:textId="77777777">
        <w:tc>
          <w:tcPr>
            <w:tcW w:w="240" w:type="dxa"/>
          </w:tcPr>
          <w:p w14:paraId="16F4D083"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48EFF9E5"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SBP (mmHg)</w:t>
            </w:r>
          </w:p>
        </w:tc>
        <w:tc>
          <w:tcPr>
            <w:tcW w:w="1439" w:type="dxa"/>
            <w:vAlign w:val="center"/>
          </w:tcPr>
          <w:p w14:paraId="3952AAE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117.43 ± 17.08</w:t>
            </w:r>
          </w:p>
        </w:tc>
        <w:tc>
          <w:tcPr>
            <w:tcW w:w="2241" w:type="dxa"/>
            <w:vAlign w:val="center"/>
          </w:tcPr>
          <w:p w14:paraId="3372F1D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117.28 ± 16.92</w:t>
            </w:r>
          </w:p>
        </w:tc>
        <w:tc>
          <w:tcPr>
            <w:tcW w:w="1912" w:type="dxa"/>
            <w:vAlign w:val="center"/>
          </w:tcPr>
          <w:p w14:paraId="5BB4154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117.67 ± 17.31</w:t>
            </w:r>
          </w:p>
        </w:tc>
        <w:tc>
          <w:tcPr>
            <w:tcW w:w="1141" w:type="dxa"/>
            <w:vAlign w:val="center"/>
          </w:tcPr>
          <w:p w14:paraId="26A2092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0.099</w:t>
            </w:r>
          </w:p>
        </w:tc>
      </w:tr>
      <w:tr w:rsidR="009F3374" w14:paraId="5C9D0A3F" w14:textId="77777777">
        <w:tc>
          <w:tcPr>
            <w:tcW w:w="240" w:type="dxa"/>
          </w:tcPr>
          <w:p w14:paraId="6BBBE1D8"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21D3FF6D"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DBP (mmHg)</w:t>
            </w:r>
          </w:p>
        </w:tc>
        <w:tc>
          <w:tcPr>
            <w:tcW w:w="1439" w:type="dxa"/>
            <w:vAlign w:val="center"/>
          </w:tcPr>
          <w:p w14:paraId="5CFAB80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72.86 ± 11.39</w:t>
            </w:r>
          </w:p>
        </w:tc>
        <w:tc>
          <w:tcPr>
            <w:tcW w:w="2241" w:type="dxa"/>
            <w:vAlign w:val="center"/>
          </w:tcPr>
          <w:p w14:paraId="197411E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72.76 ± 11.24</w:t>
            </w:r>
          </w:p>
        </w:tc>
        <w:tc>
          <w:tcPr>
            <w:tcW w:w="1912" w:type="dxa"/>
            <w:vAlign w:val="center"/>
          </w:tcPr>
          <w:p w14:paraId="14DEDD4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73.01 ± 11.62</w:t>
            </w:r>
          </w:p>
        </w:tc>
        <w:tc>
          <w:tcPr>
            <w:tcW w:w="1141" w:type="dxa"/>
            <w:vAlign w:val="center"/>
          </w:tcPr>
          <w:p w14:paraId="44DC906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0.109</w:t>
            </w:r>
          </w:p>
        </w:tc>
      </w:tr>
      <w:tr w:rsidR="009F3374" w14:paraId="3129889D" w14:textId="77777777">
        <w:tc>
          <w:tcPr>
            <w:tcW w:w="2627" w:type="dxa"/>
            <w:gridSpan w:val="2"/>
          </w:tcPr>
          <w:p w14:paraId="0F9F07A1"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Laboratory data</w:t>
            </w:r>
          </w:p>
        </w:tc>
        <w:tc>
          <w:tcPr>
            <w:tcW w:w="1439" w:type="dxa"/>
            <w:vAlign w:val="center"/>
          </w:tcPr>
          <w:p w14:paraId="62F45ED0" w14:textId="77777777" w:rsidR="009F3374" w:rsidRDefault="009F3374">
            <w:pPr>
              <w:spacing w:line="360" w:lineRule="auto"/>
              <w:jc w:val="both"/>
              <w:rPr>
                <w:rFonts w:ascii="Book Antiqua" w:eastAsia="Book Antiqua" w:hAnsi="Book Antiqua" w:cs="Book Antiqua"/>
                <w:color w:val="000000"/>
              </w:rPr>
            </w:pPr>
          </w:p>
        </w:tc>
        <w:tc>
          <w:tcPr>
            <w:tcW w:w="2241" w:type="dxa"/>
            <w:vAlign w:val="center"/>
          </w:tcPr>
          <w:p w14:paraId="53E63BA9" w14:textId="77777777" w:rsidR="009F3374" w:rsidRDefault="009F3374">
            <w:pPr>
              <w:spacing w:line="360" w:lineRule="auto"/>
              <w:jc w:val="both"/>
              <w:rPr>
                <w:rFonts w:ascii="Book Antiqua" w:eastAsia="Book Antiqua" w:hAnsi="Book Antiqua" w:cs="Book Antiqua"/>
                <w:color w:val="000000"/>
              </w:rPr>
            </w:pPr>
          </w:p>
        </w:tc>
        <w:tc>
          <w:tcPr>
            <w:tcW w:w="1912" w:type="dxa"/>
            <w:vAlign w:val="center"/>
          </w:tcPr>
          <w:p w14:paraId="428BA407" w14:textId="77777777" w:rsidR="009F3374" w:rsidRDefault="009F3374">
            <w:pPr>
              <w:spacing w:line="360" w:lineRule="auto"/>
              <w:jc w:val="both"/>
              <w:rPr>
                <w:rFonts w:ascii="Book Antiqua" w:eastAsia="Book Antiqua" w:hAnsi="Book Antiqua" w:cs="Book Antiqua"/>
                <w:color w:val="000000"/>
              </w:rPr>
            </w:pPr>
          </w:p>
        </w:tc>
        <w:tc>
          <w:tcPr>
            <w:tcW w:w="1141" w:type="dxa"/>
            <w:vAlign w:val="center"/>
          </w:tcPr>
          <w:p w14:paraId="02206E06" w14:textId="77777777" w:rsidR="009F3374" w:rsidRDefault="009F3374">
            <w:pPr>
              <w:spacing w:line="360" w:lineRule="auto"/>
              <w:jc w:val="both"/>
              <w:rPr>
                <w:rFonts w:ascii="Book Antiqua" w:eastAsia="Book Antiqua" w:hAnsi="Book Antiqua" w:cs="Book Antiqua"/>
                <w:color w:val="000000"/>
              </w:rPr>
            </w:pPr>
          </w:p>
        </w:tc>
      </w:tr>
      <w:tr w:rsidR="009F3374" w14:paraId="348E8BB2" w14:textId="77777777">
        <w:trPr>
          <w:trHeight w:val="633"/>
        </w:trPr>
        <w:tc>
          <w:tcPr>
            <w:tcW w:w="240" w:type="dxa"/>
          </w:tcPr>
          <w:p w14:paraId="216ABDDD"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17029510"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ALT (U/L)</w:t>
            </w:r>
          </w:p>
        </w:tc>
        <w:tc>
          <w:tcPr>
            <w:tcW w:w="1439" w:type="dxa"/>
            <w:vAlign w:val="center"/>
          </w:tcPr>
          <w:p w14:paraId="591D4F1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(16, 36)</w:t>
            </w:r>
          </w:p>
        </w:tc>
        <w:tc>
          <w:tcPr>
            <w:tcW w:w="2241" w:type="dxa"/>
            <w:vAlign w:val="center"/>
          </w:tcPr>
          <w:p w14:paraId="5471169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(16, 36)</w:t>
            </w:r>
          </w:p>
        </w:tc>
        <w:tc>
          <w:tcPr>
            <w:tcW w:w="1912" w:type="dxa"/>
            <w:vAlign w:val="center"/>
          </w:tcPr>
          <w:p w14:paraId="117CF09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color w:val="000000"/>
              </w:rPr>
              <w:t>(16, 38)</w:t>
            </w:r>
          </w:p>
        </w:tc>
        <w:tc>
          <w:tcPr>
            <w:tcW w:w="1141" w:type="dxa"/>
            <w:vAlign w:val="center"/>
          </w:tcPr>
          <w:p w14:paraId="0126476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01147613" w14:textId="77777777">
        <w:tc>
          <w:tcPr>
            <w:tcW w:w="240" w:type="dxa"/>
          </w:tcPr>
          <w:p w14:paraId="5B91EB81"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08048FEB"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AST (U/L)</w:t>
            </w:r>
          </w:p>
        </w:tc>
        <w:tc>
          <w:tcPr>
            <w:tcW w:w="1439" w:type="dxa"/>
            <w:vAlign w:val="center"/>
          </w:tcPr>
          <w:p w14:paraId="3211D04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27.20 ± 19.03</w:t>
            </w:r>
          </w:p>
        </w:tc>
        <w:tc>
          <w:tcPr>
            <w:tcW w:w="2241" w:type="dxa"/>
            <w:vAlign w:val="center"/>
          </w:tcPr>
          <w:p w14:paraId="707056E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27.26 ± 21.89</w:t>
            </w:r>
          </w:p>
        </w:tc>
        <w:tc>
          <w:tcPr>
            <w:tcW w:w="1912" w:type="dxa"/>
            <w:vAlign w:val="center"/>
          </w:tcPr>
          <w:p w14:paraId="20C3130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27.10 ± 13.47</w:t>
            </w:r>
          </w:p>
        </w:tc>
        <w:tc>
          <w:tcPr>
            <w:tcW w:w="1141" w:type="dxa"/>
            <w:vAlign w:val="center"/>
          </w:tcPr>
          <w:p w14:paraId="76BE642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0.530</w:t>
            </w:r>
          </w:p>
        </w:tc>
      </w:tr>
      <w:tr w:rsidR="009F3374" w14:paraId="31247BD7" w14:textId="77777777">
        <w:tc>
          <w:tcPr>
            <w:tcW w:w="240" w:type="dxa"/>
          </w:tcPr>
          <w:p w14:paraId="090264FD"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3BE8E639"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GGT (U/L)</w:t>
            </w:r>
          </w:p>
        </w:tc>
        <w:tc>
          <w:tcPr>
            <w:tcW w:w="1439" w:type="dxa"/>
            <w:vAlign w:val="center"/>
          </w:tcPr>
          <w:p w14:paraId="70D4F36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(15, 42)</w:t>
            </w:r>
          </w:p>
        </w:tc>
        <w:tc>
          <w:tcPr>
            <w:tcW w:w="2241" w:type="dxa"/>
            <w:vAlign w:val="center"/>
          </w:tcPr>
          <w:p w14:paraId="348AC51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(15, 41)</w:t>
            </w:r>
          </w:p>
        </w:tc>
        <w:tc>
          <w:tcPr>
            <w:tcW w:w="1912" w:type="dxa"/>
            <w:vAlign w:val="center"/>
          </w:tcPr>
          <w:p w14:paraId="4AB78A7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(15, 45)</w:t>
            </w:r>
          </w:p>
        </w:tc>
        <w:tc>
          <w:tcPr>
            <w:tcW w:w="1141" w:type="dxa"/>
            <w:vAlign w:val="center"/>
          </w:tcPr>
          <w:p w14:paraId="7E48279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38604998" w14:textId="77777777">
        <w:tc>
          <w:tcPr>
            <w:tcW w:w="240" w:type="dxa"/>
          </w:tcPr>
          <w:p w14:paraId="5FAFBDCC"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74111B04"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Creatinine (μmol/L)</w:t>
            </w:r>
          </w:p>
        </w:tc>
        <w:tc>
          <w:tcPr>
            <w:tcW w:w="1439" w:type="dxa"/>
            <w:vAlign w:val="center"/>
          </w:tcPr>
          <w:p w14:paraId="4F46557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67.24 ± 21.41</w:t>
            </w:r>
          </w:p>
        </w:tc>
        <w:tc>
          <w:tcPr>
            <w:tcW w:w="2241" w:type="dxa"/>
            <w:vAlign w:val="center"/>
          </w:tcPr>
          <w:p w14:paraId="5849E7E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67.01 ± 23.54</w:t>
            </w:r>
          </w:p>
        </w:tc>
        <w:tc>
          <w:tcPr>
            <w:tcW w:w="1912" w:type="dxa"/>
            <w:vAlign w:val="center"/>
          </w:tcPr>
          <w:p w14:paraId="2651BCA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67.58 ± 17.62</w:t>
            </w:r>
          </w:p>
        </w:tc>
        <w:tc>
          <w:tcPr>
            <w:tcW w:w="1141" w:type="dxa"/>
            <w:vAlign w:val="center"/>
          </w:tcPr>
          <w:p w14:paraId="28BEBCD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0.058</w:t>
            </w:r>
          </w:p>
        </w:tc>
      </w:tr>
      <w:tr w:rsidR="009F3374" w14:paraId="4653F36B" w14:textId="77777777">
        <w:tc>
          <w:tcPr>
            <w:tcW w:w="240" w:type="dxa"/>
          </w:tcPr>
          <w:p w14:paraId="60F427DB"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11A9DC05"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Fasting glucose (mmol/L)</w:t>
            </w:r>
          </w:p>
        </w:tc>
        <w:tc>
          <w:tcPr>
            <w:tcW w:w="1439" w:type="dxa"/>
            <w:vAlign w:val="center"/>
          </w:tcPr>
          <w:p w14:paraId="3C6A6F0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5.11 ± 1.33</w:t>
            </w:r>
          </w:p>
        </w:tc>
        <w:tc>
          <w:tcPr>
            <w:tcW w:w="2241" w:type="dxa"/>
            <w:vAlign w:val="center"/>
          </w:tcPr>
          <w:p w14:paraId="5A3236C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5.07 ± </w:t>
            </w:r>
            <w:r>
              <w:rPr>
                <w:rFonts w:ascii="Book Antiqua" w:eastAsia="Book Antiqua" w:hAnsi="Book Antiqua" w:cs="Book Antiqua"/>
                <w:color w:val="000000"/>
              </w:rPr>
              <w:t>1.24</w:t>
            </w:r>
          </w:p>
        </w:tc>
        <w:tc>
          <w:tcPr>
            <w:tcW w:w="1912" w:type="dxa"/>
            <w:vAlign w:val="center"/>
          </w:tcPr>
          <w:p w14:paraId="536B9AC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5.16 ± 1.46</w:t>
            </w:r>
          </w:p>
        </w:tc>
        <w:tc>
          <w:tcPr>
            <w:tcW w:w="1141" w:type="dxa"/>
            <w:vAlign w:val="center"/>
          </w:tcPr>
          <w:p w14:paraId="621E7AA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4BDFAED1" w14:textId="77777777">
        <w:tc>
          <w:tcPr>
            <w:tcW w:w="240" w:type="dxa"/>
          </w:tcPr>
          <w:p w14:paraId="1DAE23CB"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3C9FE702"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HbA1c (%)</w:t>
            </w:r>
          </w:p>
        </w:tc>
        <w:tc>
          <w:tcPr>
            <w:tcW w:w="1439" w:type="dxa"/>
            <w:vAlign w:val="center"/>
          </w:tcPr>
          <w:p w14:paraId="5D6DFD6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5.54 ± 0.79</w:t>
            </w:r>
          </w:p>
        </w:tc>
        <w:tc>
          <w:tcPr>
            <w:tcW w:w="2241" w:type="dxa"/>
            <w:vAlign w:val="center"/>
          </w:tcPr>
          <w:p w14:paraId="5F9F7C2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5.51 ± 0.74</w:t>
            </w:r>
          </w:p>
        </w:tc>
        <w:tc>
          <w:tcPr>
            <w:tcW w:w="1912" w:type="dxa"/>
            <w:vAlign w:val="center"/>
          </w:tcPr>
          <w:p w14:paraId="046A202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5.58 ± 0.87</w:t>
            </w:r>
          </w:p>
        </w:tc>
        <w:tc>
          <w:tcPr>
            <w:tcW w:w="1141" w:type="dxa"/>
            <w:vAlign w:val="center"/>
          </w:tcPr>
          <w:p w14:paraId="765F94E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28C1DE46" w14:textId="77777777">
        <w:tc>
          <w:tcPr>
            <w:tcW w:w="240" w:type="dxa"/>
          </w:tcPr>
          <w:p w14:paraId="5F42668F"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1165659A"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Total cholesterol (mmol/L)</w:t>
            </w:r>
          </w:p>
        </w:tc>
        <w:tc>
          <w:tcPr>
            <w:tcW w:w="1439" w:type="dxa"/>
            <w:vAlign w:val="center"/>
          </w:tcPr>
          <w:p w14:paraId="79F77CC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4.86 ± 0.95</w:t>
            </w:r>
          </w:p>
        </w:tc>
        <w:tc>
          <w:tcPr>
            <w:tcW w:w="2241" w:type="dxa"/>
            <w:vAlign w:val="center"/>
          </w:tcPr>
          <w:p w14:paraId="267A516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4.84 ± 0.94</w:t>
            </w:r>
          </w:p>
        </w:tc>
        <w:tc>
          <w:tcPr>
            <w:tcW w:w="1912" w:type="dxa"/>
            <w:vAlign w:val="center"/>
          </w:tcPr>
          <w:p w14:paraId="3D91D35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4.89 ± 0.96</w:t>
            </w:r>
          </w:p>
        </w:tc>
        <w:tc>
          <w:tcPr>
            <w:tcW w:w="1141" w:type="dxa"/>
            <w:vAlign w:val="center"/>
          </w:tcPr>
          <w:p w14:paraId="1E65217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53F36B5C" w14:textId="77777777">
        <w:tc>
          <w:tcPr>
            <w:tcW w:w="240" w:type="dxa"/>
          </w:tcPr>
          <w:p w14:paraId="3078E990"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29A513C1"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Triglycerides (mmol/L)</w:t>
            </w:r>
          </w:p>
        </w:tc>
        <w:tc>
          <w:tcPr>
            <w:tcW w:w="1439" w:type="dxa"/>
            <w:vAlign w:val="center"/>
          </w:tcPr>
          <w:p w14:paraId="3CF38FC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1.38 (0.95, 2.08)</w:t>
            </w:r>
          </w:p>
        </w:tc>
        <w:tc>
          <w:tcPr>
            <w:tcW w:w="2241" w:type="dxa"/>
            <w:vAlign w:val="center"/>
          </w:tcPr>
          <w:p w14:paraId="66E0B09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1.67 (1.15, 2.45)</w:t>
            </w:r>
          </w:p>
        </w:tc>
        <w:tc>
          <w:tcPr>
            <w:tcW w:w="1912" w:type="dxa"/>
            <w:vAlign w:val="center"/>
          </w:tcPr>
          <w:p w14:paraId="54E494F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1.09 (0.80, 1.56)</w:t>
            </w:r>
          </w:p>
        </w:tc>
        <w:tc>
          <w:tcPr>
            <w:tcW w:w="1141" w:type="dxa"/>
            <w:vAlign w:val="center"/>
          </w:tcPr>
          <w:p w14:paraId="60345D7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06B3DE34" w14:textId="77777777">
        <w:tc>
          <w:tcPr>
            <w:tcW w:w="240" w:type="dxa"/>
          </w:tcPr>
          <w:p w14:paraId="3C6A984A"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60612FFD"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LDL-C </w:t>
            </w:r>
            <w:r>
              <w:rPr>
                <w:rFonts w:ascii="Book Antiqua" w:eastAsia="Book Antiqua" w:hAnsi="Book Antiqua" w:cs="Book Antiqua"/>
                <w:color w:val="000000"/>
              </w:rPr>
              <w:t>(mmol/L)</w:t>
            </w:r>
          </w:p>
        </w:tc>
        <w:tc>
          <w:tcPr>
            <w:tcW w:w="1439" w:type="dxa"/>
            <w:vAlign w:val="center"/>
          </w:tcPr>
          <w:p w14:paraId="0B7AE65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2.87 ± 0.81</w:t>
            </w:r>
          </w:p>
        </w:tc>
        <w:tc>
          <w:tcPr>
            <w:tcW w:w="2241" w:type="dxa"/>
            <w:vAlign w:val="center"/>
          </w:tcPr>
          <w:p w14:paraId="04E33A8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2.86 ± 0.81</w:t>
            </w:r>
          </w:p>
        </w:tc>
        <w:tc>
          <w:tcPr>
            <w:tcW w:w="1912" w:type="dxa"/>
            <w:vAlign w:val="center"/>
          </w:tcPr>
          <w:p w14:paraId="1C48F2E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2.90 ± 0.83</w:t>
            </w:r>
          </w:p>
        </w:tc>
        <w:tc>
          <w:tcPr>
            <w:tcW w:w="1141" w:type="dxa"/>
            <w:vAlign w:val="center"/>
          </w:tcPr>
          <w:p w14:paraId="359A978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5E4BEED5" w14:textId="77777777">
        <w:tc>
          <w:tcPr>
            <w:tcW w:w="240" w:type="dxa"/>
          </w:tcPr>
          <w:p w14:paraId="3D60214B"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Pr>
          <w:p w14:paraId="2BEA2120"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HDL-C (mmol/L)</w:t>
            </w:r>
          </w:p>
        </w:tc>
        <w:tc>
          <w:tcPr>
            <w:tcW w:w="1439" w:type="dxa"/>
            <w:vAlign w:val="center"/>
          </w:tcPr>
          <w:p w14:paraId="50058B2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1.33 ± 0.33</w:t>
            </w:r>
          </w:p>
        </w:tc>
        <w:tc>
          <w:tcPr>
            <w:tcW w:w="2241" w:type="dxa"/>
            <w:vAlign w:val="center"/>
          </w:tcPr>
          <w:p w14:paraId="7FB8891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1.33 ± 0.33</w:t>
            </w:r>
          </w:p>
        </w:tc>
        <w:tc>
          <w:tcPr>
            <w:tcW w:w="1912" w:type="dxa"/>
            <w:vAlign w:val="center"/>
          </w:tcPr>
          <w:p w14:paraId="6571534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1.31 ± 0.33</w:t>
            </w:r>
          </w:p>
        </w:tc>
        <w:tc>
          <w:tcPr>
            <w:tcW w:w="1141" w:type="dxa"/>
            <w:vAlign w:val="center"/>
          </w:tcPr>
          <w:p w14:paraId="4795F10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617EF579" w14:textId="77777777">
        <w:tc>
          <w:tcPr>
            <w:tcW w:w="240" w:type="dxa"/>
            <w:tcBorders>
              <w:bottom w:val="single" w:sz="8" w:space="0" w:color="000000"/>
            </w:tcBorders>
          </w:tcPr>
          <w:p w14:paraId="22164D0E" w14:textId="77777777" w:rsidR="009F3374" w:rsidRDefault="009F3374">
            <w:pPr>
              <w:spacing w:line="360" w:lineRule="auto"/>
              <w:ind w:firstLine="240"/>
              <w:jc w:val="both"/>
              <w:rPr>
                <w:rFonts w:ascii="Book Antiqua" w:eastAsia="Book Antiqua" w:hAnsi="Book Antiqua" w:cs="Book Antiqua"/>
                <w:color w:val="000000"/>
              </w:rPr>
            </w:pPr>
          </w:p>
        </w:tc>
        <w:tc>
          <w:tcPr>
            <w:tcW w:w="2387" w:type="dxa"/>
            <w:tcBorders>
              <w:bottom w:val="single" w:sz="8" w:space="0" w:color="000000"/>
            </w:tcBorders>
          </w:tcPr>
          <w:p w14:paraId="4C96C63C" w14:textId="77777777" w:rsidR="009F3374" w:rsidRDefault="00ED047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Uric acid (μmol/L)</w:t>
            </w:r>
          </w:p>
        </w:tc>
        <w:tc>
          <w:tcPr>
            <w:tcW w:w="1439" w:type="dxa"/>
            <w:tcBorders>
              <w:bottom w:val="single" w:sz="8" w:space="0" w:color="000000"/>
            </w:tcBorders>
            <w:vAlign w:val="center"/>
          </w:tcPr>
          <w:p w14:paraId="4F3FD5D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345.40 ± 90.58</w:t>
            </w:r>
          </w:p>
        </w:tc>
        <w:tc>
          <w:tcPr>
            <w:tcW w:w="2241" w:type="dxa"/>
            <w:tcBorders>
              <w:bottom w:val="single" w:sz="8" w:space="0" w:color="000000"/>
            </w:tcBorders>
            <w:vAlign w:val="center"/>
          </w:tcPr>
          <w:p w14:paraId="5EFAB3F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343.64 ± 90.40</w:t>
            </w:r>
          </w:p>
        </w:tc>
        <w:tc>
          <w:tcPr>
            <w:tcW w:w="1912" w:type="dxa"/>
            <w:tcBorders>
              <w:bottom w:val="single" w:sz="8" w:space="0" w:color="000000"/>
            </w:tcBorders>
            <w:vAlign w:val="center"/>
          </w:tcPr>
          <w:p w14:paraId="52D6693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348.11 ± 90.80</w:t>
            </w:r>
          </w:p>
        </w:tc>
        <w:tc>
          <w:tcPr>
            <w:tcW w:w="1141" w:type="dxa"/>
            <w:tcBorders>
              <w:bottom w:val="single" w:sz="8" w:space="0" w:color="000000"/>
            </w:tcBorders>
            <w:vAlign w:val="center"/>
          </w:tcPr>
          <w:p w14:paraId="06901B9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bl>
    <w:p w14:paraId="5E9C14B2" w14:textId="77777777" w:rsidR="009F3374" w:rsidRDefault="00ED0470">
      <w:pPr>
        <w:spacing w:line="360" w:lineRule="auto"/>
        <w:jc w:val="both"/>
        <w:rPr>
          <w:rFonts w:ascii="Book Antiqua" w:eastAsia="Book Antiqua" w:hAnsi="Book Antiqua" w:cs="Book Antiqua"/>
          <w:color w:val="000000"/>
        </w:rPr>
        <w:sectPr w:rsidR="009F3374">
          <w:pgSz w:w="12240" w:h="15840"/>
          <w:pgMar w:top="1440" w:right="1440" w:bottom="1440" w:left="1440" w:header="720" w:footer="720" w:gutter="0"/>
          <w:cols w:space="720"/>
        </w:sectPr>
      </w:pPr>
      <w:r>
        <w:rPr>
          <w:rFonts w:ascii="Book Antiqua" w:eastAsia="Book Antiqua" w:hAnsi="Book Antiqua" w:cs="Book Antiqua"/>
          <w:i/>
          <w:color w:val="000000"/>
        </w:rPr>
        <w:t>H. pylori</w:t>
      </w:r>
      <w:r>
        <w:rPr>
          <w:rFonts w:ascii="Book Antiqua" w:eastAsia="Book Antiqua" w:hAnsi="Book Antiqua" w:cs="Book Antiqua"/>
          <w:color w:val="000000"/>
        </w:rPr>
        <w:t xml:space="preserv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BMI: Body mass index; SBP: </w:t>
      </w:r>
      <w:r>
        <w:rPr>
          <w:rFonts w:ascii="Book Antiqua" w:eastAsia="Book Antiqua" w:hAnsi="Book Antiqua" w:cs="Book Antiqua"/>
          <w:color w:val="000000"/>
        </w:rPr>
        <w:t>Systolic pressure; DBP: Diastolic pressure; ALT: Alanine aminotransferase; AST: Aspartate aminotransferase; GGT: Gamma-glutamyl transpeptidase; HbA1c: Hemoglobin A1c; LDL-C: Low-density lipoprotein cholesterol; HDL-C: High-density lipoprotein cholesterol.</w:t>
      </w:r>
    </w:p>
    <w:p w14:paraId="24D2E687"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Table 2 </w:t>
      </w:r>
      <w:r>
        <w:rPr>
          <w:rFonts w:ascii="Book Antiqua" w:eastAsia="Book Antiqua" w:hAnsi="Book Antiqua" w:cs="Book Antiqua"/>
          <w:b/>
          <w:color w:val="000000"/>
        </w:rPr>
        <w:t>Prevalence of</w:t>
      </w:r>
      <w:r>
        <w:rPr>
          <w:rFonts w:ascii="Book Antiqua" w:eastAsia="Book Antiqua" w:hAnsi="Book Antiqua" w:cs="Book Antiqua"/>
          <w:b/>
          <w:i/>
          <w:color w:val="000000"/>
        </w:rPr>
        <w:t xml:space="preserve"> Helicobacter pylori</w:t>
      </w:r>
      <w:r>
        <w:rPr>
          <w:rFonts w:ascii="Book Antiqua" w:eastAsia="Book Antiqua" w:hAnsi="Book Antiqua" w:cs="Book Antiqua"/>
          <w:b/>
          <w:color w:val="000000"/>
        </w:rPr>
        <w:t xml:space="preserve"> infection and food-specific immunoglobulin G positivity in different age groups</w:t>
      </w:r>
    </w:p>
    <w:tbl>
      <w:tblPr>
        <w:tblStyle w:val="Style12"/>
        <w:tblW w:w="9360" w:type="dxa"/>
        <w:tblLayout w:type="fixed"/>
        <w:tblLook w:val="04A0" w:firstRow="1" w:lastRow="0" w:firstColumn="1" w:lastColumn="0" w:noHBand="0" w:noVBand="1"/>
      </w:tblPr>
      <w:tblGrid>
        <w:gridCol w:w="1299"/>
        <w:gridCol w:w="1791"/>
        <w:gridCol w:w="2377"/>
        <w:gridCol w:w="1385"/>
        <w:gridCol w:w="1254"/>
        <w:gridCol w:w="1254"/>
      </w:tblGrid>
      <w:tr w:rsidR="009F3374" w14:paraId="6B4BE970" w14:textId="77777777">
        <w:trPr>
          <w:trHeight w:val="314"/>
        </w:trPr>
        <w:tc>
          <w:tcPr>
            <w:tcW w:w="1299" w:type="dxa"/>
            <w:vMerge w:val="restart"/>
            <w:tcBorders>
              <w:top w:val="single" w:sz="8" w:space="0" w:color="000000"/>
            </w:tcBorders>
            <w:shd w:val="clear" w:color="auto" w:fill="auto"/>
          </w:tcPr>
          <w:p w14:paraId="49E2982B"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Age in yr</w:t>
            </w:r>
          </w:p>
        </w:tc>
        <w:tc>
          <w:tcPr>
            <w:tcW w:w="1791" w:type="dxa"/>
            <w:vMerge w:val="restart"/>
            <w:tcBorders>
              <w:top w:val="single" w:sz="8" w:space="0" w:color="000000"/>
            </w:tcBorders>
            <w:shd w:val="clear" w:color="auto" w:fill="auto"/>
          </w:tcPr>
          <w:p w14:paraId="14F47C45"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Number (</w:t>
            </w:r>
          </w:p>
        </w:tc>
        <w:tc>
          <w:tcPr>
            <w:tcW w:w="2377" w:type="dxa"/>
            <w:vMerge w:val="restart"/>
            <w:tcBorders>
              <w:top w:val="single" w:sz="8" w:space="0" w:color="000000"/>
            </w:tcBorders>
            <w:shd w:val="clear" w:color="auto" w:fill="auto"/>
          </w:tcPr>
          <w:p w14:paraId="025023F5"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H. pylori</w:t>
            </w:r>
            <w:r>
              <w:rPr>
                <w:rFonts w:ascii="Book Antiqua" w:eastAsia="Book Antiqua" w:hAnsi="Book Antiqua" w:cs="Book Antiqua"/>
                <w:b/>
                <w:color w:val="000000"/>
              </w:rPr>
              <w:t xml:space="preserve"> infection, </w:t>
            </w:r>
            <w:r>
              <w:rPr>
                <w:rFonts w:ascii="Book Antiqua" w:eastAsia="Book Antiqua" w:hAnsi="Book Antiqua" w:cs="Book Antiqua"/>
                <w:b/>
                <w:i/>
                <w:color w:val="000000"/>
              </w:rPr>
              <w:t>n</w:t>
            </w:r>
            <w:r>
              <w:rPr>
                <w:rFonts w:ascii="Book Antiqua" w:eastAsia="Book Antiqua" w:hAnsi="Book Antiqua" w:cs="Book Antiqua"/>
                <w:b/>
                <w:color w:val="000000"/>
              </w:rPr>
              <w:t xml:space="preserve"> (%)</w:t>
            </w:r>
          </w:p>
        </w:tc>
        <w:tc>
          <w:tcPr>
            <w:tcW w:w="3893" w:type="dxa"/>
            <w:gridSpan w:val="3"/>
            <w:tcBorders>
              <w:top w:val="single" w:sz="8" w:space="0" w:color="000000"/>
            </w:tcBorders>
            <w:shd w:val="clear" w:color="auto" w:fill="auto"/>
          </w:tcPr>
          <w:p w14:paraId="57802D04"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Food-specific IgG positivity, </w:t>
            </w:r>
            <w:r>
              <w:rPr>
                <w:rFonts w:ascii="Book Antiqua" w:eastAsia="Book Antiqua" w:hAnsi="Book Antiqua" w:cs="Book Antiqua"/>
                <w:b/>
                <w:i/>
                <w:color w:val="000000"/>
              </w:rPr>
              <w:t xml:space="preserve">n </w:t>
            </w:r>
            <w:r>
              <w:rPr>
                <w:rFonts w:ascii="Book Antiqua" w:eastAsia="Book Antiqua" w:hAnsi="Book Antiqua" w:cs="Book Antiqua"/>
                <w:b/>
                <w:color w:val="000000"/>
              </w:rPr>
              <w:t>(%)</w:t>
            </w:r>
          </w:p>
        </w:tc>
      </w:tr>
      <w:tr w:rsidR="009F3374" w14:paraId="55491626" w14:textId="77777777">
        <w:tc>
          <w:tcPr>
            <w:tcW w:w="1299" w:type="dxa"/>
            <w:vMerge/>
            <w:tcBorders>
              <w:top w:val="single" w:sz="8" w:space="0" w:color="000000"/>
            </w:tcBorders>
            <w:shd w:val="clear" w:color="auto" w:fill="auto"/>
          </w:tcPr>
          <w:p w14:paraId="5A476F9D" w14:textId="77777777" w:rsidR="009F3374" w:rsidRDefault="009F3374">
            <w:pPr>
              <w:widowControl w:val="0"/>
              <w:spacing w:line="360" w:lineRule="auto"/>
              <w:jc w:val="both"/>
              <w:rPr>
                <w:rFonts w:ascii="Book Antiqua" w:eastAsia="Book Antiqua" w:hAnsi="Book Antiqua" w:cs="Book Antiqua"/>
                <w:b/>
                <w:color w:val="000000"/>
              </w:rPr>
            </w:pPr>
          </w:p>
        </w:tc>
        <w:tc>
          <w:tcPr>
            <w:tcW w:w="1791" w:type="dxa"/>
            <w:vMerge/>
            <w:tcBorders>
              <w:top w:val="single" w:sz="8" w:space="0" w:color="000000"/>
            </w:tcBorders>
            <w:shd w:val="clear" w:color="auto" w:fill="auto"/>
          </w:tcPr>
          <w:p w14:paraId="0191B2AE" w14:textId="77777777" w:rsidR="009F3374" w:rsidRDefault="009F3374">
            <w:pPr>
              <w:widowControl w:val="0"/>
              <w:spacing w:line="360" w:lineRule="auto"/>
              <w:jc w:val="both"/>
              <w:rPr>
                <w:rFonts w:ascii="Book Antiqua" w:eastAsia="Book Antiqua" w:hAnsi="Book Antiqua" w:cs="Book Antiqua"/>
                <w:b/>
                <w:color w:val="000000"/>
              </w:rPr>
            </w:pPr>
          </w:p>
        </w:tc>
        <w:tc>
          <w:tcPr>
            <w:tcW w:w="2377" w:type="dxa"/>
            <w:vMerge/>
            <w:tcBorders>
              <w:top w:val="single" w:sz="8" w:space="0" w:color="000000"/>
            </w:tcBorders>
            <w:shd w:val="clear" w:color="auto" w:fill="auto"/>
          </w:tcPr>
          <w:p w14:paraId="4D806C1E" w14:textId="77777777" w:rsidR="009F3374" w:rsidRDefault="009F3374">
            <w:pPr>
              <w:widowControl w:val="0"/>
              <w:spacing w:line="360" w:lineRule="auto"/>
              <w:jc w:val="both"/>
              <w:rPr>
                <w:rFonts w:ascii="Book Antiqua" w:eastAsia="Book Antiqua" w:hAnsi="Book Antiqua" w:cs="Book Antiqua"/>
                <w:b/>
                <w:color w:val="000000"/>
              </w:rPr>
            </w:pPr>
          </w:p>
        </w:tc>
        <w:tc>
          <w:tcPr>
            <w:tcW w:w="1385" w:type="dxa"/>
            <w:tcBorders>
              <w:top w:val="single" w:sz="8" w:space="0" w:color="000000"/>
              <w:bottom w:val="single" w:sz="8" w:space="0" w:color="000000"/>
            </w:tcBorders>
            <w:shd w:val="clear" w:color="auto" w:fill="auto"/>
          </w:tcPr>
          <w:p w14:paraId="52C08980"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egg</w:t>
            </w:r>
          </w:p>
        </w:tc>
        <w:tc>
          <w:tcPr>
            <w:tcW w:w="1254" w:type="dxa"/>
            <w:tcBorders>
              <w:top w:val="single" w:sz="8" w:space="0" w:color="000000"/>
              <w:bottom w:val="single" w:sz="8" w:space="0" w:color="000000"/>
            </w:tcBorders>
            <w:shd w:val="clear" w:color="auto" w:fill="auto"/>
          </w:tcPr>
          <w:p w14:paraId="3F67C732"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milk</w:t>
            </w:r>
          </w:p>
        </w:tc>
        <w:tc>
          <w:tcPr>
            <w:tcW w:w="1254" w:type="dxa"/>
            <w:tcBorders>
              <w:top w:val="single" w:sz="8" w:space="0" w:color="000000"/>
            </w:tcBorders>
            <w:shd w:val="clear" w:color="auto" w:fill="auto"/>
          </w:tcPr>
          <w:p w14:paraId="0B519EE3" w14:textId="77777777" w:rsidR="009F3374" w:rsidRDefault="00ED04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wheat</w:t>
            </w:r>
          </w:p>
        </w:tc>
      </w:tr>
      <w:tr w:rsidR="009F3374" w14:paraId="068BF779" w14:textId="77777777">
        <w:tc>
          <w:tcPr>
            <w:tcW w:w="9360" w:type="dxa"/>
            <w:gridSpan w:val="6"/>
            <w:tcBorders>
              <w:top w:val="single" w:sz="8" w:space="0" w:color="000000"/>
            </w:tcBorders>
          </w:tcPr>
          <w:p w14:paraId="6FE385A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Male</w:t>
            </w:r>
          </w:p>
        </w:tc>
      </w:tr>
      <w:tr w:rsidR="009F3374" w14:paraId="0D7DBA12" w14:textId="77777777">
        <w:tc>
          <w:tcPr>
            <w:tcW w:w="1299" w:type="dxa"/>
          </w:tcPr>
          <w:p w14:paraId="42A1844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18-29</w:t>
            </w:r>
          </w:p>
        </w:tc>
        <w:tc>
          <w:tcPr>
            <w:tcW w:w="1791" w:type="dxa"/>
          </w:tcPr>
          <w:p w14:paraId="495D18F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903</w:t>
            </w:r>
          </w:p>
        </w:tc>
        <w:tc>
          <w:tcPr>
            <w:tcW w:w="2377" w:type="dxa"/>
          </w:tcPr>
          <w:p w14:paraId="1392E4B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296 (32.8)</w:t>
            </w:r>
          </w:p>
        </w:tc>
        <w:tc>
          <w:tcPr>
            <w:tcW w:w="1385" w:type="dxa"/>
          </w:tcPr>
          <w:p w14:paraId="055E04E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409 (45.3)</w:t>
            </w:r>
          </w:p>
        </w:tc>
        <w:tc>
          <w:tcPr>
            <w:tcW w:w="1254" w:type="dxa"/>
          </w:tcPr>
          <w:p w14:paraId="02EF988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188 (20.8)</w:t>
            </w:r>
          </w:p>
        </w:tc>
        <w:tc>
          <w:tcPr>
            <w:tcW w:w="1254" w:type="dxa"/>
          </w:tcPr>
          <w:p w14:paraId="3CBBD8E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126 (14.0)</w:t>
            </w:r>
          </w:p>
        </w:tc>
      </w:tr>
      <w:tr w:rsidR="009F3374" w14:paraId="15EFC5E7" w14:textId="77777777">
        <w:tc>
          <w:tcPr>
            <w:tcW w:w="1299" w:type="dxa"/>
          </w:tcPr>
          <w:p w14:paraId="2B57F0F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30-39</w:t>
            </w:r>
          </w:p>
        </w:tc>
        <w:tc>
          <w:tcPr>
            <w:tcW w:w="1791" w:type="dxa"/>
          </w:tcPr>
          <w:p w14:paraId="67C44F4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3258</w:t>
            </w:r>
          </w:p>
        </w:tc>
        <w:tc>
          <w:tcPr>
            <w:tcW w:w="2377" w:type="dxa"/>
          </w:tcPr>
          <w:p w14:paraId="71225A4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1292 (39.7)</w:t>
            </w:r>
          </w:p>
        </w:tc>
        <w:tc>
          <w:tcPr>
            <w:tcW w:w="1385" w:type="dxa"/>
          </w:tcPr>
          <w:p w14:paraId="4DEEC09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858 (26.3)</w:t>
            </w:r>
          </w:p>
        </w:tc>
        <w:tc>
          <w:tcPr>
            <w:tcW w:w="1254" w:type="dxa"/>
          </w:tcPr>
          <w:p w14:paraId="5B60516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350 (10.7)</w:t>
            </w:r>
          </w:p>
        </w:tc>
        <w:tc>
          <w:tcPr>
            <w:tcW w:w="1254" w:type="dxa"/>
          </w:tcPr>
          <w:p w14:paraId="1920AF3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167 (5.1)</w:t>
            </w:r>
          </w:p>
        </w:tc>
      </w:tr>
      <w:tr w:rsidR="009F3374" w14:paraId="1590F61F" w14:textId="77777777">
        <w:tc>
          <w:tcPr>
            <w:tcW w:w="1299" w:type="dxa"/>
          </w:tcPr>
          <w:p w14:paraId="2A87E35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40-49</w:t>
            </w:r>
          </w:p>
        </w:tc>
        <w:tc>
          <w:tcPr>
            <w:tcW w:w="1791" w:type="dxa"/>
          </w:tcPr>
          <w:p w14:paraId="3A2A6CA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4714</w:t>
            </w:r>
          </w:p>
        </w:tc>
        <w:tc>
          <w:tcPr>
            <w:tcW w:w="2377" w:type="dxa"/>
          </w:tcPr>
          <w:p w14:paraId="08983FC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1835 (38.9)</w:t>
            </w:r>
          </w:p>
        </w:tc>
        <w:tc>
          <w:tcPr>
            <w:tcW w:w="1385" w:type="dxa"/>
          </w:tcPr>
          <w:p w14:paraId="53D2A23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746 (15.8)</w:t>
            </w:r>
          </w:p>
        </w:tc>
        <w:tc>
          <w:tcPr>
            <w:tcW w:w="1254" w:type="dxa"/>
          </w:tcPr>
          <w:p w14:paraId="52A5B5F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256 (5.4)</w:t>
            </w:r>
          </w:p>
        </w:tc>
        <w:tc>
          <w:tcPr>
            <w:tcW w:w="1254" w:type="dxa"/>
          </w:tcPr>
          <w:p w14:paraId="3A421E4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126 (2.7)</w:t>
            </w:r>
          </w:p>
        </w:tc>
      </w:tr>
      <w:tr w:rsidR="009F3374" w14:paraId="7F989B85" w14:textId="77777777">
        <w:tc>
          <w:tcPr>
            <w:tcW w:w="1299" w:type="dxa"/>
          </w:tcPr>
          <w:p w14:paraId="753EB2B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50</w:t>
            </w:r>
          </w:p>
        </w:tc>
        <w:tc>
          <w:tcPr>
            <w:tcW w:w="1791" w:type="dxa"/>
          </w:tcPr>
          <w:p w14:paraId="015A095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3521</w:t>
            </w:r>
          </w:p>
        </w:tc>
        <w:tc>
          <w:tcPr>
            <w:tcW w:w="2377" w:type="dxa"/>
          </w:tcPr>
          <w:p w14:paraId="76243A2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1525 (43.3)</w:t>
            </w:r>
          </w:p>
        </w:tc>
        <w:tc>
          <w:tcPr>
            <w:tcW w:w="1385" w:type="dxa"/>
          </w:tcPr>
          <w:p w14:paraId="66D88A5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512 (14.5)</w:t>
            </w:r>
          </w:p>
        </w:tc>
        <w:tc>
          <w:tcPr>
            <w:tcW w:w="1254" w:type="dxa"/>
          </w:tcPr>
          <w:p w14:paraId="1C40279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188 (5.3)</w:t>
            </w:r>
          </w:p>
        </w:tc>
        <w:tc>
          <w:tcPr>
            <w:tcW w:w="1254" w:type="dxa"/>
          </w:tcPr>
          <w:p w14:paraId="643C7D1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71 (2.0)</w:t>
            </w:r>
          </w:p>
        </w:tc>
      </w:tr>
      <w:tr w:rsidR="009F3374" w14:paraId="0F86E621" w14:textId="77777777">
        <w:trPr>
          <w:trHeight w:val="330"/>
        </w:trPr>
        <w:tc>
          <w:tcPr>
            <w:tcW w:w="1299" w:type="dxa"/>
          </w:tcPr>
          <w:p w14:paraId="1C93434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1791" w:type="dxa"/>
          </w:tcPr>
          <w:p w14:paraId="58893F0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12396</w:t>
            </w:r>
          </w:p>
        </w:tc>
        <w:tc>
          <w:tcPr>
            <w:tcW w:w="2377" w:type="dxa"/>
          </w:tcPr>
          <w:p w14:paraId="2443E4E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4948 (39.9)</w:t>
            </w:r>
          </w:p>
        </w:tc>
        <w:tc>
          <w:tcPr>
            <w:tcW w:w="1385" w:type="dxa"/>
          </w:tcPr>
          <w:p w14:paraId="5BB076C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2525 (20.4)</w:t>
            </w:r>
          </w:p>
        </w:tc>
        <w:tc>
          <w:tcPr>
            <w:tcW w:w="1254" w:type="dxa"/>
          </w:tcPr>
          <w:p w14:paraId="1BCAD2B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982 (7.9)</w:t>
            </w:r>
          </w:p>
        </w:tc>
        <w:tc>
          <w:tcPr>
            <w:tcW w:w="1254" w:type="dxa"/>
          </w:tcPr>
          <w:p w14:paraId="4F01B4E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490 </w:t>
            </w:r>
            <w:r>
              <w:rPr>
                <w:rFonts w:ascii="Book Antiqua" w:eastAsia="Book Antiqua" w:hAnsi="Book Antiqua" w:cs="Book Antiqua"/>
                <w:color w:val="000000"/>
              </w:rPr>
              <w:t>(4.0)</w:t>
            </w:r>
          </w:p>
        </w:tc>
      </w:tr>
      <w:tr w:rsidR="009F3374" w14:paraId="55ABED2D" w14:textId="77777777">
        <w:trPr>
          <w:trHeight w:val="330"/>
        </w:trPr>
        <w:tc>
          <w:tcPr>
            <w:tcW w:w="3090" w:type="dxa"/>
            <w:gridSpan w:val="2"/>
          </w:tcPr>
          <w:p w14:paraId="4537476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Linear by linear association value</w:t>
            </w:r>
          </w:p>
        </w:tc>
        <w:tc>
          <w:tcPr>
            <w:tcW w:w="2377" w:type="dxa"/>
          </w:tcPr>
          <w:p w14:paraId="74BACB8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26.981</w:t>
            </w:r>
          </w:p>
        </w:tc>
        <w:tc>
          <w:tcPr>
            <w:tcW w:w="1385" w:type="dxa"/>
          </w:tcPr>
          <w:p w14:paraId="3D1DD73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436.396</w:t>
            </w:r>
          </w:p>
        </w:tc>
        <w:tc>
          <w:tcPr>
            <w:tcW w:w="1254" w:type="dxa"/>
          </w:tcPr>
          <w:p w14:paraId="3CD68AF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260.529</w:t>
            </w:r>
          </w:p>
        </w:tc>
        <w:tc>
          <w:tcPr>
            <w:tcW w:w="1254" w:type="dxa"/>
          </w:tcPr>
          <w:p w14:paraId="0D9CDBE1"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212.714</w:t>
            </w:r>
          </w:p>
        </w:tc>
      </w:tr>
      <w:tr w:rsidR="009F3374" w14:paraId="6F666C9C" w14:textId="77777777">
        <w:trPr>
          <w:trHeight w:val="330"/>
        </w:trPr>
        <w:tc>
          <w:tcPr>
            <w:tcW w:w="3090" w:type="dxa"/>
            <w:gridSpan w:val="2"/>
          </w:tcPr>
          <w:p w14:paraId="3FB6B82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i/>
                <w:color w:val="000000"/>
              </w:rPr>
              <w:t>P</w:t>
            </w:r>
            <w:r>
              <w:rPr>
                <w:rFonts w:ascii="Book Antiqua" w:eastAsia="Book Antiqua" w:hAnsi="Book Antiqua" w:cs="Book Antiqua"/>
                <w:color w:val="000000"/>
              </w:rPr>
              <w:t xml:space="preserve"> value</w:t>
            </w:r>
          </w:p>
        </w:tc>
        <w:tc>
          <w:tcPr>
            <w:tcW w:w="2377" w:type="dxa"/>
          </w:tcPr>
          <w:p w14:paraId="5FC3A41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385" w:type="dxa"/>
          </w:tcPr>
          <w:p w14:paraId="6F7A936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Pr>
          <w:p w14:paraId="4C75546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Pr>
          <w:p w14:paraId="4C33844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r>
      <w:tr w:rsidR="009F3374" w14:paraId="0498A879" w14:textId="77777777">
        <w:trPr>
          <w:trHeight w:val="330"/>
        </w:trPr>
        <w:tc>
          <w:tcPr>
            <w:tcW w:w="9360" w:type="dxa"/>
            <w:gridSpan w:val="6"/>
          </w:tcPr>
          <w:p w14:paraId="47618E3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Female</w:t>
            </w:r>
          </w:p>
        </w:tc>
      </w:tr>
      <w:tr w:rsidR="009F3374" w14:paraId="033C015F" w14:textId="77777777">
        <w:trPr>
          <w:trHeight w:val="330"/>
        </w:trPr>
        <w:tc>
          <w:tcPr>
            <w:tcW w:w="1299" w:type="dxa"/>
          </w:tcPr>
          <w:p w14:paraId="6F83E60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18-29</w:t>
            </w:r>
          </w:p>
        </w:tc>
        <w:tc>
          <w:tcPr>
            <w:tcW w:w="1791" w:type="dxa"/>
          </w:tcPr>
          <w:p w14:paraId="321D4E2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978</w:t>
            </w:r>
          </w:p>
        </w:tc>
        <w:tc>
          <w:tcPr>
            <w:tcW w:w="2377" w:type="dxa"/>
          </w:tcPr>
          <w:p w14:paraId="294AED8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311 (31.8)</w:t>
            </w:r>
          </w:p>
        </w:tc>
        <w:tc>
          <w:tcPr>
            <w:tcW w:w="1385" w:type="dxa"/>
          </w:tcPr>
          <w:p w14:paraId="3A872DF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535 (54.7)</w:t>
            </w:r>
          </w:p>
        </w:tc>
        <w:tc>
          <w:tcPr>
            <w:tcW w:w="1254" w:type="dxa"/>
          </w:tcPr>
          <w:p w14:paraId="6EFAE8A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199 (20.3)</w:t>
            </w:r>
          </w:p>
        </w:tc>
        <w:tc>
          <w:tcPr>
            <w:tcW w:w="1254" w:type="dxa"/>
          </w:tcPr>
          <w:p w14:paraId="2ABBD73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 (10.2)</w:t>
            </w:r>
          </w:p>
        </w:tc>
      </w:tr>
      <w:tr w:rsidR="009F3374" w14:paraId="2B079BAB" w14:textId="77777777">
        <w:trPr>
          <w:trHeight w:val="330"/>
        </w:trPr>
        <w:tc>
          <w:tcPr>
            <w:tcW w:w="1299" w:type="dxa"/>
          </w:tcPr>
          <w:p w14:paraId="300D4951"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30-39</w:t>
            </w:r>
          </w:p>
        </w:tc>
        <w:tc>
          <w:tcPr>
            <w:tcW w:w="1791" w:type="dxa"/>
          </w:tcPr>
          <w:p w14:paraId="08C27DE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2747</w:t>
            </w:r>
          </w:p>
        </w:tc>
        <w:tc>
          <w:tcPr>
            <w:tcW w:w="2377" w:type="dxa"/>
          </w:tcPr>
          <w:p w14:paraId="28659AE1"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1031 (37.5)</w:t>
            </w:r>
          </w:p>
        </w:tc>
        <w:tc>
          <w:tcPr>
            <w:tcW w:w="1385" w:type="dxa"/>
          </w:tcPr>
          <w:p w14:paraId="5CF382E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1102 (40.1)</w:t>
            </w:r>
          </w:p>
        </w:tc>
        <w:tc>
          <w:tcPr>
            <w:tcW w:w="1254" w:type="dxa"/>
          </w:tcPr>
          <w:p w14:paraId="04F1B79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361 (13.1)</w:t>
            </w:r>
          </w:p>
        </w:tc>
        <w:tc>
          <w:tcPr>
            <w:tcW w:w="1254" w:type="dxa"/>
          </w:tcPr>
          <w:p w14:paraId="481D671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197 (7.2)</w:t>
            </w:r>
          </w:p>
        </w:tc>
      </w:tr>
      <w:tr w:rsidR="009F3374" w14:paraId="2D815D3A" w14:textId="77777777">
        <w:trPr>
          <w:trHeight w:val="330"/>
        </w:trPr>
        <w:tc>
          <w:tcPr>
            <w:tcW w:w="1299" w:type="dxa"/>
          </w:tcPr>
          <w:p w14:paraId="5DEBB43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40-49</w:t>
            </w:r>
          </w:p>
        </w:tc>
        <w:tc>
          <w:tcPr>
            <w:tcW w:w="1791" w:type="dxa"/>
          </w:tcPr>
          <w:p w14:paraId="366D1AD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3263</w:t>
            </w:r>
          </w:p>
        </w:tc>
        <w:tc>
          <w:tcPr>
            <w:tcW w:w="2377" w:type="dxa"/>
          </w:tcPr>
          <w:p w14:paraId="12AC605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1355 </w:t>
            </w:r>
            <w:r>
              <w:rPr>
                <w:rFonts w:ascii="Book Antiqua" w:eastAsia="Book Antiqua" w:hAnsi="Book Antiqua" w:cs="Book Antiqua"/>
                <w:color w:val="000000"/>
              </w:rPr>
              <w:t>(41.5)</w:t>
            </w:r>
          </w:p>
        </w:tc>
        <w:tc>
          <w:tcPr>
            <w:tcW w:w="1385" w:type="dxa"/>
          </w:tcPr>
          <w:p w14:paraId="79F7903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795 (24.4)</w:t>
            </w:r>
          </w:p>
        </w:tc>
        <w:tc>
          <w:tcPr>
            <w:tcW w:w="1254" w:type="dxa"/>
          </w:tcPr>
          <w:p w14:paraId="2965505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250 (7.7)</w:t>
            </w:r>
          </w:p>
        </w:tc>
        <w:tc>
          <w:tcPr>
            <w:tcW w:w="1254" w:type="dxa"/>
          </w:tcPr>
          <w:p w14:paraId="2EC743D0"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198 (6.1)</w:t>
            </w:r>
          </w:p>
        </w:tc>
      </w:tr>
      <w:tr w:rsidR="009F3374" w14:paraId="49C9CCCA" w14:textId="77777777">
        <w:trPr>
          <w:trHeight w:val="330"/>
        </w:trPr>
        <w:tc>
          <w:tcPr>
            <w:tcW w:w="1299" w:type="dxa"/>
          </w:tcPr>
          <w:p w14:paraId="56E24BA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50</w:t>
            </w:r>
          </w:p>
        </w:tc>
        <w:tc>
          <w:tcPr>
            <w:tcW w:w="1791" w:type="dxa"/>
          </w:tcPr>
          <w:p w14:paraId="427DB18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1587</w:t>
            </w:r>
          </w:p>
        </w:tc>
        <w:tc>
          <w:tcPr>
            <w:tcW w:w="2377" w:type="dxa"/>
          </w:tcPr>
          <w:p w14:paraId="6B10F3D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938 (38.5)</w:t>
            </w:r>
          </w:p>
        </w:tc>
        <w:tc>
          <w:tcPr>
            <w:tcW w:w="1385" w:type="dxa"/>
          </w:tcPr>
          <w:p w14:paraId="046770D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535 (21.9)</w:t>
            </w:r>
          </w:p>
        </w:tc>
        <w:tc>
          <w:tcPr>
            <w:tcW w:w="1254" w:type="dxa"/>
          </w:tcPr>
          <w:p w14:paraId="0F61047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181 (7.4)</w:t>
            </w:r>
          </w:p>
        </w:tc>
        <w:tc>
          <w:tcPr>
            <w:tcW w:w="1254" w:type="dxa"/>
          </w:tcPr>
          <w:p w14:paraId="17F5BFB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91 (3.7)</w:t>
            </w:r>
          </w:p>
        </w:tc>
      </w:tr>
      <w:tr w:rsidR="009F3374" w14:paraId="520F0C49" w14:textId="77777777">
        <w:trPr>
          <w:trHeight w:val="330"/>
        </w:trPr>
        <w:tc>
          <w:tcPr>
            <w:tcW w:w="1299" w:type="dxa"/>
          </w:tcPr>
          <w:p w14:paraId="5DC2496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1791" w:type="dxa"/>
          </w:tcPr>
          <w:p w14:paraId="018612F1"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9426</w:t>
            </w:r>
          </w:p>
        </w:tc>
        <w:tc>
          <w:tcPr>
            <w:tcW w:w="2377" w:type="dxa"/>
          </w:tcPr>
          <w:p w14:paraId="0F914EF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3635 (38.6)</w:t>
            </w:r>
          </w:p>
        </w:tc>
        <w:tc>
          <w:tcPr>
            <w:tcW w:w="1385" w:type="dxa"/>
          </w:tcPr>
          <w:p w14:paraId="548F220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2967 (31.5)</w:t>
            </w:r>
          </w:p>
        </w:tc>
        <w:tc>
          <w:tcPr>
            <w:tcW w:w="1254" w:type="dxa"/>
          </w:tcPr>
          <w:p w14:paraId="1219A37A"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991 (10.5)</w:t>
            </w:r>
          </w:p>
        </w:tc>
        <w:tc>
          <w:tcPr>
            <w:tcW w:w="1254" w:type="dxa"/>
          </w:tcPr>
          <w:p w14:paraId="7CA14633"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586 (6.2)</w:t>
            </w:r>
          </w:p>
        </w:tc>
      </w:tr>
      <w:tr w:rsidR="009F3374" w14:paraId="0B5EEC06" w14:textId="77777777">
        <w:trPr>
          <w:trHeight w:val="330"/>
        </w:trPr>
        <w:tc>
          <w:tcPr>
            <w:tcW w:w="3090" w:type="dxa"/>
            <w:gridSpan w:val="2"/>
          </w:tcPr>
          <w:p w14:paraId="26572CC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Linear by linear association value</w:t>
            </w:r>
          </w:p>
        </w:tc>
        <w:tc>
          <w:tcPr>
            <w:tcW w:w="2377" w:type="dxa"/>
          </w:tcPr>
          <w:p w14:paraId="795E9DF8"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12.391</w:t>
            </w:r>
          </w:p>
        </w:tc>
        <w:tc>
          <w:tcPr>
            <w:tcW w:w="1385" w:type="dxa"/>
          </w:tcPr>
          <w:p w14:paraId="3DDF29B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462.821</w:t>
            </w:r>
          </w:p>
        </w:tc>
        <w:tc>
          <w:tcPr>
            <w:tcW w:w="1254" w:type="dxa"/>
          </w:tcPr>
          <w:p w14:paraId="354FCCE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143.539</w:t>
            </w:r>
          </w:p>
        </w:tc>
        <w:tc>
          <w:tcPr>
            <w:tcW w:w="1254" w:type="dxa"/>
          </w:tcPr>
          <w:p w14:paraId="5174DD69"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54.716</w:t>
            </w:r>
          </w:p>
        </w:tc>
      </w:tr>
      <w:tr w:rsidR="009F3374" w14:paraId="2E4A29BB" w14:textId="77777777">
        <w:trPr>
          <w:trHeight w:val="330"/>
        </w:trPr>
        <w:tc>
          <w:tcPr>
            <w:tcW w:w="3090" w:type="dxa"/>
            <w:gridSpan w:val="2"/>
            <w:tcBorders>
              <w:bottom w:val="single" w:sz="8" w:space="0" w:color="000000"/>
            </w:tcBorders>
          </w:tcPr>
          <w:p w14:paraId="539164B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i/>
                <w:color w:val="000000"/>
              </w:rPr>
              <w:t>P</w:t>
            </w:r>
            <w:r>
              <w:rPr>
                <w:rFonts w:ascii="Book Antiqua" w:eastAsia="Book Antiqua" w:hAnsi="Book Antiqua" w:cs="Book Antiqua"/>
                <w:color w:val="000000"/>
              </w:rPr>
              <w:t xml:space="preserve"> value</w:t>
            </w:r>
          </w:p>
        </w:tc>
        <w:tc>
          <w:tcPr>
            <w:tcW w:w="2377" w:type="dxa"/>
            <w:tcBorders>
              <w:bottom w:val="single" w:sz="8" w:space="0" w:color="000000"/>
            </w:tcBorders>
          </w:tcPr>
          <w:p w14:paraId="0BD1A5B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385" w:type="dxa"/>
            <w:tcBorders>
              <w:bottom w:val="single" w:sz="8" w:space="0" w:color="000000"/>
            </w:tcBorders>
          </w:tcPr>
          <w:p w14:paraId="04CEF9C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Borders>
              <w:bottom w:val="single" w:sz="8" w:space="0" w:color="000000"/>
            </w:tcBorders>
          </w:tcPr>
          <w:p w14:paraId="135220A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p>
        </w:tc>
        <w:tc>
          <w:tcPr>
            <w:tcW w:w="1254" w:type="dxa"/>
            <w:tcBorders>
              <w:bottom w:val="single" w:sz="8" w:space="0" w:color="000000"/>
            </w:tcBorders>
          </w:tcPr>
          <w:p w14:paraId="50BAEE06"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&lt; </w:t>
            </w:r>
            <w:r>
              <w:rPr>
                <w:rFonts w:ascii="Book Antiqua" w:eastAsia="Book Antiqua" w:hAnsi="Book Antiqua" w:cs="Book Antiqua"/>
                <w:color w:val="000000"/>
              </w:rPr>
              <w:t>0.001</w:t>
            </w:r>
          </w:p>
        </w:tc>
      </w:tr>
    </w:tbl>
    <w:p w14:paraId="6E2FC4B2"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i/>
          <w:iCs/>
        </w:rPr>
        <w:t>H. pylori</w:t>
      </w:r>
      <w:r>
        <w:rPr>
          <w:rFonts w:ascii="Book Antiqua" w:eastAsia="Book Antiqua" w:hAnsi="Book Antiqua" w:cs="Book Antiqua"/>
        </w:rPr>
        <w:t xml:space="preserve">: </w:t>
      </w:r>
      <w:r>
        <w:rPr>
          <w:rFonts w:ascii="Book Antiqua" w:eastAsia="Book Antiqua" w:hAnsi="Book Antiqua" w:cs="Book Antiqua"/>
          <w:i/>
          <w:iCs/>
        </w:rPr>
        <w:t>Helicobacter pylori</w:t>
      </w:r>
      <w:r>
        <w:rPr>
          <w:rFonts w:ascii="Book Antiqua" w:eastAsia="Book Antiqua" w:hAnsi="Book Antiqua" w:cs="Book Antiqua"/>
        </w:rPr>
        <w:t>; IgG: Immunoglobulin G.</w:t>
      </w:r>
    </w:p>
    <w:p w14:paraId="3999D1BB" w14:textId="77777777" w:rsidR="009F3374" w:rsidRDefault="00ED0470">
      <w:pPr>
        <w:spacing w:line="360" w:lineRule="auto"/>
        <w:jc w:val="both"/>
        <w:rPr>
          <w:rFonts w:ascii="Book Antiqua" w:eastAsia="Book Antiqua" w:hAnsi="Book Antiqua" w:cs="Book Antiqua"/>
          <w:b/>
        </w:rPr>
      </w:pPr>
      <w:r>
        <w:br w:type="page"/>
      </w:r>
      <w:r>
        <w:rPr>
          <w:rFonts w:ascii="Book Antiqua" w:eastAsia="Book Antiqua" w:hAnsi="Book Antiqua" w:cs="Book Antiqua"/>
          <w:b/>
        </w:rPr>
        <w:lastRenderedPageBreak/>
        <w:t xml:space="preserve">Table 3 </w:t>
      </w:r>
      <w:r>
        <w:rPr>
          <w:rFonts w:ascii="Book Antiqua" w:eastAsia="Book Antiqua" w:hAnsi="Book Antiqua" w:cs="Book Antiqua"/>
          <w:b/>
          <w:color w:val="000000"/>
        </w:rPr>
        <w:t xml:space="preserve">The risk of food-specific immunoglobulin G positivity according to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w:t>
      </w:r>
    </w:p>
    <w:tbl>
      <w:tblPr>
        <w:tblStyle w:val="Style13"/>
        <w:tblW w:w="9360" w:type="dxa"/>
        <w:tblLayout w:type="fixed"/>
        <w:tblLook w:val="04A0" w:firstRow="1" w:lastRow="0" w:firstColumn="1" w:lastColumn="0" w:noHBand="0" w:noVBand="1"/>
      </w:tblPr>
      <w:tblGrid>
        <w:gridCol w:w="909"/>
        <w:gridCol w:w="2115"/>
        <w:gridCol w:w="2112"/>
        <w:gridCol w:w="2112"/>
        <w:gridCol w:w="2112"/>
      </w:tblGrid>
      <w:tr w:rsidR="009F3374" w14:paraId="37EB01A2" w14:textId="77777777">
        <w:tc>
          <w:tcPr>
            <w:tcW w:w="909" w:type="dxa"/>
            <w:tcBorders>
              <w:top w:val="single" w:sz="8" w:space="0" w:color="000000"/>
              <w:bottom w:val="single" w:sz="8" w:space="0" w:color="000000"/>
            </w:tcBorders>
          </w:tcPr>
          <w:p w14:paraId="5D0FD085" w14:textId="77777777" w:rsidR="009F3374" w:rsidRDefault="009F3374">
            <w:pPr>
              <w:spacing w:line="360" w:lineRule="auto"/>
              <w:jc w:val="both"/>
              <w:rPr>
                <w:rFonts w:ascii="Book Antiqua" w:eastAsia="Book Antiqua" w:hAnsi="Book Antiqua" w:cs="Book Antiqua"/>
                <w:b/>
              </w:rPr>
            </w:pPr>
          </w:p>
        </w:tc>
        <w:tc>
          <w:tcPr>
            <w:tcW w:w="2115" w:type="dxa"/>
            <w:tcBorders>
              <w:top w:val="single" w:sz="8" w:space="0" w:color="000000"/>
              <w:bottom w:val="single" w:sz="8" w:space="0" w:color="000000"/>
            </w:tcBorders>
          </w:tcPr>
          <w:p w14:paraId="42BF5323"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color w:val="000000"/>
              </w:rPr>
              <w:t>Non-adjusted</w:t>
            </w:r>
          </w:p>
        </w:tc>
        <w:tc>
          <w:tcPr>
            <w:tcW w:w="2112" w:type="dxa"/>
            <w:tcBorders>
              <w:top w:val="single" w:sz="8" w:space="0" w:color="000000"/>
              <w:bottom w:val="single" w:sz="8" w:space="0" w:color="000000"/>
            </w:tcBorders>
          </w:tcPr>
          <w:p w14:paraId="40E530DE"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color w:val="000000"/>
              </w:rPr>
              <w:t>Model 1</w:t>
            </w:r>
          </w:p>
        </w:tc>
        <w:tc>
          <w:tcPr>
            <w:tcW w:w="2112" w:type="dxa"/>
            <w:tcBorders>
              <w:top w:val="single" w:sz="8" w:space="0" w:color="000000"/>
              <w:bottom w:val="single" w:sz="8" w:space="0" w:color="000000"/>
            </w:tcBorders>
          </w:tcPr>
          <w:p w14:paraId="3390959B"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color w:val="000000"/>
              </w:rPr>
              <w:t>Model 2</w:t>
            </w:r>
          </w:p>
        </w:tc>
        <w:tc>
          <w:tcPr>
            <w:tcW w:w="2112" w:type="dxa"/>
            <w:tcBorders>
              <w:top w:val="single" w:sz="8" w:space="0" w:color="000000"/>
              <w:bottom w:val="single" w:sz="8" w:space="0" w:color="000000"/>
            </w:tcBorders>
          </w:tcPr>
          <w:p w14:paraId="4CC836CC" w14:textId="77777777" w:rsidR="009F3374" w:rsidRDefault="00ED0470">
            <w:pPr>
              <w:spacing w:line="360" w:lineRule="auto"/>
              <w:jc w:val="both"/>
              <w:rPr>
                <w:rFonts w:ascii="Book Antiqua" w:eastAsia="Book Antiqua" w:hAnsi="Book Antiqua" w:cs="Book Antiqua"/>
                <w:b/>
              </w:rPr>
            </w:pPr>
            <w:r>
              <w:rPr>
                <w:rFonts w:ascii="Book Antiqua" w:eastAsia="Book Antiqua" w:hAnsi="Book Antiqua" w:cs="Book Antiqua"/>
                <w:b/>
                <w:color w:val="000000"/>
              </w:rPr>
              <w:t>Model 3</w:t>
            </w:r>
          </w:p>
        </w:tc>
      </w:tr>
      <w:tr w:rsidR="009F3374" w14:paraId="0B1C1FE9" w14:textId="77777777">
        <w:tc>
          <w:tcPr>
            <w:tcW w:w="909" w:type="dxa"/>
            <w:tcBorders>
              <w:top w:val="single" w:sz="8" w:space="0" w:color="000000"/>
            </w:tcBorders>
          </w:tcPr>
          <w:p w14:paraId="4DAA6F4E"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Eggs</w:t>
            </w:r>
          </w:p>
        </w:tc>
        <w:tc>
          <w:tcPr>
            <w:tcW w:w="2115" w:type="dxa"/>
            <w:tcBorders>
              <w:top w:val="single" w:sz="8" w:space="0" w:color="000000"/>
            </w:tcBorders>
          </w:tcPr>
          <w:p w14:paraId="1E7CD9CE"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0.814 (0.764-0.867)</w:t>
            </w:r>
          </w:p>
        </w:tc>
        <w:tc>
          <w:tcPr>
            <w:tcW w:w="2112" w:type="dxa"/>
            <w:tcBorders>
              <w:top w:val="single" w:sz="8" w:space="0" w:color="000000"/>
            </w:tcBorders>
          </w:tcPr>
          <w:p w14:paraId="36BC7ED7"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0.844 </w:t>
            </w:r>
            <w:r>
              <w:rPr>
                <w:rFonts w:ascii="Book Antiqua" w:eastAsia="Book Antiqua" w:hAnsi="Book Antiqua" w:cs="Book Antiqua"/>
                <w:color w:val="000000"/>
              </w:rPr>
              <w:t>(0.791-0.901)</w:t>
            </w:r>
          </w:p>
        </w:tc>
        <w:tc>
          <w:tcPr>
            <w:tcW w:w="2112" w:type="dxa"/>
            <w:tcBorders>
              <w:top w:val="single" w:sz="8" w:space="0" w:color="000000"/>
            </w:tcBorders>
          </w:tcPr>
          <w:p w14:paraId="785AD11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0.873 (0.812-0.938)</w:t>
            </w:r>
          </w:p>
        </w:tc>
        <w:tc>
          <w:tcPr>
            <w:tcW w:w="2112" w:type="dxa"/>
            <w:tcBorders>
              <w:top w:val="single" w:sz="8" w:space="0" w:color="000000"/>
            </w:tcBorders>
          </w:tcPr>
          <w:p w14:paraId="4F159C5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0.871 (0.810-0.936)</w:t>
            </w:r>
          </w:p>
        </w:tc>
      </w:tr>
      <w:tr w:rsidR="009F3374" w14:paraId="7894B40A" w14:textId="77777777">
        <w:tc>
          <w:tcPr>
            <w:tcW w:w="909" w:type="dxa"/>
          </w:tcPr>
          <w:p w14:paraId="5100E0BF"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Milk</w:t>
            </w:r>
          </w:p>
        </w:tc>
        <w:tc>
          <w:tcPr>
            <w:tcW w:w="2115" w:type="dxa"/>
          </w:tcPr>
          <w:p w14:paraId="29BAD495"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0.714 (0.647-0.788)</w:t>
            </w:r>
          </w:p>
        </w:tc>
        <w:tc>
          <w:tcPr>
            <w:tcW w:w="2112" w:type="dxa"/>
          </w:tcPr>
          <w:p w14:paraId="7F7A1FC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0.741 (0.671-0.818)</w:t>
            </w:r>
          </w:p>
        </w:tc>
        <w:tc>
          <w:tcPr>
            <w:tcW w:w="2112" w:type="dxa"/>
          </w:tcPr>
          <w:p w14:paraId="0B214832"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0.751 (0.669-0.842)</w:t>
            </w:r>
          </w:p>
        </w:tc>
        <w:tc>
          <w:tcPr>
            <w:tcW w:w="2112" w:type="dxa"/>
          </w:tcPr>
          <w:p w14:paraId="16DB5D3D"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0.746 (0.665-0.838)</w:t>
            </w:r>
          </w:p>
        </w:tc>
      </w:tr>
      <w:tr w:rsidR="009F3374" w14:paraId="1D75B7BE" w14:textId="77777777">
        <w:tc>
          <w:tcPr>
            <w:tcW w:w="909" w:type="dxa"/>
            <w:tcBorders>
              <w:bottom w:val="single" w:sz="8" w:space="0" w:color="000000"/>
            </w:tcBorders>
          </w:tcPr>
          <w:p w14:paraId="7BCBDD63" w14:textId="77777777" w:rsidR="009F3374" w:rsidRDefault="00ED0470">
            <w:pPr>
              <w:spacing w:line="360" w:lineRule="auto"/>
              <w:jc w:val="both"/>
              <w:rPr>
                <w:rFonts w:ascii="Book Antiqua" w:eastAsia="Book Antiqua" w:hAnsi="Book Antiqua" w:cs="Book Antiqua"/>
              </w:rPr>
            </w:pPr>
            <w:r>
              <w:rPr>
                <w:rFonts w:ascii="Book Antiqua" w:eastAsia="Book Antiqua" w:hAnsi="Book Antiqua" w:cs="Book Antiqua"/>
                <w:color w:val="000000"/>
              </w:rPr>
              <w:t>Wheat</w:t>
            </w:r>
          </w:p>
        </w:tc>
        <w:tc>
          <w:tcPr>
            <w:tcW w:w="2115" w:type="dxa"/>
            <w:tcBorders>
              <w:bottom w:val="single" w:sz="8" w:space="0" w:color="000000"/>
            </w:tcBorders>
          </w:tcPr>
          <w:p w14:paraId="56F9259C"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0.720 (0.631-0.820)</w:t>
            </w:r>
          </w:p>
        </w:tc>
        <w:tc>
          <w:tcPr>
            <w:tcW w:w="2112" w:type="dxa"/>
            <w:tcBorders>
              <w:bottom w:val="single" w:sz="8" w:space="0" w:color="000000"/>
            </w:tcBorders>
          </w:tcPr>
          <w:p w14:paraId="2F24BB3F"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0.755 (0.662-0.861)</w:t>
            </w:r>
          </w:p>
        </w:tc>
        <w:tc>
          <w:tcPr>
            <w:tcW w:w="2112" w:type="dxa"/>
            <w:tcBorders>
              <w:bottom w:val="single" w:sz="8" w:space="0" w:color="000000"/>
            </w:tcBorders>
          </w:tcPr>
          <w:p w14:paraId="2F30371B"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0.787 (0.681-0.909)</w:t>
            </w:r>
          </w:p>
        </w:tc>
        <w:tc>
          <w:tcPr>
            <w:tcW w:w="2112" w:type="dxa"/>
            <w:tcBorders>
              <w:bottom w:val="single" w:sz="8" w:space="0" w:color="000000"/>
            </w:tcBorders>
          </w:tcPr>
          <w:p w14:paraId="67BECAC4" w14:textId="77777777" w:rsidR="009F337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0.788 (0.682-0.910)</w:t>
            </w:r>
          </w:p>
        </w:tc>
      </w:tr>
    </w:tbl>
    <w:p w14:paraId="4816B523" w14:textId="00D36CB2" w:rsidR="006A1F44" w:rsidRDefault="00ED04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Model 1: adjusted for sex </w:t>
      </w:r>
      <w:r>
        <w:rPr>
          <w:rFonts w:ascii="Book Antiqua" w:eastAsia="Book Antiqua" w:hAnsi="Book Antiqua" w:cs="Book Antiqua"/>
          <w:color w:val="000000"/>
        </w:rPr>
        <w:t>and age; Model 2: adjusted for Model 1 plus body mass index, hemoglobulin A1c, total cholesterol, triglycerides, drinking and smoking; Model 3: adjusted for Model 2 plus alanine aminotransferase, aspartate aminotransferase, gamma-glutamyl transpeptidase, c</w:t>
      </w:r>
      <w:r>
        <w:rPr>
          <w:rFonts w:ascii="Book Antiqua" w:eastAsia="Book Antiqua" w:hAnsi="Book Antiqua" w:cs="Book Antiqua"/>
          <w:color w:val="000000"/>
        </w:rPr>
        <w:t>reatinine, uric acid, systolic pressure and diastolic pressure.</w:t>
      </w:r>
    </w:p>
    <w:p w14:paraId="49FD8D27" w14:textId="77777777" w:rsidR="006A1F44" w:rsidRDefault="006A1F44">
      <w:pPr>
        <w:rPr>
          <w:rFonts w:ascii="Book Antiqua" w:eastAsia="Book Antiqua" w:hAnsi="Book Antiqua" w:cs="Book Antiqua"/>
          <w:color w:val="000000"/>
        </w:rPr>
      </w:pPr>
      <w:r>
        <w:rPr>
          <w:rFonts w:ascii="Book Antiqua" w:eastAsia="Book Antiqua" w:hAnsi="Book Antiqua" w:cs="Book Antiqua"/>
          <w:color w:val="000000"/>
        </w:rPr>
        <w:br w:type="page"/>
      </w:r>
    </w:p>
    <w:p w14:paraId="257D4C1A" w14:textId="77777777" w:rsidR="006A1F44" w:rsidRDefault="006A1F44" w:rsidP="006A1F44">
      <w:pPr>
        <w:jc w:val="center"/>
        <w:rPr>
          <w:rFonts w:ascii="Book Antiqua" w:hAnsi="Book Antiqua"/>
          <w:lang w:eastAsia="zh-CN"/>
        </w:rPr>
      </w:pPr>
    </w:p>
    <w:p w14:paraId="52DD3A64" w14:textId="77777777" w:rsidR="006A1F44" w:rsidRDefault="006A1F44" w:rsidP="006A1F44">
      <w:pPr>
        <w:jc w:val="center"/>
        <w:rPr>
          <w:rFonts w:ascii="Book Antiqua" w:hAnsi="Book Antiqua"/>
          <w:lang w:eastAsia="zh-CN"/>
        </w:rPr>
      </w:pPr>
    </w:p>
    <w:p w14:paraId="0C15E9F8" w14:textId="77777777" w:rsidR="006A1F44" w:rsidRDefault="006A1F44" w:rsidP="006A1F44">
      <w:pPr>
        <w:jc w:val="center"/>
        <w:rPr>
          <w:rFonts w:ascii="Book Antiqua" w:hAnsi="Book Antiqua"/>
          <w:lang w:eastAsia="zh-CN"/>
        </w:rPr>
      </w:pPr>
    </w:p>
    <w:p w14:paraId="3FBD8831" w14:textId="77777777" w:rsidR="006A1F44" w:rsidRDefault="006A1F44" w:rsidP="006A1F44">
      <w:pPr>
        <w:jc w:val="center"/>
        <w:rPr>
          <w:rFonts w:ascii="Book Antiqua" w:hAnsi="Book Antiqua"/>
          <w:lang w:eastAsia="zh-CN"/>
        </w:rPr>
      </w:pPr>
    </w:p>
    <w:p w14:paraId="651E8302" w14:textId="77777777" w:rsidR="006A1F44" w:rsidRDefault="006A1F44" w:rsidP="006A1F44">
      <w:pPr>
        <w:jc w:val="center"/>
        <w:rPr>
          <w:rFonts w:ascii="Book Antiqua" w:hAnsi="Book Antiqua"/>
          <w:lang w:eastAsia="zh-CN"/>
        </w:rPr>
      </w:pPr>
    </w:p>
    <w:p w14:paraId="5E94E14E" w14:textId="4B814226" w:rsidR="006A1F44" w:rsidRDefault="006A1F44" w:rsidP="006A1F44">
      <w:pPr>
        <w:jc w:val="center"/>
        <w:rPr>
          <w:rFonts w:ascii="Book Antiqua" w:hAnsi="Book Antiqua"/>
          <w:lang w:eastAsia="zh-CN"/>
        </w:rPr>
      </w:pPr>
      <w:r>
        <w:rPr>
          <w:rFonts w:ascii="Book Antiqua" w:hAnsi="Book Antiqua"/>
          <w:noProof/>
          <w:lang w:eastAsia="zh-CN"/>
        </w:rPr>
        <w:drawing>
          <wp:inline distT="0" distB="0" distL="0" distR="0" wp14:anchorId="2A7EEB3F" wp14:editId="36FAB868">
            <wp:extent cx="249555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09457AA" w14:textId="77777777" w:rsidR="006A1F44" w:rsidRDefault="006A1F44" w:rsidP="006A1F44">
      <w:pPr>
        <w:jc w:val="center"/>
        <w:rPr>
          <w:rFonts w:ascii="Book Antiqua" w:hAnsi="Book Antiqua"/>
          <w:lang w:eastAsia="zh-CN"/>
        </w:rPr>
      </w:pPr>
    </w:p>
    <w:p w14:paraId="25F3BE92" w14:textId="77777777" w:rsidR="006A1F44" w:rsidRDefault="006A1F44" w:rsidP="006A1F4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E2A828" w14:textId="77777777" w:rsidR="006A1F44" w:rsidRDefault="006A1F44" w:rsidP="006A1F4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59B417" w14:textId="77777777" w:rsidR="006A1F44" w:rsidRDefault="006A1F44" w:rsidP="006A1F4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5E9A9E" w14:textId="77777777" w:rsidR="006A1F44" w:rsidRDefault="006A1F44" w:rsidP="006A1F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5E6516" w14:textId="77777777" w:rsidR="006A1F44" w:rsidRDefault="006A1F44" w:rsidP="006A1F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58AD9E" w14:textId="77777777" w:rsidR="006A1F44" w:rsidRDefault="006A1F44" w:rsidP="006A1F44">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4509822E" w14:textId="77777777" w:rsidR="006A1F44" w:rsidRDefault="006A1F44" w:rsidP="006A1F44">
      <w:pPr>
        <w:jc w:val="center"/>
        <w:rPr>
          <w:rFonts w:ascii="Book Antiqua" w:hAnsi="Book Antiqua"/>
          <w:lang w:eastAsia="zh-CN"/>
        </w:rPr>
      </w:pPr>
    </w:p>
    <w:p w14:paraId="18D3FB40" w14:textId="77777777" w:rsidR="006A1F44" w:rsidRDefault="006A1F44" w:rsidP="006A1F44">
      <w:pPr>
        <w:jc w:val="center"/>
        <w:rPr>
          <w:rFonts w:ascii="Book Antiqua" w:hAnsi="Book Antiqua"/>
          <w:lang w:eastAsia="zh-CN"/>
        </w:rPr>
      </w:pPr>
    </w:p>
    <w:p w14:paraId="175A863E" w14:textId="77777777" w:rsidR="006A1F44" w:rsidRDefault="006A1F44" w:rsidP="006A1F44">
      <w:pPr>
        <w:jc w:val="center"/>
        <w:rPr>
          <w:rFonts w:ascii="Book Antiqua" w:hAnsi="Book Antiqua"/>
          <w:lang w:eastAsia="zh-CN"/>
        </w:rPr>
      </w:pPr>
    </w:p>
    <w:p w14:paraId="06DCB0A6" w14:textId="69B61985" w:rsidR="006A1F44" w:rsidRDefault="006A1F44" w:rsidP="006A1F44">
      <w:pPr>
        <w:jc w:val="center"/>
        <w:rPr>
          <w:rFonts w:ascii="Book Antiqua" w:hAnsi="Book Antiqua"/>
          <w:lang w:eastAsia="zh-CN"/>
        </w:rPr>
      </w:pPr>
      <w:r>
        <w:rPr>
          <w:rFonts w:ascii="Book Antiqua" w:hAnsi="Book Antiqua"/>
          <w:noProof/>
          <w:lang w:eastAsia="zh-CN"/>
        </w:rPr>
        <w:drawing>
          <wp:inline distT="0" distB="0" distL="0" distR="0" wp14:anchorId="62139D10" wp14:editId="29958FB0">
            <wp:extent cx="144780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B7185A7" w14:textId="77777777" w:rsidR="006A1F44" w:rsidRDefault="006A1F44" w:rsidP="006A1F44">
      <w:pPr>
        <w:jc w:val="center"/>
        <w:rPr>
          <w:rFonts w:ascii="Book Antiqua" w:hAnsi="Book Antiqua"/>
          <w:lang w:eastAsia="zh-CN"/>
        </w:rPr>
      </w:pPr>
    </w:p>
    <w:p w14:paraId="2D213E19" w14:textId="77777777" w:rsidR="006A1F44" w:rsidRDefault="006A1F44" w:rsidP="006A1F44">
      <w:pPr>
        <w:jc w:val="center"/>
        <w:rPr>
          <w:rFonts w:ascii="Book Antiqua" w:hAnsi="Book Antiqua"/>
          <w:lang w:eastAsia="zh-CN"/>
        </w:rPr>
      </w:pPr>
    </w:p>
    <w:p w14:paraId="6F58042B" w14:textId="77777777" w:rsidR="006A1F44" w:rsidRDefault="006A1F44" w:rsidP="006A1F44">
      <w:pPr>
        <w:jc w:val="center"/>
        <w:rPr>
          <w:rFonts w:ascii="Book Antiqua" w:hAnsi="Book Antiqua"/>
          <w:lang w:eastAsia="zh-CN"/>
        </w:rPr>
      </w:pPr>
    </w:p>
    <w:p w14:paraId="1EA4E394" w14:textId="77777777" w:rsidR="006A1F44" w:rsidRDefault="006A1F44" w:rsidP="006A1F44">
      <w:pPr>
        <w:jc w:val="center"/>
        <w:rPr>
          <w:rFonts w:ascii="Book Antiqua" w:hAnsi="Book Antiqua"/>
          <w:lang w:eastAsia="zh-CN"/>
        </w:rPr>
      </w:pPr>
    </w:p>
    <w:p w14:paraId="36BB6548" w14:textId="77777777" w:rsidR="006A1F44" w:rsidRDefault="006A1F44" w:rsidP="006A1F44">
      <w:pPr>
        <w:jc w:val="center"/>
        <w:rPr>
          <w:rFonts w:ascii="Book Antiqua" w:hAnsi="Book Antiqua"/>
          <w:lang w:eastAsia="zh-CN"/>
        </w:rPr>
      </w:pPr>
    </w:p>
    <w:p w14:paraId="4E293DB1" w14:textId="77777777" w:rsidR="006A1F44" w:rsidRDefault="006A1F44" w:rsidP="006A1F44">
      <w:pPr>
        <w:jc w:val="center"/>
        <w:rPr>
          <w:rFonts w:ascii="Book Antiqua" w:hAnsi="Book Antiqua"/>
          <w:lang w:eastAsia="zh-CN"/>
        </w:rPr>
      </w:pPr>
    </w:p>
    <w:p w14:paraId="1F309488" w14:textId="77777777" w:rsidR="006A1F44" w:rsidRDefault="006A1F44" w:rsidP="006A1F44">
      <w:pPr>
        <w:jc w:val="center"/>
        <w:rPr>
          <w:rFonts w:ascii="Book Antiqua" w:hAnsi="Book Antiqua"/>
          <w:lang w:eastAsia="zh-CN"/>
        </w:rPr>
      </w:pPr>
    </w:p>
    <w:p w14:paraId="25BEE818" w14:textId="77777777" w:rsidR="006A1F44" w:rsidRDefault="006A1F44" w:rsidP="006A1F44">
      <w:pPr>
        <w:jc w:val="center"/>
        <w:rPr>
          <w:rFonts w:ascii="Book Antiqua" w:hAnsi="Book Antiqua"/>
          <w:lang w:eastAsia="zh-CN"/>
        </w:rPr>
      </w:pPr>
    </w:p>
    <w:p w14:paraId="27DAAD86" w14:textId="77777777" w:rsidR="006A1F44" w:rsidRDefault="006A1F44" w:rsidP="006A1F44">
      <w:pPr>
        <w:jc w:val="center"/>
        <w:rPr>
          <w:rFonts w:ascii="Book Antiqua" w:hAnsi="Book Antiqua"/>
          <w:lang w:eastAsia="zh-CN"/>
        </w:rPr>
      </w:pPr>
    </w:p>
    <w:p w14:paraId="0B3FA821" w14:textId="77777777" w:rsidR="006A1F44" w:rsidRDefault="006A1F44" w:rsidP="006A1F44">
      <w:pPr>
        <w:jc w:val="right"/>
        <w:rPr>
          <w:rFonts w:ascii="Book Antiqua" w:hAnsi="Book Antiqua"/>
          <w:color w:val="000000" w:themeColor="text1"/>
          <w:lang w:eastAsia="zh-CN"/>
        </w:rPr>
      </w:pPr>
    </w:p>
    <w:p w14:paraId="2421A12E" w14:textId="77777777" w:rsidR="006A1F44" w:rsidRDefault="006A1F44" w:rsidP="006A1F4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38217B0" w14:textId="77777777" w:rsidR="009F3374" w:rsidRDefault="009F3374">
      <w:pPr>
        <w:spacing w:line="360" w:lineRule="auto"/>
        <w:jc w:val="both"/>
        <w:rPr>
          <w:rFonts w:ascii="Book Antiqua" w:eastAsia="Book Antiqua" w:hAnsi="Book Antiqua" w:cs="Book Antiqua"/>
        </w:rPr>
      </w:pPr>
    </w:p>
    <w:sectPr w:rsidR="009F33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3465" w14:textId="77777777" w:rsidR="00ED0470" w:rsidRDefault="00ED0470">
      <w:r>
        <w:separator/>
      </w:r>
    </w:p>
  </w:endnote>
  <w:endnote w:type="continuationSeparator" w:id="0">
    <w:p w14:paraId="231BCAF4" w14:textId="77777777" w:rsidR="00ED0470" w:rsidRDefault="00ED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0AD0" w14:textId="77777777" w:rsidR="009F3374" w:rsidRDefault="00ED0470">
    <w:pP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color w:val="000000"/>
      </w:rPr>
      <w:t>2</w:t>
    </w:r>
    <w:r>
      <w:rPr>
        <w:rFonts w:ascii="Book Antiqua" w:eastAsia="Book Antiqua" w:hAnsi="Book Antiqua" w:cs="Book Antiqua"/>
        <w:color w:val="000000"/>
      </w:rPr>
      <w:fldChar w:fldCharType="end"/>
    </w:r>
  </w:p>
  <w:p w14:paraId="6EB28FDF" w14:textId="77777777" w:rsidR="009F3374" w:rsidRDefault="009F3374">
    <w:pP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BCCE" w14:textId="77777777" w:rsidR="00ED0470" w:rsidRDefault="00ED0470">
      <w:r>
        <w:separator/>
      </w:r>
    </w:p>
  </w:footnote>
  <w:footnote w:type="continuationSeparator" w:id="0">
    <w:p w14:paraId="481C2B77" w14:textId="77777777" w:rsidR="00ED0470" w:rsidRDefault="00ED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34"/>
    <w:rsid w:val="00281C7B"/>
    <w:rsid w:val="00345B90"/>
    <w:rsid w:val="0038741B"/>
    <w:rsid w:val="003F54F8"/>
    <w:rsid w:val="00500216"/>
    <w:rsid w:val="00527508"/>
    <w:rsid w:val="0054740B"/>
    <w:rsid w:val="006236EA"/>
    <w:rsid w:val="00626B91"/>
    <w:rsid w:val="006549E1"/>
    <w:rsid w:val="006A1F44"/>
    <w:rsid w:val="007B0859"/>
    <w:rsid w:val="007C561A"/>
    <w:rsid w:val="007E2BE7"/>
    <w:rsid w:val="00814086"/>
    <w:rsid w:val="008864F3"/>
    <w:rsid w:val="0092660F"/>
    <w:rsid w:val="009723AC"/>
    <w:rsid w:val="009F3374"/>
    <w:rsid w:val="009F4D78"/>
    <w:rsid w:val="00A26B3C"/>
    <w:rsid w:val="00C073BA"/>
    <w:rsid w:val="00CA03C1"/>
    <w:rsid w:val="00CE353E"/>
    <w:rsid w:val="00CF1905"/>
    <w:rsid w:val="00ED0470"/>
    <w:rsid w:val="00F37A34"/>
    <w:rsid w:val="00FB3687"/>
    <w:rsid w:val="1A103AC1"/>
    <w:rsid w:val="20964742"/>
    <w:rsid w:val="21B11ED4"/>
    <w:rsid w:val="238E1462"/>
    <w:rsid w:val="2AAF5574"/>
    <w:rsid w:val="5A9B6C01"/>
    <w:rsid w:val="5C4E03F4"/>
    <w:rsid w:val="7B04234F"/>
    <w:rsid w:val="7B17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pPr>
  </w:style>
  <w:style w:type="paragraph" w:styleId="a5">
    <w:name w:val="header"/>
    <w:basedOn w:val="a"/>
    <w:link w:val="a6"/>
    <w:uiPriority w:val="99"/>
    <w:unhideWhenUsed/>
    <w:pPr>
      <w:tabs>
        <w:tab w:val="center" w:pos="4680"/>
        <w:tab w:val="right" w:pos="9360"/>
      </w:tabs>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Title"/>
    <w:basedOn w:val="a"/>
    <w:next w:val="a"/>
    <w:uiPriority w:val="10"/>
    <w:qFormat/>
    <w:pPr>
      <w:keepNext/>
      <w:keepLines/>
      <w:spacing w:before="480" w:after="120"/>
    </w:pPr>
    <w:rPr>
      <w:b/>
      <w:sz w:val="72"/>
      <w:szCs w:val="72"/>
    </w:rPr>
  </w:style>
  <w:style w:type="table" w:customStyle="1" w:styleId="Style11">
    <w:name w:val="_Style 11"/>
    <w:basedOn w:val="a1"/>
    <w:qFormat/>
    <w:tblPr/>
  </w:style>
  <w:style w:type="table" w:customStyle="1" w:styleId="Style12">
    <w:name w:val="_Style 12"/>
    <w:basedOn w:val="a1"/>
    <w:tblPr/>
  </w:style>
  <w:style w:type="table" w:customStyle="1" w:styleId="Style13">
    <w:name w:val="_Style 13"/>
    <w:basedOn w:val="a1"/>
    <w:qFormat/>
    <w:tblPr/>
  </w:style>
  <w:style w:type="character" w:customStyle="1" w:styleId="a6">
    <w:name w:val="页眉 字符"/>
    <w:basedOn w:val="a0"/>
    <w:link w:val="a5"/>
    <w:uiPriority w:val="99"/>
  </w:style>
  <w:style w:type="character" w:customStyle="1" w:styleId="a4">
    <w:name w:val="页脚 字符"/>
    <w:basedOn w:val="a0"/>
    <w:link w:val="a3"/>
    <w:uiPriority w:val="99"/>
  </w:style>
  <w:style w:type="paragraph" w:customStyle="1" w:styleId="10">
    <w:name w:val="修订1"/>
    <w:hidden/>
    <w:uiPriority w:val="99"/>
    <w:semiHidden/>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778">
      <w:bodyDiv w:val="1"/>
      <w:marLeft w:val="0"/>
      <w:marRight w:val="0"/>
      <w:marTop w:val="0"/>
      <w:marBottom w:val="0"/>
      <w:divBdr>
        <w:top w:val="none" w:sz="0" w:space="0" w:color="auto"/>
        <w:left w:val="none" w:sz="0" w:space="0" w:color="auto"/>
        <w:bottom w:val="none" w:sz="0" w:space="0" w:color="auto"/>
        <w:right w:val="none" w:sz="0" w:space="0" w:color="auto"/>
      </w:divBdr>
    </w:div>
    <w:div w:id="133419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5665</Words>
  <Characters>32297</Characters>
  <Application>Microsoft Office Word</Application>
  <DocSecurity>0</DocSecurity>
  <Lines>269</Lines>
  <Paragraphs>75</Paragraphs>
  <ScaleCrop>false</ScaleCrop>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2021-09-09T02:09:00Z</dcterms:created>
  <dcterms:modified xsi:type="dcterms:W3CDTF">2021-11-04T08:25:00Z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D4FEBD8BCDF64CD6A027067BF156E836</vt:lpwstr>
  </property>
</Properties>
</file>