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8ABB" w14:textId="77777777" w:rsidR="00A77B3E" w:rsidRPr="00A23C0C" w:rsidRDefault="00441B03">
      <w:pPr>
        <w:spacing w:line="360" w:lineRule="auto"/>
        <w:jc w:val="both"/>
      </w:pPr>
      <w:r w:rsidRPr="00A23C0C">
        <w:rPr>
          <w:rFonts w:ascii="Book Antiqua" w:eastAsia="Book Antiqua" w:hAnsi="Book Antiqua" w:cs="Book Antiqua"/>
          <w:b/>
          <w:color w:val="000000"/>
        </w:rPr>
        <w:t xml:space="preserve">Name of Journal: </w:t>
      </w:r>
      <w:r w:rsidRPr="00A23C0C">
        <w:rPr>
          <w:rFonts w:ascii="Book Antiqua" w:eastAsia="Book Antiqua" w:hAnsi="Book Antiqua" w:cs="Book Antiqua"/>
          <w:i/>
          <w:color w:val="000000"/>
        </w:rPr>
        <w:t>World Journal of Clinical Cases</w:t>
      </w:r>
    </w:p>
    <w:p w14:paraId="130FF14B" w14:textId="77777777" w:rsidR="00A77B3E" w:rsidRPr="00A23C0C" w:rsidRDefault="00441B03">
      <w:pPr>
        <w:spacing w:line="360" w:lineRule="auto"/>
        <w:jc w:val="both"/>
      </w:pPr>
      <w:r w:rsidRPr="00A23C0C">
        <w:rPr>
          <w:rFonts w:ascii="Book Antiqua" w:eastAsia="Book Antiqua" w:hAnsi="Book Antiqua" w:cs="Book Antiqua"/>
          <w:b/>
          <w:color w:val="000000"/>
        </w:rPr>
        <w:t xml:space="preserve">Manuscript NO: </w:t>
      </w:r>
      <w:r w:rsidRPr="00A23C0C">
        <w:rPr>
          <w:rFonts w:ascii="Book Antiqua" w:eastAsia="Book Antiqua" w:hAnsi="Book Antiqua" w:cs="Book Antiqua"/>
          <w:color w:val="000000"/>
        </w:rPr>
        <w:t>69201</w:t>
      </w:r>
    </w:p>
    <w:p w14:paraId="65A8770D" w14:textId="77777777" w:rsidR="00A77B3E" w:rsidRPr="00A23C0C" w:rsidRDefault="00441B03">
      <w:pPr>
        <w:spacing w:line="360" w:lineRule="auto"/>
        <w:jc w:val="both"/>
      </w:pPr>
      <w:r w:rsidRPr="00A23C0C">
        <w:rPr>
          <w:rFonts w:ascii="Book Antiqua" w:eastAsia="Book Antiqua" w:hAnsi="Book Antiqua" w:cs="Book Antiqua"/>
          <w:b/>
          <w:color w:val="000000"/>
        </w:rPr>
        <w:t xml:space="preserve">Manuscript Type: </w:t>
      </w:r>
      <w:r w:rsidRPr="00A23C0C">
        <w:rPr>
          <w:rFonts w:ascii="Book Antiqua" w:eastAsia="Book Antiqua" w:hAnsi="Book Antiqua" w:cs="Book Antiqua"/>
          <w:color w:val="000000"/>
        </w:rPr>
        <w:t>MINIREVIEWS</w:t>
      </w:r>
    </w:p>
    <w:p w14:paraId="0AEC1F64" w14:textId="77777777" w:rsidR="00A77B3E" w:rsidRPr="00A23C0C" w:rsidRDefault="00A77B3E">
      <w:pPr>
        <w:spacing w:line="360" w:lineRule="auto"/>
        <w:jc w:val="both"/>
      </w:pPr>
    </w:p>
    <w:p w14:paraId="1F7D07DC" w14:textId="77777777" w:rsidR="00A77B3E" w:rsidRPr="00A23C0C" w:rsidRDefault="00441B03">
      <w:pPr>
        <w:spacing w:line="360" w:lineRule="auto"/>
        <w:jc w:val="both"/>
      </w:pPr>
      <w:r w:rsidRPr="00A23C0C">
        <w:rPr>
          <w:rFonts w:ascii="Book Antiqua" w:eastAsia="Book Antiqua" w:hAnsi="Book Antiqua" w:cs="Book Antiqua"/>
          <w:b/>
          <w:bCs/>
          <w:color w:val="000000"/>
        </w:rPr>
        <w:t>Current treatment strategies for patients with only peritoneal cytology positive stage IV gastric cancer</w:t>
      </w:r>
    </w:p>
    <w:p w14:paraId="1AA3562B" w14:textId="77777777" w:rsidR="00A77B3E" w:rsidRPr="00A23C0C" w:rsidRDefault="00A77B3E">
      <w:pPr>
        <w:spacing w:line="360" w:lineRule="auto"/>
        <w:jc w:val="both"/>
      </w:pPr>
    </w:p>
    <w:p w14:paraId="072D81E5" w14:textId="0296A521" w:rsidR="00A77B3E" w:rsidRPr="00A23C0C" w:rsidRDefault="00CB18DA">
      <w:pPr>
        <w:spacing w:line="360" w:lineRule="auto"/>
        <w:jc w:val="both"/>
      </w:pPr>
      <w:r w:rsidRPr="00A23C0C">
        <w:rPr>
          <w:rFonts w:ascii="Book Antiqua" w:eastAsia="Book Antiqua" w:hAnsi="Book Antiqua" w:cs="Book Antiqua"/>
          <w:color w:val="000000"/>
        </w:rPr>
        <w:t xml:space="preserve">Bausys A </w:t>
      </w:r>
      <w:r w:rsidRPr="00A23C0C">
        <w:rPr>
          <w:rFonts w:ascii="Book Antiqua" w:eastAsia="Book Antiqua" w:hAnsi="Book Antiqua" w:cs="Book Antiqua"/>
          <w:i/>
          <w:iCs/>
          <w:color w:val="000000"/>
        </w:rPr>
        <w:t>et al</w:t>
      </w:r>
      <w:r w:rsidRPr="00A23C0C">
        <w:rPr>
          <w:rFonts w:ascii="Book Antiqua" w:eastAsia="Book Antiqua" w:hAnsi="Book Antiqua" w:cs="Book Antiqua"/>
          <w:color w:val="000000"/>
        </w:rPr>
        <w:t xml:space="preserve">. </w:t>
      </w:r>
      <w:r w:rsidR="00441B03" w:rsidRPr="00A23C0C">
        <w:rPr>
          <w:rFonts w:ascii="Book Antiqua" w:eastAsia="Book Antiqua" w:hAnsi="Book Antiqua" w:cs="Book Antiqua"/>
          <w:color w:val="000000"/>
        </w:rPr>
        <w:t>Treatment of gastric cancer with positive cytology</w:t>
      </w:r>
    </w:p>
    <w:p w14:paraId="77DCF299" w14:textId="77777777" w:rsidR="00A77B3E" w:rsidRPr="00A23C0C" w:rsidRDefault="00A77B3E">
      <w:pPr>
        <w:spacing w:line="360" w:lineRule="auto"/>
        <w:jc w:val="both"/>
      </w:pPr>
    </w:p>
    <w:p w14:paraId="7253D190" w14:textId="77777777" w:rsidR="00A77B3E" w:rsidRPr="00A23C0C" w:rsidRDefault="00441B03">
      <w:pPr>
        <w:spacing w:line="360" w:lineRule="auto"/>
        <w:jc w:val="both"/>
      </w:pPr>
      <w:r w:rsidRPr="00A23C0C">
        <w:rPr>
          <w:rFonts w:ascii="Book Antiqua" w:eastAsia="Book Antiqua" w:hAnsi="Book Antiqua" w:cs="Book Antiqua"/>
          <w:color w:val="000000"/>
        </w:rPr>
        <w:t>Augustinas Bausys, Zilvinas Gricius, Laura Aniukstyte, Martynas Luksta, Klaudija Bickaite, Rimantas Bausys, Kestutis Strupas</w:t>
      </w:r>
    </w:p>
    <w:p w14:paraId="149B766E" w14:textId="77777777" w:rsidR="00A77B3E" w:rsidRPr="00A23C0C" w:rsidRDefault="00A77B3E">
      <w:pPr>
        <w:spacing w:line="360" w:lineRule="auto"/>
        <w:jc w:val="both"/>
      </w:pPr>
    </w:p>
    <w:p w14:paraId="2B1B09D7" w14:textId="0C73BC80" w:rsidR="00A77B3E" w:rsidRPr="00A23C0C" w:rsidRDefault="00441B03">
      <w:pPr>
        <w:spacing w:line="360" w:lineRule="auto"/>
        <w:jc w:val="both"/>
      </w:pPr>
      <w:r w:rsidRPr="00A23C0C">
        <w:rPr>
          <w:rFonts w:ascii="Book Antiqua" w:eastAsia="Book Antiqua" w:hAnsi="Book Antiqua" w:cs="Book Antiqua"/>
          <w:b/>
          <w:bCs/>
          <w:color w:val="000000"/>
        </w:rPr>
        <w:t xml:space="preserve">Augustinas Bausys, </w:t>
      </w:r>
      <w:r w:rsidR="00DC5CF1" w:rsidRPr="00A23C0C">
        <w:rPr>
          <w:rFonts w:ascii="Book Antiqua" w:eastAsia="Book Antiqua" w:hAnsi="Book Antiqua" w:cs="Book Antiqua"/>
          <w:b/>
          <w:bCs/>
          <w:color w:val="000000"/>
        </w:rPr>
        <w:t xml:space="preserve">Rimantas Bausys, </w:t>
      </w:r>
      <w:r w:rsidRPr="00A23C0C">
        <w:rPr>
          <w:rFonts w:ascii="Book Antiqua" w:eastAsia="Book Antiqua" w:hAnsi="Book Antiqua" w:cs="Book Antiqua"/>
          <w:color w:val="000000"/>
        </w:rPr>
        <w:t>Department of Abdominal Surgery and Oncology, National Cancer Institute, Vilnius 08406, Lithuania</w:t>
      </w:r>
    </w:p>
    <w:p w14:paraId="47555991" w14:textId="77777777" w:rsidR="00A77B3E" w:rsidRPr="00A23C0C" w:rsidRDefault="00A77B3E">
      <w:pPr>
        <w:spacing w:line="360" w:lineRule="auto"/>
        <w:jc w:val="both"/>
      </w:pPr>
    </w:p>
    <w:p w14:paraId="3059EF10" w14:textId="77777777" w:rsidR="00A77B3E" w:rsidRPr="00A23C0C" w:rsidRDefault="00441B03">
      <w:pPr>
        <w:spacing w:line="360" w:lineRule="auto"/>
        <w:jc w:val="both"/>
      </w:pPr>
      <w:r w:rsidRPr="00A23C0C">
        <w:rPr>
          <w:rFonts w:ascii="Book Antiqua" w:eastAsia="Book Antiqua" w:hAnsi="Book Antiqua" w:cs="Book Antiqua"/>
          <w:b/>
          <w:bCs/>
          <w:color w:val="000000"/>
        </w:rPr>
        <w:t xml:space="preserve">Zilvinas Gricius, Laura Aniukstyte, Klaudija Bickaite, </w:t>
      </w:r>
      <w:r w:rsidRPr="00A23C0C">
        <w:rPr>
          <w:rFonts w:ascii="Book Antiqua" w:eastAsia="Book Antiqua" w:hAnsi="Book Antiqua" w:cs="Book Antiqua"/>
          <w:color w:val="000000"/>
        </w:rPr>
        <w:t>Faculty of Medicine, Vilnius University, Vilnius 08406, Lithuania</w:t>
      </w:r>
    </w:p>
    <w:p w14:paraId="0534F50F" w14:textId="77777777" w:rsidR="00A77B3E" w:rsidRPr="00A23C0C" w:rsidRDefault="00A77B3E">
      <w:pPr>
        <w:spacing w:line="360" w:lineRule="auto"/>
        <w:jc w:val="both"/>
      </w:pPr>
    </w:p>
    <w:p w14:paraId="5BA9F56C" w14:textId="2E63EFC7" w:rsidR="00A77B3E" w:rsidRPr="00A23C0C" w:rsidRDefault="00932A6A">
      <w:pPr>
        <w:spacing w:line="360" w:lineRule="auto"/>
        <w:jc w:val="both"/>
      </w:pPr>
      <w:r w:rsidRPr="00A23C0C">
        <w:rPr>
          <w:rFonts w:ascii="Book Antiqua" w:eastAsia="Book Antiqua" w:hAnsi="Book Antiqua" w:cs="Book Antiqua"/>
          <w:b/>
          <w:bCs/>
          <w:color w:val="000000"/>
        </w:rPr>
        <w:t xml:space="preserve">Augustinas Bausys, </w:t>
      </w:r>
      <w:r w:rsidR="00441B03" w:rsidRPr="00A23C0C">
        <w:rPr>
          <w:rFonts w:ascii="Book Antiqua" w:eastAsia="Book Antiqua" w:hAnsi="Book Antiqua" w:cs="Book Antiqua"/>
          <w:b/>
          <w:bCs/>
          <w:color w:val="000000"/>
        </w:rPr>
        <w:t xml:space="preserve">Martynas Luksta, </w:t>
      </w:r>
      <w:r w:rsidR="00441B03" w:rsidRPr="00A23C0C">
        <w:rPr>
          <w:rFonts w:ascii="Book Antiqua" w:eastAsia="Book Antiqua" w:hAnsi="Book Antiqua" w:cs="Book Antiqua"/>
          <w:color w:val="000000"/>
        </w:rPr>
        <w:t xml:space="preserve">Clinic of Gastroenterology, Nephrourology and Surgery, Institute of Clinical Medicine, Faculty of Medicine, Vilnius University, Vilnius </w:t>
      </w:r>
      <w:r w:rsidR="00F31461" w:rsidRPr="00A23C0C">
        <w:rPr>
          <w:rFonts w:ascii="Book Antiqua" w:eastAsia="Book Antiqua" w:hAnsi="Book Antiqua" w:cs="Book Antiqua"/>
          <w:color w:val="000000"/>
        </w:rPr>
        <w:t>03101</w:t>
      </w:r>
      <w:r w:rsidR="00441B03" w:rsidRPr="00A23C0C">
        <w:rPr>
          <w:rFonts w:ascii="Book Antiqua" w:eastAsia="Book Antiqua" w:hAnsi="Book Antiqua" w:cs="Book Antiqua"/>
          <w:color w:val="000000"/>
        </w:rPr>
        <w:t>, Lithuania</w:t>
      </w:r>
    </w:p>
    <w:p w14:paraId="515D6B49" w14:textId="77777777" w:rsidR="00A77B3E" w:rsidRPr="00A23C0C" w:rsidRDefault="00A77B3E">
      <w:pPr>
        <w:spacing w:line="360" w:lineRule="auto"/>
        <w:jc w:val="both"/>
      </w:pPr>
    </w:p>
    <w:p w14:paraId="07E9A192" w14:textId="3FB5E52C" w:rsidR="00A77B3E" w:rsidRPr="00A23C0C" w:rsidRDefault="00441B03">
      <w:pPr>
        <w:spacing w:line="360" w:lineRule="auto"/>
        <w:jc w:val="both"/>
      </w:pPr>
      <w:r w:rsidRPr="00A23C0C">
        <w:rPr>
          <w:rFonts w:ascii="Book Antiqua" w:eastAsia="Book Antiqua" w:hAnsi="Book Antiqua" w:cs="Book Antiqua"/>
          <w:b/>
          <w:bCs/>
          <w:color w:val="000000"/>
        </w:rPr>
        <w:t xml:space="preserve">Kestutis Strupas, </w:t>
      </w:r>
      <w:r w:rsidRPr="00A23C0C">
        <w:rPr>
          <w:rFonts w:ascii="Book Antiqua" w:eastAsia="Book Antiqua" w:hAnsi="Book Antiqua" w:cs="Book Antiqua"/>
          <w:color w:val="000000"/>
        </w:rPr>
        <w:t xml:space="preserve">Clinic of Gastroenterology, Nephrourology and Surgery, Institute of Clinical Medicine, Vilnius University, Vilnius </w:t>
      </w:r>
      <w:r w:rsidR="00F31461" w:rsidRPr="00A23C0C">
        <w:rPr>
          <w:rFonts w:ascii="Book Antiqua" w:eastAsia="Book Antiqua" w:hAnsi="Book Antiqua" w:cs="Book Antiqua"/>
          <w:color w:val="000000"/>
        </w:rPr>
        <w:t>03101</w:t>
      </w:r>
      <w:r w:rsidRPr="00A23C0C">
        <w:rPr>
          <w:rFonts w:ascii="Book Antiqua" w:eastAsia="Book Antiqua" w:hAnsi="Book Antiqua" w:cs="Book Antiqua"/>
          <w:color w:val="000000"/>
        </w:rPr>
        <w:t>, Lithuania</w:t>
      </w:r>
    </w:p>
    <w:p w14:paraId="28E80D8C" w14:textId="77777777" w:rsidR="00A77B3E" w:rsidRPr="00A23C0C" w:rsidRDefault="00A77B3E">
      <w:pPr>
        <w:spacing w:line="360" w:lineRule="auto"/>
        <w:jc w:val="both"/>
      </w:pPr>
    </w:p>
    <w:p w14:paraId="695C6D7A" w14:textId="4E82B77F" w:rsidR="00A77B3E" w:rsidRPr="00A23C0C" w:rsidRDefault="00441B03">
      <w:pPr>
        <w:spacing w:line="360" w:lineRule="auto"/>
        <w:jc w:val="both"/>
      </w:pPr>
      <w:r w:rsidRPr="00A23C0C">
        <w:rPr>
          <w:rFonts w:ascii="Book Antiqua" w:eastAsia="Book Antiqua" w:hAnsi="Book Antiqua" w:cs="Book Antiqua"/>
          <w:b/>
          <w:bCs/>
          <w:color w:val="000000"/>
          <w:szCs w:val="22"/>
        </w:rPr>
        <w:t xml:space="preserve">Author contributions: </w:t>
      </w:r>
      <w:r w:rsidRPr="00A23C0C">
        <w:rPr>
          <w:rFonts w:ascii="Book Antiqua" w:eastAsia="Book Antiqua" w:hAnsi="Book Antiqua" w:cs="Book Antiqua"/>
          <w:color w:val="000000"/>
        </w:rPr>
        <w:t>Bausys R and Strupas K conceptualized and designed the work</w:t>
      </w:r>
      <w:r w:rsidR="00CB18DA"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Bausys A, Gricius Z, Aniukstyte L, and Bickaite K performed the literature review and critical revision of the studies</w:t>
      </w:r>
      <w:r w:rsidR="00CB18DA"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Bausys A, Gricius Z, Bickaite K, and Aniukstyte L </w:t>
      </w:r>
      <w:r w:rsidRPr="00A23C0C">
        <w:rPr>
          <w:rFonts w:ascii="Book Antiqua" w:eastAsia="Book Antiqua" w:hAnsi="Book Antiqua" w:cs="Book Antiqua"/>
          <w:color w:val="000000"/>
        </w:rPr>
        <w:lastRenderedPageBreak/>
        <w:t>prepared the manuscript</w:t>
      </w:r>
      <w:r w:rsidR="00CB18DA"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Bausys R and Strupas K revised the manuscript</w:t>
      </w:r>
      <w:r w:rsidR="00CB18DA" w:rsidRPr="00A23C0C">
        <w:rPr>
          <w:rFonts w:ascii="Book Antiqua" w:eastAsia="Book Antiqua" w:hAnsi="Book Antiqua" w:cs="Book Antiqua"/>
          <w:color w:val="000000"/>
        </w:rPr>
        <w:t>; and</w:t>
      </w:r>
      <w:r w:rsidRPr="00A23C0C">
        <w:rPr>
          <w:rFonts w:ascii="Book Antiqua" w:eastAsia="Book Antiqua" w:hAnsi="Book Antiqua" w:cs="Book Antiqua"/>
          <w:color w:val="000000"/>
        </w:rPr>
        <w:t xml:space="preserve"> </w:t>
      </w:r>
      <w:r w:rsidR="00CB18DA" w:rsidRPr="00A23C0C">
        <w:rPr>
          <w:rFonts w:ascii="Book Antiqua" w:eastAsia="Book Antiqua" w:hAnsi="Book Antiqua" w:cs="Book Antiqua"/>
          <w:color w:val="000000"/>
        </w:rPr>
        <w:t>a</w:t>
      </w:r>
      <w:r w:rsidRPr="00A23C0C">
        <w:rPr>
          <w:rFonts w:ascii="Book Antiqua" w:eastAsia="Book Antiqua" w:hAnsi="Book Antiqua" w:cs="Book Antiqua"/>
          <w:color w:val="000000"/>
        </w:rPr>
        <w:t>ll authors read and approved the final form of the manuscript.</w:t>
      </w:r>
    </w:p>
    <w:p w14:paraId="19E0D550" w14:textId="77777777" w:rsidR="00A77B3E" w:rsidRPr="00A23C0C" w:rsidRDefault="00A77B3E">
      <w:pPr>
        <w:spacing w:line="360" w:lineRule="auto"/>
        <w:jc w:val="both"/>
      </w:pPr>
    </w:p>
    <w:p w14:paraId="6164186E" w14:textId="77777777" w:rsidR="00A77B3E" w:rsidRPr="00A23C0C" w:rsidRDefault="00441B03">
      <w:pPr>
        <w:spacing w:line="360" w:lineRule="auto"/>
        <w:jc w:val="both"/>
      </w:pPr>
      <w:r w:rsidRPr="00A23C0C">
        <w:rPr>
          <w:rFonts w:ascii="Book Antiqua" w:eastAsia="Book Antiqua" w:hAnsi="Book Antiqua" w:cs="Book Antiqua"/>
          <w:b/>
          <w:bCs/>
          <w:color w:val="000000"/>
        </w:rPr>
        <w:t xml:space="preserve">Corresponding author: Augustinas Bausys, MD, Surgeon, </w:t>
      </w:r>
      <w:r w:rsidRPr="00A23C0C">
        <w:rPr>
          <w:rFonts w:ascii="Book Antiqua" w:eastAsia="Book Antiqua" w:hAnsi="Book Antiqua" w:cs="Book Antiqua"/>
          <w:color w:val="000000"/>
        </w:rPr>
        <w:t>Department of Abdominal Surgery and Oncology, National Cancer Institute, Santariskiu str. 1, Vilnius 08406, Lithuania. augustinas.bausys@gmail.com</w:t>
      </w:r>
    </w:p>
    <w:p w14:paraId="580A20E8" w14:textId="77777777" w:rsidR="00A77B3E" w:rsidRPr="00A23C0C" w:rsidRDefault="00A77B3E">
      <w:pPr>
        <w:spacing w:line="360" w:lineRule="auto"/>
        <w:jc w:val="both"/>
      </w:pPr>
    </w:p>
    <w:p w14:paraId="179D422B" w14:textId="77777777" w:rsidR="00A77B3E" w:rsidRPr="00A23C0C" w:rsidRDefault="00441B03">
      <w:pPr>
        <w:spacing w:line="360" w:lineRule="auto"/>
        <w:jc w:val="both"/>
      </w:pPr>
      <w:r w:rsidRPr="00A23C0C">
        <w:rPr>
          <w:rFonts w:ascii="Book Antiqua" w:eastAsia="Book Antiqua" w:hAnsi="Book Antiqua" w:cs="Book Antiqua"/>
          <w:b/>
          <w:bCs/>
          <w:color w:val="000000"/>
        </w:rPr>
        <w:t xml:space="preserve">Received: </w:t>
      </w:r>
      <w:r w:rsidRPr="00A23C0C">
        <w:rPr>
          <w:rFonts w:ascii="Book Antiqua" w:eastAsia="Book Antiqua" w:hAnsi="Book Antiqua" w:cs="Book Antiqua"/>
          <w:color w:val="000000"/>
        </w:rPr>
        <w:t>June 20, 2021</w:t>
      </w:r>
    </w:p>
    <w:p w14:paraId="070035F4" w14:textId="77777777" w:rsidR="00A77B3E" w:rsidRPr="00A23C0C" w:rsidRDefault="00441B03">
      <w:pPr>
        <w:spacing w:line="360" w:lineRule="auto"/>
        <w:jc w:val="both"/>
      </w:pPr>
      <w:r w:rsidRPr="00A23C0C">
        <w:rPr>
          <w:rFonts w:ascii="Book Antiqua" w:eastAsia="Book Antiqua" w:hAnsi="Book Antiqua" w:cs="Book Antiqua"/>
          <w:b/>
          <w:bCs/>
          <w:color w:val="000000"/>
        </w:rPr>
        <w:t xml:space="preserve">Revised: </w:t>
      </w:r>
      <w:r w:rsidRPr="00A23C0C">
        <w:rPr>
          <w:rFonts w:ascii="Book Antiqua" w:eastAsia="Book Antiqua" w:hAnsi="Book Antiqua" w:cs="Book Antiqua"/>
          <w:color w:val="000000"/>
        </w:rPr>
        <w:t>July 28, 2021</w:t>
      </w:r>
    </w:p>
    <w:p w14:paraId="2E228C50" w14:textId="0E38483E" w:rsidR="00A77B3E" w:rsidRPr="00A23C0C" w:rsidRDefault="00441B03">
      <w:pPr>
        <w:spacing w:line="360" w:lineRule="auto"/>
        <w:jc w:val="both"/>
      </w:pPr>
      <w:r w:rsidRPr="00A23C0C">
        <w:rPr>
          <w:rFonts w:ascii="Book Antiqua" w:eastAsia="Book Antiqua" w:hAnsi="Book Antiqua" w:cs="Book Antiqua"/>
          <w:b/>
          <w:bCs/>
          <w:color w:val="000000"/>
        </w:rPr>
        <w:t xml:space="preserve">Accepted: </w:t>
      </w:r>
      <w:r w:rsidR="004F0699" w:rsidRPr="00A23C0C">
        <w:rPr>
          <w:rFonts w:ascii="Book Antiqua" w:eastAsia="Book Antiqua" w:hAnsi="Book Antiqua" w:cs="Book Antiqua"/>
          <w:color w:val="000000"/>
        </w:rPr>
        <w:t>September 15, 2021</w:t>
      </w:r>
    </w:p>
    <w:p w14:paraId="7E6D9527" w14:textId="0CD87F94" w:rsidR="00A77B3E" w:rsidRPr="00A23C0C" w:rsidRDefault="00441B03">
      <w:pPr>
        <w:spacing w:line="360" w:lineRule="auto"/>
        <w:jc w:val="both"/>
      </w:pPr>
      <w:r w:rsidRPr="00A23C0C">
        <w:rPr>
          <w:rFonts w:ascii="Book Antiqua" w:eastAsia="Book Antiqua" w:hAnsi="Book Antiqua" w:cs="Book Antiqua"/>
          <w:b/>
          <w:bCs/>
          <w:color w:val="000000"/>
        </w:rPr>
        <w:t xml:space="preserve">Published online: </w:t>
      </w:r>
      <w:r w:rsidR="00640ADB" w:rsidRPr="00A23C0C">
        <w:rPr>
          <w:rFonts w:ascii="Book Antiqua" w:eastAsia="Book Antiqua" w:hAnsi="Book Antiqua" w:cs="Book Antiqua"/>
          <w:bCs/>
          <w:color w:val="000000" w:themeColor="text1"/>
        </w:rPr>
        <w:t>November 16, 2021</w:t>
      </w:r>
    </w:p>
    <w:p w14:paraId="4CFFECEF" w14:textId="77777777" w:rsidR="00A77B3E" w:rsidRPr="00A23C0C" w:rsidRDefault="00A77B3E">
      <w:pPr>
        <w:spacing w:line="360" w:lineRule="auto"/>
        <w:jc w:val="both"/>
        <w:sectPr w:rsidR="00A77B3E" w:rsidRPr="00A23C0C">
          <w:footerReference w:type="default" r:id="rId6"/>
          <w:pgSz w:w="12240" w:h="15840"/>
          <w:pgMar w:top="1440" w:right="1440" w:bottom="1440" w:left="1440" w:header="720" w:footer="720" w:gutter="0"/>
          <w:cols w:space="720"/>
          <w:docGrid w:linePitch="360"/>
        </w:sectPr>
      </w:pPr>
    </w:p>
    <w:p w14:paraId="113158BB" w14:textId="77777777" w:rsidR="00A77B3E" w:rsidRPr="00A23C0C" w:rsidRDefault="00441B03">
      <w:pPr>
        <w:spacing w:line="360" w:lineRule="auto"/>
        <w:jc w:val="both"/>
      </w:pPr>
      <w:r w:rsidRPr="00A23C0C">
        <w:rPr>
          <w:rFonts w:ascii="Book Antiqua" w:eastAsia="Book Antiqua" w:hAnsi="Book Antiqua" w:cs="Book Antiqua"/>
          <w:b/>
          <w:color w:val="000000"/>
        </w:rPr>
        <w:lastRenderedPageBreak/>
        <w:t>Abstract</w:t>
      </w:r>
    </w:p>
    <w:p w14:paraId="2D25B17C" w14:textId="75C5A3FC" w:rsidR="00A77B3E" w:rsidRPr="00A23C0C" w:rsidRDefault="00441B03" w:rsidP="00CB18DA">
      <w:pPr>
        <w:spacing w:line="360" w:lineRule="auto"/>
        <w:jc w:val="both"/>
      </w:pPr>
      <w:r w:rsidRPr="00A23C0C">
        <w:rPr>
          <w:rFonts w:ascii="Book Antiqua" w:eastAsia="Book Antiqua" w:hAnsi="Book Antiqua" w:cs="Book Antiqua"/>
          <w:color w:val="000000"/>
        </w:rPr>
        <w:t>Gastric cancer (GC) is one of the most common malignancies worldwide and surgery remains the only potentially curative treatment option for it. Although a significant proportion of GC patients are found with distant metastases already at the initial diagnosis. Peritoneal dissemination is the most common site of metastases. Positive peritoneal cytology (Cy1) is associated with poor long</w:t>
      </w:r>
      <w:r w:rsidR="00CB18DA" w:rsidRPr="00A23C0C">
        <w:rPr>
          <w:rFonts w:ascii="Book Antiqua" w:eastAsia="Book Antiqua" w:hAnsi="Book Antiqua" w:cs="Book Antiqua"/>
          <w:color w:val="000000"/>
        </w:rPr>
        <w:t>-</w:t>
      </w:r>
      <w:r w:rsidRPr="00A23C0C">
        <w:rPr>
          <w:rFonts w:ascii="Book Antiqua" w:eastAsia="Book Antiqua" w:hAnsi="Book Antiqua" w:cs="Book Antiqua"/>
          <w:color w:val="000000"/>
        </w:rPr>
        <w:t>term outcomes; thus, these patients are considered as stage IV even if macroscopic carcinomatosis is absent.</w:t>
      </w:r>
      <w:r w:rsidR="00CB18DA"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 xml:space="preserve">Currently, there is no clear evidence for the most optimal treatment for this distinct subpopulation of the stage IV cohort. Available strategies vary from palliative chemotherapy to upfront gastrectomy. This comprehensive review summarized current evidence of different treatment strategies for Cy1 GC including roles of surgery, systemic and intraperitoneal chemotherapy. </w:t>
      </w:r>
    </w:p>
    <w:p w14:paraId="1A16BAB1" w14:textId="77777777" w:rsidR="00A77B3E" w:rsidRPr="00A23C0C" w:rsidRDefault="00A77B3E">
      <w:pPr>
        <w:spacing w:line="360" w:lineRule="auto"/>
        <w:ind w:firstLine="720"/>
        <w:jc w:val="both"/>
      </w:pPr>
    </w:p>
    <w:p w14:paraId="7504C734" w14:textId="7989CEF1" w:rsidR="00A77B3E" w:rsidRPr="00A23C0C" w:rsidRDefault="00441B03">
      <w:pPr>
        <w:spacing w:line="360" w:lineRule="auto"/>
        <w:jc w:val="both"/>
      </w:pPr>
      <w:r w:rsidRPr="00A23C0C">
        <w:rPr>
          <w:rFonts w:ascii="Book Antiqua" w:eastAsia="Book Antiqua" w:hAnsi="Book Antiqua" w:cs="Book Antiqua"/>
          <w:b/>
          <w:bCs/>
          <w:color w:val="000000"/>
          <w:szCs w:val="22"/>
        </w:rPr>
        <w:t xml:space="preserve">Key Words: </w:t>
      </w:r>
      <w:r w:rsidRPr="00A23C0C">
        <w:rPr>
          <w:rFonts w:ascii="Book Antiqua" w:eastAsia="Book Antiqua" w:hAnsi="Book Antiqua" w:cs="Book Antiqua"/>
          <w:color w:val="000000"/>
        </w:rPr>
        <w:t xml:space="preserve">Gastric cancer; </w:t>
      </w:r>
      <w:r w:rsidR="00CB18DA" w:rsidRPr="00A23C0C">
        <w:rPr>
          <w:rFonts w:ascii="Book Antiqua" w:eastAsia="Book Antiqua" w:hAnsi="Book Antiqua" w:cs="Book Antiqua"/>
          <w:color w:val="000000"/>
        </w:rPr>
        <w:t>P</w:t>
      </w:r>
      <w:r w:rsidRPr="00A23C0C">
        <w:rPr>
          <w:rFonts w:ascii="Book Antiqua" w:eastAsia="Book Antiqua" w:hAnsi="Book Antiqua" w:cs="Book Antiqua"/>
          <w:color w:val="000000"/>
        </w:rPr>
        <w:t xml:space="preserve">ositive peritoneal cytology; </w:t>
      </w:r>
      <w:r w:rsidR="00CB18DA" w:rsidRPr="00A23C0C">
        <w:rPr>
          <w:rFonts w:ascii="Book Antiqua" w:eastAsia="Book Antiqua" w:hAnsi="Book Antiqua" w:cs="Book Antiqua"/>
          <w:color w:val="000000"/>
        </w:rPr>
        <w:t>G</w:t>
      </w:r>
      <w:r w:rsidRPr="00A23C0C">
        <w:rPr>
          <w:rFonts w:ascii="Book Antiqua" w:eastAsia="Book Antiqua" w:hAnsi="Book Antiqua" w:cs="Book Antiqua"/>
          <w:color w:val="000000"/>
        </w:rPr>
        <w:t xml:space="preserve">astrectomy; </w:t>
      </w:r>
      <w:r w:rsidR="00CB18DA" w:rsidRPr="00A23C0C">
        <w:rPr>
          <w:rFonts w:ascii="Book Antiqua" w:eastAsia="Book Antiqua" w:hAnsi="Book Antiqua" w:cs="Book Antiqua"/>
          <w:color w:val="000000"/>
        </w:rPr>
        <w:t>S</w:t>
      </w:r>
      <w:r w:rsidRPr="00A23C0C">
        <w:rPr>
          <w:rFonts w:ascii="Book Antiqua" w:eastAsia="Book Antiqua" w:hAnsi="Book Antiqua" w:cs="Book Antiqua"/>
          <w:color w:val="000000"/>
        </w:rPr>
        <w:t xml:space="preserve">ystemic chemotherapy; </w:t>
      </w:r>
      <w:r w:rsidR="00CB18DA" w:rsidRPr="00A23C0C">
        <w:rPr>
          <w:rFonts w:ascii="Book Antiqua" w:eastAsia="Book Antiqua" w:hAnsi="Book Antiqua" w:cs="Book Antiqua"/>
          <w:color w:val="000000"/>
        </w:rPr>
        <w:t>I</w:t>
      </w:r>
      <w:r w:rsidRPr="00A23C0C">
        <w:rPr>
          <w:rFonts w:ascii="Book Antiqua" w:eastAsia="Book Antiqua" w:hAnsi="Book Antiqua" w:cs="Book Antiqua"/>
          <w:color w:val="000000"/>
        </w:rPr>
        <w:t>ntraperitoneal chemotherapy</w:t>
      </w:r>
    </w:p>
    <w:p w14:paraId="31D71D63" w14:textId="77777777" w:rsidR="00B42962" w:rsidRPr="00A23C0C" w:rsidRDefault="00B42962" w:rsidP="00B42962">
      <w:pPr>
        <w:spacing w:line="360" w:lineRule="auto"/>
        <w:jc w:val="both"/>
        <w:rPr>
          <w:lang w:eastAsia="zh-CN"/>
        </w:rPr>
      </w:pPr>
    </w:p>
    <w:p w14:paraId="248F2E9E" w14:textId="77777777" w:rsidR="00B42962" w:rsidRPr="00A23C0C" w:rsidRDefault="00B42962" w:rsidP="00B42962">
      <w:pPr>
        <w:spacing w:line="360" w:lineRule="auto"/>
        <w:jc w:val="both"/>
        <w:rPr>
          <w:rFonts w:ascii="Book Antiqua" w:eastAsia="Book Antiqua" w:hAnsi="Book Antiqua" w:cs="Book Antiqua"/>
          <w:color w:val="000000"/>
        </w:rPr>
      </w:pPr>
      <w:r w:rsidRPr="00A23C0C">
        <w:rPr>
          <w:rFonts w:ascii="Book Antiqua" w:eastAsia="Book Antiqua" w:hAnsi="Book Antiqua" w:cs="Book Antiqua"/>
          <w:b/>
          <w:color w:val="000000"/>
        </w:rPr>
        <w:t>©The</w:t>
      </w:r>
      <w:r w:rsidRPr="00A23C0C">
        <w:rPr>
          <w:rFonts w:ascii="Book Antiqua" w:eastAsia="Book Antiqua" w:hAnsi="Book Antiqua" w:cs="Book Antiqua"/>
          <w:color w:val="000000"/>
        </w:rPr>
        <w:t xml:space="preserve"> </w:t>
      </w:r>
      <w:r w:rsidRPr="00A23C0C">
        <w:rPr>
          <w:rFonts w:ascii="Book Antiqua" w:eastAsia="Book Antiqua" w:hAnsi="Book Antiqua" w:cs="Book Antiqua"/>
          <w:b/>
          <w:color w:val="000000"/>
        </w:rPr>
        <w:t xml:space="preserve">Author(s) 2021. </w:t>
      </w:r>
      <w:r w:rsidRPr="00A23C0C">
        <w:rPr>
          <w:rFonts w:ascii="Book Antiqua" w:eastAsia="Book Antiqua" w:hAnsi="Book Antiqua" w:cs="Book Antiqua"/>
          <w:color w:val="000000"/>
        </w:rPr>
        <w:t xml:space="preserve">Published by Baishideng Publishing Group Inc. All rights reserved. </w:t>
      </w:r>
    </w:p>
    <w:p w14:paraId="23FC1A19" w14:textId="77777777" w:rsidR="00B42962" w:rsidRPr="00A23C0C" w:rsidRDefault="00B42962" w:rsidP="00B42962">
      <w:pPr>
        <w:spacing w:line="360" w:lineRule="auto"/>
        <w:jc w:val="both"/>
        <w:rPr>
          <w:lang w:eastAsia="zh-CN"/>
        </w:rPr>
      </w:pPr>
    </w:p>
    <w:p w14:paraId="70721453" w14:textId="3D61020D" w:rsidR="00786C7F" w:rsidRDefault="00B42962" w:rsidP="00B42962">
      <w:pPr>
        <w:spacing w:line="360" w:lineRule="auto"/>
        <w:jc w:val="both"/>
        <w:rPr>
          <w:rFonts w:ascii="Book Antiqua" w:eastAsia="Book Antiqua" w:hAnsi="Book Antiqua" w:cs="Book Antiqua"/>
          <w:color w:val="000000"/>
        </w:rPr>
      </w:pPr>
      <w:r w:rsidRPr="00A23C0C">
        <w:rPr>
          <w:rFonts w:ascii="Book Antiqua" w:hAnsi="Book Antiqua" w:cs="Book Antiqua"/>
          <w:b/>
          <w:color w:val="000000"/>
          <w:lang w:eastAsia="zh-CN"/>
        </w:rPr>
        <w:t>Citation:</w:t>
      </w:r>
      <w:r w:rsidRPr="00A23C0C">
        <w:rPr>
          <w:rFonts w:ascii="Book Antiqua" w:hAnsi="Book Antiqua" w:cs="Book Antiqua"/>
          <w:color w:val="000000"/>
          <w:lang w:eastAsia="zh-CN"/>
        </w:rPr>
        <w:t xml:space="preserve"> </w:t>
      </w:r>
      <w:r w:rsidR="00441B03" w:rsidRPr="00A23C0C">
        <w:rPr>
          <w:rFonts w:ascii="Book Antiqua" w:eastAsia="Book Antiqua" w:hAnsi="Book Antiqua" w:cs="Book Antiqua"/>
          <w:color w:val="000000"/>
        </w:rPr>
        <w:t xml:space="preserve">Bausys A, Gricius Z, Aniukstyte L, Luksta M, Bickaite K, Bausys R, Strupas K. Current treatment strategies for patients with only peritoneal cytology positive stage IV gastric cancer. </w:t>
      </w:r>
      <w:r w:rsidR="00441B03" w:rsidRPr="00A23C0C">
        <w:rPr>
          <w:rFonts w:ascii="Book Antiqua" w:eastAsia="Book Antiqua" w:hAnsi="Book Antiqua" w:cs="Book Antiqua"/>
          <w:i/>
          <w:iCs/>
          <w:color w:val="000000"/>
        </w:rPr>
        <w:t>World J Clin Cases</w:t>
      </w:r>
      <w:r w:rsidR="00441B03" w:rsidRPr="00A23C0C">
        <w:rPr>
          <w:rFonts w:ascii="Book Antiqua" w:eastAsia="Book Antiqua" w:hAnsi="Book Antiqua" w:cs="Book Antiqua"/>
          <w:color w:val="000000"/>
        </w:rPr>
        <w:t xml:space="preserve"> 2021; </w:t>
      </w:r>
      <w:r w:rsidR="00640ADB" w:rsidRPr="00A23C0C">
        <w:rPr>
          <w:rFonts w:ascii="Book Antiqua" w:eastAsia="Book Antiqua" w:hAnsi="Book Antiqua" w:cs="Book Antiqua"/>
          <w:color w:val="000000"/>
        </w:rPr>
        <w:t xml:space="preserve">9(32): </w:t>
      </w:r>
      <w:r w:rsidR="00786C7F">
        <w:rPr>
          <w:rFonts w:ascii="Book Antiqua" w:hAnsi="Book Antiqua"/>
        </w:rPr>
        <w:t>9711-9721</w:t>
      </w:r>
    </w:p>
    <w:p w14:paraId="5AE29592" w14:textId="2B70F2BC" w:rsidR="00786C7F" w:rsidRDefault="00640ADB" w:rsidP="00B42962">
      <w:pPr>
        <w:spacing w:line="360" w:lineRule="auto"/>
        <w:jc w:val="both"/>
        <w:rPr>
          <w:rFonts w:ascii="Book Antiqua" w:eastAsia="Book Antiqua" w:hAnsi="Book Antiqua" w:cs="Book Antiqua"/>
          <w:color w:val="000000"/>
        </w:rPr>
      </w:pPr>
      <w:r w:rsidRPr="00A23C0C">
        <w:rPr>
          <w:rFonts w:ascii="Book Antiqua" w:eastAsia="Book Antiqua" w:hAnsi="Book Antiqua" w:cs="Book Antiqua"/>
          <w:color w:val="000000"/>
        </w:rPr>
        <w:t>URL: https://www.wjgnet.com/2307-8960/full/v9/i32/</w:t>
      </w:r>
      <w:r w:rsidR="00786C7F">
        <w:rPr>
          <w:rFonts w:ascii="Book Antiqua" w:hAnsi="Book Antiqua"/>
        </w:rPr>
        <w:t>9711</w:t>
      </w:r>
      <w:r w:rsidRPr="00A23C0C">
        <w:rPr>
          <w:rFonts w:ascii="Book Antiqua" w:eastAsia="Book Antiqua" w:hAnsi="Book Antiqua" w:cs="Book Antiqua"/>
          <w:color w:val="000000"/>
        </w:rPr>
        <w:t xml:space="preserve">.htm </w:t>
      </w:r>
    </w:p>
    <w:p w14:paraId="66BC3BDD" w14:textId="24C22303" w:rsidR="00A77B3E" w:rsidRPr="00A23C0C" w:rsidRDefault="00640ADB" w:rsidP="00B42962">
      <w:pPr>
        <w:spacing w:line="360" w:lineRule="auto"/>
        <w:jc w:val="both"/>
        <w:rPr>
          <w:rFonts w:ascii="Book Antiqua" w:eastAsia="Book Antiqua" w:hAnsi="Book Antiqua" w:cs="Book Antiqua"/>
          <w:color w:val="000000"/>
        </w:rPr>
      </w:pPr>
      <w:r w:rsidRPr="00A23C0C">
        <w:rPr>
          <w:rFonts w:ascii="Book Antiqua" w:eastAsia="Book Antiqua" w:hAnsi="Book Antiqua" w:cs="Book Antiqua"/>
          <w:color w:val="000000"/>
        </w:rPr>
        <w:t>DOI: https://dx.doi.org/10.12998/wjcc.v9.i32.</w:t>
      </w:r>
      <w:r w:rsidR="00786C7F">
        <w:rPr>
          <w:rFonts w:ascii="Book Antiqua" w:hAnsi="Book Antiqua"/>
        </w:rPr>
        <w:t>9711</w:t>
      </w:r>
    </w:p>
    <w:p w14:paraId="5E5171FD" w14:textId="77777777" w:rsidR="00A77B3E" w:rsidRPr="00A23C0C" w:rsidRDefault="00A77B3E">
      <w:pPr>
        <w:spacing w:line="360" w:lineRule="auto"/>
        <w:jc w:val="both"/>
      </w:pPr>
    </w:p>
    <w:p w14:paraId="758ED58B" w14:textId="0FBD12C7" w:rsidR="00CB18DA" w:rsidRPr="00A23C0C" w:rsidRDefault="00441B03">
      <w:pPr>
        <w:spacing w:line="360" w:lineRule="auto"/>
        <w:jc w:val="both"/>
        <w:rPr>
          <w:rFonts w:ascii="Book Antiqua" w:eastAsia="Book Antiqua" w:hAnsi="Book Antiqua" w:cs="Book Antiqua"/>
          <w:color w:val="000000"/>
        </w:rPr>
      </w:pPr>
      <w:r w:rsidRPr="00A23C0C">
        <w:rPr>
          <w:rFonts w:ascii="Book Antiqua" w:eastAsia="Book Antiqua" w:hAnsi="Book Antiqua" w:cs="Book Antiqua"/>
          <w:b/>
          <w:bCs/>
          <w:color w:val="000000"/>
          <w:szCs w:val="22"/>
        </w:rPr>
        <w:t xml:space="preserve">Core Tip: </w:t>
      </w:r>
      <w:r w:rsidRPr="00A23C0C">
        <w:rPr>
          <w:rFonts w:ascii="Book Antiqua" w:eastAsia="Book Antiqua" w:hAnsi="Book Antiqua" w:cs="Book Antiqua"/>
          <w:color w:val="000000"/>
        </w:rPr>
        <w:t>Positive peritoneal cytology (Cy1) is associated with poor long</w:t>
      </w:r>
      <w:r w:rsidR="00CB18DA" w:rsidRPr="00A23C0C">
        <w:rPr>
          <w:rFonts w:ascii="Book Antiqua" w:eastAsia="Book Antiqua" w:hAnsi="Book Antiqua" w:cs="Book Antiqua"/>
          <w:color w:val="000000"/>
        </w:rPr>
        <w:t>-</w:t>
      </w:r>
      <w:r w:rsidRPr="00A23C0C">
        <w:rPr>
          <w:rFonts w:ascii="Book Antiqua" w:eastAsia="Book Antiqua" w:hAnsi="Book Antiqua" w:cs="Book Antiqua"/>
          <w:color w:val="000000"/>
        </w:rPr>
        <w:t>term outcomes; thus, these patients are considered as stage IV even if macroscopic carcinomatosis is absent.</w:t>
      </w:r>
      <w:r w:rsidR="00CB18DA"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 xml:space="preserve">The evidence for the most efficient treatment of these patients </w:t>
      </w:r>
      <w:r w:rsidRPr="00A23C0C">
        <w:rPr>
          <w:rFonts w:ascii="Book Antiqua" w:eastAsia="Book Antiqua" w:hAnsi="Book Antiqua" w:cs="Book Antiqua"/>
          <w:color w:val="000000"/>
        </w:rPr>
        <w:lastRenderedPageBreak/>
        <w:t xml:space="preserve">is conflicting. We herein review current knowledge and the outcomes of different approaches for Cy1 gastric cancers. </w:t>
      </w:r>
    </w:p>
    <w:p w14:paraId="23EEACC7" w14:textId="16BFF787" w:rsidR="00A77B3E" w:rsidRPr="00A23C0C" w:rsidRDefault="00CB18DA">
      <w:pPr>
        <w:spacing w:line="360" w:lineRule="auto"/>
        <w:jc w:val="both"/>
      </w:pPr>
      <w:r w:rsidRPr="00A23C0C">
        <w:rPr>
          <w:rFonts w:ascii="Book Antiqua" w:eastAsia="Book Antiqua" w:hAnsi="Book Antiqua" w:cs="Book Antiqua"/>
          <w:color w:val="000000"/>
        </w:rPr>
        <w:br w:type="page"/>
      </w:r>
      <w:r w:rsidR="00441B03" w:rsidRPr="00A23C0C">
        <w:rPr>
          <w:rFonts w:ascii="Book Antiqua" w:eastAsia="Book Antiqua" w:hAnsi="Book Antiqua" w:cs="Book Antiqua"/>
          <w:b/>
          <w:caps/>
          <w:color w:val="000000"/>
          <w:u w:val="single"/>
        </w:rPr>
        <w:lastRenderedPageBreak/>
        <w:t>INTRODUCTION</w:t>
      </w:r>
    </w:p>
    <w:p w14:paraId="16671C12" w14:textId="219B31D7" w:rsidR="00A77B3E" w:rsidRPr="00A23C0C" w:rsidRDefault="00441B03">
      <w:pPr>
        <w:spacing w:line="360" w:lineRule="auto"/>
        <w:jc w:val="both"/>
      </w:pPr>
      <w:r w:rsidRPr="00A23C0C">
        <w:rPr>
          <w:rFonts w:ascii="Book Antiqua" w:eastAsia="Book Antiqua" w:hAnsi="Book Antiqua" w:cs="Book Antiqua"/>
          <w:color w:val="000000"/>
        </w:rPr>
        <w:t>Gastric cancer (GC) remains an important health care issue as it is the fifth most common and the fourth most deadly cancer worldwide</w:t>
      </w:r>
      <w:r w:rsidRPr="00A23C0C">
        <w:rPr>
          <w:rFonts w:ascii="Book Antiqua" w:eastAsia="Book Antiqua" w:hAnsi="Book Antiqua" w:cs="Book Antiqua"/>
          <w:color w:val="000000"/>
          <w:vertAlign w:val="superscript"/>
        </w:rPr>
        <w:t>[1]</w:t>
      </w:r>
      <w:r w:rsidRPr="00A23C0C">
        <w:rPr>
          <w:rFonts w:ascii="Book Antiqua" w:eastAsia="Book Antiqua" w:hAnsi="Book Antiqua" w:cs="Book Antiqua"/>
          <w:color w:val="000000"/>
        </w:rPr>
        <w:t>. Surgery is the only potentially curative treatment option for it</w:t>
      </w:r>
      <w:r w:rsidRPr="00A23C0C">
        <w:rPr>
          <w:rFonts w:ascii="Book Antiqua" w:eastAsia="Book Antiqua" w:hAnsi="Book Antiqua" w:cs="Book Antiqua"/>
          <w:color w:val="000000"/>
          <w:vertAlign w:val="superscript"/>
        </w:rPr>
        <w:t>[2,3]</w:t>
      </w:r>
      <w:r w:rsidRPr="00A23C0C">
        <w:rPr>
          <w:rFonts w:ascii="Book Antiqua" w:eastAsia="Book Antiqua" w:hAnsi="Book Antiqua" w:cs="Book Antiqua"/>
          <w:color w:val="000000"/>
        </w:rPr>
        <w:t>. Although up to 30</w:t>
      </w:r>
      <w:r w:rsidR="00CB18DA" w:rsidRPr="00A23C0C">
        <w:rPr>
          <w:rFonts w:ascii="Book Antiqua" w:eastAsia="Book Antiqua" w:hAnsi="Book Antiqua" w:cs="Book Antiqua"/>
          <w:color w:val="000000"/>
        </w:rPr>
        <w:t>%-</w:t>
      </w:r>
      <w:r w:rsidRPr="00A23C0C">
        <w:rPr>
          <w:rFonts w:ascii="Book Antiqua" w:eastAsia="Book Antiqua" w:hAnsi="Book Antiqua" w:cs="Book Antiqua"/>
          <w:color w:val="000000"/>
        </w:rPr>
        <w:t>40% of GC patients already have distant metastases at the initial diagnosis and typically they are not candidates for radical surgery</w:t>
      </w:r>
      <w:r w:rsidRPr="00A23C0C">
        <w:rPr>
          <w:rFonts w:ascii="Book Antiqua" w:eastAsia="Book Antiqua" w:hAnsi="Book Antiqua" w:cs="Book Antiqua"/>
          <w:color w:val="000000"/>
          <w:vertAlign w:val="superscript"/>
        </w:rPr>
        <w:t>[4,5]</w:t>
      </w:r>
      <w:r w:rsidRPr="00A23C0C">
        <w:rPr>
          <w:rFonts w:ascii="Book Antiqua" w:eastAsia="Book Antiqua" w:hAnsi="Book Antiqua" w:cs="Book Antiqua"/>
          <w:color w:val="000000"/>
        </w:rPr>
        <w:t>. Peritoneal dissemination is the most common site of metastases</w:t>
      </w:r>
      <w:r w:rsidRPr="00A23C0C">
        <w:rPr>
          <w:rFonts w:ascii="Book Antiqua" w:eastAsia="Book Antiqua" w:hAnsi="Book Antiqua" w:cs="Book Antiqua"/>
          <w:color w:val="000000"/>
          <w:vertAlign w:val="superscript"/>
        </w:rPr>
        <w:t>[6]</w:t>
      </w:r>
      <w:r w:rsidRPr="00A23C0C">
        <w:rPr>
          <w:rFonts w:ascii="Book Antiqua" w:eastAsia="Book Antiqua" w:hAnsi="Book Antiqua" w:cs="Book Antiqua"/>
          <w:color w:val="000000"/>
        </w:rPr>
        <w:t>. Peritoneal lavage cytology at staging laparoscopy is the modern standard to detect peritoneal spread even before visible peritoneal carcinomatosis (PC) could be detected</w:t>
      </w:r>
      <w:r w:rsidRPr="00A23C0C">
        <w:rPr>
          <w:rFonts w:ascii="Book Antiqua" w:eastAsia="Book Antiqua" w:hAnsi="Book Antiqua" w:cs="Book Antiqua"/>
          <w:color w:val="000000"/>
          <w:vertAlign w:val="superscript"/>
        </w:rPr>
        <w:t>[7</w:t>
      </w:r>
      <w:r w:rsidR="005C1A34" w:rsidRPr="00A23C0C">
        <w:rPr>
          <w:rFonts w:ascii="Book Antiqua" w:eastAsia="Book Antiqua" w:hAnsi="Book Antiqua" w:cs="Book Antiqua"/>
          <w:color w:val="000000"/>
          <w:vertAlign w:val="superscript"/>
        </w:rPr>
        <w:t>-</w:t>
      </w:r>
      <w:r w:rsidRPr="00A23C0C">
        <w:rPr>
          <w:rFonts w:ascii="Book Antiqua" w:eastAsia="Book Antiqua" w:hAnsi="Book Antiqua" w:cs="Book Antiqua"/>
          <w:color w:val="000000"/>
          <w:vertAlign w:val="superscript"/>
        </w:rPr>
        <w:t>9]</w:t>
      </w:r>
      <w:r w:rsidRPr="00A23C0C">
        <w:rPr>
          <w:rFonts w:ascii="Book Antiqua" w:eastAsia="Book Antiqua" w:hAnsi="Book Antiqua" w:cs="Book Antiqua"/>
          <w:color w:val="000000"/>
        </w:rPr>
        <w:t>. Positive cytology alone (Cy1) is a negative prognostic factor for recurrence and survival</w:t>
      </w:r>
      <w:r w:rsidRPr="00A23C0C">
        <w:rPr>
          <w:rFonts w:ascii="Book Antiqua" w:eastAsia="Book Antiqua" w:hAnsi="Book Antiqua" w:cs="Book Antiqua"/>
          <w:color w:val="000000"/>
          <w:vertAlign w:val="superscript"/>
        </w:rPr>
        <w:t>[10]</w:t>
      </w:r>
      <w:r w:rsidRPr="00A23C0C">
        <w:rPr>
          <w:rFonts w:ascii="Book Antiqua" w:eastAsia="Book Antiqua" w:hAnsi="Book Antiqua" w:cs="Book Antiqua"/>
          <w:color w:val="000000"/>
        </w:rPr>
        <w:t xml:space="preserve">; thus, it is defined as </w:t>
      </w:r>
      <w:r w:rsidR="00C04B0D" w:rsidRPr="00A23C0C">
        <w:rPr>
          <w:rFonts w:ascii="Book Antiqua" w:eastAsia="Book Antiqua" w:hAnsi="Book Antiqua" w:cs="Book Antiqua"/>
          <w:color w:val="000000"/>
        </w:rPr>
        <w:t xml:space="preserve">metastatic </w:t>
      </w:r>
      <w:r w:rsidRPr="00A23C0C">
        <w:rPr>
          <w:rFonts w:ascii="Book Antiqua" w:eastAsia="Book Antiqua" w:hAnsi="Book Antiqua" w:cs="Book Antiqua"/>
          <w:color w:val="000000"/>
        </w:rPr>
        <w:t>(</w:t>
      </w:r>
      <w:r w:rsidR="00C04B0D" w:rsidRPr="00A23C0C">
        <w:rPr>
          <w:rFonts w:ascii="Book Antiqua" w:eastAsia="Book Antiqua" w:hAnsi="Book Antiqua" w:cs="Book Antiqua"/>
          <w:color w:val="000000"/>
        </w:rPr>
        <w:t>M1</w:t>
      </w:r>
      <w:r w:rsidRPr="00A23C0C">
        <w:rPr>
          <w:rFonts w:ascii="Book Antiqua" w:eastAsia="Book Antiqua" w:hAnsi="Book Antiqua" w:cs="Book Antiqua"/>
          <w:color w:val="000000"/>
        </w:rPr>
        <w:t xml:space="preserve">) factor and Cy1 patients are considered as stage IV even in absence of macroscopic carcinomatosis. </w:t>
      </w:r>
    </w:p>
    <w:p w14:paraId="0CACA6D9" w14:textId="09CB34B8" w:rsidR="00A77B3E" w:rsidRPr="00A23C0C" w:rsidRDefault="00441B03" w:rsidP="00C04B0D">
      <w:pPr>
        <w:spacing w:line="360" w:lineRule="auto"/>
        <w:ind w:firstLineChars="100" w:firstLine="240"/>
        <w:jc w:val="both"/>
      </w:pPr>
      <w:r w:rsidRPr="00A23C0C">
        <w:rPr>
          <w:rFonts w:ascii="Book Antiqua" w:eastAsia="Book Antiqua" w:hAnsi="Book Antiqua" w:cs="Book Antiqua"/>
          <w:color w:val="000000"/>
        </w:rPr>
        <w:t>Current clinical practice guidelines by the European Society for Medical Oncology (ESMO)</w:t>
      </w:r>
      <w:r w:rsidRPr="00A23C0C">
        <w:rPr>
          <w:rFonts w:ascii="Book Antiqua" w:eastAsia="Book Antiqua" w:hAnsi="Book Antiqua" w:cs="Book Antiqua"/>
          <w:color w:val="000000"/>
          <w:vertAlign w:val="superscript"/>
        </w:rPr>
        <w:t>[11]</w:t>
      </w:r>
      <w:r w:rsidRPr="00A23C0C">
        <w:rPr>
          <w:rFonts w:ascii="Book Antiqua" w:eastAsia="Book Antiqua" w:hAnsi="Book Antiqua" w:cs="Book Antiqua"/>
          <w:color w:val="000000"/>
        </w:rPr>
        <w:t xml:space="preserve"> and National Comprehensive Cancer Network (NCCN) recommend palliative chemotherapy for Cy1 patients with a possibility for re</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staging through treatment. Although, Japanese </w:t>
      </w:r>
      <w:r w:rsidR="00CB18DA" w:rsidRPr="00A23C0C">
        <w:rPr>
          <w:rFonts w:ascii="Book Antiqua" w:eastAsia="Book Antiqua" w:hAnsi="Book Antiqua" w:cs="Book Antiqua"/>
          <w:color w:val="000000"/>
        </w:rPr>
        <w:t>GC</w:t>
      </w:r>
      <w:r w:rsidRPr="00A23C0C">
        <w:rPr>
          <w:rFonts w:ascii="Book Antiqua" w:eastAsia="Book Antiqua" w:hAnsi="Book Antiqua" w:cs="Book Antiqua"/>
          <w:color w:val="000000"/>
        </w:rPr>
        <w:t xml:space="preserve"> treatment guidelines distinguish Cy1 patients as a distinct subpopulation of the stage IV cohort and suggest considering neoadjuvant chemotherapy followed by D2 gastrectomy if other non-curative factors are absent</w:t>
      </w:r>
      <w:r w:rsidRPr="00A23C0C">
        <w:rPr>
          <w:rFonts w:ascii="Book Antiqua" w:eastAsia="Book Antiqua" w:hAnsi="Book Antiqua" w:cs="Book Antiqua"/>
          <w:color w:val="000000"/>
          <w:vertAlign w:val="superscript"/>
        </w:rPr>
        <w:t>[12]</w:t>
      </w:r>
      <w:r w:rsidRPr="00A23C0C">
        <w:rPr>
          <w:rFonts w:ascii="Book Antiqua" w:eastAsia="Book Antiqua" w:hAnsi="Book Antiqua" w:cs="Book Antiqua"/>
          <w:color w:val="000000"/>
        </w:rPr>
        <w:t xml:space="preserve">. Such discrepancies and a lack of standardization arise from the gap of current knowledge for the most efficient treatment of patients with only Cy1 stage IV GC. Therefore, this review aimed to summarize the current evidence for peritoneal dissemination in GC and various available treatment options for Cy1 stage IV patients. </w:t>
      </w:r>
    </w:p>
    <w:p w14:paraId="5689912C" w14:textId="77777777" w:rsidR="00A77B3E" w:rsidRPr="00A23C0C" w:rsidRDefault="00A77B3E">
      <w:pPr>
        <w:spacing w:line="360" w:lineRule="auto"/>
        <w:ind w:firstLine="720"/>
        <w:jc w:val="both"/>
      </w:pPr>
    </w:p>
    <w:p w14:paraId="7693239E" w14:textId="31ECBC32" w:rsidR="00A77B3E" w:rsidRPr="00A23C0C" w:rsidRDefault="00441B03">
      <w:pPr>
        <w:spacing w:line="360" w:lineRule="auto"/>
        <w:jc w:val="both"/>
      </w:pPr>
      <w:r w:rsidRPr="00A23C0C">
        <w:rPr>
          <w:rFonts w:ascii="Book Antiqua" w:eastAsia="Book Antiqua" w:hAnsi="Book Antiqua" w:cs="Book Antiqua"/>
          <w:b/>
          <w:bCs/>
          <w:caps/>
          <w:color w:val="000000"/>
          <w:u w:val="single"/>
        </w:rPr>
        <w:t xml:space="preserve">MECHANISMS OF PERITONEAL DISSEMINATION IN </w:t>
      </w:r>
      <w:r w:rsidR="00CB18DA" w:rsidRPr="00A23C0C">
        <w:rPr>
          <w:rFonts w:ascii="Book Antiqua" w:eastAsia="Book Antiqua" w:hAnsi="Book Antiqua" w:cs="Book Antiqua"/>
          <w:b/>
          <w:bCs/>
          <w:caps/>
          <w:color w:val="000000"/>
          <w:u w:val="single"/>
        </w:rPr>
        <w:t>GC</w:t>
      </w:r>
    </w:p>
    <w:p w14:paraId="05CA4E0D" w14:textId="0216425B" w:rsidR="00A77B3E" w:rsidRPr="00A23C0C" w:rsidRDefault="00441B03">
      <w:pPr>
        <w:spacing w:line="360" w:lineRule="auto"/>
        <w:jc w:val="both"/>
      </w:pPr>
      <w:r w:rsidRPr="00A23C0C">
        <w:rPr>
          <w:rFonts w:ascii="Book Antiqua" w:eastAsia="Book Antiqua" w:hAnsi="Book Antiqua" w:cs="Book Antiqua"/>
          <w:color w:val="000000"/>
        </w:rPr>
        <w:t xml:space="preserve">Patients with locally advanced </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that penetrates subserosal connective tissue, serosa, or adjacent structures (T3 or T4) or more advanced N</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stage</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GC, unfavorable histological subtypes (diffuse type and/or signet ring cell component), or primary scirrhous type GC are at higher risk for peritoneal metastases</w:t>
      </w:r>
      <w:r w:rsidRPr="00A23C0C">
        <w:rPr>
          <w:rFonts w:ascii="Book Antiqua" w:eastAsia="Book Antiqua" w:hAnsi="Book Antiqua" w:cs="Book Antiqua"/>
          <w:color w:val="000000"/>
          <w:vertAlign w:val="superscript"/>
        </w:rPr>
        <w:t>[13,14]</w:t>
      </w:r>
      <w:r w:rsidRPr="00A23C0C">
        <w:rPr>
          <w:rFonts w:ascii="Book Antiqua" w:eastAsia="Book Antiqua" w:hAnsi="Book Antiqua" w:cs="Book Antiqua"/>
          <w:color w:val="000000"/>
        </w:rPr>
        <w:t>. The development of these metastases is a multistep process which includes: (</w:t>
      </w:r>
      <w:r w:rsidR="00C04B0D" w:rsidRPr="00A23C0C">
        <w:rPr>
          <w:rFonts w:ascii="Book Antiqua" w:eastAsia="Book Antiqua" w:hAnsi="Book Antiqua" w:cs="Book Antiqua"/>
          <w:color w:val="000000"/>
        </w:rPr>
        <w:t>1</w:t>
      </w:r>
      <w:r w:rsidRPr="00A23C0C">
        <w:rPr>
          <w:rFonts w:ascii="Book Antiqua" w:eastAsia="Book Antiqua" w:hAnsi="Book Antiqua" w:cs="Book Antiqua"/>
          <w:color w:val="000000"/>
        </w:rPr>
        <w:t xml:space="preserve">) </w:t>
      </w:r>
      <w:r w:rsidR="00C04B0D" w:rsidRPr="00A23C0C">
        <w:rPr>
          <w:rFonts w:ascii="Book Antiqua" w:eastAsia="Book Antiqua" w:hAnsi="Book Antiqua" w:cs="Book Antiqua"/>
          <w:color w:val="000000"/>
        </w:rPr>
        <w:t>C</w:t>
      </w:r>
      <w:r w:rsidRPr="00A23C0C">
        <w:rPr>
          <w:rFonts w:ascii="Book Antiqua" w:eastAsia="Book Antiqua" w:hAnsi="Book Antiqua" w:cs="Book Antiqua"/>
          <w:color w:val="000000"/>
        </w:rPr>
        <w:t>ancer cells detachment from the primary tumor; (</w:t>
      </w:r>
      <w:r w:rsidR="00C04B0D" w:rsidRPr="00A23C0C">
        <w:rPr>
          <w:rFonts w:ascii="Book Antiqua" w:eastAsia="Book Antiqua" w:hAnsi="Book Antiqua" w:cs="Book Antiqua"/>
          <w:color w:val="000000"/>
        </w:rPr>
        <w:t>2</w:t>
      </w:r>
      <w:r w:rsidRPr="00A23C0C">
        <w:rPr>
          <w:rFonts w:ascii="Book Antiqua" w:eastAsia="Book Antiqua" w:hAnsi="Book Antiqua" w:cs="Book Antiqua"/>
          <w:color w:val="000000"/>
        </w:rPr>
        <w:t xml:space="preserve">) </w:t>
      </w:r>
      <w:r w:rsidR="00C04B0D" w:rsidRPr="00A23C0C">
        <w:rPr>
          <w:rFonts w:ascii="Book Antiqua" w:eastAsia="Book Antiqua" w:hAnsi="Book Antiqua" w:cs="Book Antiqua"/>
          <w:color w:val="000000"/>
        </w:rPr>
        <w:t>S</w:t>
      </w:r>
      <w:r w:rsidRPr="00A23C0C">
        <w:rPr>
          <w:rFonts w:ascii="Book Antiqua" w:eastAsia="Book Antiqua" w:hAnsi="Book Antiqua" w:cs="Book Antiqua"/>
          <w:color w:val="000000"/>
        </w:rPr>
        <w:t>urvival in the microenvironment of the peritoneal cavity; (</w:t>
      </w:r>
      <w:r w:rsidR="00C04B0D" w:rsidRPr="00A23C0C">
        <w:rPr>
          <w:rFonts w:ascii="Book Antiqua" w:eastAsia="Book Antiqua" w:hAnsi="Book Antiqua" w:cs="Book Antiqua"/>
          <w:color w:val="000000"/>
        </w:rPr>
        <w:t>3</w:t>
      </w:r>
      <w:r w:rsidRPr="00A23C0C">
        <w:rPr>
          <w:rFonts w:ascii="Book Antiqua" w:eastAsia="Book Antiqua" w:hAnsi="Book Antiqua" w:cs="Book Antiqua"/>
          <w:color w:val="000000"/>
        </w:rPr>
        <w:t xml:space="preserve">) </w:t>
      </w:r>
      <w:r w:rsidR="00C04B0D" w:rsidRPr="00A23C0C">
        <w:rPr>
          <w:rFonts w:ascii="Book Antiqua" w:eastAsia="Book Antiqua" w:hAnsi="Book Antiqua" w:cs="Book Antiqua"/>
          <w:color w:val="000000"/>
        </w:rPr>
        <w:lastRenderedPageBreak/>
        <w:t>M</w:t>
      </w:r>
      <w:r w:rsidRPr="00A23C0C">
        <w:rPr>
          <w:rFonts w:ascii="Book Antiqua" w:eastAsia="Book Antiqua" w:hAnsi="Book Antiqua" w:cs="Book Antiqua"/>
          <w:color w:val="000000"/>
        </w:rPr>
        <w:t>alignant cells attachment to peritoneal mesothelial cells and invasion through basement membrane; and (</w:t>
      </w:r>
      <w:r w:rsidR="00C04B0D" w:rsidRPr="00A23C0C">
        <w:rPr>
          <w:rFonts w:ascii="Book Antiqua" w:eastAsia="Book Antiqua" w:hAnsi="Book Antiqua" w:cs="Book Antiqua"/>
          <w:color w:val="000000"/>
        </w:rPr>
        <w:t>4</w:t>
      </w:r>
      <w:r w:rsidRPr="00A23C0C">
        <w:rPr>
          <w:rFonts w:ascii="Book Antiqua" w:eastAsia="Book Antiqua" w:hAnsi="Book Antiqua" w:cs="Book Antiqua"/>
          <w:color w:val="000000"/>
        </w:rPr>
        <w:t xml:space="preserve">) </w:t>
      </w:r>
      <w:r w:rsidR="00C04B0D" w:rsidRPr="00A23C0C">
        <w:rPr>
          <w:rFonts w:ascii="Book Antiqua" w:eastAsia="Book Antiqua" w:hAnsi="Book Antiqua" w:cs="Book Antiqua"/>
          <w:color w:val="000000"/>
        </w:rPr>
        <w:t>T</w:t>
      </w:r>
      <w:r w:rsidRPr="00A23C0C">
        <w:rPr>
          <w:rFonts w:ascii="Book Antiqua" w:eastAsia="Book Antiqua" w:hAnsi="Book Antiqua" w:cs="Book Antiqua"/>
          <w:color w:val="000000"/>
        </w:rPr>
        <w:t>umor growth and the onset of neoangiogenesis</w:t>
      </w:r>
      <w:r w:rsidRPr="00A23C0C">
        <w:rPr>
          <w:rFonts w:ascii="Book Antiqua" w:eastAsia="Book Antiqua" w:hAnsi="Book Antiqua" w:cs="Book Antiqua"/>
          <w:color w:val="000000"/>
          <w:vertAlign w:val="superscript"/>
        </w:rPr>
        <w:t>[15]</w:t>
      </w:r>
      <w:r w:rsidRPr="00A23C0C">
        <w:rPr>
          <w:rFonts w:ascii="Book Antiqua" w:eastAsia="Book Antiqua" w:hAnsi="Book Antiqua" w:cs="Book Antiqua"/>
          <w:color w:val="000000"/>
        </w:rPr>
        <w:t>. However, not all free intraperitoneal cancer cells seed into the peritoneum and turn into PC nodes. Most of these cells die even after successful attachment to the peritoneum, because of the peritoneal</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blood barrier</w:t>
      </w:r>
      <w:r w:rsidRPr="00A23C0C">
        <w:rPr>
          <w:rFonts w:ascii="Book Antiqua" w:eastAsia="Book Antiqua" w:hAnsi="Book Antiqua" w:cs="Book Antiqua"/>
          <w:color w:val="000000"/>
          <w:vertAlign w:val="superscript"/>
        </w:rPr>
        <w:t>[15]</w:t>
      </w:r>
      <w:r w:rsidRPr="00A23C0C">
        <w:rPr>
          <w:rFonts w:ascii="Book Antiqua" w:eastAsia="Book Antiqua" w:hAnsi="Book Antiqua" w:cs="Book Antiqua"/>
          <w:color w:val="000000"/>
        </w:rPr>
        <w:t>. Further, mesothelium, the innermost monolayer of the peritoneum, has some basic protective mechanism against the adhesion of exogenous cells</w:t>
      </w:r>
      <w:r w:rsidRPr="00A23C0C">
        <w:rPr>
          <w:rFonts w:ascii="Book Antiqua" w:eastAsia="Book Antiqua" w:hAnsi="Book Antiqua" w:cs="Book Antiqua"/>
          <w:color w:val="000000"/>
          <w:vertAlign w:val="superscript"/>
        </w:rPr>
        <w:t>[15]</w:t>
      </w:r>
      <w:r w:rsidRPr="00A23C0C">
        <w:rPr>
          <w:rFonts w:ascii="Book Antiqua" w:eastAsia="Book Antiqua" w:hAnsi="Book Antiqua" w:cs="Book Antiqua"/>
          <w:color w:val="000000"/>
        </w:rPr>
        <w:t>. PC develops only after some sub</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population of free GC cells manage to penetrate the submesothelial space by producing specific growth factors and matrix metalloproteinases, which induce the contraction of mesothelial cells, exposing the submesothelial basement membrane</w:t>
      </w:r>
      <w:r w:rsidRPr="00A23C0C">
        <w:rPr>
          <w:rFonts w:ascii="Book Antiqua" w:eastAsia="Book Antiqua" w:hAnsi="Book Antiqua" w:cs="Book Antiqua"/>
          <w:color w:val="000000"/>
          <w:vertAlign w:val="superscript"/>
        </w:rPr>
        <w:t>[15]</w:t>
      </w:r>
      <w:r w:rsidRPr="00A23C0C">
        <w:rPr>
          <w:rFonts w:ascii="Book Antiqua" w:eastAsia="Book Antiqua" w:hAnsi="Book Antiqua" w:cs="Book Antiqua"/>
          <w:color w:val="000000"/>
        </w:rPr>
        <w:t xml:space="preserve">. The presence of free GC cells in the peritoneal cavity represents the initial stages of PC development, however, currently, there are no methods to determine at what exact stage this multistep process has been diagnosed. Thus, it remains unclear if the treatment concept for Cy1 patients should aim to treat the present peritoneal disease or should aim to prevent its further development. Because of such controversies, different strategies have been adopted for Cy1 GC worldwide (Figure 1). </w:t>
      </w:r>
    </w:p>
    <w:p w14:paraId="3D2100B2" w14:textId="77777777" w:rsidR="00A77B3E" w:rsidRPr="00A23C0C" w:rsidRDefault="00A77B3E">
      <w:pPr>
        <w:spacing w:line="360" w:lineRule="auto"/>
        <w:jc w:val="both"/>
      </w:pPr>
    </w:p>
    <w:p w14:paraId="36247A71" w14:textId="76B92F39" w:rsidR="00A77B3E" w:rsidRPr="00A23C0C" w:rsidRDefault="00441B03">
      <w:pPr>
        <w:spacing w:line="360" w:lineRule="auto"/>
        <w:jc w:val="both"/>
      </w:pPr>
      <w:r w:rsidRPr="00A23C0C">
        <w:rPr>
          <w:rFonts w:ascii="Book Antiqua" w:eastAsia="Book Antiqua" w:hAnsi="Book Antiqua" w:cs="Book Antiqua"/>
          <w:b/>
          <w:bCs/>
          <w:caps/>
          <w:color w:val="000000"/>
          <w:u w:val="single"/>
        </w:rPr>
        <w:t xml:space="preserve">UPFRONT SURGERY FOR CY1 </w:t>
      </w:r>
      <w:r w:rsidR="00CB18DA" w:rsidRPr="00A23C0C">
        <w:rPr>
          <w:rFonts w:ascii="Book Antiqua" w:eastAsia="Book Antiqua" w:hAnsi="Book Antiqua" w:cs="Book Antiqua"/>
          <w:b/>
          <w:bCs/>
          <w:caps/>
          <w:color w:val="000000"/>
          <w:u w:val="single"/>
        </w:rPr>
        <w:t>GC</w:t>
      </w:r>
      <w:r w:rsidRPr="00A23C0C">
        <w:rPr>
          <w:rFonts w:ascii="Book Antiqua" w:eastAsia="Book Antiqua" w:hAnsi="Book Antiqua" w:cs="Book Antiqua"/>
          <w:b/>
          <w:bCs/>
          <w:caps/>
          <w:color w:val="000000"/>
          <w:u w:val="single"/>
        </w:rPr>
        <w:t xml:space="preserve"> PATIENTS</w:t>
      </w:r>
    </w:p>
    <w:p w14:paraId="307A095C" w14:textId="7B39E8C4" w:rsidR="00A77B3E" w:rsidRPr="00A23C0C" w:rsidRDefault="00441B03">
      <w:pPr>
        <w:spacing w:line="360" w:lineRule="auto"/>
        <w:jc w:val="both"/>
      </w:pPr>
      <w:r w:rsidRPr="00A23C0C">
        <w:rPr>
          <w:rFonts w:ascii="Book Antiqua" w:eastAsia="Book Antiqua" w:hAnsi="Book Antiqua" w:cs="Book Antiqua"/>
          <w:color w:val="000000"/>
        </w:rPr>
        <w:t>Surgery remains the only potentially curative treatment option for GC</w:t>
      </w:r>
      <w:r w:rsidRPr="00A23C0C">
        <w:rPr>
          <w:rFonts w:ascii="Book Antiqua" w:eastAsia="Book Antiqua" w:hAnsi="Book Antiqua" w:cs="Book Antiqua"/>
          <w:color w:val="000000"/>
          <w:vertAlign w:val="superscript"/>
        </w:rPr>
        <w:t>[3]</w:t>
      </w:r>
      <w:r w:rsidRPr="00A23C0C">
        <w:rPr>
          <w:rFonts w:ascii="Book Antiqua" w:eastAsia="Book Antiqua" w:hAnsi="Book Antiqua" w:cs="Book Antiqua"/>
          <w:color w:val="000000"/>
        </w:rPr>
        <w:t xml:space="preserve">. However, Cy1 represents stage IV disease, thus, despite it may be technically resectable, the biological rationale for surgery is controversial. The results of the randomized controlled trial (RCT) by the Japan Clinical Oncology Group (JCOG 0705) and Korea </w:t>
      </w:r>
      <w:r w:rsidR="00CB18DA" w:rsidRPr="00A23C0C">
        <w:rPr>
          <w:rFonts w:ascii="Book Antiqua" w:eastAsia="Book Antiqua" w:hAnsi="Book Antiqua" w:cs="Book Antiqua"/>
          <w:color w:val="000000"/>
        </w:rPr>
        <w:t>GC</w:t>
      </w:r>
      <w:r w:rsidRPr="00A23C0C">
        <w:rPr>
          <w:rFonts w:ascii="Book Antiqua" w:eastAsia="Book Antiqua" w:hAnsi="Book Antiqua" w:cs="Book Antiqua"/>
          <w:color w:val="000000"/>
        </w:rPr>
        <w:t xml:space="preserve"> Association (KGCA01), comparing gastrectomy</w:t>
      </w:r>
      <w:r w:rsidR="00C04B0D"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w:t>
      </w:r>
      <w:r w:rsidR="00C04B0D"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 xml:space="preserve">chemotherapy </w:t>
      </w:r>
      <w:r w:rsidRPr="00A23C0C">
        <w:rPr>
          <w:rFonts w:ascii="Book Antiqua" w:eastAsia="Book Antiqua" w:hAnsi="Book Antiqua" w:cs="Book Antiqua"/>
          <w:i/>
          <w:iCs/>
          <w:color w:val="000000"/>
        </w:rPr>
        <w:t>vs</w:t>
      </w:r>
      <w:r w:rsidRPr="00A23C0C">
        <w:rPr>
          <w:rFonts w:ascii="Book Antiqua" w:eastAsia="Book Antiqua" w:hAnsi="Book Antiqua" w:cs="Book Antiqua"/>
          <w:color w:val="000000"/>
        </w:rPr>
        <w:t xml:space="preserve"> chemotherapy alone in advanced GC with a single non-curable factor, showed no advantage of surgery for patients with PC</w:t>
      </w:r>
      <w:r w:rsidRPr="00A23C0C">
        <w:rPr>
          <w:rFonts w:ascii="Book Antiqua" w:eastAsia="Book Antiqua" w:hAnsi="Book Antiqua" w:cs="Book Antiqua"/>
          <w:color w:val="000000"/>
          <w:vertAlign w:val="superscript"/>
        </w:rPr>
        <w:t>[16,17]</w:t>
      </w:r>
      <w:r w:rsidRPr="00A23C0C">
        <w:rPr>
          <w:rFonts w:ascii="Book Antiqua" w:eastAsia="Book Antiqua" w:hAnsi="Book Antiqua" w:cs="Book Antiqua"/>
          <w:color w:val="000000"/>
        </w:rPr>
        <w:t>. Nonetheless, palliative chemotherapy is associated with disappointing long</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term outcomes and Cy1 patients represent the distinct subpopulation of GC patients with peritoneal dissemination. Therefore, more aggressive treatment strategies including surgical resections are utilized for these patients in some centers. </w:t>
      </w:r>
    </w:p>
    <w:p w14:paraId="54C5CCC3" w14:textId="231DDCF4" w:rsidR="00A77B3E" w:rsidRPr="00A23C0C" w:rsidRDefault="00441B03" w:rsidP="00C04B0D">
      <w:pPr>
        <w:spacing w:line="360" w:lineRule="auto"/>
        <w:ind w:firstLineChars="100" w:firstLine="240"/>
        <w:jc w:val="both"/>
      </w:pPr>
      <w:r w:rsidRPr="00A23C0C">
        <w:rPr>
          <w:rFonts w:ascii="Book Antiqua" w:eastAsia="Book Antiqua" w:hAnsi="Book Antiqua" w:cs="Book Antiqua"/>
          <w:color w:val="000000"/>
        </w:rPr>
        <w:lastRenderedPageBreak/>
        <w:t>Upfront radical gastrectomy followed by adjuvant S-1 monotherapy was investigated in a phase II single-arm (CCOG0301) study which enrolled 48 Cy1 GC patients across the multiple treatment centers in Japan</w:t>
      </w:r>
      <w:r w:rsidRPr="00A23C0C">
        <w:rPr>
          <w:rFonts w:ascii="Book Antiqua" w:eastAsia="Book Antiqua" w:hAnsi="Book Antiqua" w:cs="Book Antiqua"/>
          <w:color w:val="000000"/>
          <w:vertAlign w:val="superscript"/>
        </w:rPr>
        <w:t>[18]</w:t>
      </w:r>
      <w:r w:rsidRPr="00A23C0C">
        <w:rPr>
          <w:rFonts w:ascii="Book Antiqua" w:eastAsia="Book Antiqua" w:hAnsi="Book Antiqua" w:cs="Book Antiqua"/>
          <w:color w:val="000000"/>
        </w:rPr>
        <w:t>. Long</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term follow</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up showed 5</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year overall (OS) and relapse</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free survival rates were 26% and 21%, respectively. Peritoneal recurrence occurred in 62% of enrolled patients</w:t>
      </w:r>
      <w:r w:rsidRPr="00A23C0C">
        <w:rPr>
          <w:rFonts w:ascii="Book Antiqua" w:eastAsia="Book Antiqua" w:hAnsi="Book Antiqua" w:cs="Book Antiqua"/>
          <w:color w:val="000000"/>
          <w:vertAlign w:val="superscript"/>
        </w:rPr>
        <w:t>[18]</w:t>
      </w:r>
      <w:r w:rsidRPr="00A23C0C">
        <w:rPr>
          <w:rFonts w:ascii="Book Antiqua" w:eastAsia="Book Antiqua" w:hAnsi="Book Antiqua" w:cs="Book Antiqua"/>
          <w:color w:val="000000"/>
        </w:rPr>
        <w:t>. Similar results were confirmed by other groups from the East</w:t>
      </w:r>
      <w:r w:rsidRPr="00A23C0C">
        <w:rPr>
          <w:rFonts w:ascii="Book Antiqua" w:eastAsia="Book Antiqua" w:hAnsi="Book Antiqua" w:cs="Book Antiqua"/>
          <w:color w:val="000000"/>
          <w:vertAlign w:val="superscript"/>
        </w:rPr>
        <w:t>[19</w:t>
      </w:r>
      <w:r w:rsidR="00C04B0D" w:rsidRPr="00A23C0C">
        <w:rPr>
          <w:rFonts w:ascii="Book Antiqua" w:eastAsia="Book Antiqua" w:hAnsi="Book Antiqua" w:cs="Book Antiqua"/>
          <w:color w:val="000000"/>
          <w:vertAlign w:val="superscript"/>
        </w:rPr>
        <w:t>-</w:t>
      </w:r>
      <w:r w:rsidRPr="00A23C0C">
        <w:rPr>
          <w:rFonts w:ascii="Book Antiqua" w:eastAsia="Book Antiqua" w:hAnsi="Book Antiqua" w:cs="Book Antiqua"/>
          <w:color w:val="000000"/>
          <w:vertAlign w:val="superscript"/>
        </w:rPr>
        <w:t>21]</w:t>
      </w:r>
      <w:r w:rsidRPr="00A23C0C">
        <w:rPr>
          <w:rFonts w:ascii="Book Antiqua" w:eastAsia="Book Antiqua" w:hAnsi="Book Antiqua" w:cs="Book Antiqua"/>
          <w:color w:val="000000"/>
        </w:rPr>
        <w:t xml:space="preserve">. Kano </w:t>
      </w:r>
      <w:r w:rsidRPr="00A23C0C">
        <w:rPr>
          <w:rFonts w:ascii="Book Antiqua" w:eastAsia="Book Antiqua" w:hAnsi="Book Antiqua" w:cs="Book Antiqua"/>
          <w:i/>
          <w:iCs/>
          <w:color w:val="000000"/>
        </w:rPr>
        <w:t>et al</w:t>
      </w:r>
      <w:r w:rsidR="00C04B0D" w:rsidRPr="00A23C0C">
        <w:rPr>
          <w:rFonts w:ascii="Book Antiqua" w:eastAsia="Book Antiqua" w:hAnsi="Book Antiqua" w:cs="Book Antiqua"/>
          <w:color w:val="000000"/>
          <w:vertAlign w:val="superscript"/>
        </w:rPr>
        <w:t>[19]</w:t>
      </w:r>
      <w:r w:rsidRPr="00A23C0C">
        <w:rPr>
          <w:rFonts w:ascii="Book Antiqua" w:eastAsia="Book Antiqua" w:hAnsi="Book Antiqua" w:cs="Book Antiqua"/>
          <w:color w:val="000000"/>
        </w:rPr>
        <w:t xml:space="preserve"> presented a retrospective study with a median follow</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up of almost 10 years. Radical gastrectomy followed by adjuvant S-1 chemotherapy resulted in a 17.8% 5-year OS rate and peritoneal recurrence rate of 52.9%</w:t>
      </w:r>
      <w:r w:rsidRPr="00A23C0C">
        <w:rPr>
          <w:rFonts w:ascii="Book Antiqua" w:eastAsia="Book Antiqua" w:hAnsi="Book Antiqua" w:cs="Book Antiqua"/>
          <w:color w:val="000000"/>
          <w:vertAlign w:val="superscript"/>
        </w:rPr>
        <w:t>[19]</w:t>
      </w:r>
      <w:r w:rsidRPr="00A23C0C">
        <w:rPr>
          <w:rFonts w:ascii="Book Antiqua" w:eastAsia="Book Antiqua" w:hAnsi="Book Antiqua" w:cs="Book Antiqua"/>
          <w:color w:val="000000"/>
        </w:rPr>
        <w:t>. Further, the study documented the benefit of adjuvant S-1 monotherapy, as the median survival increased to 22.3 mo compared to 11.8 mo in the surgery alone group</w:t>
      </w:r>
      <w:r w:rsidRPr="00A23C0C">
        <w:rPr>
          <w:rFonts w:ascii="Book Antiqua" w:eastAsia="Book Antiqua" w:hAnsi="Book Antiqua" w:cs="Book Antiqua"/>
          <w:color w:val="000000"/>
          <w:vertAlign w:val="superscript"/>
        </w:rPr>
        <w:t>[19]</w:t>
      </w:r>
      <w:r w:rsidRPr="00A23C0C">
        <w:rPr>
          <w:rFonts w:ascii="Book Antiqua" w:eastAsia="Book Antiqua" w:hAnsi="Book Antiqua" w:cs="Book Antiqua"/>
          <w:color w:val="000000"/>
        </w:rPr>
        <w:t xml:space="preserve">. The benefit of adjuvant therapy was confirmed in another study from Korea by Shim </w:t>
      </w:r>
      <w:r w:rsidRPr="00A23C0C">
        <w:rPr>
          <w:rFonts w:ascii="Book Antiqua" w:eastAsia="Book Antiqua" w:hAnsi="Book Antiqua" w:cs="Book Antiqua"/>
          <w:i/>
          <w:iCs/>
          <w:color w:val="000000"/>
        </w:rPr>
        <w:t>et al</w:t>
      </w:r>
      <w:r w:rsidRPr="00A23C0C">
        <w:rPr>
          <w:rFonts w:ascii="Book Antiqua" w:eastAsia="Book Antiqua" w:hAnsi="Book Antiqua" w:cs="Book Antiqua"/>
          <w:color w:val="000000"/>
          <w:vertAlign w:val="superscript"/>
        </w:rPr>
        <w:t>[20]</w:t>
      </w:r>
      <w:r w:rsidRPr="00A23C0C">
        <w:rPr>
          <w:rFonts w:ascii="Book Antiqua" w:eastAsia="Book Antiqua" w:hAnsi="Book Antiqua" w:cs="Book Antiqua"/>
          <w:color w:val="000000"/>
        </w:rPr>
        <w:t>. Adjuvant chemotherapy by TS-1</w:t>
      </w:r>
      <w:r w:rsidR="00C04B0D"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w:t>
      </w:r>
      <w:r w:rsidR="00C04B0D"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cisplatin or oxaliplatin plus capecitabine (XELOX) or oxaliplatin</w:t>
      </w:r>
      <w:r w:rsidR="00C04B0D"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w:t>
      </w:r>
      <w:r w:rsidR="00C04B0D"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5-FU (FOLFOX) improved median disease</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free survival (DFS) (11.63 </w:t>
      </w:r>
      <w:r w:rsidRPr="00A23C0C">
        <w:rPr>
          <w:rFonts w:ascii="Book Antiqua" w:eastAsia="Book Antiqua" w:hAnsi="Book Antiqua" w:cs="Book Antiqua"/>
          <w:i/>
          <w:iCs/>
          <w:color w:val="000000"/>
        </w:rPr>
        <w:t>vs</w:t>
      </w:r>
      <w:r w:rsidRPr="00A23C0C">
        <w:rPr>
          <w:rFonts w:ascii="Book Antiqua" w:eastAsia="Book Antiqua" w:hAnsi="Book Antiqua" w:cs="Book Antiqua"/>
          <w:color w:val="000000"/>
        </w:rPr>
        <w:t xml:space="preserve"> 6.98 mo, </w:t>
      </w:r>
      <w:r w:rsidR="00C04B0D" w:rsidRPr="00A23C0C">
        <w:rPr>
          <w:rFonts w:ascii="Book Antiqua" w:eastAsia="Book Antiqua" w:hAnsi="Book Antiqua" w:cs="Book Antiqua"/>
          <w:i/>
          <w:iCs/>
          <w:color w:val="000000"/>
        </w:rPr>
        <w:t>P</w:t>
      </w:r>
      <w:r w:rsidRPr="00A23C0C">
        <w:rPr>
          <w:rFonts w:ascii="Book Antiqua" w:eastAsia="Book Antiqua" w:hAnsi="Book Antiqua" w:cs="Book Antiqua"/>
          <w:color w:val="000000"/>
        </w:rPr>
        <w:t xml:space="preserve"> &lt; 0.001) and OS (25.50 </w:t>
      </w:r>
      <w:r w:rsidRPr="00A23C0C">
        <w:rPr>
          <w:rFonts w:ascii="Book Antiqua" w:eastAsia="Book Antiqua" w:hAnsi="Book Antiqua" w:cs="Book Antiqua"/>
          <w:i/>
          <w:iCs/>
          <w:color w:val="000000"/>
        </w:rPr>
        <w:t>vs</w:t>
      </w:r>
      <w:r w:rsidRPr="00A23C0C">
        <w:rPr>
          <w:rFonts w:ascii="Book Antiqua" w:eastAsia="Book Antiqua" w:hAnsi="Book Antiqua" w:cs="Book Antiqua"/>
          <w:color w:val="000000"/>
        </w:rPr>
        <w:t xml:space="preserve"> 12.11 mo, </w:t>
      </w:r>
      <w:r w:rsidR="00C04B0D" w:rsidRPr="00A23C0C">
        <w:rPr>
          <w:rFonts w:ascii="Book Antiqua" w:eastAsia="Book Antiqua" w:hAnsi="Book Antiqua" w:cs="Book Antiqua"/>
          <w:i/>
          <w:iCs/>
          <w:color w:val="000000"/>
        </w:rPr>
        <w:t>P</w:t>
      </w:r>
      <w:r w:rsidRPr="00A23C0C">
        <w:rPr>
          <w:rFonts w:ascii="Book Antiqua" w:eastAsia="Book Antiqua" w:hAnsi="Book Antiqua" w:cs="Book Antiqua"/>
          <w:color w:val="000000"/>
        </w:rPr>
        <w:t> &lt; 0.001)</w:t>
      </w:r>
      <w:r w:rsidRPr="00A23C0C">
        <w:rPr>
          <w:rFonts w:ascii="Book Antiqua" w:eastAsia="Book Antiqua" w:hAnsi="Book Antiqua" w:cs="Book Antiqua"/>
          <w:color w:val="000000"/>
          <w:vertAlign w:val="superscript"/>
        </w:rPr>
        <w:t>[20]</w:t>
      </w:r>
      <w:r w:rsidRPr="00A23C0C">
        <w:rPr>
          <w:rFonts w:ascii="Book Antiqua" w:eastAsia="Book Antiqua" w:hAnsi="Book Antiqua" w:cs="Book Antiqua"/>
          <w:color w:val="000000"/>
        </w:rPr>
        <w:t>. No significant differences were observed between the regimen of postoperative chemotherapy and survival</w:t>
      </w:r>
      <w:r w:rsidRPr="00A23C0C">
        <w:rPr>
          <w:rFonts w:ascii="Book Antiqua" w:eastAsia="Book Antiqua" w:hAnsi="Book Antiqua" w:cs="Book Antiqua"/>
          <w:color w:val="000000"/>
          <w:vertAlign w:val="superscript"/>
        </w:rPr>
        <w:t>[20]</w:t>
      </w:r>
      <w:r w:rsidRPr="00A23C0C">
        <w:rPr>
          <w:rFonts w:ascii="Book Antiqua" w:eastAsia="Book Antiqua" w:hAnsi="Book Antiqua" w:cs="Book Antiqua"/>
          <w:color w:val="000000"/>
        </w:rPr>
        <w:t xml:space="preserve">, thus the most optimal regimen remains unclear. Another retrospective study by Komatsu </w:t>
      </w:r>
      <w:r w:rsidRPr="00A23C0C">
        <w:rPr>
          <w:rFonts w:ascii="Book Antiqua" w:eastAsia="Book Antiqua" w:hAnsi="Book Antiqua" w:cs="Book Antiqua"/>
          <w:i/>
          <w:iCs/>
          <w:color w:val="000000"/>
        </w:rPr>
        <w:t>et al</w:t>
      </w:r>
      <w:r w:rsidR="00C04B0D" w:rsidRPr="00A23C0C">
        <w:rPr>
          <w:rFonts w:ascii="Book Antiqua" w:eastAsia="Book Antiqua" w:hAnsi="Book Antiqua" w:cs="Book Antiqua"/>
          <w:color w:val="000000"/>
          <w:vertAlign w:val="superscript"/>
        </w:rPr>
        <w:t>[21]</w:t>
      </w:r>
      <w:r w:rsidRPr="00A23C0C">
        <w:rPr>
          <w:rFonts w:ascii="Book Antiqua" w:eastAsia="Book Antiqua" w:hAnsi="Book Antiqua" w:cs="Book Antiqua"/>
          <w:color w:val="000000"/>
        </w:rPr>
        <w:t xml:space="preserve"> analyzed upfront gastrectomy followed by adjuvant S</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1 based chemotherapy in 51 Cy1 GC patients, with a special focus on the impact of surgical radicality. Radical gastrectomy with</w:t>
      </w:r>
      <w:r w:rsidR="00C04B0D"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w:t>
      </w:r>
      <w:r w:rsidR="00C04B0D"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 xml:space="preserve">D2 Lymphonodectomy was superior compared to palliative gastrectomy with the 5-year OS of 48.2% </w:t>
      </w:r>
      <w:r w:rsidRPr="00A23C0C">
        <w:rPr>
          <w:rFonts w:ascii="Book Antiqua" w:eastAsia="Book Antiqua" w:hAnsi="Book Antiqua" w:cs="Book Antiqua"/>
          <w:i/>
          <w:iCs/>
          <w:color w:val="000000"/>
        </w:rPr>
        <w:t>vs</w:t>
      </w:r>
      <w:r w:rsidRPr="00A23C0C">
        <w:rPr>
          <w:rFonts w:ascii="Book Antiqua" w:eastAsia="Book Antiqua" w:hAnsi="Book Antiqua" w:cs="Book Antiqua"/>
          <w:color w:val="000000"/>
        </w:rPr>
        <w:t xml:space="preserve"> 18.2%, respectively</w:t>
      </w:r>
      <w:r w:rsidRPr="00A23C0C">
        <w:rPr>
          <w:rFonts w:ascii="Book Antiqua" w:eastAsia="Book Antiqua" w:hAnsi="Book Antiqua" w:cs="Book Antiqua"/>
          <w:color w:val="000000"/>
          <w:vertAlign w:val="superscript"/>
        </w:rPr>
        <w:t>[21]</w:t>
      </w:r>
      <w:r w:rsidRPr="00A23C0C">
        <w:rPr>
          <w:rFonts w:ascii="Book Antiqua" w:eastAsia="Book Antiqua" w:hAnsi="Book Antiqua" w:cs="Book Antiqua"/>
          <w:color w:val="000000"/>
        </w:rPr>
        <w:t>. Further, the impact of surgery for Cy1 GC treatment was presented in another recent study from China</w:t>
      </w:r>
      <w:r w:rsidRPr="00A23C0C">
        <w:rPr>
          <w:rFonts w:ascii="Book Antiqua" w:eastAsia="Book Antiqua" w:hAnsi="Book Antiqua" w:cs="Book Antiqua"/>
          <w:color w:val="000000"/>
          <w:vertAlign w:val="superscript"/>
        </w:rPr>
        <w:t>[22]</w:t>
      </w:r>
      <w:r w:rsidRPr="00A23C0C">
        <w:rPr>
          <w:rFonts w:ascii="Book Antiqua" w:eastAsia="Book Antiqua" w:hAnsi="Book Antiqua" w:cs="Book Antiqua"/>
          <w:color w:val="000000"/>
        </w:rPr>
        <w:t xml:space="preserve">. Forty-eight Cy1 GC patients underwent upfront gastrectomy (75%; </w:t>
      </w:r>
      <w:r w:rsidRPr="00A23C0C">
        <w:rPr>
          <w:rFonts w:ascii="Book Antiqua" w:eastAsia="Book Antiqua" w:hAnsi="Book Antiqua" w:cs="Book Antiqua"/>
          <w:i/>
          <w:iCs/>
          <w:color w:val="000000"/>
        </w:rPr>
        <w:t>n</w:t>
      </w:r>
      <w:r w:rsidRPr="00A23C0C">
        <w:rPr>
          <w:rFonts w:ascii="Book Antiqua" w:eastAsia="Book Antiqua" w:hAnsi="Book Antiqua" w:cs="Book Antiqua"/>
          <w:color w:val="000000"/>
        </w:rPr>
        <w:t xml:space="preserve"> = 36) or gastrectomy after neoadjuvant chemotherapy (25%; </w:t>
      </w:r>
      <w:r w:rsidRPr="00A23C0C">
        <w:rPr>
          <w:rFonts w:ascii="Book Antiqua" w:eastAsia="Book Antiqua" w:hAnsi="Book Antiqua" w:cs="Book Antiqua"/>
          <w:i/>
          <w:iCs/>
          <w:color w:val="000000"/>
        </w:rPr>
        <w:t>n</w:t>
      </w:r>
      <w:r w:rsidRPr="00A23C0C">
        <w:rPr>
          <w:rFonts w:ascii="Book Antiqua" w:eastAsia="Book Antiqua" w:hAnsi="Book Antiqua" w:cs="Book Antiqua"/>
          <w:color w:val="000000"/>
        </w:rPr>
        <w:t xml:space="preserve"> = 12)</w:t>
      </w:r>
      <w:r w:rsidRPr="00A23C0C">
        <w:rPr>
          <w:rFonts w:ascii="Book Antiqua" w:eastAsia="Book Antiqua" w:hAnsi="Book Antiqua" w:cs="Book Antiqua"/>
          <w:color w:val="000000"/>
          <w:vertAlign w:val="superscript"/>
        </w:rPr>
        <w:t>[22]</w:t>
      </w:r>
      <w:r w:rsidRPr="00A23C0C">
        <w:rPr>
          <w:rFonts w:ascii="Book Antiqua" w:eastAsia="Book Antiqua" w:hAnsi="Book Antiqua" w:cs="Book Antiqua"/>
          <w:color w:val="000000"/>
        </w:rPr>
        <w:t>. The median OS and DFS were 22 and 16.5 mo, respectively</w:t>
      </w:r>
      <w:r w:rsidRPr="00A23C0C">
        <w:rPr>
          <w:rFonts w:ascii="Book Antiqua" w:eastAsia="Book Antiqua" w:hAnsi="Book Antiqua" w:cs="Book Antiqua"/>
          <w:color w:val="000000"/>
          <w:vertAlign w:val="superscript"/>
        </w:rPr>
        <w:t>[22]</w:t>
      </w:r>
      <w:r w:rsidRPr="00A23C0C">
        <w:rPr>
          <w:rFonts w:ascii="Book Antiqua" w:eastAsia="Book Antiqua" w:hAnsi="Book Antiqua" w:cs="Book Antiqua"/>
          <w:color w:val="000000"/>
        </w:rPr>
        <w:t>. However, the study did not provide a comparison of long-term outcomes between patients who received upfront surgery and neoadjuvant treatment</w:t>
      </w:r>
      <w:r w:rsidRPr="00A23C0C">
        <w:rPr>
          <w:rFonts w:ascii="Book Antiqua" w:eastAsia="Book Antiqua" w:hAnsi="Book Antiqua" w:cs="Book Antiqua"/>
          <w:color w:val="000000"/>
          <w:vertAlign w:val="superscript"/>
        </w:rPr>
        <w:t>[22]</w:t>
      </w:r>
      <w:r w:rsidRPr="00A23C0C">
        <w:rPr>
          <w:rFonts w:ascii="Book Antiqua" w:eastAsia="Book Antiqua" w:hAnsi="Book Antiqua" w:cs="Book Antiqua"/>
          <w:color w:val="000000"/>
        </w:rPr>
        <w:t xml:space="preserve">. In contrast, such a comparison was performed by Mezhir </w:t>
      </w:r>
      <w:r w:rsidRPr="00A23C0C">
        <w:rPr>
          <w:rFonts w:ascii="Book Antiqua" w:eastAsia="Book Antiqua" w:hAnsi="Book Antiqua" w:cs="Book Antiqua"/>
          <w:i/>
          <w:iCs/>
          <w:color w:val="000000"/>
        </w:rPr>
        <w:t>et al</w:t>
      </w:r>
      <w:r w:rsidR="00C04B0D" w:rsidRPr="00A23C0C">
        <w:rPr>
          <w:rFonts w:ascii="Book Antiqua" w:eastAsia="Book Antiqua" w:hAnsi="Book Antiqua" w:cs="Book Antiqua"/>
          <w:color w:val="000000"/>
          <w:vertAlign w:val="superscript"/>
        </w:rPr>
        <w:t>[23]</w:t>
      </w:r>
      <w:r w:rsidRPr="00A23C0C">
        <w:rPr>
          <w:rFonts w:ascii="Book Antiqua" w:eastAsia="Book Antiqua" w:hAnsi="Book Antiqua" w:cs="Book Antiqua"/>
          <w:color w:val="000000"/>
        </w:rPr>
        <w:t xml:space="preserve"> In a Western cohort. Neoadjuvant therapy failed to improve DSS (1.7 </w:t>
      </w:r>
      <w:r w:rsidRPr="00A23C0C">
        <w:rPr>
          <w:rFonts w:ascii="Book Antiqua" w:eastAsia="Book Antiqua" w:hAnsi="Book Antiqua" w:cs="Book Antiqua"/>
          <w:i/>
          <w:iCs/>
          <w:color w:val="000000"/>
        </w:rPr>
        <w:t>vs</w:t>
      </w:r>
      <w:r w:rsidRPr="00A23C0C">
        <w:rPr>
          <w:rFonts w:ascii="Book Antiqua" w:eastAsia="Book Antiqua" w:hAnsi="Book Antiqua" w:cs="Book Antiqua"/>
          <w:color w:val="000000"/>
        </w:rPr>
        <w:t xml:space="preserve"> 0.9, </w:t>
      </w:r>
      <w:r w:rsidRPr="00A23C0C">
        <w:rPr>
          <w:rFonts w:ascii="Book Antiqua" w:eastAsia="Book Antiqua" w:hAnsi="Book Antiqua" w:cs="Book Antiqua"/>
          <w:i/>
          <w:iCs/>
          <w:color w:val="000000"/>
        </w:rPr>
        <w:t>P</w:t>
      </w:r>
      <w:r w:rsidRPr="00A23C0C">
        <w:rPr>
          <w:rFonts w:ascii="Book Antiqua" w:eastAsia="Book Antiqua" w:hAnsi="Book Antiqua" w:cs="Book Antiqua"/>
          <w:color w:val="000000"/>
        </w:rPr>
        <w:t xml:space="preserve"> = 0.76), although the relatively small sample size in the </w:t>
      </w:r>
      <w:r w:rsidRPr="00A23C0C">
        <w:rPr>
          <w:rFonts w:ascii="Book Antiqua" w:eastAsia="Book Antiqua" w:hAnsi="Book Antiqua" w:cs="Book Antiqua"/>
          <w:color w:val="000000"/>
        </w:rPr>
        <w:lastRenderedPageBreak/>
        <w:t>upfront surgery (</w:t>
      </w:r>
      <w:r w:rsidRPr="00A23C0C">
        <w:rPr>
          <w:rFonts w:ascii="Book Antiqua" w:eastAsia="Book Antiqua" w:hAnsi="Book Antiqua" w:cs="Book Antiqua"/>
          <w:i/>
          <w:iCs/>
          <w:color w:val="000000"/>
        </w:rPr>
        <w:t>n</w:t>
      </w:r>
      <w:r w:rsidRPr="00A23C0C">
        <w:rPr>
          <w:rFonts w:ascii="Book Antiqua" w:eastAsia="Book Antiqua" w:hAnsi="Book Antiqua" w:cs="Book Antiqua"/>
          <w:color w:val="000000"/>
        </w:rPr>
        <w:t xml:space="preserve"> = 29) and neoadjuvant treatment groups (</w:t>
      </w:r>
      <w:r w:rsidRPr="00A23C0C">
        <w:rPr>
          <w:rFonts w:ascii="Book Antiqua" w:eastAsia="Book Antiqua" w:hAnsi="Book Antiqua" w:cs="Book Antiqua"/>
          <w:i/>
          <w:iCs/>
          <w:color w:val="000000"/>
        </w:rPr>
        <w:t>n</w:t>
      </w:r>
      <w:r w:rsidRPr="00A23C0C">
        <w:rPr>
          <w:rFonts w:ascii="Book Antiqua" w:eastAsia="Book Antiqua" w:hAnsi="Book Antiqua" w:cs="Book Antiqua"/>
          <w:color w:val="000000"/>
        </w:rPr>
        <w:t xml:space="preserve"> = 23) should be taken into consideration</w:t>
      </w:r>
      <w:r w:rsidRPr="00A23C0C">
        <w:rPr>
          <w:rFonts w:ascii="Book Antiqua" w:eastAsia="Book Antiqua" w:hAnsi="Book Antiqua" w:cs="Book Antiqua"/>
          <w:color w:val="000000"/>
          <w:vertAlign w:val="superscript"/>
        </w:rPr>
        <w:t>[23]</w:t>
      </w:r>
      <w:r w:rsidRPr="00A23C0C">
        <w:rPr>
          <w:rFonts w:ascii="Book Antiqua" w:eastAsia="Book Antiqua" w:hAnsi="Book Antiqua" w:cs="Book Antiqua"/>
          <w:color w:val="000000"/>
        </w:rPr>
        <w:t xml:space="preserve">. </w:t>
      </w:r>
    </w:p>
    <w:p w14:paraId="434D3379" w14:textId="195A8867" w:rsidR="00A77B3E" w:rsidRPr="00A23C0C" w:rsidRDefault="00441B03" w:rsidP="00C04B0D">
      <w:pPr>
        <w:spacing w:line="360" w:lineRule="auto"/>
        <w:ind w:firstLineChars="100" w:firstLine="240"/>
        <w:jc w:val="both"/>
      </w:pPr>
      <w:r w:rsidRPr="00A23C0C">
        <w:rPr>
          <w:rFonts w:ascii="Book Antiqua" w:eastAsia="Book Antiqua" w:hAnsi="Book Antiqua" w:cs="Book Antiqua"/>
          <w:color w:val="000000"/>
        </w:rPr>
        <w:t>Together, the current evidence indicates that radical upfront gastrectomy is feasible for Cy1 GC patients, and adjuvant chemotherapy is necessary to improve long-term outcomes. Although, most of the evidence for the upfront surgery arises from small</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scale Eastern studies. Such treatment strategy needs further investigation in large</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scale high</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quality surgical trials, including the patients from Western parts of the world. </w:t>
      </w:r>
    </w:p>
    <w:p w14:paraId="03BC929C" w14:textId="77777777" w:rsidR="00A77B3E" w:rsidRPr="00A23C0C" w:rsidRDefault="00A77B3E">
      <w:pPr>
        <w:spacing w:line="360" w:lineRule="auto"/>
        <w:jc w:val="both"/>
      </w:pPr>
    </w:p>
    <w:p w14:paraId="7451227E" w14:textId="5454CB4E" w:rsidR="00A77B3E" w:rsidRPr="00A23C0C" w:rsidRDefault="00441B03">
      <w:pPr>
        <w:spacing w:line="360" w:lineRule="auto"/>
        <w:jc w:val="both"/>
      </w:pPr>
      <w:r w:rsidRPr="00A23C0C">
        <w:rPr>
          <w:rFonts w:ascii="Book Antiqua" w:eastAsia="Book Antiqua" w:hAnsi="Book Antiqua" w:cs="Book Antiqua"/>
          <w:b/>
          <w:bCs/>
          <w:caps/>
          <w:color w:val="000000"/>
          <w:u w:val="single"/>
        </w:rPr>
        <w:t xml:space="preserve">UPFRONT SYSTEMIC THERAPY FOR CY1 </w:t>
      </w:r>
      <w:r w:rsidR="00CB18DA" w:rsidRPr="00A23C0C">
        <w:rPr>
          <w:rFonts w:ascii="Book Antiqua" w:eastAsia="Book Antiqua" w:hAnsi="Book Antiqua" w:cs="Book Antiqua"/>
          <w:b/>
          <w:bCs/>
          <w:caps/>
          <w:color w:val="000000"/>
          <w:u w:val="single"/>
        </w:rPr>
        <w:t>GC</w:t>
      </w:r>
      <w:r w:rsidRPr="00A23C0C">
        <w:rPr>
          <w:rFonts w:ascii="Book Antiqua" w:eastAsia="Book Antiqua" w:hAnsi="Book Antiqua" w:cs="Book Antiqua"/>
          <w:b/>
          <w:bCs/>
          <w:caps/>
          <w:color w:val="000000"/>
          <w:u w:val="single"/>
        </w:rPr>
        <w:t xml:space="preserve"> PATIENTS</w:t>
      </w:r>
    </w:p>
    <w:p w14:paraId="67A521F9" w14:textId="770C01C7" w:rsidR="00A77B3E" w:rsidRPr="00A23C0C" w:rsidRDefault="00441B03" w:rsidP="005C1A34">
      <w:pPr>
        <w:spacing w:line="360" w:lineRule="auto"/>
        <w:jc w:val="both"/>
      </w:pPr>
      <w:r w:rsidRPr="00A23C0C">
        <w:rPr>
          <w:rFonts w:ascii="Book Antiqua" w:eastAsia="Book Antiqua" w:hAnsi="Book Antiqua" w:cs="Book Antiqua"/>
          <w:color w:val="000000"/>
        </w:rPr>
        <w:t>As mentioned previously, Cy1 GC represents the stage IV disease, thus ESMO and NCCN guidelines suggest considering systemic treatment (chemotherapy) as it improves survival and quality of life compared to best supportive care</w:t>
      </w:r>
      <w:r w:rsidRPr="00A23C0C">
        <w:rPr>
          <w:rFonts w:ascii="Book Antiqua" w:eastAsia="Book Antiqua" w:hAnsi="Book Antiqua" w:cs="Book Antiqua"/>
          <w:color w:val="000000"/>
          <w:vertAlign w:val="superscript"/>
        </w:rPr>
        <w:t>[11]</w:t>
      </w:r>
      <w:r w:rsidRPr="00A23C0C">
        <w:rPr>
          <w:rFonts w:ascii="Book Antiqua" w:eastAsia="Book Antiqua" w:hAnsi="Book Antiqua" w:cs="Book Antiqua"/>
          <w:color w:val="000000"/>
        </w:rPr>
        <w:t>. Doublet or triplet platinum/fluoropyrimidine combinations ± trastuzumab is recommended as a first</w:t>
      </w:r>
      <w:r w:rsidR="00C04B0D" w:rsidRPr="00A23C0C">
        <w:rPr>
          <w:rFonts w:ascii="Book Antiqua" w:eastAsia="Book Antiqua" w:hAnsi="Book Antiqua" w:cs="Book Antiqua"/>
          <w:color w:val="000000"/>
        </w:rPr>
        <w:t>-</w:t>
      </w:r>
      <w:r w:rsidRPr="00A23C0C">
        <w:rPr>
          <w:rFonts w:ascii="Book Antiqua" w:eastAsia="Book Antiqua" w:hAnsi="Book Antiqua" w:cs="Book Antiqua"/>
          <w:color w:val="000000"/>
        </w:rPr>
        <w:t>line palliative treatment</w:t>
      </w:r>
      <w:r w:rsidRPr="00A23C0C">
        <w:rPr>
          <w:rFonts w:ascii="Book Antiqua" w:eastAsia="Book Antiqua" w:hAnsi="Book Antiqua" w:cs="Book Antiqua"/>
          <w:color w:val="000000"/>
          <w:vertAlign w:val="superscript"/>
        </w:rPr>
        <w:t>[11]</w:t>
      </w:r>
      <w:r w:rsidRPr="00A23C0C">
        <w:rPr>
          <w:rFonts w:ascii="Book Antiqua" w:eastAsia="Book Antiqua" w:hAnsi="Book Antiqua" w:cs="Book Antiqua"/>
          <w:color w:val="000000"/>
        </w:rPr>
        <w:t>. Although there is no evidence for the most appropriate chemotherapy regimen to treat peritoneal metastases in GC</w:t>
      </w:r>
      <w:r w:rsidRPr="00A23C0C">
        <w:rPr>
          <w:rFonts w:ascii="Book Antiqua" w:eastAsia="Book Antiqua" w:hAnsi="Book Antiqua" w:cs="Book Antiqua"/>
          <w:color w:val="000000"/>
          <w:vertAlign w:val="superscript"/>
        </w:rPr>
        <w:t>[24]</w:t>
      </w:r>
      <w:r w:rsidRPr="00A23C0C">
        <w:rPr>
          <w:rFonts w:ascii="Book Antiqua" w:eastAsia="Book Antiqua" w:hAnsi="Book Antiqua" w:cs="Book Antiqua"/>
          <w:color w:val="000000"/>
        </w:rPr>
        <w:t xml:space="preserve">, therefore, different schemes are adopted in clinical practice. </w:t>
      </w:r>
    </w:p>
    <w:p w14:paraId="4515445E" w14:textId="4856A658" w:rsidR="00A77B3E" w:rsidRPr="00A23C0C" w:rsidRDefault="00441B03" w:rsidP="00C04B0D">
      <w:pPr>
        <w:spacing w:line="360" w:lineRule="auto"/>
        <w:ind w:firstLineChars="100" w:firstLine="240"/>
        <w:jc w:val="both"/>
      </w:pPr>
      <w:r w:rsidRPr="00A23C0C">
        <w:rPr>
          <w:rFonts w:ascii="Book Antiqua" w:eastAsia="Book Antiqua" w:hAnsi="Book Antiqua" w:cs="Book Antiqua"/>
          <w:color w:val="000000"/>
        </w:rPr>
        <w:t>Several studies investigated the rates of conversion from positive to negative cytology following initial treatment by systemic chemotherapy</w:t>
      </w:r>
      <w:r w:rsidRPr="00A23C0C">
        <w:rPr>
          <w:rFonts w:ascii="Book Antiqua" w:eastAsia="Book Antiqua" w:hAnsi="Book Antiqua" w:cs="Book Antiqua"/>
          <w:color w:val="000000"/>
          <w:vertAlign w:val="superscript"/>
        </w:rPr>
        <w:t>[23</w:t>
      </w:r>
      <w:r w:rsidR="00C04B0D" w:rsidRPr="00A23C0C">
        <w:rPr>
          <w:rFonts w:ascii="Book Antiqua" w:eastAsia="Book Antiqua" w:hAnsi="Book Antiqua" w:cs="Book Antiqua"/>
          <w:color w:val="000000"/>
          <w:vertAlign w:val="superscript"/>
        </w:rPr>
        <w:t>-</w:t>
      </w:r>
      <w:r w:rsidRPr="00A23C0C">
        <w:rPr>
          <w:rFonts w:ascii="Book Antiqua" w:eastAsia="Book Antiqua" w:hAnsi="Book Antiqua" w:cs="Book Antiqua"/>
          <w:color w:val="000000"/>
          <w:vertAlign w:val="superscript"/>
        </w:rPr>
        <w:t>25]</w:t>
      </w:r>
      <w:r w:rsidRPr="00A23C0C">
        <w:rPr>
          <w:rFonts w:ascii="Book Antiqua" w:eastAsia="Book Antiqua" w:hAnsi="Book Antiqua" w:cs="Book Antiqua"/>
          <w:color w:val="000000"/>
        </w:rPr>
        <w:t>. The reported rates of conversion varied between 48.9% and 72.2% after treatment by various platinum/fluoropyrimidine combinations with or without docetaxel or trastuzumab</w:t>
      </w:r>
      <w:r w:rsidRPr="00A23C0C">
        <w:rPr>
          <w:rFonts w:ascii="Book Antiqua" w:eastAsia="Book Antiqua" w:hAnsi="Book Antiqua" w:cs="Book Antiqua"/>
          <w:color w:val="000000"/>
          <w:vertAlign w:val="superscript"/>
        </w:rPr>
        <w:t>[23</w:t>
      </w:r>
      <w:r w:rsidR="005763DB" w:rsidRPr="00A23C0C">
        <w:rPr>
          <w:rFonts w:ascii="Book Antiqua" w:eastAsia="Book Antiqua" w:hAnsi="Book Antiqua" w:cs="Book Antiqua"/>
          <w:color w:val="000000"/>
          <w:vertAlign w:val="superscript"/>
        </w:rPr>
        <w:t>-</w:t>
      </w:r>
      <w:r w:rsidRPr="00A23C0C">
        <w:rPr>
          <w:rFonts w:ascii="Book Antiqua" w:eastAsia="Book Antiqua" w:hAnsi="Book Antiqua" w:cs="Book Antiqua"/>
          <w:color w:val="000000"/>
          <w:vertAlign w:val="superscript"/>
        </w:rPr>
        <w:t>25]</w:t>
      </w:r>
      <w:r w:rsidRPr="00A23C0C">
        <w:rPr>
          <w:rFonts w:ascii="Book Antiqua" w:eastAsia="Book Antiqua" w:hAnsi="Book Antiqua" w:cs="Book Antiqua"/>
          <w:color w:val="000000"/>
        </w:rPr>
        <w:t xml:space="preserve">. Such conversion from positive to negative cytology results in improved oncological outcomes. Mezhir </w:t>
      </w:r>
      <w:r w:rsidRPr="00A23C0C">
        <w:rPr>
          <w:rFonts w:ascii="Book Antiqua" w:eastAsia="Book Antiqua" w:hAnsi="Book Antiqua" w:cs="Book Antiqua"/>
          <w:i/>
          <w:iCs/>
          <w:color w:val="000000"/>
        </w:rPr>
        <w:t>et al</w:t>
      </w:r>
      <w:r w:rsidR="005763DB" w:rsidRPr="00A23C0C">
        <w:rPr>
          <w:rFonts w:ascii="Book Antiqua" w:eastAsia="Book Antiqua" w:hAnsi="Book Antiqua" w:cs="Book Antiqua"/>
          <w:color w:val="000000"/>
          <w:vertAlign w:val="superscript"/>
        </w:rPr>
        <w:t>[23]</w:t>
      </w:r>
      <w:r w:rsidRPr="00A23C0C">
        <w:rPr>
          <w:rFonts w:ascii="Book Antiqua" w:eastAsia="Book Antiqua" w:hAnsi="Book Antiqua" w:cs="Book Antiqua"/>
          <w:color w:val="000000"/>
        </w:rPr>
        <w:t xml:space="preserve"> showed increased disease-specific survival (2.5 </w:t>
      </w:r>
      <w:r w:rsidRPr="00A23C0C">
        <w:rPr>
          <w:rFonts w:ascii="Book Antiqua" w:eastAsia="Book Antiqua" w:hAnsi="Book Antiqua" w:cs="Book Antiqua"/>
          <w:i/>
          <w:iCs/>
          <w:color w:val="000000"/>
        </w:rPr>
        <w:t>vs</w:t>
      </w:r>
      <w:r w:rsidRPr="00A23C0C">
        <w:rPr>
          <w:rFonts w:ascii="Book Antiqua" w:eastAsia="Book Antiqua" w:hAnsi="Book Antiqua" w:cs="Book Antiqua"/>
          <w:color w:val="000000"/>
        </w:rPr>
        <w:t xml:space="preserve"> 1.4 years) in those who converted to negative cytology. Similar, Yasufuku </w:t>
      </w:r>
      <w:r w:rsidRPr="00A23C0C">
        <w:rPr>
          <w:rFonts w:ascii="Book Antiqua" w:eastAsia="Book Antiqua" w:hAnsi="Book Antiqua" w:cs="Book Antiqua"/>
          <w:i/>
          <w:iCs/>
          <w:color w:val="000000"/>
        </w:rPr>
        <w:t>et al</w:t>
      </w:r>
      <w:r w:rsidR="005763DB" w:rsidRPr="00A23C0C">
        <w:rPr>
          <w:rFonts w:ascii="Book Antiqua" w:eastAsia="Book Antiqua" w:hAnsi="Book Antiqua" w:cs="Book Antiqua"/>
          <w:color w:val="000000"/>
          <w:vertAlign w:val="superscript"/>
        </w:rPr>
        <w:t>[25]</w:t>
      </w:r>
      <w:r w:rsidRPr="00A23C0C">
        <w:rPr>
          <w:rFonts w:ascii="Book Antiqua" w:eastAsia="Book Antiqua" w:hAnsi="Book Antiqua" w:cs="Book Antiqua"/>
          <w:color w:val="000000"/>
        </w:rPr>
        <w:t xml:space="preserve"> and Aizawa </w:t>
      </w:r>
      <w:r w:rsidRPr="00A23C0C">
        <w:rPr>
          <w:rFonts w:ascii="Book Antiqua" w:eastAsia="Book Antiqua" w:hAnsi="Book Antiqua" w:cs="Book Antiqua"/>
          <w:i/>
          <w:iCs/>
          <w:color w:val="000000"/>
        </w:rPr>
        <w:t>et al</w:t>
      </w:r>
      <w:r w:rsidR="005763DB" w:rsidRPr="00A23C0C">
        <w:rPr>
          <w:rFonts w:ascii="Book Antiqua" w:eastAsia="Book Antiqua" w:hAnsi="Book Antiqua" w:cs="Book Antiqua"/>
          <w:color w:val="000000"/>
          <w:vertAlign w:val="superscript"/>
        </w:rPr>
        <w:t>[24]</w:t>
      </w:r>
      <w:r w:rsidRPr="00A23C0C">
        <w:rPr>
          <w:rFonts w:ascii="Book Antiqua" w:eastAsia="Book Antiqua" w:hAnsi="Book Antiqua" w:cs="Book Antiqua"/>
          <w:color w:val="000000"/>
        </w:rPr>
        <w:t xml:space="preserve"> demonstrated improved 3-year (76.9% </w:t>
      </w:r>
      <w:r w:rsidRPr="00A23C0C">
        <w:rPr>
          <w:rFonts w:ascii="Book Antiqua" w:eastAsia="Book Antiqua" w:hAnsi="Book Antiqua" w:cs="Book Antiqua"/>
          <w:i/>
          <w:iCs/>
          <w:color w:val="000000"/>
        </w:rPr>
        <w:t>vs</w:t>
      </w:r>
      <w:r w:rsidRPr="00A23C0C">
        <w:rPr>
          <w:rFonts w:ascii="Book Antiqua" w:eastAsia="Book Antiqua" w:hAnsi="Book Antiqua" w:cs="Book Antiqua"/>
          <w:color w:val="000000"/>
        </w:rPr>
        <w:t xml:space="preserve"> 10.5%) and 5-year (34.6% </w:t>
      </w:r>
      <w:r w:rsidRPr="00A23C0C">
        <w:rPr>
          <w:rFonts w:ascii="Book Antiqua" w:eastAsia="Book Antiqua" w:hAnsi="Book Antiqua" w:cs="Book Antiqua"/>
          <w:i/>
          <w:iCs/>
          <w:color w:val="000000"/>
        </w:rPr>
        <w:t>vs</w:t>
      </w:r>
      <w:r w:rsidRPr="00A23C0C">
        <w:rPr>
          <w:rFonts w:ascii="Book Antiqua" w:eastAsia="Book Antiqua" w:hAnsi="Book Antiqua" w:cs="Book Antiqua"/>
          <w:color w:val="000000"/>
        </w:rPr>
        <w:t xml:space="preserve"> 17.6%) OS rates, respectively. </w:t>
      </w:r>
    </w:p>
    <w:p w14:paraId="5BECAE1A" w14:textId="59B139BD" w:rsidR="00A77B3E" w:rsidRPr="00A23C0C" w:rsidRDefault="00441B03" w:rsidP="005763DB">
      <w:pPr>
        <w:spacing w:line="360" w:lineRule="auto"/>
        <w:ind w:firstLineChars="100" w:firstLine="240"/>
        <w:jc w:val="both"/>
      </w:pPr>
      <w:r w:rsidRPr="00A23C0C">
        <w:rPr>
          <w:rFonts w:ascii="Book Antiqua" w:eastAsia="Book Antiqua" w:hAnsi="Book Antiqua" w:cs="Book Antiqua"/>
          <w:color w:val="000000"/>
        </w:rPr>
        <w:t xml:space="preserve">The high rate of conversions from positive to negative cytology and the clinical benefit of it proposes to consider the initial chemotherapy not as a palliative, but as neoadjuvant treatment. Further, the study by Badgwell </w:t>
      </w:r>
      <w:r w:rsidRPr="00A23C0C">
        <w:rPr>
          <w:rFonts w:ascii="Book Antiqua" w:eastAsia="Book Antiqua" w:hAnsi="Book Antiqua" w:cs="Book Antiqua"/>
          <w:i/>
          <w:iCs/>
          <w:color w:val="000000"/>
        </w:rPr>
        <w:t>et al</w:t>
      </w:r>
      <w:r w:rsidR="005763DB" w:rsidRPr="00A23C0C">
        <w:rPr>
          <w:rFonts w:ascii="Book Antiqua" w:eastAsia="Book Antiqua" w:hAnsi="Book Antiqua" w:cs="Book Antiqua"/>
          <w:color w:val="000000"/>
          <w:vertAlign w:val="superscript"/>
        </w:rPr>
        <w:t>[26]</w:t>
      </w:r>
      <w:r w:rsidRPr="00A23C0C">
        <w:rPr>
          <w:rFonts w:ascii="Book Antiqua" w:eastAsia="Book Antiqua" w:hAnsi="Book Antiqua" w:cs="Book Antiqua"/>
          <w:color w:val="000000"/>
        </w:rPr>
        <w:t xml:space="preserve"> suggested, that palliative treatment may be inferior to neoadjuvant chemotherapy, despite only 41.6% of patients </w:t>
      </w:r>
      <w:r w:rsidRPr="00A23C0C">
        <w:rPr>
          <w:rFonts w:ascii="Book Antiqua" w:eastAsia="Book Antiqua" w:hAnsi="Book Antiqua" w:cs="Book Antiqua"/>
          <w:color w:val="000000"/>
        </w:rPr>
        <w:lastRenderedPageBreak/>
        <w:t xml:space="preserve">treated with it underwent surgery at some point of the treatment. Neoadjuvant therapy group showed a notably higher 3-year OS rate of 12% compared to 0% in patients who were considered as having incurable stage IV disease, therefore scheduled for palliative therapy only. </w:t>
      </w:r>
    </w:p>
    <w:p w14:paraId="21E00120" w14:textId="77777777" w:rsidR="00A77B3E" w:rsidRPr="00A23C0C" w:rsidRDefault="00441B03" w:rsidP="005763DB">
      <w:pPr>
        <w:spacing w:line="360" w:lineRule="auto"/>
        <w:ind w:firstLineChars="100" w:firstLine="240"/>
        <w:jc w:val="both"/>
      </w:pPr>
      <w:r w:rsidRPr="00A23C0C">
        <w:rPr>
          <w:rFonts w:ascii="Book Antiqua" w:eastAsia="Book Antiqua" w:hAnsi="Book Antiqua" w:cs="Book Antiqua"/>
          <w:color w:val="000000"/>
        </w:rPr>
        <w:t xml:space="preserve">The upfront systemic therapy is the most promising when the conversion of cytological status is achieved, especially if converted patients can be allocated for further surgical treatment. The most effective chemotherapy regimens and the optimal number of cycles for conversions remain unknown, thus, future studies should elucidate these unclarities. </w:t>
      </w:r>
    </w:p>
    <w:p w14:paraId="2997EEC2" w14:textId="77777777" w:rsidR="00A77B3E" w:rsidRPr="00A23C0C" w:rsidRDefault="00A77B3E">
      <w:pPr>
        <w:spacing w:line="360" w:lineRule="auto"/>
        <w:jc w:val="both"/>
      </w:pPr>
    </w:p>
    <w:p w14:paraId="44AF62EA" w14:textId="6F947839" w:rsidR="00A77B3E" w:rsidRPr="00A23C0C" w:rsidRDefault="00441B03">
      <w:pPr>
        <w:spacing w:line="360" w:lineRule="auto"/>
        <w:jc w:val="both"/>
      </w:pPr>
      <w:r w:rsidRPr="00A23C0C">
        <w:rPr>
          <w:rFonts w:ascii="Book Antiqua" w:eastAsia="Book Antiqua" w:hAnsi="Book Antiqua" w:cs="Book Antiqua"/>
          <w:b/>
          <w:bCs/>
          <w:caps/>
          <w:color w:val="000000"/>
          <w:u w:val="single"/>
        </w:rPr>
        <w:t xml:space="preserve">INTRAPERITONEAL THERAPIES FOR CY1 </w:t>
      </w:r>
      <w:r w:rsidR="00CB18DA" w:rsidRPr="00A23C0C">
        <w:rPr>
          <w:rFonts w:ascii="Book Antiqua" w:eastAsia="Book Antiqua" w:hAnsi="Book Antiqua" w:cs="Book Antiqua"/>
          <w:b/>
          <w:bCs/>
          <w:caps/>
          <w:color w:val="000000"/>
          <w:u w:val="single"/>
        </w:rPr>
        <w:t>GC</w:t>
      </w:r>
      <w:r w:rsidRPr="00A23C0C">
        <w:rPr>
          <w:rFonts w:ascii="Book Antiqua" w:eastAsia="Book Antiqua" w:hAnsi="Book Antiqua" w:cs="Book Antiqua"/>
          <w:b/>
          <w:bCs/>
          <w:caps/>
          <w:color w:val="000000"/>
          <w:u w:val="single"/>
        </w:rPr>
        <w:t xml:space="preserve"> PATIENTS</w:t>
      </w:r>
    </w:p>
    <w:p w14:paraId="17728E11" w14:textId="177325F7" w:rsidR="00A77B3E" w:rsidRPr="00A23C0C" w:rsidRDefault="00441B03" w:rsidP="005763DB">
      <w:pPr>
        <w:spacing w:line="360" w:lineRule="auto"/>
        <w:jc w:val="both"/>
      </w:pPr>
      <w:r w:rsidRPr="00A23C0C">
        <w:rPr>
          <w:rFonts w:ascii="Book Antiqua" w:eastAsia="Book Antiqua" w:hAnsi="Book Antiqua" w:cs="Book Antiqua"/>
          <w:color w:val="000000"/>
        </w:rPr>
        <w:t>As shown previously, systemic chemotherapy in a neoadjuvant or adjuvant setting plays an important role to improve Cy1 GC patients’ outcomes. Although, systemic chemotherapy is considered to be limited efficacy for peritoneal dissemination because of the peritoneal</w:t>
      </w:r>
      <w:r w:rsidR="005763DB" w:rsidRPr="00A23C0C">
        <w:rPr>
          <w:rFonts w:ascii="Book Antiqua" w:eastAsia="Book Antiqua" w:hAnsi="Book Antiqua" w:cs="Book Antiqua"/>
          <w:color w:val="000000"/>
        </w:rPr>
        <w:t>-</w:t>
      </w:r>
      <w:r w:rsidRPr="00A23C0C">
        <w:rPr>
          <w:rFonts w:ascii="Book Antiqua" w:eastAsia="Book Antiqua" w:hAnsi="Book Antiqua" w:cs="Book Antiqua"/>
          <w:color w:val="000000"/>
        </w:rPr>
        <w:t>plasma barrier</w:t>
      </w:r>
      <w:r w:rsidRPr="00A23C0C">
        <w:rPr>
          <w:rFonts w:ascii="Book Antiqua" w:eastAsia="Book Antiqua" w:hAnsi="Book Antiqua" w:cs="Book Antiqua"/>
          <w:color w:val="000000"/>
          <w:vertAlign w:val="superscript"/>
        </w:rPr>
        <w:t>[27]</w:t>
      </w:r>
      <w:r w:rsidRPr="00A23C0C">
        <w:rPr>
          <w:rFonts w:ascii="Book Antiqua" w:eastAsia="Book Antiqua" w:hAnsi="Book Antiqua" w:cs="Book Antiqua"/>
          <w:color w:val="000000"/>
        </w:rPr>
        <w:t xml:space="preserve">. Therefore, direct intraperitoneal therapies have been suggested as a more effective alternative for these patients. </w:t>
      </w:r>
    </w:p>
    <w:p w14:paraId="20C0DA99" w14:textId="77777777" w:rsidR="00A77B3E" w:rsidRPr="00A23C0C" w:rsidRDefault="00A77B3E">
      <w:pPr>
        <w:spacing w:line="360" w:lineRule="auto"/>
        <w:ind w:firstLine="720"/>
        <w:jc w:val="both"/>
      </w:pPr>
    </w:p>
    <w:p w14:paraId="218EF0CE" w14:textId="77777777" w:rsidR="00A77B3E" w:rsidRPr="00A23C0C" w:rsidRDefault="00441B03">
      <w:pPr>
        <w:spacing w:line="360" w:lineRule="auto"/>
        <w:jc w:val="both"/>
      </w:pPr>
      <w:r w:rsidRPr="00A23C0C">
        <w:rPr>
          <w:rFonts w:ascii="Book Antiqua" w:eastAsia="Book Antiqua" w:hAnsi="Book Antiqua" w:cs="Book Antiqua"/>
          <w:b/>
          <w:bCs/>
          <w:caps/>
          <w:color w:val="000000"/>
          <w:u w:val="single"/>
        </w:rPr>
        <w:t xml:space="preserve">INTRAPERITONEAL CHEMOTHERAPY AND EXTENSIVE INTRAOPERATIVE PERITONEAL LAVAGE </w:t>
      </w:r>
    </w:p>
    <w:p w14:paraId="03B8E4C8" w14:textId="27EDD2C6" w:rsidR="00A77B3E" w:rsidRPr="00A23C0C" w:rsidRDefault="00441B03" w:rsidP="005763DB">
      <w:pPr>
        <w:spacing w:line="360" w:lineRule="auto"/>
        <w:jc w:val="both"/>
      </w:pPr>
      <w:r w:rsidRPr="00A23C0C">
        <w:rPr>
          <w:rFonts w:ascii="Book Antiqua" w:eastAsia="Book Antiqua" w:hAnsi="Book Antiqua" w:cs="Book Antiqua"/>
          <w:color w:val="000000"/>
        </w:rPr>
        <w:t>The rationale for intraperitoneal chemotherapy (IPC) application is the possibility to achieve high local concentration while keeping the low systemic concentration of cytotoxic drug</w:t>
      </w:r>
      <w:r w:rsidRPr="00A23C0C">
        <w:rPr>
          <w:rFonts w:ascii="Book Antiqua" w:eastAsia="Book Antiqua" w:hAnsi="Book Antiqua" w:cs="Book Antiqua"/>
          <w:color w:val="000000"/>
          <w:vertAlign w:val="superscript"/>
        </w:rPr>
        <w:t>[28]</w:t>
      </w:r>
      <w:r w:rsidRPr="00A23C0C">
        <w:rPr>
          <w:rFonts w:ascii="Book Antiqua" w:eastAsia="Book Antiqua" w:hAnsi="Book Antiqua" w:cs="Book Antiqua"/>
          <w:color w:val="000000"/>
        </w:rPr>
        <w:t>. These pharmacokinetic features of the method increase the therapeutic efficacy and decrease systemic toxicity. The possible limitation of IPC for the PC is the limited penetration of the drug. The maximum estimated depth of drug penetration is 3 to 5 mm, although actual penetration range from a few cell layers to a few millimeters</w:t>
      </w:r>
      <w:r w:rsidRPr="00A23C0C">
        <w:rPr>
          <w:rFonts w:ascii="Book Antiqua" w:eastAsia="Book Antiqua" w:hAnsi="Book Antiqua" w:cs="Book Antiqua"/>
          <w:color w:val="000000"/>
          <w:vertAlign w:val="superscript"/>
        </w:rPr>
        <w:t>[28]</w:t>
      </w:r>
      <w:r w:rsidRPr="00A23C0C">
        <w:rPr>
          <w:rFonts w:ascii="Book Antiqua" w:eastAsia="Book Antiqua" w:hAnsi="Book Antiqua" w:cs="Book Antiqua"/>
          <w:color w:val="000000"/>
        </w:rPr>
        <w:t xml:space="preserve">. Despite this shortcoming of the method for PC, it does not preclude the eradication of free intraperitoneal cancer cells. Thus, IPC was investigated as an attractive option for Cy1 GC patients. </w:t>
      </w:r>
    </w:p>
    <w:p w14:paraId="672D8D3E" w14:textId="0A19DCAD" w:rsidR="00A77B3E" w:rsidRPr="00A23C0C" w:rsidRDefault="00441B03" w:rsidP="005763DB">
      <w:pPr>
        <w:spacing w:line="360" w:lineRule="auto"/>
        <w:ind w:firstLineChars="100" w:firstLine="240"/>
        <w:jc w:val="both"/>
      </w:pPr>
      <w:r w:rsidRPr="00A23C0C">
        <w:rPr>
          <w:rFonts w:ascii="Book Antiqua" w:eastAsia="Book Antiqua" w:hAnsi="Book Antiqua" w:cs="Book Antiqua"/>
          <w:color w:val="000000"/>
        </w:rPr>
        <w:lastRenderedPageBreak/>
        <w:t xml:space="preserve">Imano </w:t>
      </w:r>
      <w:r w:rsidRPr="00A23C0C">
        <w:rPr>
          <w:rFonts w:ascii="Book Antiqua" w:eastAsia="Book Antiqua" w:hAnsi="Book Antiqua" w:cs="Book Antiqua"/>
          <w:i/>
          <w:iCs/>
          <w:color w:val="000000"/>
        </w:rPr>
        <w:t>et al</w:t>
      </w:r>
      <w:r w:rsidR="005763DB" w:rsidRPr="00A23C0C">
        <w:rPr>
          <w:rFonts w:ascii="Book Antiqua" w:eastAsia="Book Antiqua" w:hAnsi="Book Antiqua" w:cs="Book Antiqua"/>
          <w:color w:val="000000"/>
          <w:vertAlign w:val="superscript"/>
        </w:rPr>
        <w:t>[29]</w:t>
      </w:r>
      <w:r w:rsidRPr="00A23C0C">
        <w:rPr>
          <w:rFonts w:ascii="Book Antiqua" w:eastAsia="Book Antiqua" w:hAnsi="Book Antiqua" w:cs="Book Antiqua"/>
          <w:color w:val="000000"/>
        </w:rPr>
        <w:t xml:space="preserve"> conducted a pilot clinicopathological study to investigate intraperitoneal administration of 80 mg/m</w:t>
      </w:r>
      <w:r w:rsidRPr="00A23C0C">
        <w:rPr>
          <w:rFonts w:ascii="Book Antiqua" w:eastAsia="Book Antiqua" w:hAnsi="Book Antiqua" w:cs="Book Antiqua"/>
          <w:color w:val="000000"/>
          <w:szCs w:val="30"/>
          <w:vertAlign w:val="superscript"/>
        </w:rPr>
        <w:t>2</w:t>
      </w:r>
      <w:r w:rsidRPr="00A23C0C">
        <w:rPr>
          <w:rFonts w:ascii="Book Antiqua" w:eastAsia="Book Antiqua" w:hAnsi="Book Antiqua" w:cs="Book Antiqua"/>
          <w:color w:val="000000"/>
        </w:rPr>
        <w:t xml:space="preserve"> paclitaxel at the end of the radical D2 gastrectomy for 10 Cy1 GC patients. Pharmacokinetic analysis showed that the peak plasma concentration of paclitaxel did not reach the cytotoxic threshold level of 0.1 mol/L, while intraperitoneal drug concentration was about 6773 folds higher</w:t>
      </w:r>
      <w:r w:rsidRPr="00A23C0C">
        <w:rPr>
          <w:rFonts w:ascii="Book Antiqua" w:eastAsia="Book Antiqua" w:hAnsi="Book Antiqua" w:cs="Book Antiqua"/>
          <w:color w:val="000000"/>
          <w:vertAlign w:val="superscript"/>
        </w:rPr>
        <w:t>[29]</w:t>
      </w:r>
      <w:r w:rsidRPr="00A23C0C">
        <w:rPr>
          <w:rFonts w:ascii="Book Antiqua" w:eastAsia="Book Antiqua" w:hAnsi="Book Antiqua" w:cs="Book Antiqua"/>
          <w:color w:val="000000"/>
        </w:rPr>
        <w:t>. Such IPC cleared the peritoneal cytology as no viable cancer cells were found at 24 and 48 h after IPC</w:t>
      </w:r>
      <w:r w:rsidRPr="00A23C0C">
        <w:rPr>
          <w:rFonts w:ascii="Book Antiqua" w:eastAsia="Book Antiqua" w:hAnsi="Book Antiqua" w:cs="Book Antiqua"/>
          <w:color w:val="000000"/>
          <w:vertAlign w:val="superscript"/>
        </w:rPr>
        <w:t>[29]</w:t>
      </w:r>
      <w:r w:rsidRPr="00A23C0C">
        <w:rPr>
          <w:rFonts w:ascii="Book Antiqua" w:eastAsia="Book Antiqua" w:hAnsi="Book Antiqua" w:cs="Book Antiqua"/>
          <w:color w:val="000000"/>
        </w:rPr>
        <w:t>. Following radical surgery with IPC majority of patients received adjuvant S1 based chemotherapy</w:t>
      </w:r>
      <w:r w:rsidRPr="00A23C0C">
        <w:rPr>
          <w:rFonts w:ascii="Book Antiqua" w:eastAsia="Book Antiqua" w:hAnsi="Book Antiqua" w:cs="Book Antiqua"/>
          <w:color w:val="000000"/>
          <w:vertAlign w:val="superscript"/>
        </w:rPr>
        <w:t>[29]</w:t>
      </w:r>
      <w:r w:rsidRPr="00A23C0C">
        <w:rPr>
          <w:rFonts w:ascii="Book Antiqua" w:eastAsia="Book Antiqua" w:hAnsi="Book Antiqua" w:cs="Book Antiqua"/>
          <w:color w:val="000000"/>
        </w:rPr>
        <w:t>. Long</w:t>
      </w:r>
      <w:r w:rsidR="005763DB" w:rsidRPr="00A23C0C">
        <w:rPr>
          <w:rFonts w:ascii="Book Antiqua" w:eastAsia="Book Antiqua" w:hAnsi="Book Antiqua" w:cs="Book Antiqua"/>
          <w:color w:val="000000"/>
        </w:rPr>
        <w:t>-</w:t>
      </w:r>
      <w:r w:rsidRPr="00A23C0C">
        <w:rPr>
          <w:rFonts w:ascii="Book Antiqua" w:eastAsia="Book Antiqua" w:hAnsi="Book Antiqua" w:cs="Book Antiqua"/>
          <w:color w:val="000000"/>
        </w:rPr>
        <w:t>term outcome analysis showed a promising 3-years survival rate of 56% and the peritoneal recurrence rate of 30%</w:t>
      </w:r>
      <w:r w:rsidRPr="00A23C0C">
        <w:rPr>
          <w:rFonts w:ascii="Book Antiqua" w:eastAsia="Book Antiqua" w:hAnsi="Book Antiqua" w:cs="Book Antiqua"/>
          <w:color w:val="000000"/>
          <w:vertAlign w:val="superscript"/>
        </w:rPr>
        <w:t>[29]</w:t>
      </w:r>
      <w:r w:rsidRPr="00A23C0C">
        <w:rPr>
          <w:rFonts w:ascii="Book Antiqua" w:eastAsia="Book Antiqua" w:hAnsi="Book Antiqua" w:cs="Book Antiqua"/>
          <w:color w:val="000000"/>
        </w:rPr>
        <w:t>. Further, the authors compared these survival outcomes with a historical cohort who received gastrectomy alone and concluded that IPC significantly improves the survival of Cy1 GC patients</w:t>
      </w:r>
      <w:r w:rsidRPr="00A23C0C">
        <w:rPr>
          <w:rFonts w:ascii="Book Antiqua" w:eastAsia="Book Antiqua" w:hAnsi="Book Antiqua" w:cs="Book Antiqua"/>
          <w:color w:val="000000"/>
          <w:vertAlign w:val="superscript"/>
        </w:rPr>
        <w:t>[29]</w:t>
      </w:r>
      <w:r w:rsidRPr="00A23C0C">
        <w:rPr>
          <w:rFonts w:ascii="Book Antiqua" w:eastAsia="Book Antiqua" w:hAnsi="Book Antiqua" w:cs="Book Antiqua"/>
          <w:color w:val="000000"/>
        </w:rPr>
        <w:t>. Another study on IPC for Cy1 GC investigated the additional benefit of extensive peritoneal lavage (EIPL)</w:t>
      </w:r>
      <w:r w:rsidRPr="00A23C0C">
        <w:rPr>
          <w:rFonts w:ascii="Book Antiqua" w:eastAsia="Book Antiqua" w:hAnsi="Book Antiqua" w:cs="Book Antiqua"/>
          <w:color w:val="000000"/>
          <w:vertAlign w:val="superscript"/>
        </w:rPr>
        <w:t>[30]</w:t>
      </w:r>
      <w:r w:rsidRPr="00A23C0C">
        <w:rPr>
          <w:rFonts w:ascii="Book Antiqua" w:eastAsia="Book Antiqua" w:hAnsi="Book Antiqua" w:cs="Book Antiqua"/>
          <w:color w:val="000000"/>
        </w:rPr>
        <w:t xml:space="preserve">. Shimada </w:t>
      </w:r>
      <w:r w:rsidRPr="00A23C0C">
        <w:rPr>
          <w:rFonts w:ascii="Book Antiqua" w:eastAsia="Book Antiqua" w:hAnsi="Book Antiqua" w:cs="Book Antiqua"/>
          <w:i/>
          <w:iCs/>
          <w:color w:val="000000"/>
        </w:rPr>
        <w:t>et al</w:t>
      </w:r>
      <w:r w:rsidR="005763DB" w:rsidRPr="00A23C0C">
        <w:rPr>
          <w:rFonts w:ascii="Book Antiqua" w:eastAsia="Book Antiqua" w:hAnsi="Book Antiqua" w:cs="Book Antiqua"/>
          <w:color w:val="000000"/>
          <w:vertAlign w:val="superscript"/>
        </w:rPr>
        <w:t>[30]</w:t>
      </w:r>
      <w:r w:rsidRPr="00A23C0C">
        <w:rPr>
          <w:rFonts w:ascii="Book Antiqua" w:eastAsia="Book Antiqua" w:hAnsi="Book Antiqua" w:cs="Book Antiqua"/>
          <w:color w:val="000000"/>
        </w:rPr>
        <w:t xml:space="preserve"> study included 22 Cy1 GC patients who underwent: </w:t>
      </w:r>
      <w:r w:rsidR="005763DB"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1) </w:t>
      </w:r>
      <w:r w:rsidR="005763DB" w:rsidRPr="00A23C0C">
        <w:rPr>
          <w:rFonts w:ascii="Book Antiqua" w:eastAsia="Book Antiqua" w:hAnsi="Book Antiqua" w:cs="Book Antiqua"/>
          <w:color w:val="000000"/>
        </w:rPr>
        <w:t>G</w:t>
      </w:r>
      <w:r w:rsidRPr="00A23C0C">
        <w:rPr>
          <w:rFonts w:ascii="Book Antiqua" w:eastAsia="Book Antiqua" w:hAnsi="Book Antiqua" w:cs="Book Antiqua"/>
          <w:color w:val="000000"/>
        </w:rPr>
        <w:t xml:space="preserve">astrectomy; </w:t>
      </w:r>
      <w:r w:rsidR="005763DB"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2) </w:t>
      </w:r>
      <w:r w:rsidR="005763DB" w:rsidRPr="00A23C0C">
        <w:rPr>
          <w:rFonts w:ascii="Book Antiqua" w:eastAsia="Book Antiqua" w:hAnsi="Book Antiqua" w:cs="Book Antiqua"/>
          <w:color w:val="000000"/>
        </w:rPr>
        <w:t>G</w:t>
      </w:r>
      <w:r w:rsidRPr="00A23C0C">
        <w:rPr>
          <w:rFonts w:ascii="Book Antiqua" w:eastAsia="Book Antiqua" w:hAnsi="Book Antiqua" w:cs="Book Antiqua"/>
          <w:color w:val="000000"/>
        </w:rPr>
        <w:t>astrectomy</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IPC with 100 mg cisplatin</w:t>
      </w:r>
      <w:r w:rsidR="005763DB"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or </w:t>
      </w:r>
      <w:r w:rsidR="005763DB"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3) </w:t>
      </w:r>
      <w:r w:rsidR="005763DB" w:rsidRPr="00A23C0C">
        <w:rPr>
          <w:rFonts w:ascii="Book Antiqua" w:eastAsia="Book Antiqua" w:hAnsi="Book Antiqua" w:cs="Book Antiqua"/>
          <w:color w:val="000000"/>
        </w:rPr>
        <w:t>G</w:t>
      </w:r>
      <w:r w:rsidRPr="00A23C0C">
        <w:rPr>
          <w:rFonts w:ascii="Book Antiqua" w:eastAsia="Book Antiqua" w:hAnsi="Book Antiqua" w:cs="Book Antiqua"/>
          <w:color w:val="000000"/>
        </w:rPr>
        <w:t>astrectomy</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IPC</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EIPL by peritoneal cavity washing with 10 Liters of physiologic saline solution. Postoperatively all patients received adjuvant 5-FU based chemotherapy</w:t>
      </w:r>
      <w:r w:rsidRPr="00A23C0C">
        <w:rPr>
          <w:rFonts w:ascii="Book Antiqua" w:eastAsia="Book Antiqua" w:hAnsi="Book Antiqua" w:cs="Book Antiqua"/>
          <w:color w:val="000000"/>
          <w:vertAlign w:val="superscript"/>
        </w:rPr>
        <w:t>[30]</w:t>
      </w:r>
      <w:r w:rsidRPr="00A23C0C">
        <w:rPr>
          <w:rFonts w:ascii="Book Antiqua" w:eastAsia="Book Antiqua" w:hAnsi="Book Antiqua" w:cs="Book Antiqua"/>
          <w:color w:val="000000"/>
        </w:rPr>
        <w:t>. Long-term outcomes analysis showed 2-year OS rates of 0%, 14.3%, and 57.1% in groups 1,</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2 and 3, respectively. Further EIPL reduced the peritoneal recurrence rate to 42.9% compared to 85.7% and 100% in gastrectomy</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IPC and gastrectomy groups, respectively. Cancer cell detection analysis in the peritoneal lavage by reverse transcriptase-polymerase chain reaction (RT-PCR) suggested 10 Liters of physiologic saline as an optimal amount to flush out the free cancer cells from the peritoneal cavity</w:t>
      </w:r>
      <w:r w:rsidRPr="00A23C0C">
        <w:rPr>
          <w:rFonts w:ascii="Book Antiqua" w:eastAsia="Book Antiqua" w:hAnsi="Book Antiqua" w:cs="Book Antiqua"/>
          <w:color w:val="000000"/>
          <w:vertAlign w:val="superscript"/>
        </w:rPr>
        <w:t>[30]</w:t>
      </w:r>
      <w:r w:rsidRPr="00A23C0C">
        <w:rPr>
          <w:rFonts w:ascii="Book Antiqua" w:eastAsia="Book Antiqua" w:hAnsi="Book Antiqua" w:cs="Book Antiqua"/>
          <w:color w:val="000000"/>
        </w:rPr>
        <w:t>. Because of the promising results in the retrospective study, the gastrectomy</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EIPL</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IPC strategy was tested in the subsequent multicenter RCT</w:t>
      </w:r>
      <w:r w:rsidRPr="00A23C0C">
        <w:rPr>
          <w:rFonts w:ascii="Book Antiqua" w:eastAsia="Book Antiqua" w:hAnsi="Book Antiqua" w:cs="Book Antiqua"/>
          <w:color w:val="000000"/>
          <w:vertAlign w:val="superscript"/>
        </w:rPr>
        <w:t>[31]</w:t>
      </w:r>
      <w:r w:rsidRPr="00A23C0C">
        <w:rPr>
          <w:rFonts w:ascii="Book Antiqua" w:eastAsia="Book Antiqua" w:hAnsi="Book Antiqua" w:cs="Book Antiqua"/>
          <w:color w:val="000000"/>
        </w:rPr>
        <w:t>. The study included 88 Cy1 GC patients and randomly allocated them to three previously mentioned treatment strategies</w:t>
      </w:r>
      <w:r w:rsidRPr="00A23C0C">
        <w:rPr>
          <w:rFonts w:ascii="Book Antiqua" w:eastAsia="Book Antiqua" w:hAnsi="Book Antiqua" w:cs="Book Antiqua"/>
          <w:color w:val="000000"/>
          <w:vertAlign w:val="superscript"/>
        </w:rPr>
        <w:t>[31]</w:t>
      </w:r>
      <w:r w:rsidRPr="00A23C0C">
        <w:rPr>
          <w:rFonts w:ascii="Book Antiqua" w:eastAsia="Book Antiqua" w:hAnsi="Book Antiqua" w:cs="Book Antiqua"/>
          <w:color w:val="000000"/>
        </w:rPr>
        <w:t>. This prospective study confirmed the superiority of EIPL</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IPC, as the 5-year OS increased to 43.8% compared to 4.6% and 0% in IPC and gastrectomy alone groups, respectively. Further EIPL</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 xml:space="preserve">IPC significantly reduced the peritoneal recurrence rate to 40.0% compared to 79.3% in IPC and 89.7% in </w:t>
      </w:r>
      <w:r w:rsidRPr="00A23C0C">
        <w:rPr>
          <w:rFonts w:ascii="Book Antiqua" w:eastAsia="Book Antiqua" w:hAnsi="Book Antiqua" w:cs="Book Antiqua"/>
          <w:color w:val="000000"/>
        </w:rPr>
        <w:lastRenderedPageBreak/>
        <w:t>gastrectomy alone groups. After the promising results of the retrospective study were confirmed in the subsequent RCT, authors recommended considering EIPL</w:t>
      </w:r>
      <w:r w:rsidR="005763DB" w:rsidRPr="00A23C0C">
        <w:rPr>
          <w:rFonts w:ascii="Book Antiqua" w:eastAsia="Book Antiqua" w:hAnsi="Book Antiqua" w:cs="Book Antiqua"/>
          <w:color w:val="000000"/>
        </w:rPr>
        <w:t>-</w:t>
      </w:r>
      <w:r w:rsidRPr="00A23C0C">
        <w:rPr>
          <w:rFonts w:ascii="Book Antiqua" w:eastAsia="Book Antiqua" w:hAnsi="Book Antiqua" w:cs="Book Antiqua"/>
          <w:color w:val="000000"/>
        </w:rPr>
        <w:t>IPC therapy as a standard prophylactic strategy for peritoneal dissemination in Cy1 GC patients</w:t>
      </w:r>
      <w:r w:rsidRPr="00A23C0C">
        <w:rPr>
          <w:rFonts w:ascii="Book Antiqua" w:eastAsia="Book Antiqua" w:hAnsi="Book Antiqua" w:cs="Book Antiqua"/>
          <w:color w:val="000000"/>
          <w:vertAlign w:val="superscript"/>
        </w:rPr>
        <w:t>[31]</w:t>
      </w:r>
      <w:r w:rsidRPr="00A23C0C">
        <w:rPr>
          <w:rFonts w:ascii="Book Antiqua" w:eastAsia="Book Antiqua" w:hAnsi="Book Antiqua" w:cs="Book Antiqua"/>
          <w:color w:val="000000"/>
        </w:rPr>
        <w:t>. However, some conflicting data on the efficacy of EIPL was presented in a recent EXPEL study. This high-quality, open-label, multicentre, phase 3 surgical RCT, conducted at 22 hospitals from South Korea, China, Japan, Malaysia, Hong Kong, and Singapore enrolled 800 patients to evaluate the potential benefit of EIPL after upfront radical gastrectomy for cT3-4 GC</w:t>
      </w:r>
      <w:r w:rsidRPr="00A23C0C">
        <w:rPr>
          <w:rFonts w:ascii="Book Antiqua" w:eastAsia="Book Antiqua" w:hAnsi="Book Antiqua" w:cs="Book Antiqua"/>
          <w:color w:val="000000"/>
          <w:vertAlign w:val="superscript"/>
        </w:rPr>
        <w:t>[32]</w:t>
      </w:r>
      <w:r w:rsidRPr="00A23C0C">
        <w:rPr>
          <w:rFonts w:ascii="Book Antiqua" w:eastAsia="Book Antiqua" w:hAnsi="Book Antiqua" w:cs="Book Antiqua"/>
          <w:color w:val="000000"/>
        </w:rPr>
        <w:t>. However, EIPL by 10 Lite</w:t>
      </w:r>
      <w:r w:rsidR="005763DB" w:rsidRPr="00A23C0C">
        <w:rPr>
          <w:rFonts w:ascii="Book Antiqua" w:eastAsia="Book Antiqua" w:hAnsi="Book Antiqua" w:cs="Book Antiqua"/>
          <w:color w:val="000000"/>
        </w:rPr>
        <w:t>r</w:t>
      </w:r>
      <w:r w:rsidRPr="00A23C0C">
        <w:rPr>
          <w:rFonts w:ascii="Book Antiqua" w:eastAsia="Book Antiqua" w:hAnsi="Book Antiqua" w:cs="Book Antiqua"/>
          <w:color w:val="000000"/>
        </w:rPr>
        <w:t xml:space="preserve">s of saline did not improve 3-year OS </w:t>
      </w:r>
      <w:r w:rsidR="005763DB"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77.0% </w:t>
      </w:r>
      <w:r w:rsidRPr="00A23C0C">
        <w:rPr>
          <w:rFonts w:ascii="Book Antiqua" w:eastAsia="Book Antiqua" w:hAnsi="Book Antiqua" w:cs="Book Antiqua"/>
          <w:i/>
          <w:iCs/>
          <w:color w:val="000000"/>
        </w:rPr>
        <w:t>vs</w:t>
      </w:r>
      <w:r w:rsidRPr="00A23C0C">
        <w:rPr>
          <w:rFonts w:ascii="Book Antiqua" w:eastAsia="Book Antiqua" w:hAnsi="Book Antiqua" w:cs="Book Antiqua"/>
          <w:color w:val="000000"/>
        </w:rPr>
        <w:t xml:space="preserve"> 76.7%; HR</w:t>
      </w:r>
      <w:r w:rsidR="005763DB"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1</w:t>
      </w:r>
      <w:r w:rsidR="005763DB"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09 </w:t>
      </w:r>
      <w:r w:rsidR="005763DB" w:rsidRPr="00A23C0C">
        <w:rPr>
          <w:rFonts w:ascii="Book Antiqua" w:eastAsia="Book Antiqua" w:hAnsi="Book Antiqua" w:cs="Book Antiqua"/>
          <w:color w:val="000000"/>
        </w:rPr>
        <w:t>(</w:t>
      </w:r>
      <w:r w:rsidRPr="00A23C0C">
        <w:rPr>
          <w:rFonts w:ascii="Book Antiqua" w:eastAsia="Book Antiqua" w:hAnsi="Book Antiqua" w:cs="Book Antiqua"/>
          <w:color w:val="000000"/>
        </w:rPr>
        <w:t>95%CI</w:t>
      </w:r>
      <w:r w:rsidR="005763DB"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0.78</w:t>
      </w:r>
      <w:r w:rsidR="005763DB" w:rsidRPr="00A23C0C">
        <w:rPr>
          <w:rFonts w:ascii="Book Antiqua" w:eastAsia="Book Antiqua" w:hAnsi="Book Antiqua" w:cs="Book Antiqua"/>
          <w:color w:val="000000"/>
        </w:rPr>
        <w:t>-</w:t>
      </w:r>
      <w:r w:rsidRPr="00A23C0C">
        <w:rPr>
          <w:rFonts w:ascii="Book Antiqua" w:eastAsia="Book Antiqua" w:hAnsi="Book Antiqua" w:cs="Book Antiqua"/>
          <w:color w:val="000000"/>
        </w:rPr>
        <w:t>1.52</w:t>
      </w:r>
      <w:r w:rsidR="005763DB"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w:t>
      </w:r>
      <w:r w:rsidRPr="00A23C0C">
        <w:rPr>
          <w:rFonts w:ascii="Book Antiqua" w:eastAsia="Book Antiqua" w:hAnsi="Book Antiqua" w:cs="Book Antiqua"/>
          <w:i/>
          <w:iCs/>
          <w:color w:val="000000"/>
        </w:rPr>
        <w:t>P</w:t>
      </w:r>
      <w:r w:rsidRPr="00A23C0C">
        <w:rPr>
          <w:rFonts w:ascii="Book Antiqua" w:eastAsia="Book Antiqua" w:hAnsi="Book Antiqua" w:cs="Book Antiqua"/>
          <w:color w:val="000000"/>
        </w:rPr>
        <w:t xml:space="preserve"> = 0</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62</w:t>
      </w:r>
      <w:r w:rsidR="005763DB"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DFS </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64.8% </w:t>
      </w:r>
      <w:r w:rsidRPr="00A23C0C">
        <w:rPr>
          <w:rFonts w:ascii="Book Antiqua" w:eastAsia="Book Antiqua" w:hAnsi="Book Antiqua" w:cs="Book Antiqua"/>
          <w:i/>
          <w:iCs/>
          <w:color w:val="000000"/>
        </w:rPr>
        <w:t>vs</w:t>
      </w:r>
      <w:r w:rsidRPr="00A23C0C">
        <w:rPr>
          <w:rFonts w:ascii="Book Antiqua" w:eastAsia="Book Antiqua" w:hAnsi="Book Antiqua" w:cs="Book Antiqua"/>
          <w:color w:val="000000"/>
        </w:rPr>
        <w:t xml:space="preserve"> 69.4</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HR</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1.12 </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95%CI</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0</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86</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1</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47</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w:t>
      </w:r>
      <w:r w:rsidRPr="00A23C0C">
        <w:rPr>
          <w:rFonts w:ascii="Book Antiqua" w:eastAsia="Book Antiqua" w:hAnsi="Book Antiqua" w:cs="Book Antiqua"/>
          <w:i/>
          <w:iCs/>
          <w:color w:val="000000"/>
        </w:rPr>
        <w:t>P</w:t>
      </w:r>
      <w:r w:rsidRPr="00A23C0C">
        <w:rPr>
          <w:rFonts w:ascii="Book Antiqua" w:eastAsia="Book Antiqua" w:hAnsi="Book Antiqua" w:cs="Book Antiqua"/>
          <w:color w:val="000000"/>
        </w:rPr>
        <w:t xml:space="preserve"> = 0.40</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and 3-year cumulative incidence for peritoneal recurrence </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7.9% </w:t>
      </w:r>
      <w:r w:rsidRPr="00A23C0C">
        <w:rPr>
          <w:rFonts w:ascii="Book Antiqua" w:eastAsia="Book Antiqua" w:hAnsi="Book Antiqua" w:cs="Book Antiqua"/>
          <w:i/>
          <w:iCs/>
          <w:color w:val="000000"/>
        </w:rPr>
        <w:t>vs</w:t>
      </w:r>
      <w:r w:rsidRPr="00A23C0C">
        <w:rPr>
          <w:rFonts w:ascii="Book Antiqua" w:eastAsia="Book Antiqua" w:hAnsi="Book Antiqua" w:cs="Book Antiqua"/>
          <w:color w:val="000000"/>
        </w:rPr>
        <w:t xml:space="preserve"> 6.6%; HR</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1</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33 </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95%CI</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0</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73</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2</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42</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w:t>
      </w:r>
      <w:r w:rsidRPr="00A23C0C">
        <w:rPr>
          <w:rFonts w:ascii="Book Antiqua" w:eastAsia="Book Antiqua" w:hAnsi="Book Antiqua" w:cs="Book Antiqua"/>
          <w:i/>
          <w:iCs/>
          <w:color w:val="000000"/>
        </w:rPr>
        <w:t>P</w:t>
      </w:r>
      <w:r w:rsidRPr="00A23C0C">
        <w:rPr>
          <w:rFonts w:ascii="Book Antiqua" w:eastAsia="Book Antiqua" w:hAnsi="Book Antiqua" w:cs="Book Antiqua"/>
          <w:color w:val="000000"/>
        </w:rPr>
        <w:t xml:space="preserve"> = 0</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35</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Moreover, EPIL was associated with higher risk of adverse events (RR</w:t>
      </w:r>
      <w:r w:rsidR="005C1A34"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w:t>
      </w:r>
      <w:r w:rsidR="005C1A34"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 xml:space="preserve">1.58, </w:t>
      </w:r>
      <w:r w:rsidRPr="00A23C0C">
        <w:rPr>
          <w:rFonts w:ascii="Book Antiqua" w:eastAsia="Book Antiqua" w:hAnsi="Book Antiqua" w:cs="Book Antiqua"/>
          <w:i/>
          <w:iCs/>
          <w:color w:val="000000"/>
        </w:rPr>
        <w:t>P</w:t>
      </w:r>
      <w:r w:rsidRPr="00A23C0C">
        <w:rPr>
          <w:rFonts w:ascii="Book Antiqua" w:eastAsia="Book Antiqua" w:hAnsi="Book Antiqua" w:cs="Book Antiqua"/>
          <w:color w:val="000000"/>
        </w:rPr>
        <w:t xml:space="preserve"> = 0.019)</w:t>
      </w:r>
      <w:r w:rsidRPr="00A23C0C">
        <w:rPr>
          <w:rFonts w:ascii="Book Antiqua" w:eastAsia="Book Antiqua" w:hAnsi="Book Antiqua" w:cs="Book Antiqua"/>
          <w:color w:val="000000"/>
          <w:vertAlign w:val="superscript"/>
        </w:rPr>
        <w:t>[32,33]</w:t>
      </w:r>
      <w:r w:rsidRPr="00A23C0C">
        <w:rPr>
          <w:rFonts w:ascii="Book Antiqua" w:eastAsia="Book Antiqua" w:hAnsi="Book Antiqua" w:cs="Book Antiqua"/>
          <w:color w:val="000000"/>
        </w:rPr>
        <w:t>.</w:t>
      </w:r>
    </w:p>
    <w:p w14:paraId="59907364" w14:textId="77777777" w:rsidR="00A77B3E" w:rsidRPr="00A23C0C" w:rsidRDefault="00A77B3E">
      <w:pPr>
        <w:spacing w:line="360" w:lineRule="auto"/>
        <w:jc w:val="both"/>
      </w:pPr>
    </w:p>
    <w:p w14:paraId="15A7A470" w14:textId="044DD1FF" w:rsidR="00A77B3E" w:rsidRPr="00A23C0C" w:rsidRDefault="00441B03">
      <w:pPr>
        <w:spacing w:line="360" w:lineRule="auto"/>
        <w:jc w:val="both"/>
      </w:pPr>
      <w:r w:rsidRPr="00A23C0C">
        <w:rPr>
          <w:rFonts w:ascii="Book Antiqua" w:eastAsia="Book Antiqua" w:hAnsi="Book Antiqua" w:cs="Book Antiqua"/>
          <w:b/>
          <w:bCs/>
          <w:caps/>
          <w:color w:val="000000"/>
          <w:u w:val="single"/>
        </w:rPr>
        <w:t xml:space="preserve">HYPERTHERMIC </w:t>
      </w:r>
      <w:r w:rsidR="005763DB" w:rsidRPr="00A23C0C">
        <w:rPr>
          <w:rFonts w:ascii="Book Antiqua" w:eastAsia="Book Antiqua" w:hAnsi="Book Antiqua" w:cs="Book Antiqua"/>
          <w:b/>
          <w:bCs/>
          <w:caps/>
          <w:color w:val="000000"/>
          <w:u w:val="single"/>
        </w:rPr>
        <w:t>IPC</w:t>
      </w:r>
      <w:r w:rsidRPr="00A23C0C">
        <w:rPr>
          <w:rFonts w:ascii="Book Antiqua" w:eastAsia="Book Antiqua" w:hAnsi="Book Antiqua" w:cs="Book Antiqua"/>
          <w:b/>
          <w:bCs/>
          <w:caps/>
          <w:color w:val="000000"/>
          <w:u w:val="single"/>
        </w:rPr>
        <w:t xml:space="preserve"> </w:t>
      </w:r>
    </w:p>
    <w:p w14:paraId="5B5C1FBF" w14:textId="1089BE60" w:rsidR="00A77B3E" w:rsidRPr="00A23C0C" w:rsidRDefault="00441B03" w:rsidP="00A747B6">
      <w:pPr>
        <w:spacing w:line="360" w:lineRule="auto"/>
        <w:jc w:val="both"/>
      </w:pPr>
      <w:r w:rsidRPr="00A23C0C">
        <w:rPr>
          <w:rFonts w:ascii="Book Antiqua" w:eastAsia="Book Antiqua" w:hAnsi="Book Antiqua" w:cs="Book Antiqua"/>
          <w:color w:val="000000"/>
        </w:rPr>
        <w:t xml:space="preserve">Hyperthermic </w:t>
      </w:r>
      <w:r w:rsidR="005763DB" w:rsidRPr="00A23C0C">
        <w:rPr>
          <w:rFonts w:ascii="Book Antiqua" w:eastAsia="Book Antiqua" w:hAnsi="Book Antiqua" w:cs="Book Antiqua"/>
          <w:color w:val="000000"/>
        </w:rPr>
        <w:t>IPC</w:t>
      </w:r>
      <w:r w:rsidRPr="00A23C0C">
        <w:rPr>
          <w:rFonts w:ascii="Book Antiqua" w:eastAsia="Book Antiqua" w:hAnsi="Book Antiqua" w:cs="Book Antiqua"/>
          <w:color w:val="000000"/>
        </w:rPr>
        <w:t xml:space="preserve"> (HIPEC) is another available method for peritoneal malignancy. It combines the benefit of IPC with the potential advantages of hyperthermia. Experimental and clinical evidence indicates that hyperthermia at a range of 41 to 43 </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C destroys malignant cells by selectively increasing the number of lysosomes and lysosomal enzyme activity in malignant cells leading to increased destructive capacity</w:t>
      </w:r>
      <w:r w:rsidRPr="00A23C0C">
        <w:rPr>
          <w:rFonts w:ascii="Book Antiqua" w:eastAsia="Book Antiqua" w:hAnsi="Book Antiqua" w:cs="Book Antiqua"/>
          <w:color w:val="000000"/>
          <w:vertAlign w:val="superscript"/>
        </w:rPr>
        <w:t>[28]</w:t>
      </w:r>
      <w:r w:rsidRPr="00A23C0C">
        <w:rPr>
          <w:rFonts w:ascii="Book Antiqua" w:eastAsia="Book Antiqua" w:hAnsi="Book Antiqua" w:cs="Book Antiqua"/>
          <w:color w:val="000000"/>
        </w:rPr>
        <w:t>. Also, hyperthermia decrease blood flow in most of the malignant tumors in contrast to the opposite effect in normal tissues</w:t>
      </w:r>
      <w:r w:rsidRPr="00A23C0C">
        <w:rPr>
          <w:rFonts w:ascii="Book Antiqua" w:eastAsia="Book Antiqua" w:hAnsi="Book Antiqua" w:cs="Book Antiqua"/>
          <w:color w:val="000000"/>
          <w:vertAlign w:val="superscript"/>
        </w:rPr>
        <w:t>[28]</w:t>
      </w:r>
      <w:r w:rsidRPr="00A23C0C">
        <w:rPr>
          <w:rFonts w:ascii="Book Antiqua" w:eastAsia="Book Antiqua" w:hAnsi="Book Antiqua" w:cs="Book Antiqua"/>
          <w:color w:val="000000"/>
        </w:rPr>
        <w:t>. Such effects, together with inhibition of oxidative metabolism in malignant cells promote cell death of the more sensitive malignant cells</w:t>
      </w:r>
      <w:r w:rsidRPr="00A23C0C">
        <w:rPr>
          <w:rFonts w:ascii="Book Antiqua" w:eastAsia="Book Antiqua" w:hAnsi="Book Antiqua" w:cs="Book Antiqua"/>
          <w:color w:val="000000"/>
          <w:vertAlign w:val="superscript"/>
        </w:rPr>
        <w:t>[28]</w:t>
      </w:r>
      <w:r w:rsidRPr="00A23C0C">
        <w:rPr>
          <w:rFonts w:ascii="Book Antiqua" w:eastAsia="Book Antiqua" w:hAnsi="Book Antiqua" w:cs="Book Antiqua"/>
          <w:color w:val="000000"/>
        </w:rPr>
        <w:t xml:space="preserve">. Further, heat promotes the cytotoxic effect of the chemotherapeutical agents </w:t>
      </w:r>
      <w:r w:rsidRPr="00A23C0C">
        <w:rPr>
          <w:rFonts w:ascii="Book Antiqua" w:eastAsia="Book Antiqua" w:hAnsi="Book Antiqua" w:cs="Book Antiqua"/>
          <w:color w:val="000000"/>
          <w:vertAlign w:val="superscript"/>
        </w:rPr>
        <w:t>[28]</w:t>
      </w:r>
      <w:r w:rsidRPr="00A23C0C">
        <w:rPr>
          <w:rFonts w:ascii="Book Antiqua" w:eastAsia="Book Antiqua" w:hAnsi="Book Antiqua" w:cs="Book Antiqua"/>
          <w:color w:val="000000"/>
        </w:rPr>
        <w:t>. Thus, HIPEC was widely investigated for peritoneal disease treatment including studies in Cy1 GC patients. Meta</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analysis of randomized and high-quality non-randomized trials on HIPEC for prevention and treatment of peritoneal disease in GC patients found no difference in the 3-year OS (RR</w:t>
      </w:r>
      <w:r w:rsidR="005C1A34"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w:t>
      </w:r>
      <w:r w:rsidR="005C1A34"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 xml:space="preserve">0.99, </w:t>
      </w:r>
      <w:r w:rsidRPr="00A23C0C">
        <w:rPr>
          <w:rFonts w:ascii="Book Antiqua" w:eastAsia="Book Antiqua" w:hAnsi="Book Antiqua" w:cs="Book Antiqua"/>
          <w:i/>
          <w:iCs/>
          <w:color w:val="000000"/>
        </w:rPr>
        <w:t>P</w:t>
      </w:r>
      <w:r w:rsidRPr="00A23C0C">
        <w:rPr>
          <w:rFonts w:ascii="Book Antiqua" w:eastAsia="Book Antiqua" w:hAnsi="Book Antiqua" w:cs="Book Antiqua"/>
          <w:color w:val="000000"/>
        </w:rPr>
        <w:t xml:space="preserve"> = 0.85) for patients with PC</w:t>
      </w:r>
      <w:r w:rsidRPr="00A23C0C">
        <w:rPr>
          <w:rFonts w:ascii="Book Antiqua" w:eastAsia="Book Antiqua" w:hAnsi="Book Antiqua" w:cs="Book Antiqua"/>
          <w:color w:val="000000"/>
          <w:vertAlign w:val="superscript"/>
        </w:rPr>
        <w:t>[34]</w:t>
      </w:r>
      <w:r w:rsidRPr="00A23C0C">
        <w:rPr>
          <w:rFonts w:ascii="Book Antiqua" w:eastAsia="Book Antiqua" w:hAnsi="Book Antiqua" w:cs="Book Antiqua"/>
          <w:color w:val="000000"/>
        </w:rPr>
        <w:t>. Although, HIPEC obtained advantages in preventing peritoneal metastases (RR</w:t>
      </w:r>
      <w:r w:rsidR="005C1A34"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w:t>
      </w:r>
      <w:r w:rsidR="005C1A34"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0.63; 95%CI</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0.45</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0.88; </w:t>
      </w:r>
      <w:r w:rsidR="00A747B6" w:rsidRPr="00A23C0C">
        <w:rPr>
          <w:rFonts w:ascii="Book Antiqua" w:eastAsia="Book Antiqua" w:hAnsi="Book Antiqua" w:cs="Book Antiqua"/>
          <w:i/>
          <w:iCs/>
          <w:color w:val="000000"/>
        </w:rPr>
        <w:t>P</w:t>
      </w:r>
      <w:r w:rsidR="00A747B6"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&lt;</w:t>
      </w:r>
      <w:r w:rsidR="00A747B6" w:rsidRPr="00A23C0C">
        <w:rPr>
          <w:rFonts w:ascii="Book Antiqua" w:eastAsia="Book Antiqua" w:hAnsi="Book Antiqua" w:cs="Book Antiqua"/>
          <w:color w:val="000000"/>
        </w:rPr>
        <w:t xml:space="preserve"> </w:t>
      </w:r>
      <w:r w:rsidRPr="00A23C0C">
        <w:rPr>
          <w:rFonts w:ascii="Book Antiqua" w:eastAsia="Book Antiqua" w:hAnsi="Book Antiqua" w:cs="Book Antiqua"/>
          <w:color w:val="000000"/>
        </w:rPr>
        <w:t>0.01) in high</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risk patients, including Cy1 GC patients</w:t>
      </w:r>
      <w:r w:rsidRPr="00A23C0C">
        <w:rPr>
          <w:rFonts w:ascii="Book Antiqua" w:eastAsia="Book Antiqua" w:hAnsi="Book Antiqua" w:cs="Book Antiqua"/>
          <w:color w:val="000000"/>
          <w:vertAlign w:val="superscript"/>
        </w:rPr>
        <w:t>[34]</w:t>
      </w:r>
      <w:r w:rsidRPr="00A23C0C">
        <w:rPr>
          <w:rFonts w:ascii="Book Antiqua" w:eastAsia="Book Antiqua" w:hAnsi="Book Antiqua" w:cs="Book Antiqua"/>
          <w:color w:val="000000"/>
        </w:rPr>
        <w:t xml:space="preserve">. Also, </w:t>
      </w:r>
      <w:r w:rsidRPr="00A23C0C">
        <w:rPr>
          <w:rFonts w:ascii="Book Antiqua" w:eastAsia="Book Antiqua" w:hAnsi="Book Antiqua" w:cs="Book Antiqua"/>
          <w:color w:val="000000"/>
        </w:rPr>
        <w:lastRenderedPageBreak/>
        <w:t xml:space="preserve">HIPEC might be applied in a neoadjuvant setting as showed by Badgwell </w:t>
      </w:r>
      <w:r w:rsidRPr="00A23C0C">
        <w:rPr>
          <w:rFonts w:ascii="Book Antiqua" w:eastAsia="Book Antiqua" w:hAnsi="Book Antiqua" w:cs="Book Antiqua"/>
          <w:i/>
          <w:iCs/>
          <w:color w:val="000000"/>
        </w:rPr>
        <w:t>et al</w:t>
      </w:r>
      <w:r w:rsidR="00A747B6" w:rsidRPr="00A23C0C">
        <w:rPr>
          <w:rFonts w:ascii="Book Antiqua" w:eastAsia="Book Antiqua" w:hAnsi="Book Antiqua" w:cs="Book Antiqua"/>
          <w:color w:val="000000"/>
          <w:vertAlign w:val="superscript"/>
        </w:rPr>
        <w:t>[35]</w:t>
      </w:r>
      <w:r w:rsidRPr="00A23C0C">
        <w:rPr>
          <w:rFonts w:ascii="Book Antiqua" w:eastAsia="Book Antiqua" w:hAnsi="Book Antiqua" w:cs="Book Antiqua"/>
          <w:color w:val="000000"/>
        </w:rPr>
        <w:t xml:space="preserve"> in a single</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arm phase II study. Nineteen stage IV GC patients only by positive cytology (</w:t>
      </w:r>
      <w:r w:rsidRPr="00A23C0C">
        <w:rPr>
          <w:rFonts w:ascii="Book Antiqua" w:eastAsia="Book Antiqua" w:hAnsi="Book Antiqua" w:cs="Book Antiqua"/>
          <w:i/>
          <w:iCs/>
          <w:color w:val="000000"/>
        </w:rPr>
        <w:t>n</w:t>
      </w:r>
      <w:r w:rsidRPr="00A23C0C">
        <w:rPr>
          <w:rFonts w:ascii="Book Antiqua" w:eastAsia="Book Antiqua" w:hAnsi="Book Antiqua" w:cs="Book Antiqua"/>
          <w:color w:val="000000"/>
        </w:rPr>
        <w:t xml:space="preserve"> = 6) or limited </w:t>
      </w:r>
      <w:r w:rsidR="00CB18DA" w:rsidRPr="00A23C0C">
        <w:rPr>
          <w:rFonts w:ascii="Book Antiqua" w:eastAsia="Book Antiqua" w:hAnsi="Book Antiqua" w:cs="Book Antiqua"/>
          <w:color w:val="000000"/>
        </w:rPr>
        <w:t>PC</w:t>
      </w:r>
      <w:r w:rsidRPr="00A23C0C">
        <w:rPr>
          <w:rFonts w:ascii="Book Antiqua" w:eastAsia="Book Antiqua" w:hAnsi="Book Antiqua" w:cs="Book Antiqua"/>
          <w:color w:val="000000"/>
        </w:rPr>
        <w:t xml:space="preserve"> (</w:t>
      </w:r>
      <w:r w:rsidRPr="00A23C0C">
        <w:rPr>
          <w:rFonts w:ascii="Book Antiqua" w:eastAsia="Book Antiqua" w:hAnsi="Book Antiqua" w:cs="Book Antiqua"/>
          <w:i/>
          <w:iCs/>
          <w:color w:val="000000"/>
        </w:rPr>
        <w:t>n</w:t>
      </w:r>
      <w:r w:rsidRPr="00A23C0C">
        <w:rPr>
          <w:rFonts w:ascii="Book Antiqua" w:eastAsia="Book Antiqua" w:hAnsi="Book Antiqua" w:cs="Book Antiqua"/>
          <w:color w:val="000000"/>
        </w:rPr>
        <w:t xml:space="preserve"> = 13) received up to 5 cycles of neoadjuvant laparoscopic HIPEC after initial systemic chemotherapy. In total </w:t>
      </w:r>
      <w:r w:rsidR="00A747B6" w:rsidRPr="00A23C0C">
        <w:rPr>
          <w:rFonts w:ascii="Book Antiqua" w:eastAsia="Book Antiqua" w:hAnsi="Book Antiqua" w:cs="Book Antiqua"/>
          <w:color w:val="000000"/>
        </w:rPr>
        <w:t>s</w:t>
      </w:r>
      <w:r w:rsidRPr="00A23C0C">
        <w:rPr>
          <w:rFonts w:ascii="Book Antiqua" w:eastAsia="Book Antiqua" w:hAnsi="Book Antiqua" w:cs="Book Antiqua"/>
          <w:color w:val="000000"/>
        </w:rPr>
        <w:t xml:space="preserve">even (36.8%) of these converted to negative cytology and no </w:t>
      </w:r>
      <w:r w:rsidR="00CB18DA" w:rsidRPr="00A23C0C">
        <w:rPr>
          <w:rFonts w:ascii="Book Antiqua" w:eastAsia="Book Antiqua" w:hAnsi="Book Antiqua" w:cs="Book Antiqua"/>
          <w:color w:val="000000"/>
        </w:rPr>
        <w:t>PC</w:t>
      </w:r>
      <w:r w:rsidRPr="00A23C0C">
        <w:rPr>
          <w:rFonts w:ascii="Book Antiqua" w:eastAsia="Book Antiqua" w:hAnsi="Book Antiqua" w:cs="Book Antiqua"/>
          <w:color w:val="000000"/>
        </w:rPr>
        <w:t xml:space="preserve"> and 5 of them received radical gastrectomy</w:t>
      </w:r>
      <w:r w:rsidRPr="00A23C0C">
        <w:rPr>
          <w:rFonts w:ascii="Book Antiqua" w:eastAsia="Book Antiqua" w:hAnsi="Book Antiqua" w:cs="Book Antiqua"/>
          <w:color w:val="000000"/>
          <w:vertAlign w:val="superscript"/>
        </w:rPr>
        <w:t>[35]</w:t>
      </w:r>
      <w:r w:rsidRPr="00A23C0C">
        <w:rPr>
          <w:rFonts w:ascii="Book Antiqua" w:eastAsia="Book Antiqua" w:hAnsi="Book Antiqua" w:cs="Book Antiqua"/>
          <w:color w:val="000000"/>
        </w:rPr>
        <w:t>. It is important to emphasize that the conversion rate of 66.6% (4 of 6 patients) in Cy1 patients was considerably high</w:t>
      </w:r>
      <w:r w:rsidRPr="00A23C0C">
        <w:rPr>
          <w:rFonts w:ascii="Book Antiqua" w:eastAsia="Book Antiqua" w:hAnsi="Book Antiqua" w:cs="Book Antiqua"/>
          <w:color w:val="000000"/>
          <w:vertAlign w:val="superscript"/>
        </w:rPr>
        <w:t>[35]</w:t>
      </w:r>
      <w:r w:rsidRPr="00A23C0C">
        <w:rPr>
          <w:rFonts w:ascii="Book Antiqua" w:eastAsia="Book Antiqua" w:hAnsi="Book Antiqua" w:cs="Book Antiqua"/>
          <w:color w:val="000000"/>
        </w:rPr>
        <w:t xml:space="preserve">. This aggressive treatment resulted in a 3-year OS rate of 43.5%, and the median survival of patients who received gastrectomy was 29 mo. After encouraging results of the study Badgwell </w:t>
      </w:r>
      <w:r w:rsidRPr="00A23C0C">
        <w:rPr>
          <w:rFonts w:ascii="Book Antiqua" w:eastAsia="Book Antiqua" w:hAnsi="Book Antiqua" w:cs="Book Antiqua"/>
          <w:i/>
          <w:iCs/>
          <w:color w:val="000000"/>
        </w:rPr>
        <w:t>et al</w:t>
      </w:r>
      <w:r w:rsidR="00A747B6" w:rsidRPr="00A23C0C">
        <w:rPr>
          <w:rFonts w:ascii="Book Antiqua" w:eastAsia="Book Antiqua" w:hAnsi="Book Antiqua" w:cs="Book Antiqua"/>
          <w:color w:val="000000"/>
          <w:vertAlign w:val="superscript"/>
        </w:rPr>
        <w:t>[36]</w:t>
      </w:r>
      <w:r w:rsidRPr="00A23C0C">
        <w:rPr>
          <w:rFonts w:ascii="Book Antiqua" w:eastAsia="Book Antiqua" w:hAnsi="Book Antiqua" w:cs="Book Antiqua"/>
          <w:color w:val="000000"/>
        </w:rPr>
        <w:t xml:space="preserve"> conducted another single-arm phase II study for an even more aggressive approach. Twenty patients with limited </w:t>
      </w:r>
      <w:r w:rsidR="00CB18DA" w:rsidRPr="00A23C0C">
        <w:rPr>
          <w:rFonts w:ascii="Book Antiqua" w:eastAsia="Book Antiqua" w:hAnsi="Book Antiqua" w:cs="Book Antiqua"/>
          <w:color w:val="000000"/>
        </w:rPr>
        <w:t>PC</w:t>
      </w:r>
      <w:r w:rsidRPr="00A23C0C">
        <w:rPr>
          <w:rFonts w:ascii="Book Antiqua" w:eastAsia="Book Antiqua" w:hAnsi="Book Antiqua" w:cs="Book Antiqua"/>
          <w:color w:val="000000"/>
        </w:rPr>
        <w:t xml:space="preserve"> (</w:t>
      </w:r>
      <w:r w:rsidRPr="00A23C0C">
        <w:rPr>
          <w:rFonts w:ascii="Book Antiqua" w:eastAsia="Book Antiqua" w:hAnsi="Book Antiqua" w:cs="Book Antiqua"/>
          <w:i/>
          <w:iCs/>
          <w:color w:val="000000"/>
        </w:rPr>
        <w:t>n</w:t>
      </w:r>
      <w:r w:rsidRPr="00A23C0C">
        <w:rPr>
          <w:rFonts w:ascii="Book Antiqua" w:eastAsia="Book Antiqua" w:hAnsi="Book Antiqua" w:cs="Book Antiqua"/>
          <w:color w:val="000000"/>
        </w:rPr>
        <w:t xml:space="preserve"> = 14) or Cy1 (</w:t>
      </w:r>
      <w:r w:rsidRPr="00A23C0C">
        <w:rPr>
          <w:rFonts w:ascii="Book Antiqua" w:eastAsia="Book Antiqua" w:hAnsi="Book Antiqua" w:cs="Book Antiqua"/>
          <w:i/>
          <w:iCs/>
          <w:color w:val="000000"/>
        </w:rPr>
        <w:t>n</w:t>
      </w:r>
      <w:r w:rsidRPr="00A23C0C">
        <w:rPr>
          <w:rFonts w:ascii="Book Antiqua" w:eastAsia="Book Antiqua" w:hAnsi="Book Antiqua" w:cs="Book Antiqua"/>
          <w:color w:val="000000"/>
        </w:rPr>
        <w:t xml:space="preserve"> = 6) were treated with initial systemic chemotherapy followed by 1</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2 Laparoscopic HIPEC procedures and then subsequent gastrectomy with a cytoreduction and intraoperative HIPEC</w:t>
      </w:r>
      <w:r w:rsidRPr="00A23C0C">
        <w:rPr>
          <w:rFonts w:ascii="Book Antiqua" w:eastAsia="Book Antiqua" w:hAnsi="Book Antiqua" w:cs="Book Antiqua"/>
          <w:color w:val="000000"/>
          <w:vertAlign w:val="superscript"/>
        </w:rPr>
        <w:t>[36]</w:t>
      </w:r>
      <w:r w:rsidRPr="00A23C0C">
        <w:rPr>
          <w:rFonts w:ascii="Book Antiqua" w:eastAsia="Book Antiqua" w:hAnsi="Book Antiqua" w:cs="Book Antiqua"/>
          <w:color w:val="000000"/>
        </w:rPr>
        <w:t>. Such an aggressive treatment resulted in a 28% 3-year OS</w:t>
      </w:r>
      <w:r w:rsidRPr="00A23C0C">
        <w:rPr>
          <w:rFonts w:ascii="Book Antiqua" w:eastAsia="Book Antiqua" w:hAnsi="Book Antiqua" w:cs="Book Antiqua"/>
          <w:color w:val="000000"/>
          <w:vertAlign w:val="superscript"/>
        </w:rPr>
        <w:t>[36]</w:t>
      </w:r>
      <w:r w:rsidRPr="00A23C0C">
        <w:rPr>
          <w:rFonts w:ascii="Book Antiqua" w:eastAsia="Book Antiqua" w:hAnsi="Book Antiqua" w:cs="Book Antiqua"/>
          <w:color w:val="000000"/>
        </w:rPr>
        <w:t>. However, it is important to note, that subgroup of Cy1 patients had a very promising result of such treatment, as 50% (</w:t>
      </w:r>
      <w:r w:rsidRPr="00A23C0C">
        <w:rPr>
          <w:rFonts w:ascii="Book Antiqua" w:eastAsia="Book Antiqua" w:hAnsi="Book Antiqua" w:cs="Book Antiqua"/>
          <w:i/>
          <w:iCs/>
          <w:color w:val="000000"/>
        </w:rPr>
        <w:t>n</w:t>
      </w:r>
      <w:r w:rsidRPr="00A23C0C">
        <w:rPr>
          <w:rFonts w:ascii="Book Antiqua" w:eastAsia="Book Antiqua" w:hAnsi="Book Antiqua" w:cs="Book Antiqua"/>
          <w:color w:val="000000"/>
        </w:rPr>
        <w:t xml:space="preserve"> = 3) of Cy1 were alive and recurrence-free at 32</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49 mo after diagnosis. Despite the encouraging initial results on HIPEC for Cy1 patients, there is a lack of data from high-quality large-scale RCTs. Currently, an ongoing phase III GASTRICHIP trial</w:t>
      </w:r>
      <w:r w:rsidRPr="00A23C0C">
        <w:rPr>
          <w:rFonts w:ascii="Book Antiqua" w:eastAsia="Book Antiqua" w:hAnsi="Book Antiqua" w:cs="Book Antiqua"/>
          <w:color w:val="000000"/>
          <w:vertAlign w:val="superscript"/>
        </w:rPr>
        <w:t>[37]</w:t>
      </w:r>
      <w:r w:rsidRPr="00A23C0C">
        <w:rPr>
          <w:rFonts w:ascii="Book Antiqua" w:eastAsia="Book Antiqua" w:hAnsi="Book Antiqua" w:cs="Book Antiqua"/>
          <w:color w:val="000000"/>
        </w:rPr>
        <w:t xml:space="preserve"> is designed to evaluate the effect of HIPEC in patients with a high risk of peritoneal recurrence, including Cy1 patients after neoadjuvant chemotherapy</w:t>
      </w:r>
      <w:r w:rsidRPr="00A23C0C">
        <w:rPr>
          <w:rFonts w:ascii="Book Antiqua" w:eastAsia="Book Antiqua" w:hAnsi="Book Antiqua" w:cs="Book Antiqua"/>
          <w:color w:val="000000"/>
          <w:vertAlign w:val="superscript"/>
        </w:rPr>
        <w:t>[37]</w:t>
      </w:r>
      <w:r w:rsidRPr="00A23C0C">
        <w:rPr>
          <w:rFonts w:ascii="Book Antiqua" w:eastAsia="Book Antiqua" w:hAnsi="Book Antiqua" w:cs="Book Antiqua"/>
          <w:color w:val="000000"/>
        </w:rPr>
        <w:t>. The long-term outcomes will be available in 2023 and the results will elucidate some unclarities regarding HIPEC's role for Cy1 GC patients</w:t>
      </w:r>
      <w:r w:rsidRPr="00A23C0C">
        <w:rPr>
          <w:rFonts w:ascii="Book Antiqua" w:eastAsia="Book Antiqua" w:hAnsi="Book Antiqua" w:cs="Book Antiqua"/>
          <w:color w:val="000000"/>
          <w:vertAlign w:val="superscript"/>
        </w:rPr>
        <w:t>[34]</w:t>
      </w:r>
      <w:r w:rsidRPr="00A23C0C">
        <w:rPr>
          <w:rFonts w:ascii="Book Antiqua" w:eastAsia="Book Antiqua" w:hAnsi="Book Antiqua" w:cs="Book Antiqua"/>
          <w:color w:val="000000"/>
        </w:rPr>
        <w:t xml:space="preserve">. </w:t>
      </w:r>
    </w:p>
    <w:p w14:paraId="783AD207" w14:textId="77777777" w:rsidR="00A77B3E" w:rsidRPr="00A23C0C" w:rsidRDefault="00A77B3E">
      <w:pPr>
        <w:spacing w:line="360" w:lineRule="auto"/>
        <w:ind w:firstLine="720"/>
        <w:jc w:val="both"/>
      </w:pPr>
    </w:p>
    <w:p w14:paraId="0398491D" w14:textId="1BAE83B1" w:rsidR="00A77B3E" w:rsidRPr="00A23C0C" w:rsidRDefault="00441B03">
      <w:pPr>
        <w:spacing w:line="360" w:lineRule="auto"/>
        <w:jc w:val="both"/>
      </w:pPr>
      <w:r w:rsidRPr="00A23C0C">
        <w:rPr>
          <w:rFonts w:ascii="Book Antiqua" w:eastAsia="Book Antiqua" w:hAnsi="Book Antiqua" w:cs="Book Antiqua"/>
          <w:b/>
          <w:bCs/>
          <w:caps/>
          <w:color w:val="000000"/>
          <w:u w:val="single"/>
        </w:rPr>
        <w:t xml:space="preserve">PRESSURIZED </w:t>
      </w:r>
      <w:r w:rsidR="005763DB" w:rsidRPr="00A23C0C">
        <w:rPr>
          <w:rFonts w:ascii="Book Antiqua" w:eastAsia="Book Antiqua" w:hAnsi="Book Antiqua" w:cs="Book Antiqua"/>
          <w:b/>
          <w:bCs/>
          <w:caps/>
          <w:color w:val="000000"/>
          <w:u w:val="single"/>
        </w:rPr>
        <w:t>IPC</w:t>
      </w:r>
    </w:p>
    <w:p w14:paraId="043986AD" w14:textId="631A0E46" w:rsidR="00A77B3E" w:rsidRPr="00A23C0C" w:rsidRDefault="00441B03" w:rsidP="00A747B6">
      <w:pPr>
        <w:spacing w:line="360" w:lineRule="auto"/>
        <w:jc w:val="both"/>
      </w:pPr>
      <w:r w:rsidRPr="00A23C0C">
        <w:rPr>
          <w:rFonts w:ascii="Book Antiqua" w:eastAsia="Book Antiqua" w:hAnsi="Book Antiqua" w:cs="Book Antiqua"/>
          <w:color w:val="000000"/>
        </w:rPr>
        <w:t xml:space="preserve">Another new and emerging technique for a peritoneal disease is pressurized </w:t>
      </w:r>
      <w:r w:rsidR="005763DB" w:rsidRPr="00A23C0C">
        <w:rPr>
          <w:rFonts w:ascii="Book Antiqua" w:eastAsia="Book Antiqua" w:hAnsi="Book Antiqua" w:cs="Book Antiqua"/>
          <w:color w:val="000000"/>
        </w:rPr>
        <w:t>IPC</w:t>
      </w:r>
      <w:r w:rsidRPr="00A23C0C">
        <w:rPr>
          <w:rFonts w:ascii="Book Antiqua" w:eastAsia="Book Antiqua" w:hAnsi="Book Antiqua" w:cs="Book Antiqua"/>
          <w:color w:val="000000"/>
        </w:rPr>
        <w:t xml:space="preserve"> (PIPAC). During PIPAC, laparoscopic access is obtained to create a pneumoperitoneum of 12 mmHg and nebulized chemotherapy is applied to create therapeutic capnoperitoneum for 30 min</w:t>
      </w:r>
      <w:r w:rsidRPr="00A23C0C">
        <w:rPr>
          <w:rFonts w:ascii="Book Antiqua" w:eastAsia="Book Antiqua" w:hAnsi="Book Antiqua" w:cs="Book Antiqua"/>
          <w:color w:val="000000"/>
          <w:vertAlign w:val="superscript"/>
        </w:rPr>
        <w:t>[38]</w:t>
      </w:r>
      <w:r w:rsidRPr="00A23C0C">
        <w:rPr>
          <w:rFonts w:ascii="Book Antiqua" w:eastAsia="Book Antiqua" w:hAnsi="Book Antiqua" w:cs="Book Antiqua"/>
          <w:color w:val="000000"/>
        </w:rPr>
        <w:t>. The rationale for PIPAC includes</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1) </w:t>
      </w:r>
      <w:r w:rsidR="00A747B6" w:rsidRPr="00A23C0C">
        <w:rPr>
          <w:rFonts w:ascii="Book Antiqua" w:eastAsia="Book Antiqua" w:hAnsi="Book Antiqua" w:cs="Book Antiqua"/>
          <w:color w:val="000000"/>
        </w:rPr>
        <w:t>O</w:t>
      </w:r>
      <w:r w:rsidRPr="00A23C0C">
        <w:rPr>
          <w:rFonts w:ascii="Book Antiqua" w:eastAsia="Book Antiqua" w:hAnsi="Book Antiqua" w:cs="Book Antiqua"/>
          <w:color w:val="000000"/>
        </w:rPr>
        <w:t xml:space="preserve">ptimization of drug distribution by applying an aerosol rather than a liquid solution; </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2) </w:t>
      </w:r>
      <w:r w:rsidR="00A747B6" w:rsidRPr="00A23C0C">
        <w:rPr>
          <w:rFonts w:ascii="Book Antiqua" w:eastAsia="Book Antiqua" w:hAnsi="Book Antiqua" w:cs="Book Antiqua"/>
          <w:color w:val="000000"/>
        </w:rPr>
        <w:t>A</w:t>
      </w:r>
      <w:r w:rsidRPr="00A23C0C">
        <w:rPr>
          <w:rFonts w:ascii="Book Antiqua" w:eastAsia="Book Antiqua" w:hAnsi="Book Antiqua" w:cs="Book Antiqua"/>
          <w:color w:val="000000"/>
        </w:rPr>
        <w:t xml:space="preserve">pplying </w:t>
      </w:r>
      <w:r w:rsidRPr="00A23C0C">
        <w:rPr>
          <w:rFonts w:ascii="Book Antiqua" w:eastAsia="Book Antiqua" w:hAnsi="Book Antiqua" w:cs="Book Antiqua"/>
          <w:color w:val="000000"/>
        </w:rPr>
        <w:lastRenderedPageBreak/>
        <w:t>increased intraperitoneal hydrostatic pressure to increase drug penetration to the target</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and </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3) </w:t>
      </w:r>
      <w:r w:rsidR="00A747B6" w:rsidRPr="00A23C0C">
        <w:rPr>
          <w:rFonts w:ascii="Book Antiqua" w:eastAsia="Book Antiqua" w:hAnsi="Book Antiqua" w:cs="Book Antiqua"/>
          <w:color w:val="000000"/>
        </w:rPr>
        <w:t>L</w:t>
      </w:r>
      <w:r w:rsidRPr="00A23C0C">
        <w:rPr>
          <w:rFonts w:ascii="Book Antiqua" w:eastAsia="Book Antiqua" w:hAnsi="Book Antiqua" w:cs="Book Antiqua"/>
          <w:color w:val="000000"/>
        </w:rPr>
        <w:t>imiting blood outflow during drug application</w:t>
      </w:r>
      <w:r w:rsidRPr="00A23C0C">
        <w:rPr>
          <w:rFonts w:ascii="Book Antiqua" w:eastAsia="Book Antiqua" w:hAnsi="Book Antiqua" w:cs="Book Antiqua"/>
          <w:color w:val="000000"/>
          <w:vertAlign w:val="superscript"/>
        </w:rPr>
        <w:t>[39,40]</w:t>
      </w:r>
      <w:r w:rsidRPr="00A23C0C">
        <w:rPr>
          <w:rFonts w:ascii="Book Antiqua" w:eastAsia="Book Antiqua" w:hAnsi="Book Antiqua" w:cs="Book Antiqua"/>
          <w:color w:val="000000"/>
        </w:rPr>
        <w:t>. Further, the minimally invasive approach of PIPAC allows multiple applications of the procedure and objective reassessment of the response through laparoscopy and biopsies</w:t>
      </w:r>
      <w:r w:rsidRPr="00A23C0C">
        <w:rPr>
          <w:rFonts w:ascii="Book Antiqua" w:eastAsia="Book Antiqua" w:hAnsi="Book Antiqua" w:cs="Book Antiqua"/>
          <w:color w:val="000000"/>
          <w:vertAlign w:val="superscript"/>
        </w:rPr>
        <w:t>[39]</w:t>
      </w:r>
      <w:r w:rsidRPr="00A23C0C">
        <w:rPr>
          <w:rFonts w:ascii="Book Antiqua" w:eastAsia="Book Antiqua" w:hAnsi="Book Antiqua" w:cs="Book Antiqua"/>
          <w:color w:val="000000"/>
        </w:rPr>
        <w:t xml:space="preserve">. Similar to laparoscopic HIPEC, PIPAC may be utilized in a neoadjuvant setting and also in combination with systemic therapy. Several retrospective and prospective phase II studies suggested that PIPAC may be a safe and promising option for GC patients with </w:t>
      </w:r>
      <w:r w:rsidR="00CB18DA" w:rsidRPr="00A23C0C">
        <w:rPr>
          <w:rFonts w:ascii="Book Antiqua" w:eastAsia="Book Antiqua" w:hAnsi="Book Antiqua" w:cs="Book Antiqua"/>
          <w:color w:val="000000"/>
        </w:rPr>
        <w:t>PC</w:t>
      </w:r>
      <w:r w:rsidRPr="00A23C0C">
        <w:rPr>
          <w:rFonts w:ascii="Book Antiqua" w:eastAsia="Book Antiqua" w:hAnsi="Book Antiqua" w:cs="Book Antiqua"/>
          <w:color w:val="000000"/>
          <w:vertAlign w:val="superscript"/>
        </w:rPr>
        <w:t>[41</w:t>
      </w:r>
      <w:r w:rsidR="00A747B6" w:rsidRPr="00A23C0C">
        <w:rPr>
          <w:rFonts w:ascii="Book Antiqua" w:eastAsia="Book Antiqua" w:hAnsi="Book Antiqua" w:cs="Book Antiqua"/>
          <w:color w:val="000000"/>
          <w:vertAlign w:val="superscript"/>
        </w:rPr>
        <w:t>-</w:t>
      </w:r>
      <w:r w:rsidRPr="00A23C0C">
        <w:rPr>
          <w:rFonts w:ascii="Book Antiqua" w:eastAsia="Book Antiqua" w:hAnsi="Book Antiqua" w:cs="Book Antiqua"/>
          <w:color w:val="000000"/>
          <w:vertAlign w:val="superscript"/>
        </w:rPr>
        <w:t>44]</w:t>
      </w:r>
      <w:r w:rsidRPr="00A23C0C">
        <w:rPr>
          <w:rFonts w:ascii="Book Antiqua" w:eastAsia="Book Antiqua" w:hAnsi="Book Antiqua" w:cs="Book Antiqua"/>
          <w:color w:val="000000"/>
        </w:rPr>
        <w:t xml:space="preserve">, although, there is a lack of data for its efficacy in a specific cohort of Cy1 patients. </w:t>
      </w:r>
    </w:p>
    <w:p w14:paraId="2DF0439C" w14:textId="77777777" w:rsidR="00A77B3E" w:rsidRPr="00A23C0C" w:rsidRDefault="00A77B3E" w:rsidP="00A747B6">
      <w:pPr>
        <w:spacing w:line="360" w:lineRule="auto"/>
        <w:jc w:val="both"/>
      </w:pPr>
    </w:p>
    <w:p w14:paraId="755E8A51" w14:textId="02F28498" w:rsidR="00A77B3E" w:rsidRPr="00A23C0C" w:rsidRDefault="00441B03">
      <w:pPr>
        <w:spacing w:line="360" w:lineRule="auto"/>
        <w:jc w:val="both"/>
      </w:pPr>
      <w:r w:rsidRPr="00A23C0C">
        <w:rPr>
          <w:rFonts w:ascii="Book Antiqua" w:eastAsia="Book Antiqua" w:hAnsi="Book Antiqua" w:cs="Book Antiqua"/>
          <w:b/>
          <w:bCs/>
          <w:caps/>
          <w:color w:val="000000"/>
          <w:u w:val="single"/>
        </w:rPr>
        <w:t>SYSTEMIC CHEMOTHERAPY, TARGETED THERAPY, AND IMMUNOTHERAPY</w:t>
      </w:r>
      <w:r w:rsidRPr="00A23C0C">
        <w:rPr>
          <w:rFonts w:ascii="Book Antiqua" w:eastAsia="Book Antiqua" w:hAnsi="Book Antiqua" w:cs="Book Antiqua"/>
          <w:b/>
          <w:caps/>
          <w:color w:val="000000"/>
          <w:u w:val="single"/>
        </w:rPr>
        <w:t xml:space="preserve"> </w:t>
      </w:r>
      <w:r w:rsidRPr="00A23C0C">
        <w:rPr>
          <w:rFonts w:ascii="Book Antiqua" w:eastAsia="Book Antiqua" w:hAnsi="Book Antiqua" w:cs="Book Antiqua"/>
          <w:b/>
          <w:bCs/>
          <w:caps/>
          <w:color w:val="000000"/>
          <w:u w:val="single"/>
        </w:rPr>
        <w:t xml:space="preserve">FOR CY1 </w:t>
      </w:r>
      <w:r w:rsidR="00CB18DA" w:rsidRPr="00A23C0C">
        <w:rPr>
          <w:rFonts w:ascii="Book Antiqua" w:eastAsia="Book Antiqua" w:hAnsi="Book Antiqua" w:cs="Book Antiqua"/>
          <w:b/>
          <w:bCs/>
          <w:caps/>
          <w:color w:val="000000"/>
          <w:u w:val="single"/>
        </w:rPr>
        <w:t>GC</w:t>
      </w:r>
      <w:r w:rsidRPr="00A23C0C">
        <w:rPr>
          <w:rFonts w:ascii="Book Antiqua" w:eastAsia="Book Antiqua" w:hAnsi="Book Antiqua" w:cs="Book Antiqua"/>
          <w:b/>
          <w:bCs/>
          <w:caps/>
          <w:color w:val="000000"/>
          <w:u w:val="single"/>
        </w:rPr>
        <w:t xml:space="preserve"> PATIENTS</w:t>
      </w:r>
    </w:p>
    <w:p w14:paraId="46ED2CAD" w14:textId="31A14DC7" w:rsidR="00A77B3E" w:rsidRPr="00A23C0C" w:rsidRDefault="00441B03" w:rsidP="00A747B6">
      <w:pPr>
        <w:spacing w:line="360" w:lineRule="auto"/>
        <w:jc w:val="both"/>
      </w:pPr>
      <w:r w:rsidRPr="00A23C0C">
        <w:rPr>
          <w:rFonts w:ascii="Book Antiqua" w:eastAsia="Book Antiqua" w:hAnsi="Book Antiqua" w:cs="Book Antiqua"/>
          <w:color w:val="000000"/>
        </w:rPr>
        <w:t xml:space="preserve">All above-mentioned treatment strategies could be considered as experimental, as the standard treatment option for </w:t>
      </w:r>
      <w:r w:rsidR="00C04B0D" w:rsidRPr="00A23C0C">
        <w:rPr>
          <w:rFonts w:ascii="Book Antiqua" w:eastAsia="Book Antiqua" w:hAnsi="Book Antiqua" w:cs="Book Antiqua"/>
          <w:color w:val="000000"/>
        </w:rPr>
        <w:t>M1</w:t>
      </w:r>
      <w:r w:rsidRPr="00A23C0C">
        <w:rPr>
          <w:rFonts w:ascii="Book Antiqua" w:eastAsia="Book Antiqua" w:hAnsi="Book Antiqua" w:cs="Book Antiqua"/>
          <w:color w:val="000000"/>
        </w:rPr>
        <w:t xml:space="preserve"> GC remains palliative systemic therapy</w:t>
      </w:r>
      <w:r w:rsidRPr="00A23C0C">
        <w:rPr>
          <w:rFonts w:ascii="Book Antiqua" w:eastAsia="Book Antiqua" w:hAnsi="Book Antiqua" w:cs="Book Antiqua"/>
          <w:color w:val="000000"/>
          <w:vertAlign w:val="superscript"/>
        </w:rPr>
        <w:t>[11]</w:t>
      </w:r>
      <w:r w:rsidRPr="00A23C0C">
        <w:rPr>
          <w:rFonts w:ascii="Book Antiqua" w:eastAsia="Book Antiqua" w:hAnsi="Book Antiqua" w:cs="Book Antiqua"/>
          <w:color w:val="000000"/>
        </w:rPr>
        <w:t xml:space="preserve">. Doublet or triplet platinum/fluoropyrimidine combinations are recommended for fit patients with </w:t>
      </w:r>
      <w:r w:rsidR="00C04B0D" w:rsidRPr="00A23C0C">
        <w:rPr>
          <w:rFonts w:ascii="Book Antiqua" w:eastAsia="Book Antiqua" w:hAnsi="Book Antiqua" w:cs="Book Antiqua"/>
          <w:color w:val="000000"/>
        </w:rPr>
        <w:t>M1</w:t>
      </w:r>
      <w:r w:rsidRPr="00A23C0C">
        <w:rPr>
          <w:rFonts w:ascii="Book Antiqua" w:eastAsia="Book Antiqua" w:hAnsi="Book Antiqua" w:cs="Book Antiqua"/>
          <w:color w:val="000000"/>
        </w:rPr>
        <w:t xml:space="preserve"> </w:t>
      </w:r>
      <w:r w:rsidR="00CB18DA" w:rsidRPr="00A23C0C">
        <w:rPr>
          <w:rFonts w:ascii="Book Antiqua" w:eastAsia="Book Antiqua" w:hAnsi="Book Antiqua" w:cs="Book Antiqua"/>
          <w:color w:val="000000"/>
        </w:rPr>
        <w:t>GC</w:t>
      </w:r>
      <w:r w:rsidRPr="00A23C0C">
        <w:rPr>
          <w:rFonts w:ascii="Book Antiqua" w:eastAsia="Book Antiqua" w:hAnsi="Book Antiqua" w:cs="Book Antiqua"/>
          <w:color w:val="000000"/>
        </w:rPr>
        <w:t xml:space="preserve"> (including Cy1 patients) as standard conventional chemotherapy options</w:t>
      </w:r>
      <w:r w:rsidRPr="00A23C0C">
        <w:rPr>
          <w:rFonts w:ascii="Book Antiqua" w:eastAsia="Book Antiqua" w:hAnsi="Book Antiqua" w:cs="Book Antiqua"/>
          <w:color w:val="000000"/>
          <w:vertAlign w:val="superscript"/>
        </w:rPr>
        <w:t>[11]</w:t>
      </w:r>
      <w:r w:rsidRPr="00A23C0C">
        <w:rPr>
          <w:rFonts w:ascii="Book Antiqua" w:eastAsia="Book Antiqua" w:hAnsi="Book Antiqua" w:cs="Book Antiqua"/>
          <w:color w:val="000000"/>
        </w:rPr>
        <w:t>. Although, such treatment remains associated with poor outcomes</w:t>
      </w:r>
      <w:r w:rsidRPr="00A23C0C">
        <w:rPr>
          <w:rFonts w:ascii="Book Antiqua" w:eastAsia="Book Antiqua" w:hAnsi="Book Antiqua" w:cs="Book Antiqua"/>
          <w:color w:val="000000"/>
          <w:vertAlign w:val="superscript"/>
        </w:rPr>
        <w:t>[45]</w:t>
      </w:r>
      <w:r w:rsidRPr="00A23C0C">
        <w:rPr>
          <w:rFonts w:ascii="Book Antiqua" w:eastAsia="Book Antiqua" w:hAnsi="Book Antiqua" w:cs="Book Antiqua"/>
          <w:color w:val="000000"/>
        </w:rPr>
        <w:t xml:space="preserve">, thus novel treatment options, like targeted therapy and immunotherapy, are of interest for these patients. </w:t>
      </w:r>
    </w:p>
    <w:p w14:paraId="13D7CE61" w14:textId="7FF6AB6F" w:rsidR="00A77B3E" w:rsidRPr="00A23C0C" w:rsidRDefault="00441B03" w:rsidP="00A747B6">
      <w:pPr>
        <w:spacing w:line="360" w:lineRule="auto"/>
        <w:ind w:firstLineChars="100" w:firstLine="240"/>
        <w:jc w:val="both"/>
      </w:pPr>
      <w:r w:rsidRPr="00A23C0C">
        <w:rPr>
          <w:rFonts w:ascii="Book Antiqua" w:eastAsia="Book Antiqua" w:hAnsi="Book Antiqua" w:cs="Book Antiqua"/>
          <w:color w:val="000000"/>
        </w:rPr>
        <w:t xml:space="preserve">One of the available options, already included in a clinical practice guideline is trastuzumab </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 a monoclonal antibody targeting human epidermal growth factor receptor 2 (HER2). It induces antibody-dependent cellular cytotoxicity, inhibits HER2-mediated signaling, and prevents cleavage of the extracellular domain of HER2</w:t>
      </w:r>
      <w:r w:rsidRPr="00A23C0C">
        <w:rPr>
          <w:rFonts w:ascii="Book Antiqua" w:eastAsia="Book Antiqua" w:hAnsi="Book Antiqua" w:cs="Book Antiqua"/>
          <w:color w:val="000000"/>
          <w:vertAlign w:val="superscript"/>
        </w:rPr>
        <w:t>[46]</w:t>
      </w:r>
      <w:r w:rsidRPr="00A23C0C">
        <w:rPr>
          <w:rFonts w:ascii="Book Antiqua" w:eastAsia="Book Antiqua" w:hAnsi="Book Antiqua" w:cs="Book Antiqua"/>
          <w:color w:val="000000"/>
        </w:rPr>
        <w:t xml:space="preserve">. Large scale ToGA RCT showed that trastuzumab in combination with chemotherapy increases the survival of advanced or </w:t>
      </w:r>
      <w:r w:rsidR="00C04B0D" w:rsidRPr="00A23C0C">
        <w:rPr>
          <w:rFonts w:ascii="Book Antiqua" w:eastAsia="Book Antiqua" w:hAnsi="Book Antiqua" w:cs="Book Antiqua"/>
          <w:color w:val="000000"/>
        </w:rPr>
        <w:t>M1</w:t>
      </w:r>
      <w:r w:rsidRPr="00A23C0C">
        <w:rPr>
          <w:rFonts w:ascii="Book Antiqua" w:eastAsia="Book Antiqua" w:hAnsi="Book Antiqua" w:cs="Book Antiqua"/>
          <w:color w:val="000000"/>
        </w:rPr>
        <w:t xml:space="preserve"> HER2-positive GC patients</w:t>
      </w:r>
      <w:r w:rsidRPr="00A23C0C">
        <w:rPr>
          <w:rFonts w:ascii="Book Antiqua" w:eastAsia="Book Antiqua" w:hAnsi="Book Antiqua" w:cs="Book Antiqua"/>
          <w:color w:val="000000"/>
          <w:vertAlign w:val="superscript"/>
        </w:rPr>
        <w:t>[47]</w:t>
      </w:r>
      <w:r w:rsidRPr="00A23C0C">
        <w:rPr>
          <w:rFonts w:ascii="Book Antiqua" w:eastAsia="Book Antiqua" w:hAnsi="Book Antiqua" w:cs="Book Antiqua"/>
          <w:color w:val="000000"/>
        </w:rPr>
        <w:t>. A recent study showed trastuzumab deruxtecan, a humanized monoclonal anti-HER2 antibody attached to a cytotoxic topoisomerase I inhibitor through a cleavable linker is available and effective as a third-line treatment for HER2 positive GC patients</w:t>
      </w:r>
      <w:r w:rsidRPr="00A23C0C">
        <w:rPr>
          <w:rFonts w:ascii="Book Antiqua" w:eastAsia="Book Antiqua" w:hAnsi="Book Antiqua" w:cs="Book Antiqua"/>
          <w:color w:val="000000"/>
          <w:vertAlign w:val="superscript"/>
        </w:rPr>
        <w:t>[48]</w:t>
      </w:r>
      <w:r w:rsidRPr="00A23C0C">
        <w:rPr>
          <w:rFonts w:ascii="Book Antiqua" w:eastAsia="Book Antiqua" w:hAnsi="Book Antiqua" w:cs="Book Antiqua"/>
          <w:color w:val="000000"/>
        </w:rPr>
        <w:t xml:space="preserve">. Some other HER-2 targeting agents such as lapatinib, trastuzumab emtansine, pertuzumab are also </w:t>
      </w:r>
      <w:r w:rsidRPr="00A23C0C">
        <w:rPr>
          <w:rFonts w:ascii="Book Antiqua" w:eastAsia="Book Antiqua" w:hAnsi="Book Antiqua" w:cs="Book Antiqua"/>
          <w:color w:val="000000"/>
        </w:rPr>
        <w:lastRenderedPageBreak/>
        <w:t>available, although their efficacy remains controversial</w:t>
      </w:r>
      <w:r w:rsidRPr="00A23C0C">
        <w:rPr>
          <w:rFonts w:ascii="Book Antiqua" w:eastAsia="Book Antiqua" w:hAnsi="Book Antiqua" w:cs="Book Antiqua"/>
          <w:color w:val="000000"/>
          <w:vertAlign w:val="superscript"/>
        </w:rPr>
        <w:t>[49</w:t>
      </w:r>
      <w:r w:rsidR="005C1A34" w:rsidRPr="00A23C0C">
        <w:rPr>
          <w:rFonts w:asciiTheme="minorEastAsia" w:hAnsiTheme="minorEastAsia" w:cs="Book Antiqua"/>
          <w:color w:val="000000"/>
          <w:vertAlign w:val="superscript"/>
          <w:lang w:eastAsia="zh-CN"/>
        </w:rPr>
        <w:t>_</w:t>
      </w:r>
      <w:r w:rsidRPr="00A23C0C">
        <w:rPr>
          <w:rFonts w:ascii="Book Antiqua" w:eastAsia="Book Antiqua" w:hAnsi="Book Antiqua" w:cs="Book Antiqua"/>
          <w:color w:val="000000"/>
          <w:vertAlign w:val="superscript"/>
        </w:rPr>
        <w:t>52]</w:t>
      </w:r>
      <w:r w:rsidRPr="00A23C0C">
        <w:rPr>
          <w:rFonts w:ascii="Book Antiqua" w:eastAsia="Book Antiqua" w:hAnsi="Book Antiqua" w:cs="Book Antiqua"/>
          <w:color w:val="000000"/>
        </w:rPr>
        <w:t>. Another available targeted therapy agent is ramucirumab, a fully humanized monoclonal antibody against vascular endothelial growth factor receptor 2</w:t>
      </w:r>
      <w:r w:rsidRPr="00A23C0C">
        <w:rPr>
          <w:rFonts w:ascii="Book Antiqua" w:eastAsia="Book Antiqua" w:hAnsi="Book Antiqua" w:cs="Book Antiqua"/>
          <w:color w:val="000000"/>
          <w:vertAlign w:val="superscript"/>
        </w:rPr>
        <w:t>[53]</w:t>
      </w:r>
      <w:r w:rsidRPr="00A23C0C">
        <w:rPr>
          <w:rFonts w:ascii="Book Antiqua" w:eastAsia="Book Antiqua" w:hAnsi="Book Antiqua" w:cs="Book Antiqua"/>
          <w:color w:val="000000"/>
        </w:rPr>
        <w:t>. This angiogenesis inhibitor was included in treatment guidelines as a second</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line treatment option for patients with </w:t>
      </w:r>
      <w:r w:rsidR="00C04B0D" w:rsidRPr="00A23C0C">
        <w:rPr>
          <w:rFonts w:ascii="Book Antiqua" w:eastAsia="Book Antiqua" w:hAnsi="Book Antiqua" w:cs="Book Antiqua"/>
          <w:color w:val="000000"/>
        </w:rPr>
        <w:t>M1</w:t>
      </w:r>
      <w:r w:rsidRPr="00A23C0C">
        <w:rPr>
          <w:rFonts w:ascii="Book Antiqua" w:eastAsia="Book Antiqua" w:hAnsi="Book Antiqua" w:cs="Book Antiqua"/>
          <w:color w:val="000000"/>
        </w:rPr>
        <w:t xml:space="preserve"> GC after encouraging results of the REGARD and RAINBOW studies</w:t>
      </w:r>
      <w:r w:rsidRPr="00A23C0C">
        <w:rPr>
          <w:rFonts w:ascii="Book Antiqua" w:eastAsia="Book Antiqua" w:hAnsi="Book Antiqua" w:cs="Book Antiqua"/>
          <w:color w:val="000000"/>
          <w:vertAlign w:val="superscript"/>
        </w:rPr>
        <w:t>[54,55]</w:t>
      </w:r>
      <w:r w:rsidRPr="00A23C0C">
        <w:rPr>
          <w:rFonts w:ascii="Book Antiqua" w:eastAsia="Book Antiqua" w:hAnsi="Book Antiqua" w:cs="Book Antiqua"/>
          <w:color w:val="000000"/>
        </w:rPr>
        <w:t xml:space="preserve">. </w:t>
      </w:r>
    </w:p>
    <w:p w14:paraId="5915176F" w14:textId="201C5908" w:rsidR="00A77B3E" w:rsidRPr="00A23C0C" w:rsidRDefault="00441B03" w:rsidP="00A747B6">
      <w:pPr>
        <w:spacing w:line="360" w:lineRule="auto"/>
        <w:ind w:firstLineChars="100" w:firstLine="240"/>
        <w:jc w:val="both"/>
      </w:pPr>
      <w:r w:rsidRPr="00A23C0C">
        <w:rPr>
          <w:rFonts w:ascii="Book Antiqua" w:eastAsia="Book Antiqua" w:hAnsi="Book Antiqua" w:cs="Book Antiqua"/>
          <w:color w:val="000000"/>
        </w:rPr>
        <w:t xml:space="preserve">Another novel and promising drug class for </w:t>
      </w:r>
      <w:r w:rsidR="00C04B0D" w:rsidRPr="00A23C0C">
        <w:rPr>
          <w:rFonts w:ascii="Book Antiqua" w:eastAsia="Book Antiqua" w:hAnsi="Book Antiqua" w:cs="Book Antiqua"/>
          <w:color w:val="000000"/>
        </w:rPr>
        <w:t>M1</w:t>
      </w:r>
      <w:r w:rsidRPr="00A23C0C">
        <w:rPr>
          <w:rFonts w:ascii="Book Antiqua" w:eastAsia="Book Antiqua" w:hAnsi="Book Antiqua" w:cs="Book Antiqua"/>
          <w:color w:val="000000"/>
        </w:rPr>
        <w:t xml:space="preserve"> GC is immune checkpoint inhibitors. Some of these drugs improve antitumor T</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cell activity by inhibiting immune checkpoints such as the programmed death</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1 receptor (PD-1) and programmed death</w:t>
      </w:r>
      <w:r w:rsidR="00A747B6" w:rsidRPr="00A23C0C">
        <w:rPr>
          <w:rFonts w:ascii="Book Antiqua" w:eastAsia="Book Antiqua" w:hAnsi="Book Antiqua" w:cs="Book Antiqua"/>
          <w:color w:val="000000"/>
        </w:rPr>
        <w:t>-</w:t>
      </w:r>
      <w:r w:rsidRPr="00A23C0C">
        <w:rPr>
          <w:rFonts w:ascii="Book Antiqua" w:eastAsia="Book Antiqua" w:hAnsi="Book Antiqua" w:cs="Book Antiqua"/>
          <w:color w:val="000000"/>
        </w:rPr>
        <w:t>ligand 1 (PDL1). PD1 is expressed on the surface of activated T cells that regulate their proliferation and activation and PDL1 is a major ligand for PD-1 expressed in some cancers, including GC cells</w:t>
      </w:r>
      <w:r w:rsidRPr="00A23C0C">
        <w:rPr>
          <w:rFonts w:ascii="Book Antiqua" w:eastAsia="Book Antiqua" w:hAnsi="Book Antiqua" w:cs="Book Antiqua"/>
          <w:color w:val="000000"/>
          <w:vertAlign w:val="superscript"/>
        </w:rPr>
        <w:t>[56,57]</w:t>
      </w:r>
      <w:r w:rsidRPr="00A23C0C">
        <w:rPr>
          <w:rFonts w:ascii="Book Antiqua" w:eastAsia="Book Antiqua" w:hAnsi="Book Antiqua" w:cs="Book Antiqua"/>
          <w:color w:val="000000"/>
        </w:rPr>
        <w:t xml:space="preserve">. Nivolumab is one of the available immune checkpoint inhibitors recommended in combination with fluorouracil/capecitabine and oxaliplatin for </w:t>
      </w:r>
      <w:r w:rsidR="00C04B0D" w:rsidRPr="00A23C0C">
        <w:rPr>
          <w:rFonts w:ascii="Book Antiqua" w:eastAsia="Book Antiqua" w:hAnsi="Book Antiqua" w:cs="Book Antiqua"/>
          <w:color w:val="000000"/>
        </w:rPr>
        <w:t>M1</w:t>
      </w:r>
      <w:r w:rsidRPr="00A23C0C">
        <w:rPr>
          <w:rFonts w:ascii="Book Antiqua" w:eastAsia="Book Antiqua" w:hAnsi="Book Antiqua" w:cs="Book Antiqua"/>
          <w:color w:val="000000"/>
        </w:rPr>
        <w:t xml:space="preserve"> HER2 negative GC, including Cy1 patients as recent RCTs demonstrated its efficacy for the first</w:t>
      </w:r>
      <w:r w:rsidRPr="00A23C0C">
        <w:rPr>
          <w:rFonts w:ascii="Book Antiqua" w:eastAsia="Book Antiqua" w:hAnsi="Book Antiqua" w:cs="Book Antiqua"/>
          <w:color w:val="000000"/>
          <w:vertAlign w:val="superscript"/>
        </w:rPr>
        <w:t>[58]</w:t>
      </w:r>
      <w:r w:rsidRPr="00A23C0C">
        <w:rPr>
          <w:rFonts w:ascii="Book Antiqua" w:eastAsia="Book Antiqua" w:hAnsi="Book Antiqua" w:cs="Book Antiqua"/>
          <w:color w:val="000000"/>
        </w:rPr>
        <w:t xml:space="preserve"> and further lines treatment</w:t>
      </w:r>
      <w:r w:rsidRPr="00A23C0C">
        <w:rPr>
          <w:rFonts w:ascii="Book Antiqua" w:eastAsia="Book Antiqua" w:hAnsi="Book Antiqua" w:cs="Book Antiqua"/>
          <w:color w:val="000000"/>
          <w:vertAlign w:val="superscript"/>
        </w:rPr>
        <w:t>[59]</w:t>
      </w:r>
      <w:r w:rsidRPr="00A23C0C">
        <w:rPr>
          <w:rFonts w:ascii="Book Antiqua" w:eastAsia="Book Antiqua" w:hAnsi="Book Antiqua" w:cs="Book Antiqua"/>
          <w:color w:val="000000"/>
        </w:rPr>
        <w:t>. Pembrolizumab is another immune checkpoint inhibitor with antitumor activity in patients with PD-L1 positive GC. A phase II KEYNOTE-059 study showed promising activity and manageable safety of pembrolizumab monotherapy as a third-line treatment</w:t>
      </w:r>
      <w:r w:rsidRPr="00A23C0C">
        <w:rPr>
          <w:rFonts w:ascii="Book Antiqua" w:eastAsia="Book Antiqua" w:hAnsi="Book Antiqua" w:cs="Book Antiqua"/>
          <w:color w:val="000000"/>
          <w:vertAlign w:val="superscript"/>
        </w:rPr>
        <w:t>[60]</w:t>
      </w:r>
      <w:r w:rsidRPr="00A23C0C">
        <w:rPr>
          <w:rFonts w:ascii="Book Antiqua" w:eastAsia="Book Antiqua" w:hAnsi="Book Antiqua" w:cs="Book Antiqua"/>
          <w:color w:val="000000"/>
        </w:rPr>
        <w:t>. Although, the phase III RCT (KEYNOTE-062) failed to show improved survival with pembrolizumab or pembrolizumab plus chemotherapy compared to chemotherapy alone in previously untreated GC</w:t>
      </w:r>
      <w:r w:rsidRPr="00A23C0C">
        <w:rPr>
          <w:rFonts w:ascii="Book Antiqua" w:eastAsia="Book Antiqua" w:hAnsi="Book Antiqua" w:cs="Book Antiqua"/>
          <w:color w:val="000000"/>
          <w:vertAlign w:val="superscript"/>
        </w:rPr>
        <w:t>[61]</w:t>
      </w:r>
      <w:r w:rsidRPr="00A23C0C">
        <w:rPr>
          <w:rFonts w:ascii="Book Antiqua" w:eastAsia="Book Antiqua" w:hAnsi="Book Antiqua" w:cs="Book Antiqua"/>
          <w:color w:val="000000"/>
        </w:rPr>
        <w:t xml:space="preserve">. </w:t>
      </w:r>
    </w:p>
    <w:p w14:paraId="1930E002" w14:textId="64CBB0EB" w:rsidR="00A77B3E" w:rsidRPr="00A23C0C" w:rsidRDefault="00441B03" w:rsidP="00DF05FB">
      <w:pPr>
        <w:spacing w:line="360" w:lineRule="auto"/>
        <w:ind w:firstLineChars="100" w:firstLine="240"/>
        <w:jc w:val="both"/>
      </w:pPr>
      <w:r w:rsidRPr="00A23C0C">
        <w:rPr>
          <w:rFonts w:ascii="Book Antiqua" w:eastAsia="Book Antiqua" w:hAnsi="Book Antiqua" w:cs="Book Antiqua"/>
          <w:color w:val="000000"/>
        </w:rPr>
        <w:t xml:space="preserve">Despite some promising results of novel targeted therapy and immunotherapy drugs for </w:t>
      </w:r>
      <w:r w:rsidR="00C04B0D" w:rsidRPr="00A23C0C">
        <w:rPr>
          <w:rFonts w:ascii="Book Antiqua" w:eastAsia="Book Antiqua" w:hAnsi="Book Antiqua" w:cs="Book Antiqua"/>
          <w:color w:val="000000"/>
        </w:rPr>
        <w:t>M1</w:t>
      </w:r>
      <w:r w:rsidRPr="00A23C0C">
        <w:rPr>
          <w:rFonts w:ascii="Book Antiqua" w:eastAsia="Book Antiqua" w:hAnsi="Book Antiqua" w:cs="Book Antiqua"/>
          <w:color w:val="000000"/>
        </w:rPr>
        <w:t xml:space="preserve"> GC, the exact benefit for a distinct cohort of Cy1 GC patients remains unclear, as none of the current studies investigated this distinct subpopulation. Further studies are needed, to elucidate, the potential of novel systemic therapies for these patients. </w:t>
      </w:r>
    </w:p>
    <w:p w14:paraId="030E68AC" w14:textId="77777777" w:rsidR="00A77B3E" w:rsidRPr="00A23C0C" w:rsidRDefault="00A77B3E">
      <w:pPr>
        <w:spacing w:line="360" w:lineRule="auto"/>
        <w:ind w:firstLine="720"/>
        <w:jc w:val="both"/>
      </w:pPr>
    </w:p>
    <w:p w14:paraId="5AD24DF3" w14:textId="77777777" w:rsidR="00A77B3E" w:rsidRPr="00A23C0C" w:rsidRDefault="00441B03">
      <w:pPr>
        <w:spacing w:line="360" w:lineRule="auto"/>
        <w:jc w:val="both"/>
      </w:pPr>
      <w:r w:rsidRPr="00A23C0C">
        <w:rPr>
          <w:rFonts w:ascii="Book Antiqua" w:eastAsia="Book Antiqua" w:hAnsi="Book Antiqua" w:cs="Book Antiqua"/>
          <w:b/>
          <w:bCs/>
          <w:caps/>
          <w:color w:val="000000"/>
          <w:szCs w:val="22"/>
          <w:u w:val="single"/>
          <w:shd w:val="clear" w:color="auto" w:fill="FFFFFF"/>
        </w:rPr>
        <w:t>LIMITATIONS OF THE CURRENT KNOWLEDGE AND PERSPECTIVES FOR FUTURE RESEARCH</w:t>
      </w:r>
    </w:p>
    <w:p w14:paraId="51053759" w14:textId="245258D4" w:rsidR="00A77B3E" w:rsidRPr="00A23C0C" w:rsidRDefault="00441B03" w:rsidP="005C1A34">
      <w:pPr>
        <w:spacing w:line="360" w:lineRule="auto"/>
        <w:jc w:val="both"/>
      </w:pPr>
      <w:r w:rsidRPr="00A23C0C">
        <w:rPr>
          <w:rFonts w:ascii="Book Antiqua" w:eastAsia="Book Antiqua" w:hAnsi="Book Antiqua" w:cs="Book Antiqua"/>
          <w:color w:val="000000"/>
          <w:shd w:val="clear" w:color="auto" w:fill="FFFFFF"/>
        </w:rPr>
        <w:t xml:space="preserve">The knowledge provided by the current evidence has some limitations. First, most of the available studies are relatively small in sample size. Second, many different </w:t>
      </w:r>
      <w:r w:rsidRPr="00A23C0C">
        <w:rPr>
          <w:rFonts w:ascii="Book Antiqua" w:eastAsia="Book Antiqua" w:hAnsi="Book Antiqua" w:cs="Book Antiqua"/>
          <w:color w:val="000000"/>
          <w:shd w:val="clear" w:color="auto" w:fill="FFFFFF"/>
        </w:rPr>
        <w:lastRenderedPageBreak/>
        <w:t xml:space="preserve">treatment strategies including upfront gastrectomy, surgery after neoadjuvant systemic therapy, and </w:t>
      </w:r>
      <w:r w:rsidR="005763DB" w:rsidRPr="00A23C0C">
        <w:rPr>
          <w:rFonts w:ascii="Book Antiqua" w:eastAsia="Book Antiqua" w:hAnsi="Book Antiqua" w:cs="Book Antiqua"/>
          <w:color w:val="000000"/>
          <w:shd w:val="clear" w:color="auto" w:fill="FFFFFF"/>
        </w:rPr>
        <w:t>IPC</w:t>
      </w:r>
      <w:r w:rsidRPr="00A23C0C">
        <w:rPr>
          <w:rFonts w:ascii="Book Antiqua" w:eastAsia="Book Antiqua" w:hAnsi="Book Antiqua" w:cs="Book Antiqua"/>
          <w:color w:val="000000"/>
          <w:shd w:val="clear" w:color="auto" w:fill="FFFFFF"/>
        </w:rPr>
        <w:t xml:space="preserve"> have been described for Cy1 GC, however, there is a lack of studies that would have compared them with each other. Thus, further large-scale international cohort studies comparing different treatments are needed to establish the most promising options. After, these should be tested in subsequent multi-center randomized control trials to provide robust evidence on the most efficient treatment for Cy1 patients.</w:t>
      </w:r>
    </w:p>
    <w:p w14:paraId="50293A88" w14:textId="77777777" w:rsidR="00A77B3E" w:rsidRPr="00A23C0C" w:rsidRDefault="00A77B3E">
      <w:pPr>
        <w:spacing w:line="360" w:lineRule="auto"/>
        <w:ind w:firstLine="720"/>
        <w:jc w:val="both"/>
      </w:pPr>
    </w:p>
    <w:p w14:paraId="58B74E25" w14:textId="77777777" w:rsidR="00A77B3E" w:rsidRPr="00A23C0C" w:rsidRDefault="00441B03">
      <w:pPr>
        <w:spacing w:line="360" w:lineRule="auto"/>
        <w:jc w:val="both"/>
      </w:pPr>
      <w:r w:rsidRPr="00A23C0C">
        <w:rPr>
          <w:rFonts w:ascii="Book Antiqua" w:eastAsia="Book Antiqua" w:hAnsi="Book Antiqua" w:cs="Book Antiqua"/>
          <w:b/>
          <w:caps/>
          <w:color w:val="000000"/>
          <w:u w:val="single"/>
        </w:rPr>
        <w:t>CONCLUSION</w:t>
      </w:r>
    </w:p>
    <w:p w14:paraId="0B3DBA03" w14:textId="1D50E092" w:rsidR="00A77B3E" w:rsidRPr="00A23C0C" w:rsidRDefault="00441B03" w:rsidP="00DF05FB">
      <w:pPr>
        <w:spacing w:line="360" w:lineRule="auto"/>
        <w:jc w:val="both"/>
      </w:pPr>
      <w:r w:rsidRPr="00A23C0C">
        <w:rPr>
          <w:rFonts w:ascii="Book Antiqua" w:eastAsia="Book Antiqua" w:hAnsi="Book Antiqua" w:cs="Book Antiqua"/>
          <w:color w:val="000000"/>
        </w:rPr>
        <w:t>Positive peritoneal cytology is associated with poor long</w:t>
      </w:r>
      <w:r w:rsidR="00DF05FB" w:rsidRPr="00A23C0C">
        <w:rPr>
          <w:rFonts w:ascii="Book Antiqua" w:eastAsia="Book Antiqua" w:hAnsi="Book Antiqua" w:cs="Book Antiqua"/>
          <w:color w:val="000000"/>
        </w:rPr>
        <w:t>-</w:t>
      </w:r>
      <w:r w:rsidRPr="00A23C0C">
        <w:rPr>
          <w:rFonts w:ascii="Book Antiqua" w:eastAsia="Book Antiqua" w:hAnsi="Book Antiqua" w:cs="Book Antiqua"/>
          <w:color w:val="000000"/>
        </w:rPr>
        <w:t xml:space="preserve">term outcomes in GC patients. Although, current evidence indicates, that this distinct subpopulation of the stage IV cohort may benefit from more aggressive treatment than palliative chemotherapy. Available strategies include upfront gastrectomy followed by adjuvant therapy, neoadjuvant chemotherapy option, and different methods of </w:t>
      </w:r>
      <w:r w:rsidR="005763DB" w:rsidRPr="00A23C0C">
        <w:rPr>
          <w:rFonts w:ascii="Book Antiqua" w:eastAsia="Book Antiqua" w:hAnsi="Book Antiqua" w:cs="Book Antiqua"/>
          <w:color w:val="000000"/>
        </w:rPr>
        <w:t>IPC</w:t>
      </w:r>
      <w:r w:rsidRPr="00A23C0C">
        <w:rPr>
          <w:rFonts w:ascii="Book Antiqua" w:eastAsia="Book Antiqua" w:hAnsi="Book Antiqua" w:cs="Book Antiqua"/>
          <w:color w:val="000000"/>
        </w:rPr>
        <w:t xml:space="preserve"> utilization. Although, the most optimal treatment remains unclear because there is a lack of comparative studies. Thus, further clinical trials are needed to establish the best treatment option for Cy1 GC.</w:t>
      </w:r>
    </w:p>
    <w:p w14:paraId="5A15AD06" w14:textId="77777777" w:rsidR="00A77B3E" w:rsidRPr="00A23C0C" w:rsidRDefault="00A77B3E">
      <w:pPr>
        <w:spacing w:line="360" w:lineRule="auto"/>
        <w:ind w:firstLine="720"/>
        <w:jc w:val="both"/>
      </w:pPr>
    </w:p>
    <w:p w14:paraId="0C9BB844" w14:textId="77777777" w:rsidR="00A77B3E" w:rsidRPr="00A23C0C" w:rsidRDefault="00441B03" w:rsidP="00DF05FB">
      <w:pPr>
        <w:spacing w:line="360" w:lineRule="auto"/>
        <w:jc w:val="both"/>
      </w:pPr>
      <w:r w:rsidRPr="00A23C0C">
        <w:rPr>
          <w:rFonts w:ascii="Book Antiqua" w:eastAsia="Book Antiqua" w:hAnsi="Book Antiqua" w:cs="Book Antiqua"/>
          <w:b/>
          <w:color w:val="000000"/>
        </w:rPr>
        <w:t>REFERENCES</w:t>
      </w:r>
    </w:p>
    <w:p w14:paraId="6E9A3431"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1 </w:t>
      </w:r>
      <w:r w:rsidRPr="00A23C0C">
        <w:rPr>
          <w:rFonts w:ascii="Book Antiqua" w:hAnsi="Book Antiqua"/>
          <w:b/>
          <w:bCs/>
        </w:rPr>
        <w:t>Sung H</w:t>
      </w:r>
      <w:r w:rsidRPr="00A23C0C">
        <w:rPr>
          <w:rFonts w:ascii="Book Antiqua" w:hAnsi="Book Antiqua"/>
        </w:rPr>
        <w:t xml:space="preserve">, Ferlay J, Siegel RL, Laversanne M, Soerjomataram I, Jemal A, Bray F. Global Cancer Statistics 2020: GLOBOCAN Estimates of Incidence and Mortality Worldwide for 36 Cancers in 185 Countries. </w:t>
      </w:r>
      <w:r w:rsidRPr="00A23C0C">
        <w:rPr>
          <w:rFonts w:ascii="Book Antiqua" w:hAnsi="Book Antiqua"/>
          <w:i/>
          <w:iCs/>
        </w:rPr>
        <w:t>CA Cancer J Clin</w:t>
      </w:r>
      <w:r w:rsidRPr="00A23C0C">
        <w:rPr>
          <w:rFonts w:ascii="Book Antiqua" w:hAnsi="Book Antiqua"/>
        </w:rPr>
        <w:t xml:space="preserve"> 2021; </w:t>
      </w:r>
      <w:r w:rsidRPr="00A23C0C">
        <w:rPr>
          <w:rFonts w:ascii="Book Antiqua" w:hAnsi="Book Antiqua"/>
          <w:b/>
          <w:bCs/>
        </w:rPr>
        <w:t>71</w:t>
      </w:r>
      <w:r w:rsidRPr="00A23C0C">
        <w:rPr>
          <w:rFonts w:ascii="Book Antiqua" w:hAnsi="Book Antiqua"/>
        </w:rPr>
        <w:t>: 209-249 [PMID: 33538338 DOI: 10.3322/caac.21660]</w:t>
      </w:r>
    </w:p>
    <w:p w14:paraId="2CD128D3"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2 </w:t>
      </w:r>
      <w:r w:rsidRPr="00A23C0C">
        <w:rPr>
          <w:rFonts w:ascii="Book Antiqua" w:hAnsi="Book Antiqua"/>
          <w:b/>
          <w:bCs/>
        </w:rPr>
        <w:t>Stratilatovas E</w:t>
      </w:r>
      <w:r w:rsidRPr="00A23C0C">
        <w:rPr>
          <w:rFonts w:ascii="Book Antiqua" w:hAnsi="Book Antiqua"/>
        </w:rPr>
        <w:t xml:space="preserve">, Baušys A, Baušys R, Sangaila E. Mortality after gastrectomy: a 10 year single institution experience. </w:t>
      </w:r>
      <w:r w:rsidRPr="00A23C0C">
        <w:rPr>
          <w:rFonts w:ascii="Book Antiqua" w:hAnsi="Book Antiqua"/>
          <w:i/>
          <w:iCs/>
        </w:rPr>
        <w:t>Acta Chir Belg</w:t>
      </w:r>
      <w:r w:rsidRPr="00A23C0C">
        <w:rPr>
          <w:rFonts w:ascii="Book Antiqua" w:hAnsi="Book Antiqua"/>
        </w:rPr>
        <w:t xml:space="preserve"> 2015; </w:t>
      </w:r>
      <w:r w:rsidRPr="00A23C0C">
        <w:rPr>
          <w:rFonts w:ascii="Book Antiqua" w:hAnsi="Book Antiqua"/>
          <w:b/>
          <w:bCs/>
        </w:rPr>
        <w:t>115</w:t>
      </w:r>
      <w:r w:rsidRPr="00A23C0C">
        <w:rPr>
          <w:rFonts w:ascii="Book Antiqua" w:hAnsi="Book Antiqua"/>
        </w:rPr>
        <w:t>: 123-130 [PMID: 26021945 DOI: 10.1080/00015458.2015.11681081]</w:t>
      </w:r>
    </w:p>
    <w:p w14:paraId="6F17E537"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3 </w:t>
      </w:r>
      <w:r w:rsidRPr="00A23C0C">
        <w:rPr>
          <w:rFonts w:ascii="Book Antiqua" w:hAnsi="Book Antiqua"/>
          <w:b/>
          <w:bCs/>
        </w:rPr>
        <w:t>Bausys R</w:t>
      </w:r>
      <w:r w:rsidRPr="00A23C0C">
        <w:rPr>
          <w:rFonts w:ascii="Book Antiqua" w:hAnsi="Book Antiqua"/>
        </w:rPr>
        <w:t xml:space="preserve">, Bausys A, Vysniauskaite I, Maneikis K, Stratilatovas E, Strupas K. Surgical treatment outcomes of patients with T1-T2 gastric cancer: does the age matter when excellent treatment results are expected? </w:t>
      </w:r>
      <w:r w:rsidRPr="00A23C0C">
        <w:rPr>
          <w:rFonts w:ascii="Book Antiqua" w:hAnsi="Book Antiqua"/>
          <w:i/>
          <w:iCs/>
        </w:rPr>
        <w:t>World J Surg Oncol</w:t>
      </w:r>
      <w:r w:rsidRPr="00A23C0C">
        <w:rPr>
          <w:rFonts w:ascii="Book Antiqua" w:hAnsi="Book Antiqua"/>
        </w:rPr>
        <w:t xml:space="preserve"> 2018; </w:t>
      </w:r>
      <w:r w:rsidRPr="00A23C0C">
        <w:rPr>
          <w:rFonts w:ascii="Book Antiqua" w:hAnsi="Book Antiqua"/>
          <w:b/>
          <w:bCs/>
        </w:rPr>
        <w:t>16</w:t>
      </w:r>
      <w:r w:rsidRPr="00A23C0C">
        <w:rPr>
          <w:rFonts w:ascii="Book Antiqua" w:hAnsi="Book Antiqua"/>
        </w:rPr>
        <w:t>: 79 [PMID: 29661204 DOI: 10.1186/s12957-018-1388-4]</w:t>
      </w:r>
    </w:p>
    <w:p w14:paraId="02C16286" w14:textId="77777777" w:rsidR="00DF05FB" w:rsidRPr="00A23C0C" w:rsidRDefault="00DF05FB" w:rsidP="00DF05FB">
      <w:pPr>
        <w:spacing w:line="360" w:lineRule="auto"/>
        <w:jc w:val="both"/>
        <w:rPr>
          <w:rFonts w:ascii="Book Antiqua" w:hAnsi="Book Antiqua"/>
        </w:rPr>
      </w:pPr>
      <w:r w:rsidRPr="00A23C0C">
        <w:rPr>
          <w:rFonts w:ascii="Book Antiqua" w:hAnsi="Book Antiqua"/>
        </w:rPr>
        <w:lastRenderedPageBreak/>
        <w:t xml:space="preserve">4 </w:t>
      </w:r>
      <w:r w:rsidRPr="00A23C0C">
        <w:rPr>
          <w:rFonts w:ascii="Book Antiqua" w:hAnsi="Book Antiqua"/>
          <w:b/>
          <w:bCs/>
        </w:rPr>
        <w:t>Bernards N</w:t>
      </w:r>
      <w:r w:rsidRPr="00A23C0C">
        <w:rPr>
          <w:rFonts w:ascii="Book Antiqua" w:hAnsi="Book Antiqua"/>
        </w:rPr>
        <w:t xml:space="preserve">, Creemers GJ, Nieuwenhuijzen GA, Bosscha K, Pruijt JF, Lemmens VE. No improvement in median survival for patients with metastatic gastric cancer despite increased use of chemotherapy. </w:t>
      </w:r>
      <w:r w:rsidRPr="00A23C0C">
        <w:rPr>
          <w:rFonts w:ascii="Book Antiqua" w:hAnsi="Book Antiqua"/>
          <w:i/>
          <w:iCs/>
        </w:rPr>
        <w:t>Ann Oncol</w:t>
      </w:r>
      <w:r w:rsidRPr="00A23C0C">
        <w:rPr>
          <w:rFonts w:ascii="Book Antiqua" w:hAnsi="Book Antiqua"/>
        </w:rPr>
        <w:t xml:space="preserve"> 2013; </w:t>
      </w:r>
      <w:r w:rsidRPr="00A23C0C">
        <w:rPr>
          <w:rFonts w:ascii="Book Antiqua" w:hAnsi="Book Antiqua"/>
          <w:b/>
          <w:bCs/>
        </w:rPr>
        <w:t>24</w:t>
      </w:r>
      <w:r w:rsidRPr="00A23C0C">
        <w:rPr>
          <w:rFonts w:ascii="Book Antiqua" w:hAnsi="Book Antiqua"/>
        </w:rPr>
        <w:t>: 3056-3060 [PMID: 24121120 DOI: 10.1093/annonc/mdt401]</w:t>
      </w:r>
    </w:p>
    <w:p w14:paraId="4FED65C0"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5 </w:t>
      </w:r>
      <w:r w:rsidRPr="00A23C0C">
        <w:rPr>
          <w:rFonts w:ascii="Book Antiqua" w:hAnsi="Book Antiqua"/>
          <w:b/>
          <w:bCs/>
        </w:rPr>
        <w:t>Zhang Y</w:t>
      </w:r>
      <w:r w:rsidRPr="00A23C0C">
        <w:rPr>
          <w:rFonts w:ascii="Book Antiqua" w:hAnsi="Book Antiqua"/>
        </w:rPr>
        <w:t xml:space="preserve">, Lin Y, Duan J, Xu K, Mao M, Wang X. A Population-Based Analysis of Distant Metastasis in Stage IV Gastric Cancer. </w:t>
      </w:r>
      <w:r w:rsidRPr="00A23C0C">
        <w:rPr>
          <w:rFonts w:ascii="Book Antiqua" w:hAnsi="Book Antiqua"/>
          <w:i/>
          <w:iCs/>
        </w:rPr>
        <w:t>Med Sci Monit</w:t>
      </w:r>
      <w:r w:rsidRPr="00A23C0C">
        <w:rPr>
          <w:rFonts w:ascii="Book Antiqua" w:hAnsi="Book Antiqua"/>
        </w:rPr>
        <w:t xml:space="preserve"> 2020; </w:t>
      </w:r>
      <w:r w:rsidRPr="00A23C0C">
        <w:rPr>
          <w:rFonts w:ascii="Book Antiqua" w:hAnsi="Book Antiqua"/>
          <w:b/>
          <w:bCs/>
        </w:rPr>
        <w:t>26</w:t>
      </w:r>
      <w:r w:rsidRPr="00A23C0C">
        <w:rPr>
          <w:rFonts w:ascii="Book Antiqua" w:hAnsi="Book Antiqua"/>
        </w:rPr>
        <w:t>: e923867 [PMID: 32409630 DOI: 10.12659/MSM.923867]</w:t>
      </w:r>
    </w:p>
    <w:p w14:paraId="616563FF"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6 </w:t>
      </w:r>
      <w:r w:rsidRPr="00A23C0C">
        <w:rPr>
          <w:rFonts w:ascii="Book Antiqua" w:hAnsi="Book Antiqua"/>
          <w:b/>
          <w:bCs/>
        </w:rPr>
        <w:t>Shi B</w:t>
      </w:r>
      <w:r w:rsidRPr="00A23C0C">
        <w:rPr>
          <w:rFonts w:ascii="Book Antiqua" w:hAnsi="Book Antiqua"/>
        </w:rPr>
        <w:t xml:space="preserve">, Lin H, Zhang M, Lu W, Qu Y, Zhang H. Gene Regulation and Targeted Therapy in Gastric Cancer Peritoneal Metastasis: Radiological Findings from Dual Energy CT and PET/CT. </w:t>
      </w:r>
      <w:r w:rsidRPr="00A23C0C">
        <w:rPr>
          <w:rFonts w:ascii="Book Antiqua" w:hAnsi="Book Antiqua"/>
          <w:i/>
          <w:iCs/>
        </w:rPr>
        <w:t>J Vis Exp</w:t>
      </w:r>
      <w:r w:rsidRPr="00A23C0C">
        <w:rPr>
          <w:rFonts w:ascii="Book Antiqua" w:hAnsi="Book Antiqua"/>
        </w:rPr>
        <w:t xml:space="preserve"> 2018 [PMID: 29443079 DOI: 10.3791/56526]</w:t>
      </w:r>
    </w:p>
    <w:p w14:paraId="09BA180A"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7 </w:t>
      </w:r>
      <w:r w:rsidRPr="00A23C0C">
        <w:rPr>
          <w:rFonts w:ascii="Book Antiqua" w:hAnsi="Book Antiqua"/>
          <w:b/>
          <w:bCs/>
        </w:rPr>
        <w:t>Nakajima T</w:t>
      </w:r>
      <w:r w:rsidRPr="00A23C0C">
        <w:rPr>
          <w:rFonts w:ascii="Book Antiqua" w:hAnsi="Book Antiqua"/>
        </w:rPr>
        <w:t xml:space="preserve">, Harashima S, Hirata M, Kajitani T. Prognostic and therapeutic values of peritoneal cytology in gastric cancer. </w:t>
      </w:r>
      <w:r w:rsidRPr="00A23C0C">
        <w:rPr>
          <w:rFonts w:ascii="Book Antiqua" w:hAnsi="Book Antiqua"/>
          <w:i/>
          <w:iCs/>
        </w:rPr>
        <w:t>Acta Cytol</w:t>
      </w:r>
      <w:r w:rsidRPr="00A23C0C">
        <w:rPr>
          <w:rFonts w:ascii="Book Antiqua" w:hAnsi="Book Antiqua"/>
        </w:rPr>
        <w:t xml:space="preserve"> 1978; </w:t>
      </w:r>
      <w:r w:rsidRPr="00A23C0C">
        <w:rPr>
          <w:rFonts w:ascii="Book Antiqua" w:hAnsi="Book Antiqua"/>
          <w:b/>
          <w:bCs/>
        </w:rPr>
        <w:t>22</w:t>
      </w:r>
      <w:r w:rsidRPr="00A23C0C">
        <w:rPr>
          <w:rFonts w:ascii="Book Antiqua" w:hAnsi="Book Antiqua"/>
        </w:rPr>
        <w:t>: 225-229 [PMID: 281825]</w:t>
      </w:r>
    </w:p>
    <w:p w14:paraId="4338E869"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8 </w:t>
      </w:r>
      <w:r w:rsidRPr="00A23C0C">
        <w:rPr>
          <w:rFonts w:ascii="Book Antiqua" w:hAnsi="Book Antiqua"/>
          <w:b/>
          <w:bCs/>
        </w:rPr>
        <w:t>Bando E</w:t>
      </w:r>
      <w:r w:rsidRPr="00A23C0C">
        <w:rPr>
          <w:rFonts w:ascii="Book Antiqua" w:hAnsi="Book Antiqua"/>
        </w:rPr>
        <w:t xml:space="preserve">, Yonemura Y, Takeshita Y, Taniguchi K, Yasui T, Yoshimitsu Y, Fushida S, Fujimura T, Nishimura G, Miwa K. Intraoperative lavage for cytological examination in 1,297 patients with gastric carcinoma. </w:t>
      </w:r>
      <w:r w:rsidRPr="00A23C0C">
        <w:rPr>
          <w:rFonts w:ascii="Book Antiqua" w:hAnsi="Book Antiqua"/>
          <w:i/>
          <w:iCs/>
        </w:rPr>
        <w:t>Am J Surg</w:t>
      </w:r>
      <w:r w:rsidRPr="00A23C0C">
        <w:rPr>
          <w:rFonts w:ascii="Book Antiqua" w:hAnsi="Book Antiqua"/>
        </w:rPr>
        <w:t xml:space="preserve"> 1999; </w:t>
      </w:r>
      <w:r w:rsidRPr="00A23C0C">
        <w:rPr>
          <w:rFonts w:ascii="Book Antiqua" w:hAnsi="Book Antiqua"/>
          <w:b/>
          <w:bCs/>
        </w:rPr>
        <w:t>178</w:t>
      </w:r>
      <w:r w:rsidRPr="00A23C0C">
        <w:rPr>
          <w:rFonts w:ascii="Book Antiqua" w:hAnsi="Book Antiqua"/>
        </w:rPr>
        <w:t>: 256-262 [PMID: 10527450 DOI: 10.1016/s0002-9610(99)00162-2]</w:t>
      </w:r>
    </w:p>
    <w:p w14:paraId="7938E77F"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9 </w:t>
      </w:r>
      <w:r w:rsidRPr="00A23C0C">
        <w:rPr>
          <w:rFonts w:ascii="Book Antiqua" w:hAnsi="Book Antiqua"/>
          <w:b/>
          <w:bCs/>
        </w:rPr>
        <w:t>Yamaguchi T</w:t>
      </w:r>
      <w:r w:rsidRPr="00A23C0C">
        <w:rPr>
          <w:rFonts w:ascii="Book Antiqua" w:hAnsi="Book Antiqua"/>
        </w:rPr>
        <w:t xml:space="preserve">, Takashima A, Nagashima K, Makuuchi R, Aizawa M, Ohashi M, Tashiro K, Yamada T, Kinoshita T, Hata H, Kawachi Y, Kawabata R, Tsuji T, Hihara J, Sakamoto T, Fukagawa T, Katai H, Higuchi K, Boku N. Efficacy of Postoperative Chemotherapy After Resection that Leaves No Macroscopically Visible Disease of Gastric Cancer with Positive Peritoneal Lavage Cytology (CY1) or Localized Peritoneum Metastasis (P1a): A Multicenter Retrospective Study. </w:t>
      </w:r>
      <w:r w:rsidRPr="00A23C0C">
        <w:rPr>
          <w:rFonts w:ascii="Book Antiqua" w:hAnsi="Book Antiqua"/>
          <w:i/>
          <w:iCs/>
        </w:rPr>
        <w:t>Ann Surg Oncol</w:t>
      </w:r>
      <w:r w:rsidRPr="00A23C0C">
        <w:rPr>
          <w:rFonts w:ascii="Book Antiqua" w:hAnsi="Book Antiqua"/>
        </w:rPr>
        <w:t xml:space="preserve"> 2020; </w:t>
      </w:r>
      <w:r w:rsidRPr="00A23C0C">
        <w:rPr>
          <w:rFonts w:ascii="Book Antiqua" w:hAnsi="Book Antiqua"/>
          <w:b/>
          <w:bCs/>
        </w:rPr>
        <w:t>27</w:t>
      </w:r>
      <w:r w:rsidRPr="00A23C0C">
        <w:rPr>
          <w:rFonts w:ascii="Book Antiqua" w:hAnsi="Book Antiqua"/>
        </w:rPr>
        <w:t>: 284-292 [PMID: 31535301 DOI: 10.1245/s10434-019-07697-x]</w:t>
      </w:r>
    </w:p>
    <w:p w14:paraId="1715EDCC"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10 </w:t>
      </w:r>
      <w:r w:rsidRPr="00A23C0C">
        <w:rPr>
          <w:rFonts w:ascii="Book Antiqua" w:hAnsi="Book Antiqua"/>
          <w:b/>
          <w:bCs/>
        </w:rPr>
        <w:t>Allen CJ</w:t>
      </w:r>
      <w:r w:rsidRPr="00A23C0C">
        <w:rPr>
          <w:rFonts w:ascii="Book Antiqua" w:hAnsi="Book Antiqua"/>
        </w:rPr>
        <w:t xml:space="preserve">, Newhook TE, Vreeland TJ, Das P, Minsky BD, Blum M, Song S, Ajani J, Ikoma N, Mansfield PF, Roy-Chowdhuri S, Badgwell BD. Yield of peritoneal cytology in staging patients with gastric and gastroesophageal cancer. </w:t>
      </w:r>
      <w:r w:rsidRPr="00A23C0C">
        <w:rPr>
          <w:rFonts w:ascii="Book Antiqua" w:hAnsi="Book Antiqua"/>
          <w:i/>
          <w:iCs/>
        </w:rPr>
        <w:t>J Surg Oncol</w:t>
      </w:r>
      <w:r w:rsidRPr="00A23C0C">
        <w:rPr>
          <w:rFonts w:ascii="Book Antiqua" w:hAnsi="Book Antiqua"/>
        </w:rPr>
        <w:t xml:space="preserve"> 2019; </w:t>
      </w:r>
      <w:r w:rsidRPr="00A23C0C">
        <w:rPr>
          <w:rFonts w:ascii="Book Antiqua" w:hAnsi="Book Antiqua"/>
          <w:b/>
          <w:bCs/>
        </w:rPr>
        <w:t>120</w:t>
      </w:r>
      <w:r w:rsidRPr="00A23C0C">
        <w:rPr>
          <w:rFonts w:ascii="Book Antiqua" w:hAnsi="Book Antiqua"/>
        </w:rPr>
        <w:t>: 1350-1357 [PMID: 31612494 DOI: 10.1002/jso.25729]</w:t>
      </w:r>
    </w:p>
    <w:p w14:paraId="3F506BEC"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11 </w:t>
      </w:r>
      <w:r w:rsidRPr="00A23C0C">
        <w:rPr>
          <w:rFonts w:ascii="Book Antiqua" w:hAnsi="Book Antiqua"/>
          <w:b/>
          <w:bCs/>
        </w:rPr>
        <w:t>Smyth EC</w:t>
      </w:r>
      <w:r w:rsidRPr="00A23C0C">
        <w:rPr>
          <w:rFonts w:ascii="Book Antiqua" w:hAnsi="Book Antiqua"/>
        </w:rPr>
        <w:t xml:space="preserve">, Verheij M, Allum W, Cunningham D, Cervantes A, Arnold D; ESMO Guidelines Committee. Gastric cancer: ESMO Clinical Practice Guidelines for diagnosis, </w:t>
      </w:r>
      <w:r w:rsidRPr="00A23C0C">
        <w:rPr>
          <w:rFonts w:ascii="Book Antiqua" w:hAnsi="Book Antiqua"/>
        </w:rPr>
        <w:lastRenderedPageBreak/>
        <w:t xml:space="preserve">treatment and follow-up. </w:t>
      </w:r>
      <w:r w:rsidRPr="00A23C0C">
        <w:rPr>
          <w:rFonts w:ascii="Book Antiqua" w:hAnsi="Book Antiqua"/>
          <w:i/>
          <w:iCs/>
        </w:rPr>
        <w:t>Ann Oncol</w:t>
      </w:r>
      <w:r w:rsidRPr="00A23C0C">
        <w:rPr>
          <w:rFonts w:ascii="Book Antiqua" w:hAnsi="Book Antiqua"/>
        </w:rPr>
        <w:t xml:space="preserve"> 2016; </w:t>
      </w:r>
      <w:r w:rsidRPr="00A23C0C">
        <w:rPr>
          <w:rFonts w:ascii="Book Antiqua" w:hAnsi="Book Antiqua"/>
          <w:b/>
          <w:bCs/>
        </w:rPr>
        <w:t>27</w:t>
      </w:r>
      <w:r w:rsidRPr="00A23C0C">
        <w:rPr>
          <w:rFonts w:ascii="Book Antiqua" w:hAnsi="Book Antiqua"/>
        </w:rPr>
        <w:t>: v38-v49 [PMID: 27664260 DOI: 10.1093/annonc/mdw350]</w:t>
      </w:r>
    </w:p>
    <w:p w14:paraId="0B491B26" w14:textId="351BBB89" w:rsidR="00DF05FB" w:rsidRPr="00A23C0C" w:rsidRDefault="00DF05FB" w:rsidP="00DF05FB">
      <w:pPr>
        <w:spacing w:line="360" w:lineRule="auto"/>
        <w:jc w:val="both"/>
        <w:rPr>
          <w:rFonts w:ascii="Book Antiqua" w:hAnsi="Book Antiqua"/>
        </w:rPr>
      </w:pPr>
      <w:r w:rsidRPr="00A23C0C">
        <w:rPr>
          <w:rFonts w:ascii="Book Antiqua" w:hAnsi="Book Antiqua"/>
        </w:rPr>
        <w:t xml:space="preserve">12 </w:t>
      </w:r>
      <w:r w:rsidRPr="00A23C0C">
        <w:rPr>
          <w:rFonts w:ascii="Book Antiqua" w:hAnsi="Book Antiqua"/>
          <w:b/>
          <w:bCs/>
        </w:rPr>
        <w:t>Japanese Gastric Cancer Association</w:t>
      </w:r>
      <w:r w:rsidRPr="00A23C0C">
        <w:rPr>
          <w:rFonts w:ascii="Book Antiqua" w:hAnsi="Book Antiqua"/>
        </w:rPr>
        <w:t xml:space="preserve">. Japanese gastric cancer treatment guidelines 2018 (5th edition). </w:t>
      </w:r>
      <w:r w:rsidRPr="00A23C0C">
        <w:rPr>
          <w:rFonts w:ascii="Book Antiqua" w:hAnsi="Book Antiqua"/>
          <w:i/>
          <w:iCs/>
        </w:rPr>
        <w:t>Gastric Cancer</w:t>
      </w:r>
      <w:r w:rsidRPr="00A23C0C">
        <w:rPr>
          <w:rFonts w:ascii="Book Antiqua" w:hAnsi="Book Antiqua"/>
        </w:rPr>
        <w:t xml:space="preserve"> 2021; </w:t>
      </w:r>
      <w:r w:rsidRPr="00A23C0C">
        <w:rPr>
          <w:rFonts w:ascii="Book Antiqua" w:hAnsi="Book Antiqua"/>
          <w:b/>
          <w:bCs/>
        </w:rPr>
        <w:t>24</w:t>
      </w:r>
      <w:r w:rsidRPr="00A23C0C">
        <w:rPr>
          <w:rFonts w:ascii="Book Antiqua" w:hAnsi="Book Antiqua"/>
        </w:rPr>
        <w:t>: 1-21 [PMID: 32060757 DOI: 10.1007/s10120-020-01042-y]</w:t>
      </w:r>
    </w:p>
    <w:p w14:paraId="0EA32F30"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13 </w:t>
      </w:r>
      <w:r w:rsidRPr="00A23C0C">
        <w:rPr>
          <w:rFonts w:ascii="Book Antiqua" w:hAnsi="Book Antiqua"/>
          <w:b/>
          <w:bCs/>
        </w:rPr>
        <w:t>Rau B</w:t>
      </w:r>
      <w:r w:rsidRPr="00A23C0C">
        <w:rPr>
          <w:rFonts w:ascii="Book Antiqua" w:hAnsi="Book Antiqua"/>
        </w:rPr>
        <w:t xml:space="preserve">, Brandl A, Piso P, Pelz J, Busch P, Demtröder C, Schüle S, Schlitt HJ, Roitman M, Tepel J, Sulkowski U, Uzunoglu F, Hünerbein M, Hörbelt R, Ströhlein M, Beckert S, Königsrainer I, Königsrainer A; Peritoneum Surface Oncology Group and members of the StuDoQ|Peritoneum Registry of the German Society for General and Visceral Surgery (DGAV). Peritoneal metastasis in gastric cancer: results from the German database. </w:t>
      </w:r>
      <w:r w:rsidRPr="00A23C0C">
        <w:rPr>
          <w:rFonts w:ascii="Book Antiqua" w:hAnsi="Book Antiqua"/>
          <w:i/>
          <w:iCs/>
        </w:rPr>
        <w:t>Gastric Cancer</w:t>
      </w:r>
      <w:r w:rsidRPr="00A23C0C">
        <w:rPr>
          <w:rFonts w:ascii="Book Antiqua" w:hAnsi="Book Antiqua"/>
        </w:rPr>
        <w:t xml:space="preserve"> 2020; </w:t>
      </w:r>
      <w:r w:rsidRPr="00A23C0C">
        <w:rPr>
          <w:rFonts w:ascii="Book Antiqua" w:hAnsi="Book Antiqua"/>
          <w:b/>
          <w:bCs/>
        </w:rPr>
        <w:t>23</w:t>
      </w:r>
      <w:r w:rsidRPr="00A23C0C">
        <w:rPr>
          <w:rFonts w:ascii="Book Antiqua" w:hAnsi="Book Antiqua"/>
        </w:rPr>
        <w:t>: 11-22 [PMID: 31228044 DOI: 10.1007/s10120-019-00978-0]</w:t>
      </w:r>
    </w:p>
    <w:p w14:paraId="255608A0"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14 </w:t>
      </w:r>
      <w:r w:rsidRPr="00A23C0C">
        <w:rPr>
          <w:rFonts w:ascii="Book Antiqua" w:hAnsi="Book Antiqua"/>
          <w:b/>
          <w:bCs/>
        </w:rPr>
        <w:t>Thomassen I</w:t>
      </w:r>
      <w:r w:rsidRPr="00A23C0C">
        <w:rPr>
          <w:rFonts w:ascii="Book Antiqua" w:hAnsi="Book Antiqua"/>
        </w:rPr>
        <w:t xml:space="preserve">, van Gestel YR, van Ramshorst B, Luyer MD, Bosscha K, Nienhuijs SW, Lemmens VE, de Hingh IH. Peritoneal carcinomatosis of gastric origin: a population-based study on incidence, survival and risk factors. </w:t>
      </w:r>
      <w:r w:rsidRPr="00A23C0C">
        <w:rPr>
          <w:rFonts w:ascii="Book Antiqua" w:hAnsi="Book Antiqua"/>
          <w:i/>
          <w:iCs/>
        </w:rPr>
        <w:t>Int J Cancer</w:t>
      </w:r>
      <w:r w:rsidRPr="00A23C0C">
        <w:rPr>
          <w:rFonts w:ascii="Book Antiqua" w:hAnsi="Book Antiqua"/>
        </w:rPr>
        <w:t xml:space="preserve"> 2014; </w:t>
      </w:r>
      <w:r w:rsidRPr="00A23C0C">
        <w:rPr>
          <w:rFonts w:ascii="Book Antiqua" w:hAnsi="Book Antiqua"/>
          <w:b/>
          <w:bCs/>
        </w:rPr>
        <w:t>134</w:t>
      </w:r>
      <w:r w:rsidRPr="00A23C0C">
        <w:rPr>
          <w:rFonts w:ascii="Book Antiqua" w:hAnsi="Book Antiqua"/>
        </w:rPr>
        <w:t>: 622-628 [PMID: 23832847 DOI: 10.1002/ijc.28373]</w:t>
      </w:r>
    </w:p>
    <w:p w14:paraId="7095A0D6"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15 </w:t>
      </w:r>
      <w:r w:rsidRPr="00A23C0C">
        <w:rPr>
          <w:rFonts w:ascii="Book Antiqua" w:hAnsi="Book Antiqua"/>
          <w:b/>
          <w:bCs/>
        </w:rPr>
        <w:t>Kanda M</w:t>
      </w:r>
      <w:r w:rsidRPr="00A23C0C">
        <w:rPr>
          <w:rFonts w:ascii="Book Antiqua" w:hAnsi="Book Antiqua"/>
        </w:rPr>
        <w:t xml:space="preserve">, Kodera Y. Molecular mechanisms of peritoneal dissemination in gastric cancer. </w:t>
      </w:r>
      <w:r w:rsidRPr="00A23C0C">
        <w:rPr>
          <w:rFonts w:ascii="Book Antiqua" w:hAnsi="Book Antiqua"/>
          <w:i/>
          <w:iCs/>
        </w:rPr>
        <w:t>World J Gastroenterol</w:t>
      </w:r>
      <w:r w:rsidRPr="00A23C0C">
        <w:rPr>
          <w:rFonts w:ascii="Book Antiqua" w:hAnsi="Book Antiqua"/>
        </w:rPr>
        <w:t xml:space="preserve"> 2016; </w:t>
      </w:r>
      <w:r w:rsidRPr="00A23C0C">
        <w:rPr>
          <w:rFonts w:ascii="Book Antiqua" w:hAnsi="Book Antiqua"/>
          <w:b/>
          <w:bCs/>
        </w:rPr>
        <w:t>22</w:t>
      </w:r>
      <w:r w:rsidRPr="00A23C0C">
        <w:rPr>
          <w:rFonts w:ascii="Book Antiqua" w:hAnsi="Book Antiqua"/>
        </w:rPr>
        <w:t>: 6829-6840 [PMID: 27570420 DOI: 10.3748/wjg.v22.i30.6829]</w:t>
      </w:r>
    </w:p>
    <w:p w14:paraId="37483338"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16 </w:t>
      </w:r>
      <w:r w:rsidRPr="00A23C0C">
        <w:rPr>
          <w:rFonts w:ascii="Book Antiqua" w:hAnsi="Book Antiqua"/>
          <w:b/>
          <w:bCs/>
        </w:rPr>
        <w:t>Fujitani K</w:t>
      </w:r>
      <w:r w:rsidRPr="00A23C0C">
        <w:rPr>
          <w:rFonts w:ascii="Book Antiqua" w:hAnsi="Book Antiqua"/>
        </w:rPr>
        <w:t xml:space="preserve">, Yang HK, Kurokawa Y, Park DJ, Tsujinaka T, Park BJ, Fukuda H, Noh SH, Boku N, Bang YJ, Sasako M, Lee JI; Gastric Cancer Surgical Study Group of Japan Clinical Oncology Group; Korea Gastric Cancer Association. Randomized controlled trial comparing gastrectomy plus chemotherapy with chemotherapy alone in advanced gastric cancer with a single non-curable factor: Japan Clinical Oncology Group Study JCOG 0705 and Korea Gastric Cancer Association Study KGCA01. </w:t>
      </w:r>
      <w:r w:rsidRPr="00A23C0C">
        <w:rPr>
          <w:rFonts w:ascii="Book Antiqua" w:hAnsi="Book Antiqua"/>
          <w:i/>
          <w:iCs/>
        </w:rPr>
        <w:t>Jpn J Clin Oncol</w:t>
      </w:r>
      <w:r w:rsidRPr="00A23C0C">
        <w:rPr>
          <w:rFonts w:ascii="Book Antiqua" w:hAnsi="Book Antiqua"/>
        </w:rPr>
        <w:t xml:space="preserve"> 2008; </w:t>
      </w:r>
      <w:r w:rsidRPr="00A23C0C">
        <w:rPr>
          <w:rFonts w:ascii="Book Antiqua" w:hAnsi="Book Antiqua"/>
          <w:b/>
          <w:bCs/>
        </w:rPr>
        <w:t>38</w:t>
      </w:r>
      <w:r w:rsidRPr="00A23C0C">
        <w:rPr>
          <w:rFonts w:ascii="Book Antiqua" w:hAnsi="Book Antiqua"/>
        </w:rPr>
        <w:t>: 504-506 [PMID: 18617536 DOI: 10.1093/jjco/hyn058]</w:t>
      </w:r>
    </w:p>
    <w:p w14:paraId="67E1C063"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17 </w:t>
      </w:r>
      <w:r w:rsidRPr="00A23C0C">
        <w:rPr>
          <w:rFonts w:ascii="Book Antiqua" w:hAnsi="Book Antiqua"/>
          <w:b/>
          <w:bCs/>
        </w:rPr>
        <w:t>Jamel S</w:t>
      </w:r>
      <w:r w:rsidRPr="00A23C0C">
        <w:rPr>
          <w:rFonts w:ascii="Book Antiqua" w:hAnsi="Book Antiqua"/>
        </w:rPr>
        <w:t xml:space="preserve">, Markar SR, Malietzis G, Acharya A, Athanasiou T, Hanna GB. Prognostic significance of peritoneal lavage cytology in staging gastric cancer: systematic review </w:t>
      </w:r>
      <w:r w:rsidRPr="00A23C0C">
        <w:rPr>
          <w:rFonts w:ascii="Book Antiqua" w:hAnsi="Book Antiqua"/>
        </w:rPr>
        <w:lastRenderedPageBreak/>
        <w:t xml:space="preserve">and meta-analysis. </w:t>
      </w:r>
      <w:r w:rsidRPr="00A23C0C">
        <w:rPr>
          <w:rFonts w:ascii="Book Antiqua" w:hAnsi="Book Antiqua"/>
          <w:i/>
          <w:iCs/>
        </w:rPr>
        <w:t>Gastric Cancer</w:t>
      </w:r>
      <w:r w:rsidRPr="00A23C0C">
        <w:rPr>
          <w:rFonts w:ascii="Book Antiqua" w:hAnsi="Book Antiqua"/>
        </w:rPr>
        <w:t xml:space="preserve"> 2018; </w:t>
      </w:r>
      <w:r w:rsidRPr="00A23C0C">
        <w:rPr>
          <w:rFonts w:ascii="Book Antiqua" w:hAnsi="Book Antiqua"/>
          <w:b/>
          <w:bCs/>
        </w:rPr>
        <w:t>21</w:t>
      </w:r>
      <w:r w:rsidRPr="00A23C0C">
        <w:rPr>
          <w:rFonts w:ascii="Book Antiqua" w:hAnsi="Book Antiqua"/>
        </w:rPr>
        <w:t>: 10-18 [PMID: 28779261 DOI: 10.1007/s10120-017-0749-y]</w:t>
      </w:r>
    </w:p>
    <w:p w14:paraId="5A9E7606"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18 </w:t>
      </w:r>
      <w:r w:rsidRPr="00A23C0C">
        <w:rPr>
          <w:rFonts w:ascii="Book Antiqua" w:hAnsi="Book Antiqua"/>
          <w:b/>
          <w:bCs/>
        </w:rPr>
        <w:t>Kodera Y</w:t>
      </w:r>
      <w:r w:rsidRPr="00A23C0C">
        <w:rPr>
          <w:rFonts w:ascii="Book Antiqua" w:hAnsi="Book Antiqua"/>
        </w:rPr>
        <w:t xml:space="preserve">, Ito S, Mochizuki Y, Ohashi N, Tanaka C, Kobayashi D, Kojima H, Matsui T, Kondo K, Fujiwara M. Long-term follow up of patients who were positive for peritoneal lavage cytology: final report from the CCOG0301 study. </w:t>
      </w:r>
      <w:r w:rsidRPr="00A23C0C">
        <w:rPr>
          <w:rFonts w:ascii="Book Antiqua" w:hAnsi="Book Antiqua"/>
          <w:i/>
          <w:iCs/>
        </w:rPr>
        <w:t>Gastric Cancer</w:t>
      </w:r>
      <w:r w:rsidRPr="00A23C0C">
        <w:rPr>
          <w:rFonts w:ascii="Book Antiqua" w:hAnsi="Book Antiqua"/>
        </w:rPr>
        <w:t xml:space="preserve"> 2012; </w:t>
      </w:r>
      <w:r w:rsidRPr="00A23C0C">
        <w:rPr>
          <w:rFonts w:ascii="Book Antiqua" w:hAnsi="Book Antiqua"/>
          <w:b/>
          <w:bCs/>
        </w:rPr>
        <w:t>15</w:t>
      </w:r>
      <w:r w:rsidRPr="00A23C0C">
        <w:rPr>
          <w:rFonts w:ascii="Book Antiqua" w:hAnsi="Book Antiqua"/>
        </w:rPr>
        <w:t>: 335-337 [PMID: 22527184 DOI: 10.1007/s10120-012-0156-3]</w:t>
      </w:r>
    </w:p>
    <w:p w14:paraId="0C2298C7"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19 </w:t>
      </w:r>
      <w:r w:rsidRPr="00A23C0C">
        <w:rPr>
          <w:rFonts w:ascii="Book Antiqua" w:hAnsi="Book Antiqua"/>
          <w:b/>
          <w:bCs/>
        </w:rPr>
        <w:t>Kano K</w:t>
      </w:r>
      <w:r w:rsidRPr="00A23C0C">
        <w:rPr>
          <w:rFonts w:ascii="Book Antiqua" w:hAnsi="Book Antiqua"/>
        </w:rPr>
        <w:t xml:space="preserve">, Aoyama T, Maezawa Y, Nakajima T, Ikeda K, Yamada T, Sato T, Oshima T, Rino Y, Masuda M, Ogata T, Cho H, Yoshikawa T. The survival and prognosticators of peritoneal cytology-positive gastric cancer patients who received upfront gastrectomy and subsequent S-1 chemotherapy. </w:t>
      </w:r>
      <w:r w:rsidRPr="00A23C0C">
        <w:rPr>
          <w:rFonts w:ascii="Book Antiqua" w:hAnsi="Book Antiqua"/>
          <w:i/>
          <w:iCs/>
        </w:rPr>
        <w:t>Int J Clin Oncol</w:t>
      </w:r>
      <w:r w:rsidRPr="00A23C0C">
        <w:rPr>
          <w:rFonts w:ascii="Book Antiqua" w:hAnsi="Book Antiqua"/>
        </w:rPr>
        <w:t xml:space="preserve"> 2017; </w:t>
      </w:r>
      <w:r w:rsidRPr="00A23C0C">
        <w:rPr>
          <w:rFonts w:ascii="Book Antiqua" w:hAnsi="Book Antiqua"/>
          <w:b/>
          <w:bCs/>
        </w:rPr>
        <w:t>22</w:t>
      </w:r>
      <w:r w:rsidRPr="00A23C0C">
        <w:rPr>
          <w:rFonts w:ascii="Book Antiqua" w:hAnsi="Book Antiqua"/>
        </w:rPr>
        <w:t>: 887-896 [PMID: 28456896 DOI: 10.1007/s10147-017-1128-8]</w:t>
      </w:r>
    </w:p>
    <w:p w14:paraId="264BC08B"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20 </w:t>
      </w:r>
      <w:r w:rsidRPr="00A23C0C">
        <w:rPr>
          <w:rFonts w:ascii="Book Antiqua" w:hAnsi="Book Antiqua"/>
          <w:b/>
          <w:bCs/>
        </w:rPr>
        <w:t>Shim HJ</w:t>
      </w:r>
      <w:r w:rsidRPr="00A23C0C">
        <w:rPr>
          <w:rFonts w:ascii="Book Antiqua" w:hAnsi="Book Antiqua"/>
        </w:rPr>
        <w:t xml:space="preserve">, Kim HJ, Lee SH, Bae WK, Hwang EC, Cho SH, Chung IJ, Bang HJ, Hwang JE. Observational Study of Peritoneal Washing Cytology-Positive Gastric Cancer without Gross Peritoneal Metastasis in Patients who Underwent Radical D2 Gastrectomy. </w:t>
      </w:r>
      <w:r w:rsidRPr="00A23C0C">
        <w:rPr>
          <w:rFonts w:ascii="Book Antiqua" w:hAnsi="Book Antiqua"/>
          <w:i/>
          <w:iCs/>
        </w:rPr>
        <w:t>Sci Rep</w:t>
      </w:r>
      <w:r w:rsidRPr="00A23C0C">
        <w:rPr>
          <w:rFonts w:ascii="Book Antiqua" w:hAnsi="Book Antiqua"/>
        </w:rPr>
        <w:t xml:space="preserve"> 2020; </w:t>
      </w:r>
      <w:r w:rsidRPr="00A23C0C">
        <w:rPr>
          <w:rFonts w:ascii="Book Antiqua" w:hAnsi="Book Antiqua"/>
          <w:b/>
          <w:bCs/>
        </w:rPr>
        <w:t>10</w:t>
      </w:r>
      <w:r w:rsidRPr="00A23C0C">
        <w:rPr>
          <w:rFonts w:ascii="Book Antiqua" w:hAnsi="Book Antiqua"/>
        </w:rPr>
        <w:t>: 9549 [PMID: 32533084 DOI: 10.1038/s41598-020-66637-y]</w:t>
      </w:r>
    </w:p>
    <w:p w14:paraId="43265B74"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21 </w:t>
      </w:r>
      <w:r w:rsidRPr="00A23C0C">
        <w:rPr>
          <w:rFonts w:ascii="Book Antiqua" w:hAnsi="Book Antiqua"/>
          <w:b/>
          <w:bCs/>
        </w:rPr>
        <w:t>Komatsu S</w:t>
      </w:r>
      <w:r w:rsidRPr="00A23C0C">
        <w:rPr>
          <w:rFonts w:ascii="Book Antiqua" w:hAnsi="Book Antiqua"/>
        </w:rPr>
        <w:t xml:space="preserve">, Shioaki Y, Furuke H, Ohta A, Tsuji R, Tanaka S, Kumano T, Imura KI, Shimomura K, Ikeda J, Taniguchi F, Ueshima Y, Lee CJ, Deguchi E, Ikeda E, Otsuji E. Is curative gastrectomy justified for gastric cancer with cytology positive as the only stage IV factor? </w:t>
      </w:r>
      <w:r w:rsidRPr="00A23C0C">
        <w:rPr>
          <w:rFonts w:ascii="Book Antiqua" w:hAnsi="Book Antiqua"/>
          <w:i/>
          <w:iCs/>
        </w:rPr>
        <w:t>Langenbecks Arch Surg</w:t>
      </w:r>
      <w:r w:rsidRPr="00A23C0C">
        <w:rPr>
          <w:rFonts w:ascii="Book Antiqua" w:hAnsi="Book Antiqua"/>
        </w:rPr>
        <w:t xml:space="preserve"> 2019; </w:t>
      </w:r>
      <w:r w:rsidRPr="00A23C0C">
        <w:rPr>
          <w:rFonts w:ascii="Book Antiqua" w:hAnsi="Book Antiqua"/>
          <w:b/>
          <w:bCs/>
        </w:rPr>
        <w:t>404</w:t>
      </w:r>
      <w:r w:rsidRPr="00A23C0C">
        <w:rPr>
          <w:rFonts w:ascii="Book Antiqua" w:hAnsi="Book Antiqua"/>
        </w:rPr>
        <w:t>: 599-604 [PMID: 31073759 DOI: 10.1007/s00423-019-01791-0]</w:t>
      </w:r>
    </w:p>
    <w:p w14:paraId="318F4B81"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22 </w:t>
      </w:r>
      <w:r w:rsidRPr="00A23C0C">
        <w:rPr>
          <w:rFonts w:ascii="Book Antiqua" w:hAnsi="Book Antiqua"/>
          <w:b/>
          <w:bCs/>
        </w:rPr>
        <w:t>Kang WZ</w:t>
      </w:r>
      <w:r w:rsidRPr="00A23C0C">
        <w:rPr>
          <w:rFonts w:ascii="Book Antiqua" w:hAnsi="Book Antiqua"/>
        </w:rPr>
        <w:t xml:space="preserve">, Zhong YX, Ma FH, Xue LY, Xiong JP, Ma S, Li Y, Xie YB, Quan X, Tian YT. Survival outcomes and prognostic indicators for gastric cancer patients with positive peritoneal wash cytology but no peritoneal metastasis after radical gastrectomy. </w:t>
      </w:r>
      <w:r w:rsidRPr="00A23C0C">
        <w:rPr>
          <w:rFonts w:ascii="Book Antiqua" w:hAnsi="Book Antiqua"/>
          <w:i/>
          <w:iCs/>
        </w:rPr>
        <w:t>World J Gastrointest Oncol</w:t>
      </w:r>
      <w:r w:rsidRPr="00A23C0C">
        <w:rPr>
          <w:rFonts w:ascii="Book Antiqua" w:hAnsi="Book Antiqua"/>
        </w:rPr>
        <w:t xml:space="preserve"> 2021; </w:t>
      </w:r>
      <w:r w:rsidRPr="00A23C0C">
        <w:rPr>
          <w:rFonts w:ascii="Book Antiqua" w:hAnsi="Book Antiqua"/>
          <w:b/>
          <w:bCs/>
        </w:rPr>
        <w:t>13</w:t>
      </w:r>
      <w:r w:rsidRPr="00A23C0C">
        <w:rPr>
          <w:rFonts w:ascii="Book Antiqua" w:hAnsi="Book Antiqua"/>
        </w:rPr>
        <w:t>: 24-36 [PMID: 33510847 DOI: 10.4251/wjgo.v13.i1.24]</w:t>
      </w:r>
    </w:p>
    <w:p w14:paraId="61506FF3"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23 </w:t>
      </w:r>
      <w:r w:rsidRPr="00A23C0C">
        <w:rPr>
          <w:rFonts w:ascii="Book Antiqua" w:hAnsi="Book Antiqua"/>
          <w:b/>
          <w:bCs/>
        </w:rPr>
        <w:t>Mezhir JJ</w:t>
      </w:r>
      <w:r w:rsidRPr="00A23C0C">
        <w:rPr>
          <w:rFonts w:ascii="Book Antiqua" w:hAnsi="Book Antiqua"/>
        </w:rPr>
        <w:t xml:space="preserve">, Shah MA, Jacks LM, Brennan MF, Coit DG, Strong VE. Positive peritoneal cytology in patients with gastric cancer: natural history and outcome of 291 patients. </w:t>
      </w:r>
      <w:r w:rsidRPr="00A23C0C">
        <w:rPr>
          <w:rFonts w:ascii="Book Antiqua" w:hAnsi="Book Antiqua"/>
          <w:i/>
          <w:iCs/>
        </w:rPr>
        <w:t>Ann Surg Oncol</w:t>
      </w:r>
      <w:r w:rsidRPr="00A23C0C">
        <w:rPr>
          <w:rFonts w:ascii="Book Antiqua" w:hAnsi="Book Antiqua"/>
        </w:rPr>
        <w:t xml:space="preserve"> 2010; </w:t>
      </w:r>
      <w:r w:rsidRPr="00A23C0C">
        <w:rPr>
          <w:rFonts w:ascii="Book Antiqua" w:hAnsi="Book Antiqua"/>
          <w:b/>
          <w:bCs/>
        </w:rPr>
        <w:t>17</w:t>
      </w:r>
      <w:r w:rsidRPr="00A23C0C">
        <w:rPr>
          <w:rFonts w:ascii="Book Antiqua" w:hAnsi="Book Antiqua"/>
        </w:rPr>
        <w:t>: 3173-3180 [PMID: 20585870 DOI: 10.1245/s10434-010-1183-0]</w:t>
      </w:r>
    </w:p>
    <w:p w14:paraId="65E3A02E"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24 </w:t>
      </w:r>
      <w:r w:rsidRPr="00A23C0C">
        <w:rPr>
          <w:rFonts w:ascii="Book Antiqua" w:hAnsi="Book Antiqua"/>
          <w:b/>
          <w:bCs/>
        </w:rPr>
        <w:t>Aizawa M</w:t>
      </w:r>
      <w:r w:rsidRPr="00A23C0C">
        <w:rPr>
          <w:rFonts w:ascii="Book Antiqua" w:hAnsi="Book Antiqua"/>
        </w:rPr>
        <w:t xml:space="preserve">, Nashimoto A, Yabusaki H, Nakagawa S, Matsuki A, Homma K, Kawasaki T. The clinical significance of potentially curative resection for gastric cancer </w:t>
      </w:r>
      <w:r w:rsidRPr="00A23C0C">
        <w:rPr>
          <w:rFonts w:ascii="Book Antiqua" w:hAnsi="Book Antiqua"/>
        </w:rPr>
        <w:lastRenderedPageBreak/>
        <w:t xml:space="preserve">following the clearance of free cancer cells in the peritoneal cavity by induction chemotherapy. </w:t>
      </w:r>
      <w:r w:rsidRPr="00A23C0C">
        <w:rPr>
          <w:rFonts w:ascii="Book Antiqua" w:hAnsi="Book Antiqua"/>
          <w:i/>
          <w:iCs/>
        </w:rPr>
        <w:t>Surg Today</w:t>
      </w:r>
      <w:r w:rsidRPr="00A23C0C">
        <w:rPr>
          <w:rFonts w:ascii="Book Antiqua" w:hAnsi="Book Antiqua"/>
        </w:rPr>
        <w:t xml:space="preserve"> 2015; </w:t>
      </w:r>
      <w:r w:rsidRPr="00A23C0C">
        <w:rPr>
          <w:rFonts w:ascii="Book Antiqua" w:hAnsi="Book Antiqua"/>
          <w:b/>
          <w:bCs/>
        </w:rPr>
        <w:t>45</w:t>
      </w:r>
      <w:r w:rsidRPr="00A23C0C">
        <w:rPr>
          <w:rFonts w:ascii="Book Antiqua" w:hAnsi="Book Antiqua"/>
        </w:rPr>
        <w:t>: 611-617 [PMID: 25027056 DOI: 10.1007/s00595-014-0979-0]</w:t>
      </w:r>
    </w:p>
    <w:p w14:paraId="6884FBEB"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25 </w:t>
      </w:r>
      <w:r w:rsidRPr="00A23C0C">
        <w:rPr>
          <w:rFonts w:ascii="Book Antiqua" w:hAnsi="Book Antiqua"/>
          <w:b/>
          <w:bCs/>
        </w:rPr>
        <w:t>Yasufuku I</w:t>
      </w:r>
      <w:r w:rsidRPr="00A23C0C">
        <w:rPr>
          <w:rFonts w:ascii="Book Antiqua" w:hAnsi="Book Antiqua"/>
        </w:rPr>
        <w:t xml:space="preserve">, Nunobe S, Ida S, Kumagai K, Ohashi M, Hiki N, Sano T. Conversion therapy for peritoneal lavage cytology-positive type 4 and large type 3 gastric cancer patients selected as candidates for R0 resection by diagnostic staging laparoscopy. </w:t>
      </w:r>
      <w:r w:rsidRPr="00A23C0C">
        <w:rPr>
          <w:rFonts w:ascii="Book Antiqua" w:hAnsi="Book Antiqua"/>
          <w:i/>
          <w:iCs/>
        </w:rPr>
        <w:t>Gastric Cancer</w:t>
      </w:r>
      <w:r w:rsidRPr="00A23C0C">
        <w:rPr>
          <w:rFonts w:ascii="Book Antiqua" w:hAnsi="Book Antiqua"/>
        </w:rPr>
        <w:t xml:space="preserve"> 2020; </w:t>
      </w:r>
      <w:r w:rsidRPr="00A23C0C">
        <w:rPr>
          <w:rFonts w:ascii="Book Antiqua" w:hAnsi="Book Antiqua"/>
          <w:b/>
          <w:bCs/>
        </w:rPr>
        <w:t>23</w:t>
      </w:r>
      <w:r w:rsidRPr="00A23C0C">
        <w:rPr>
          <w:rFonts w:ascii="Book Antiqua" w:hAnsi="Book Antiqua"/>
        </w:rPr>
        <w:t>: 319-327 [PMID: 31350702 DOI: 10.1007/s10120-019-00994-0]</w:t>
      </w:r>
    </w:p>
    <w:p w14:paraId="50C16633"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26 </w:t>
      </w:r>
      <w:r w:rsidRPr="00A23C0C">
        <w:rPr>
          <w:rFonts w:ascii="Book Antiqua" w:hAnsi="Book Antiqua"/>
          <w:b/>
          <w:bCs/>
        </w:rPr>
        <w:t>Badgwell B</w:t>
      </w:r>
      <w:r w:rsidRPr="00A23C0C">
        <w:rPr>
          <w:rFonts w:ascii="Book Antiqua" w:hAnsi="Book Antiqua"/>
        </w:rPr>
        <w:t xml:space="preserve">, Cormier JN, Krishnan S, Yao J, Staerkel GA, Lupo PJ, Pisters PW, Feig B, Mansfield P. Does neoadjuvant treatment for gastric cancer patients with positive peritoneal cytology at staging laparoscopy improve survival? </w:t>
      </w:r>
      <w:r w:rsidRPr="00A23C0C">
        <w:rPr>
          <w:rFonts w:ascii="Book Antiqua" w:hAnsi="Book Antiqua"/>
          <w:i/>
          <w:iCs/>
        </w:rPr>
        <w:t>Ann Surg Oncol</w:t>
      </w:r>
      <w:r w:rsidRPr="00A23C0C">
        <w:rPr>
          <w:rFonts w:ascii="Book Antiqua" w:hAnsi="Book Antiqua"/>
        </w:rPr>
        <w:t xml:space="preserve"> 2008; </w:t>
      </w:r>
      <w:r w:rsidRPr="00A23C0C">
        <w:rPr>
          <w:rFonts w:ascii="Book Antiqua" w:hAnsi="Book Antiqua"/>
          <w:b/>
          <w:bCs/>
        </w:rPr>
        <w:t>15</w:t>
      </w:r>
      <w:r w:rsidRPr="00A23C0C">
        <w:rPr>
          <w:rFonts w:ascii="Book Antiqua" w:hAnsi="Book Antiqua"/>
        </w:rPr>
        <w:t>: 2684-2691 [PMID: 18649106 DOI: 10.1245/s10434-008-0055-3]</w:t>
      </w:r>
    </w:p>
    <w:p w14:paraId="267A87B9"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27 </w:t>
      </w:r>
      <w:r w:rsidRPr="00A23C0C">
        <w:rPr>
          <w:rFonts w:ascii="Book Antiqua" w:hAnsi="Book Antiqua"/>
          <w:b/>
          <w:bCs/>
        </w:rPr>
        <w:t>de Bree E</w:t>
      </w:r>
      <w:r w:rsidRPr="00A23C0C">
        <w:rPr>
          <w:rFonts w:ascii="Book Antiqua" w:hAnsi="Book Antiqua"/>
        </w:rPr>
        <w:t xml:space="preserve">, Michelakis D, Stamatiou D, Romanos J, Zoras O. Pharmacological principles of intraperitoneal and bidirectional chemotherapy. </w:t>
      </w:r>
      <w:r w:rsidRPr="00A23C0C">
        <w:rPr>
          <w:rFonts w:ascii="Book Antiqua" w:hAnsi="Book Antiqua"/>
          <w:i/>
          <w:iCs/>
        </w:rPr>
        <w:t>Pleura Peritoneum</w:t>
      </w:r>
      <w:r w:rsidRPr="00A23C0C">
        <w:rPr>
          <w:rFonts w:ascii="Book Antiqua" w:hAnsi="Book Antiqua"/>
        </w:rPr>
        <w:t xml:space="preserve"> 2017; </w:t>
      </w:r>
      <w:r w:rsidRPr="00A23C0C">
        <w:rPr>
          <w:rFonts w:ascii="Book Antiqua" w:hAnsi="Book Antiqua"/>
          <w:b/>
          <w:bCs/>
        </w:rPr>
        <w:t>2</w:t>
      </w:r>
      <w:r w:rsidRPr="00A23C0C">
        <w:rPr>
          <w:rFonts w:ascii="Book Antiqua" w:hAnsi="Book Antiqua"/>
        </w:rPr>
        <w:t>: 47-62 [PMID: 30911633 DOI: 10.1515/pp-2017-0010]</w:t>
      </w:r>
    </w:p>
    <w:p w14:paraId="45B58BD7"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28 </w:t>
      </w:r>
      <w:r w:rsidRPr="00A23C0C">
        <w:rPr>
          <w:rFonts w:ascii="Book Antiqua" w:hAnsi="Book Antiqua"/>
          <w:b/>
          <w:bCs/>
        </w:rPr>
        <w:t>González-Moreno S</w:t>
      </w:r>
      <w:r w:rsidRPr="00A23C0C">
        <w:rPr>
          <w:rFonts w:ascii="Book Antiqua" w:hAnsi="Book Antiqua"/>
        </w:rPr>
        <w:t xml:space="preserve">, González-Bayón LA, Ortega-Pérez G. Hyperthermic intraperitoneal chemotherapy: Rationale and technique. </w:t>
      </w:r>
      <w:r w:rsidRPr="00A23C0C">
        <w:rPr>
          <w:rFonts w:ascii="Book Antiqua" w:hAnsi="Book Antiqua"/>
          <w:i/>
          <w:iCs/>
        </w:rPr>
        <w:t>World J Gastrointest Oncol</w:t>
      </w:r>
      <w:r w:rsidRPr="00A23C0C">
        <w:rPr>
          <w:rFonts w:ascii="Book Antiqua" w:hAnsi="Book Antiqua"/>
        </w:rPr>
        <w:t xml:space="preserve"> 2010; </w:t>
      </w:r>
      <w:r w:rsidRPr="00A23C0C">
        <w:rPr>
          <w:rFonts w:ascii="Book Antiqua" w:hAnsi="Book Antiqua"/>
          <w:b/>
          <w:bCs/>
        </w:rPr>
        <w:t>2</w:t>
      </w:r>
      <w:r w:rsidRPr="00A23C0C">
        <w:rPr>
          <w:rFonts w:ascii="Book Antiqua" w:hAnsi="Book Antiqua"/>
        </w:rPr>
        <w:t>: 68-75 [PMID: 21160924 DOI: 10.4251/wjgo.v2.i2.68]</w:t>
      </w:r>
    </w:p>
    <w:p w14:paraId="60C28375"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29 </w:t>
      </w:r>
      <w:r w:rsidRPr="00A23C0C">
        <w:rPr>
          <w:rFonts w:ascii="Book Antiqua" w:hAnsi="Book Antiqua"/>
          <w:b/>
          <w:bCs/>
        </w:rPr>
        <w:t>Imano M</w:t>
      </w:r>
      <w:r w:rsidRPr="00A23C0C">
        <w:rPr>
          <w:rFonts w:ascii="Book Antiqua" w:hAnsi="Book Antiqua"/>
        </w:rPr>
        <w:t xml:space="preserve">, Imamoto H, Itoh T, Satou T, Peng YF, Yasuda A, Kato H, Nishiki K, Shiraishi O, Shinkai M, Tsubaki M, Yasuda T, Nishida S, Takeyama Y, Okuno K, Shiozaki H. Impact of intraperitoneal chemotherapy after gastrectomy with positive cytological findings in peritoneal washings. </w:t>
      </w:r>
      <w:r w:rsidRPr="00A23C0C">
        <w:rPr>
          <w:rFonts w:ascii="Book Antiqua" w:hAnsi="Book Antiqua"/>
          <w:i/>
          <w:iCs/>
        </w:rPr>
        <w:t>Eur Surg Res</w:t>
      </w:r>
      <w:r w:rsidRPr="00A23C0C">
        <w:rPr>
          <w:rFonts w:ascii="Book Antiqua" w:hAnsi="Book Antiqua"/>
        </w:rPr>
        <w:t xml:space="preserve"> 2011; </w:t>
      </w:r>
      <w:r w:rsidRPr="00A23C0C">
        <w:rPr>
          <w:rFonts w:ascii="Book Antiqua" w:hAnsi="Book Antiqua"/>
          <w:b/>
          <w:bCs/>
        </w:rPr>
        <w:t>47</w:t>
      </w:r>
      <w:r w:rsidRPr="00A23C0C">
        <w:rPr>
          <w:rFonts w:ascii="Book Antiqua" w:hAnsi="Book Antiqua"/>
        </w:rPr>
        <w:t>: 254-259 [PMID: 22067579 DOI: 10.1159/000333803]</w:t>
      </w:r>
    </w:p>
    <w:p w14:paraId="2139FCDE"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30 </w:t>
      </w:r>
      <w:r w:rsidRPr="00A23C0C">
        <w:rPr>
          <w:rFonts w:ascii="Book Antiqua" w:hAnsi="Book Antiqua"/>
          <w:b/>
          <w:bCs/>
        </w:rPr>
        <w:t>Shimada S</w:t>
      </w:r>
      <w:r w:rsidRPr="00A23C0C">
        <w:rPr>
          <w:rFonts w:ascii="Book Antiqua" w:hAnsi="Book Antiqua"/>
        </w:rPr>
        <w:t xml:space="preserve">, Tanaka E, Marutsuka T, Honmyo U, Tokunaga H, Yagi Y, Aoki N, Ogawa M. Extensive intraoperative peritoneal lavage and chemotherapy for gastric cancer patients with peritoneal free cancer cells. </w:t>
      </w:r>
      <w:r w:rsidRPr="00A23C0C">
        <w:rPr>
          <w:rFonts w:ascii="Book Antiqua" w:hAnsi="Book Antiqua"/>
          <w:i/>
          <w:iCs/>
        </w:rPr>
        <w:t>Gastric Cancer</w:t>
      </w:r>
      <w:r w:rsidRPr="00A23C0C">
        <w:rPr>
          <w:rFonts w:ascii="Book Antiqua" w:hAnsi="Book Antiqua"/>
        </w:rPr>
        <w:t xml:space="preserve"> 2002; </w:t>
      </w:r>
      <w:r w:rsidRPr="00A23C0C">
        <w:rPr>
          <w:rFonts w:ascii="Book Antiqua" w:hAnsi="Book Antiqua"/>
          <w:b/>
          <w:bCs/>
        </w:rPr>
        <w:t>5</w:t>
      </w:r>
      <w:r w:rsidRPr="00A23C0C">
        <w:rPr>
          <w:rFonts w:ascii="Book Antiqua" w:hAnsi="Book Antiqua"/>
        </w:rPr>
        <w:t>: 168-172 [PMID: 12378344 DOI: 10.1007/s101200200029]</w:t>
      </w:r>
    </w:p>
    <w:p w14:paraId="48A69090"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31 </w:t>
      </w:r>
      <w:r w:rsidRPr="00A23C0C">
        <w:rPr>
          <w:rFonts w:ascii="Book Antiqua" w:hAnsi="Book Antiqua"/>
          <w:b/>
          <w:bCs/>
        </w:rPr>
        <w:t>Kuramoto M</w:t>
      </w:r>
      <w:r w:rsidRPr="00A23C0C">
        <w:rPr>
          <w:rFonts w:ascii="Book Antiqua" w:hAnsi="Book Antiqua"/>
        </w:rPr>
        <w:t xml:space="preserve">, Shimada S, Ikeshima S, Matsuo A, Yagi Y, Matsuda M, Yonemura Y, Baba H. Extensive intraoperative peritoneal lavage as a standard prophylactic strategy </w:t>
      </w:r>
      <w:r w:rsidRPr="00A23C0C">
        <w:rPr>
          <w:rFonts w:ascii="Book Antiqua" w:hAnsi="Book Antiqua"/>
        </w:rPr>
        <w:lastRenderedPageBreak/>
        <w:t xml:space="preserve">for peritoneal recurrence in patients with gastric carcinoma. </w:t>
      </w:r>
      <w:r w:rsidRPr="00A23C0C">
        <w:rPr>
          <w:rFonts w:ascii="Book Antiqua" w:hAnsi="Book Antiqua"/>
          <w:i/>
          <w:iCs/>
        </w:rPr>
        <w:t>Ann Surg</w:t>
      </w:r>
      <w:r w:rsidRPr="00A23C0C">
        <w:rPr>
          <w:rFonts w:ascii="Book Antiqua" w:hAnsi="Book Antiqua"/>
        </w:rPr>
        <w:t xml:space="preserve"> 2009; </w:t>
      </w:r>
      <w:r w:rsidRPr="00A23C0C">
        <w:rPr>
          <w:rFonts w:ascii="Book Antiqua" w:hAnsi="Book Antiqua"/>
          <w:b/>
          <w:bCs/>
        </w:rPr>
        <w:t>250</w:t>
      </w:r>
      <w:r w:rsidRPr="00A23C0C">
        <w:rPr>
          <w:rFonts w:ascii="Book Antiqua" w:hAnsi="Book Antiqua"/>
        </w:rPr>
        <w:t>: 242-246 [PMID: 19638909 DOI: 10.1097/SLA.0b013e3181b0c80e]</w:t>
      </w:r>
    </w:p>
    <w:p w14:paraId="3904BBD4"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32 </w:t>
      </w:r>
      <w:r w:rsidRPr="00A23C0C">
        <w:rPr>
          <w:rFonts w:ascii="Book Antiqua" w:hAnsi="Book Antiqua"/>
          <w:b/>
          <w:bCs/>
        </w:rPr>
        <w:t>Yang HK</w:t>
      </w:r>
      <w:r w:rsidRPr="00A23C0C">
        <w:rPr>
          <w:rFonts w:ascii="Book Antiqua" w:hAnsi="Book Antiqua"/>
        </w:rPr>
        <w:t xml:space="preserve">, Ji J, Han SU, Terashima M, Li G, Kim HH, Law S, Shabbir A, Song KY, Hyung WJ, Kosai NR, Kono K, Misawa K, Yabusaki H, Kinoshita T, Lau PC, Kim YW, Rao JR, Ng E, Yamada T, Yoshida K, Park DJ, Tai BC, So JBY; EXPEL study group. Extensive peritoneal lavage with saline after curative gastrectomy for gastric cancer (EXPEL): a multicentre randomised controlled trial. </w:t>
      </w:r>
      <w:r w:rsidRPr="00A23C0C">
        <w:rPr>
          <w:rFonts w:ascii="Book Antiqua" w:hAnsi="Book Antiqua"/>
          <w:i/>
          <w:iCs/>
        </w:rPr>
        <w:t>Lancet Gastroenterol Hepatol</w:t>
      </w:r>
      <w:r w:rsidRPr="00A23C0C">
        <w:rPr>
          <w:rFonts w:ascii="Book Antiqua" w:hAnsi="Book Antiqua"/>
        </w:rPr>
        <w:t xml:space="preserve"> 2021; </w:t>
      </w:r>
      <w:r w:rsidRPr="00A23C0C">
        <w:rPr>
          <w:rFonts w:ascii="Book Antiqua" w:hAnsi="Book Antiqua"/>
          <w:b/>
          <w:bCs/>
        </w:rPr>
        <w:t>6</w:t>
      </w:r>
      <w:r w:rsidRPr="00A23C0C">
        <w:rPr>
          <w:rFonts w:ascii="Book Antiqua" w:hAnsi="Book Antiqua"/>
        </w:rPr>
        <w:t>: 120-127 [PMID: 33253659 DOI: 10.1016/S2468-1253(20)30315-0]</w:t>
      </w:r>
    </w:p>
    <w:p w14:paraId="05A693DA"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33 </w:t>
      </w:r>
      <w:r w:rsidRPr="00A23C0C">
        <w:rPr>
          <w:rFonts w:ascii="Book Antiqua" w:hAnsi="Book Antiqua"/>
          <w:b/>
          <w:bCs/>
        </w:rPr>
        <w:t>Pocard M</w:t>
      </w:r>
      <w:r w:rsidRPr="00A23C0C">
        <w:rPr>
          <w:rFonts w:ascii="Book Antiqua" w:hAnsi="Book Antiqua"/>
        </w:rPr>
        <w:t xml:space="preserve">, Reymond MA. "Peritoneal failure": A new concept to explain negative results of randomized trials evaluating intraperitoneal therapies. </w:t>
      </w:r>
      <w:r w:rsidRPr="00A23C0C">
        <w:rPr>
          <w:rFonts w:ascii="Book Antiqua" w:hAnsi="Book Antiqua"/>
          <w:i/>
          <w:iCs/>
        </w:rPr>
        <w:t>Pleura Peritoneum</w:t>
      </w:r>
      <w:r w:rsidRPr="00A23C0C">
        <w:rPr>
          <w:rFonts w:ascii="Book Antiqua" w:hAnsi="Book Antiqua"/>
        </w:rPr>
        <w:t xml:space="preserve"> 2020; </w:t>
      </w:r>
      <w:r w:rsidRPr="00A23C0C">
        <w:rPr>
          <w:rFonts w:ascii="Book Antiqua" w:hAnsi="Book Antiqua"/>
          <w:b/>
          <w:bCs/>
        </w:rPr>
        <w:t>5</w:t>
      </w:r>
      <w:r w:rsidRPr="00A23C0C">
        <w:rPr>
          <w:rFonts w:ascii="Book Antiqua" w:hAnsi="Book Antiqua"/>
        </w:rPr>
        <w:t>: 20200117 [PMID: 32566729 DOI: 10.1515/pp-2020-0117]</w:t>
      </w:r>
    </w:p>
    <w:p w14:paraId="6282D1E2"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34 </w:t>
      </w:r>
      <w:r w:rsidRPr="00A23C0C">
        <w:rPr>
          <w:rFonts w:ascii="Book Antiqua" w:hAnsi="Book Antiqua"/>
          <w:b/>
          <w:bCs/>
        </w:rPr>
        <w:t>Desiderio J</w:t>
      </w:r>
      <w:r w:rsidRPr="00A23C0C">
        <w:rPr>
          <w:rFonts w:ascii="Book Antiqua" w:hAnsi="Book Antiqua"/>
        </w:rPr>
        <w:t xml:space="preserve">, Chao J, Melstrom L, Warner S, Tozzi F, Fong Y, Parisi A, Woo Y. The 30-year experience-A meta-analysis of randomised and high-quality non-randomised studies of hyperthermic intraperitoneal chemotherapy in the treatment of gastric cancer. </w:t>
      </w:r>
      <w:r w:rsidRPr="00A23C0C">
        <w:rPr>
          <w:rFonts w:ascii="Book Antiqua" w:hAnsi="Book Antiqua"/>
          <w:i/>
          <w:iCs/>
        </w:rPr>
        <w:t>Eur J Cancer</w:t>
      </w:r>
      <w:r w:rsidRPr="00A23C0C">
        <w:rPr>
          <w:rFonts w:ascii="Book Antiqua" w:hAnsi="Book Antiqua"/>
        </w:rPr>
        <w:t xml:space="preserve"> 2017; </w:t>
      </w:r>
      <w:r w:rsidRPr="00A23C0C">
        <w:rPr>
          <w:rFonts w:ascii="Book Antiqua" w:hAnsi="Book Antiqua"/>
          <w:b/>
          <w:bCs/>
        </w:rPr>
        <w:t>79</w:t>
      </w:r>
      <w:r w:rsidRPr="00A23C0C">
        <w:rPr>
          <w:rFonts w:ascii="Book Antiqua" w:hAnsi="Book Antiqua"/>
        </w:rPr>
        <w:t>: 1-14 [PMID: 28456089 DOI: 10.1016/j.ejca.2017.03.030]</w:t>
      </w:r>
    </w:p>
    <w:p w14:paraId="4FBAB413"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35 </w:t>
      </w:r>
      <w:r w:rsidRPr="00A23C0C">
        <w:rPr>
          <w:rFonts w:ascii="Book Antiqua" w:hAnsi="Book Antiqua"/>
          <w:b/>
          <w:bCs/>
        </w:rPr>
        <w:t>Badgwell B</w:t>
      </w:r>
      <w:r w:rsidRPr="00A23C0C">
        <w:rPr>
          <w:rFonts w:ascii="Book Antiqua" w:hAnsi="Book Antiqua"/>
        </w:rPr>
        <w:t xml:space="preserve">, Blum M, Das P, Estrella J, Wang X, Ho L, Fournier K, Royal R, Mansfield P, Ajani J. Phase II Trial of Laparoscopic Hyperthermic Intraperitoneal Chemoperfusion for Peritoneal Carcinomatosis or Positive Peritoneal Cytology in Patients with Gastric Adenocarcinoma. </w:t>
      </w:r>
      <w:r w:rsidRPr="00A23C0C">
        <w:rPr>
          <w:rFonts w:ascii="Book Antiqua" w:hAnsi="Book Antiqua"/>
          <w:i/>
          <w:iCs/>
        </w:rPr>
        <w:t>Ann Surg Oncol</w:t>
      </w:r>
      <w:r w:rsidRPr="00A23C0C">
        <w:rPr>
          <w:rFonts w:ascii="Book Antiqua" w:hAnsi="Book Antiqua"/>
        </w:rPr>
        <w:t xml:space="preserve"> 2017; </w:t>
      </w:r>
      <w:r w:rsidRPr="00A23C0C">
        <w:rPr>
          <w:rFonts w:ascii="Book Antiqua" w:hAnsi="Book Antiqua"/>
          <w:b/>
          <w:bCs/>
        </w:rPr>
        <w:t>24</w:t>
      </w:r>
      <w:r w:rsidRPr="00A23C0C">
        <w:rPr>
          <w:rFonts w:ascii="Book Antiqua" w:hAnsi="Book Antiqua"/>
        </w:rPr>
        <w:t>: 3338-3344 [PMID: 28799004 DOI: 10.1245/s10434-017-6047-4]</w:t>
      </w:r>
    </w:p>
    <w:p w14:paraId="489B2919"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36 </w:t>
      </w:r>
      <w:r w:rsidRPr="00A23C0C">
        <w:rPr>
          <w:rFonts w:ascii="Book Antiqua" w:hAnsi="Book Antiqua"/>
          <w:b/>
          <w:bCs/>
        </w:rPr>
        <w:t>Badgwell B</w:t>
      </w:r>
      <w:r w:rsidRPr="00A23C0C">
        <w:rPr>
          <w:rFonts w:ascii="Book Antiqua" w:hAnsi="Book Antiqua"/>
        </w:rPr>
        <w:t xml:space="preserve">, Ikoma N, Murphy MB, Wang X, Estrella J, Roy-Chowdhuri S, Das P, Minsky BD, Lano E, Song S, Mansfield P, Ajani J. A Phase II Trial of Cytoreduction, Gastrectomy, and Hyperthermic Intraperitoneal Perfusion with Chemotherapy for Patients with Gastric Cancer and Carcinomatosis or Positive Cytology. </w:t>
      </w:r>
      <w:r w:rsidRPr="00A23C0C">
        <w:rPr>
          <w:rFonts w:ascii="Book Antiqua" w:hAnsi="Book Antiqua"/>
          <w:i/>
          <w:iCs/>
        </w:rPr>
        <w:t>Ann Surg Oncol</w:t>
      </w:r>
      <w:r w:rsidRPr="00A23C0C">
        <w:rPr>
          <w:rFonts w:ascii="Book Antiqua" w:hAnsi="Book Antiqua"/>
        </w:rPr>
        <w:t xml:space="preserve"> 2021; </w:t>
      </w:r>
      <w:r w:rsidRPr="00A23C0C">
        <w:rPr>
          <w:rFonts w:ascii="Book Antiqua" w:hAnsi="Book Antiqua"/>
          <w:b/>
          <w:bCs/>
        </w:rPr>
        <w:t>28</w:t>
      </w:r>
      <w:r w:rsidRPr="00A23C0C">
        <w:rPr>
          <w:rFonts w:ascii="Book Antiqua" w:hAnsi="Book Antiqua"/>
        </w:rPr>
        <w:t>: 258-264 [PMID: 32556731 DOI: 10.1245/s10434-020-08739-5]</w:t>
      </w:r>
    </w:p>
    <w:p w14:paraId="03848904"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37 </w:t>
      </w:r>
      <w:r w:rsidRPr="00A23C0C">
        <w:rPr>
          <w:rFonts w:ascii="Book Antiqua" w:hAnsi="Book Antiqua"/>
          <w:b/>
          <w:bCs/>
        </w:rPr>
        <w:t>Glehen O</w:t>
      </w:r>
      <w:r w:rsidRPr="00A23C0C">
        <w:rPr>
          <w:rFonts w:ascii="Book Antiqua" w:hAnsi="Book Antiqua"/>
        </w:rPr>
        <w:t xml:space="preserve">, Passot G, Villeneuve L, Vaudoyer D, Bin-Dorel S, Boschetti G, Piaton E, Garofalo A. GASTRICHIP: D2 resection and hyperthermic intraperitoneal chemotherapy in locally advanced gastric carcinoma: a randomized and multicenter </w:t>
      </w:r>
      <w:r w:rsidRPr="00A23C0C">
        <w:rPr>
          <w:rFonts w:ascii="Book Antiqua" w:hAnsi="Book Antiqua"/>
        </w:rPr>
        <w:lastRenderedPageBreak/>
        <w:t xml:space="preserve">phase III study. </w:t>
      </w:r>
      <w:r w:rsidRPr="00A23C0C">
        <w:rPr>
          <w:rFonts w:ascii="Book Antiqua" w:hAnsi="Book Antiqua"/>
          <w:i/>
          <w:iCs/>
        </w:rPr>
        <w:t>BMC Cancer</w:t>
      </w:r>
      <w:r w:rsidRPr="00A23C0C">
        <w:rPr>
          <w:rFonts w:ascii="Book Antiqua" w:hAnsi="Book Antiqua"/>
        </w:rPr>
        <w:t xml:space="preserve"> 2014; </w:t>
      </w:r>
      <w:r w:rsidRPr="00A23C0C">
        <w:rPr>
          <w:rFonts w:ascii="Book Antiqua" w:hAnsi="Book Antiqua"/>
          <w:b/>
          <w:bCs/>
        </w:rPr>
        <w:t>14</w:t>
      </w:r>
      <w:r w:rsidRPr="00A23C0C">
        <w:rPr>
          <w:rFonts w:ascii="Book Antiqua" w:hAnsi="Book Antiqua"/>
        </w:rPr>
        <w:t>: 183 [PMID: 24628950 DOI: 10.1186/1471-2407-14-183]</w:t>
      </w:r>
    </w:p>
    <w:p w14:paraId="0E890545"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38 </w:t>
      </w:r>
      <w:r w:rsidRPr="00A23C0C">
        <w:rPr>
          <w:rFonts w:ascii="Book Antiqua" w:hAnsi="Book Antiqua"/>
          <w:b/>
          <w:bCs/>
        </w:rPr>
        <w:t>Gamboa AC</w:t>
      </w:r>
      <w:r w:rsidRPr="00A23C0C">
        <w:rPr>
          <w:rFonts w:ascii="Book Antiqua" w:hAnsi="Book Antiqua"/>
        </w:rPr>
        <w:t xml:space="preserve">, Winer JH. Cytoreductive Surgery and Hyperthermic Intraperitoneal Chemotherapy for Gastric Cancer. </w:t>
      </w:r>
      <w:r w:rsidRPr="00A23C0C">
        <w:rPr>
          <w:rFonts w:ascii="Book Antiqua" w:hAnsi="Book Antiqua"/>
          <w:i/>
          <w:iCs/>
        </w:rPr>
        <w:t>Cancers (Basel)</w:t>
      </w:r>
      <w:r w:rsidRPr="00A23C0C">
        <w:rPr>
          <w:rFonts w:ascii="Book Antiqua" w:hAnsi="Book Antiqua"/>
        </w:rPr>
        <w:t xml:space="preserve"> 2019; </w:t>
      </w:r>
      <w:r w:rsidRPr="00A23C0C">
        <w:rPr>
          <w:rFonts w:ascii="Book Antiqua" w:hAnsi="Book Antiqua"/>
          <w:b/>
          <w:bCs/>
        </w:rPr>
        <w:t>11</w:t>
      </w:r>
      <w:r w:rsidRPr="00A23C0C">
        <w:rPr>
          <w:rFonts w:ascii="Book Antiqua" w:hAnsi="Book Antiqua"/>
        </w:rPr>
        <w:t xml:space="preserve"> [PMID: 31717799 DOI: 10.3390/cancers11111662]</w:t>
      </w:r>
    </w:p>
    <w:p w14:paraId="399BDEFD"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39 </w:t>
      </w:r>
      <w:r w:rsidRPr="00A23C0C">
        <w:rPr>
          <w:rFonts w:ascii="Book Antiqua" w:hAnsi="Book Antiqua"/>
          <w:b/>
          <w:bCs/>
        </w:rPr>
        <w:t>Nadiradze G</w:t>
      </w:r>
      <w:r w:rsidRPr="00A23C0C">
        <w:rPr>
          <w:rFonts w:ascii="Book Antiqua" w:hAnsi="Book Antiqua"/>
        </w:rPr>
        <w:t xml:space="preserve">, Horvath P, Sautkin Y, Archid R, Weinreich FJ, Königsrainer A, Reymond MA. Overcoming Drug Resistance by Taking Advantage of Physical Principles: Pressurized Intraperitoneal Aerosol Chemotherapy (PIPAC). </w:t>
      </w:r>
      <w:r w:rsidRPr="00A23C0C">
        <w:rPr>
          <w:rFonts w:ascii="Book Antiqua" w:hAnsi="Book Antiqua"/>
          <w:i/>
          <w:iCs/>
        </w:rPr>
        <w:t>Cancers (Basel)</w:t>
      </w:r>
      <w:r w:rsidRPr="00A23C0C">
        <w:rPr>
          <w:rFonts w:ascii="Book Antiqua" w:hAnsi="Book Antiqua"/>
        </w:rPr>
        <w:t xml:space="preserve"> 2019; </w:t>
      </w:r>
      <w:r w:rsidRPr="00A23C0C">
        <w:rPr>
          <w:rFonts w:ascii="Book Antiqua" w:hAnsi="Book Antiqua"/>
          <w:b/>
          <w:bCs/>
        </w:rPr>
        <w:t>12</w:t>
      </w:r>
      <w:r w:rsidRPr="00A23C0C">
        <w:rPr>
          <w:rFonts w:ascii="Book Antiqua" w:hAnsi="Book Antiqua"/>
        </w:rPr>
        <w:t xml:space="preserve"> [PMID: 31877647 DOI: 10.3390/cancers12010034]</w:t>
      </w:r>
    </w:p>
    <w:p w14:paraId="2BC66F38"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40 </w:t>
      </w:r>
      <w:r w:rsidRPr="00A23C0C">
        <w:rPr>
          <w:rFonts w:ascii="Book Antiqua" w:hAnsi="Book Antiqua"/>
          <w:b/>
          <w:bCs/>
        </w:rPr>
        <w:t>Graversen M</w:t>
      </w:r>
      <w:r w:rsidRPr="00A23C0C">
        <w:rPr>
          <w:rFonts w:ascii="Book Antiqua" w:hAnsi="Book Antiqua"/>
        </w:rPr>
        <w:t xml:space="preserve">, Detlefsen S, Bjerregaard JK, Fristrup CW, Pfeiffer P, Mortensen MB. Prospective, single-center implementation and response evaluation of pressurized intraperitoneal aerosol chemotherapy (PIPAC) for peritoneal metastasis. </w:t>
      </w:r>
      <w:r w:rsidRPr="00A23C0C">
        <w:rPr>
          <w:rFonts w:ascii="Book Antiqua" w:hAnsi="Book Antiqua"/>
          <w:i/>
          <w:iCs/>
        </w:rPr>
        <w:t>Ther Adv Med Oncol</w:t>
      </w:r>
      <w:r w:rsidRPr="00A23C0C">
        <w:rPr>
          <w:rFonts w:ascii="Book Antiqua" w:hAnsi="Book Antiqua"/>
        </w:rPr>
        <w:t xml:space="preserve"> 2018; </w:t>
      </w:r>
      <w:r w:rsidRPr="00A23C0C">
        <w:rPr>
          <w:rFonts w:ascii="Book Antiqua" w:hAnsi="Book Antiqua"/>
          <w:b/>
          <w:bCs/>
        </w:rPr>
        <w:t>10</w:t>
      </w:r>
      <w:r w:rsidRPr="00A23C0C">
        <w:rPr>
          <w:rFonts w:ascii="Book Antiqua" w:hAnsi="Book Antiqua"/>
        </w:rPr>
        <w:t>: 1758835918777036 [PMID: 29899763 DOI: 10.1177/1758835918777036]</w:t>
      </w:r>
    </w:p>
    <w:p w14:paraId="76A592FA"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41 </w:t>
      </w:r>
      <w:r w:rsidRPr="00A23C0C">
        <w:rPr>
          <w:rFonts w:ascii="Book Antiqua" w:hAnsi="Book Antiqua"/>
          <w:b/>
          <w:bCs/>
        </w:rPr>
        <w:t>Struller F</w:t>
      </w:r>
      <w:r w:rsidRPr="00A23C0C">
        <w:rPr>
          <w:rFonts w:ascii="Book Antiqua" w:hAnsi="Book Antiqua"/>
        </w:rPr>
        <w:t xml:space="preserve">, Horvath P, Solass W, Weinreich FJ, Strumberg D, Kokkalis MK, Fischer I, Meisner C, Königsrainer A, Reymond MA. Pressurized intraperitoneal aerosol chemotherapy with low-dose cisplatin and doxorubicin (PIPAC C/D) in patients with gastric cancer and peritoneal metastasis: a phase II study. </w:t>
      </w:r>
      <w:r w:rsidRPr="00A23C0C">
        <w:rPr>
          <w:rFonts w:ascii="Book Antiqua" w:hAnsi="Book Antiqua"/>
          <w:i/>
          <w:iCs/>
        </w:rPr>
        <w:t>Ther Adv Med Oncol</w:t>
      </w:r>
      <w:r w:rsidRPr="00A23C0C">
        <w:rPr>
          <w:rFonts w:ascii="Book Antiqua" w:hAnsi="Book Antiqua"/>
        </w:rPr>
        <w:t xml:space="preserve"> 2019; </w:t>
      </w:r>
      <w:r w:rsidRPr="00A23C0C">
        <w:rPr>
          <w:rFonts w:ascii="Book Antiqua" w:hAnsi="Book Antiqua"/>
          <w:b/>
          <w:bCs/>
        </w:rPr>
        <w:t>11</w:t>
      </w:r>
      <w:r w:rsidRPr="00A23C0C">
        <w:rPr>
          <w:rFonts w:ascii="Book Antiqua" w:hAnsi="Book Antiqua"/>
        </w:rPr>
        <w:t>: 1758835919846402 [PMID: 31205501 DOI: 10.1177/1758835919846402]</w:t>
      </w:r>
    </w:p>
    <w:p w14:paraId="490486A4"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42 </w:t>
      </w:r>
      <w:r w:rsidRPr="00A23C0C">
        <w:rPr>
          <w:rFonts w:ascii="Book Antiqua" w:hAnsi="Book Antiqua"/>
          <w:b/>
          <w:bCs/>
        </w:rPr>
        <w:t>Gockel I</w:t>
      </w:r>
      <w:r w:rsidRPr="00A23C0C">
        <w:rPr>
          <w:rFonts w:ascii="Book Antiqua" w:hAnsi="Book Antiqua"/>
        </w:rPr>
        <w:t xml:space="preserve">, Jansen-Winkeln B, Haase L, Rhode P, Mehdorn M, Niebisch S, Moulla Y, Lyros O, Lordick F, Schierle K, Wittekind C, Thieme R. Pressurized Intraperitoneal Aerosol Chemotherapy (PIPAC) in Gastric Cancer Patients with Peritoneal Metastasis (PM): Results of a Single-Center Experience and Register Study. </w:t>
      </w:r>
      <w:r w:rsidRPr="00A23C0C">
        <w:rPr>
          <w:rFonts w:ascii="Book Antiqua" w:hAnsi="Book Antiqua"/>
          <w:i/>
          <w:iCs/>
        </w:rPr>
        <w:t>J Gastric Cancer</w:t>
      </w:r>
      <w:r w:rsidRPr="00A23C0C">
        <w:rPr>
          <w:rFonts w:ascii="Book Antiqua" w:hAnsi="Book Antiqua"/>
        </w:rPr>
        <w:t xml:space="preserve"> 2018; </w:t>
      </w:r>
      <w:r w:rsidRPr="00A23C0C">
        <w:rPr>
          <w:rFonts w:ascii="Book Antiqua" w:hAnsi="Book Antiqua"/>
          <w:b/>
          <w:bCs/>
        </w:rPr>
        <w:t>18</w:t>
      </w:r>
      <w:r w:rsidRPr="00A23C0C">
        <w:rPr>
          <w:rFonts w:ascii="Book Antiqua" w:hAnsi="Book Antiqua"/>
        </w:rPr>
        <w:t>: 379-391 [PMID: 30607301 DOI: 10.5230/jgc.2018.18.e37]</w:t>
      </w:r>
    </w:p>
    <w:p w14:paraId="4DAE2B4D"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43 </w:t>
      </w:r>
      <w:r w:rsidRPr="00A23C0C">
        <w:rPr>
          <w:rFonts w:ascii="Book Antiqua" w:hAnsi="Book Antiqua"/>
          <w:b/>
          <w:bCs/>
        </w:rPr>
        <w:t>Ellebæk SB</w:t>
      </w:r>
      <w:r w:rsidRPr="00A23C0C">
        <w:rPr>
          <w:rFonts w:ascii="Book Antiqua" w:hAnsi="Book Antiqua"/>
        </w:rPr>
        <w:t xml:space="preserve">, Graversen M, Detlefsen S, Lundell L, Fristrup CW, Pfeiffer P, Mortensen MB. Pressurized intraperitoneal aerosol chemotherapy (PIPAC) of peritoneal metastasis from gastric cancer: a descriptive cohort study. </w:t>
      </w:r>
      <w:r w:rsidRPr="00A23C0C">
        <w:rPr>
          <w:rFonts w:ascii="Book Antiqua" w:hAnsi="Book Antiqua"/>
          <w:i/>
          <w:iCs/>
        </w:rPr>
        <w:t>Clin Exp Metastasis</w:t>
      </w:r>
      <w:r w:rsidRPr="00A23C0C">
        <w:rPr>
          <w:rFonts w:ascii="Book Antiqua" w:hAnsi="Book Antiqua"/>
        </w:rPr>
        <w:t xml:space="preserve"> 2020; </w:t>
      </w:r>
      <w:r w:rsidRPr="00A23C0C">
        <w:rPr>
          <w:rFonts w:ascii="Book Antiqua" w:hAnsi="Book Antiqua"/>
          <w:b/>
          <w:bCs/>
        </w:rPr>
        <w:t>37</w:t>
      </w:r>
      <w:r w:rsidRPr="00A23C0C">
        <w:rPr>
          <w:rFonts w:ascii="Book Antiqua" w:hAnsi="Book Antiqua"/>
        </w:rPr>
        <w:t>: 325-332 [PMID: 32002724 DOI: 10.1007/s10585-020-10023-5]</w:t>
      </w:r>
    </w:p>
    <w:p w14:paraId="2DC00E21"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44 </w:t>
      </w:r>
      <w:r w:rsidRPr="00A23C0C">
        <w:rPr>
          <w:rFonts w:ascii="Book Antiqua" w:hAnsi="Book Antiqua"/>
          <w:b/>
          <w:bCs/>
        </w:rPr>
        <w:t>Kurtz F</w:t>
      </w:r>
      <w:r w:rsidRPr="00A23C0C">
        <w:rPr>
          <w:rFonts w:ascii="Book Antiqua" w:hAnsi="Book Antiqua"/>
        </w:rPr>
        <w:t xml:space="preserve">, Struller F, Horvath P, Solass W, Bösmüller H, Königsrainer A, Reymond MA. Feasibility, Safety, and Efficacy of Pressurized Intraperitoneal Aerosol </w:t>
      </w:r>
      <w:r w:rsidRPr="00A23C0C">
        <w:rPr>
          <w:rFonts w:ascii="Book Antiqua" w:hAnsi="Book Antiqua"/>
        </w:rPr>
        <w:lastRenderedPageBreak/>
        <w:t xml:space="preserve">Chemotherapy (PIPAC) for Peritoneal Metastasis: A Registry Study. </w:t>
      </w:r>
      <w:r w:rsidRPr="00A23C0C">
        <w:rPr>
          <w:rFonts w:ascii="Book Antiqua" w:hAnsi="Book Antiqua"/>
          <w:i/>
          <w:iCs/>
        </w:rPr>
        <w:t>Gastroenterol Res Pract</w:t>
      </w:r>
      <w:r w:rsidRPr="00A23C0C">
        <w:rPr>
          <w:rFonts w:ascii="Book Antiqua" w:hAnsi="Book Antiqua"/>
        </w:rPr>
        <w:t xml:space="preserve"> 2018; </w:t>
      </w:r>
      <w:r w:rsidRPr="00A23C0C">
        <w:rPr>
          <w:rFonts w:ascii="Book Antiqua" w:hAnsi="Book Antiqua"/>
          <w:b/>
          <w:bCs/>
        </w:rPr>
        <w:t>2018</w:t>
      </w:r>
      <w:r w:rsidRPr="00A23C0C">
        <w:rPr>
          <w:rFonts w:ascii="Book Antiqua" w:hAnsi="Book Antiqua"/>
        </w:rPr>
        <w:t>: 2743985 [PMID: 30473706 DOI: 10.1155/2018/2743985]</w:t>
      </w:r>
    </w:p>
    <w:p w14:paraId="3BEAC3B5"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45 </w:t>
      </w:r>
      <w:r w:rsidRPr="00A23C0C">
        <w:rPr>
          <w:rFonts w:ascii="Book Antiqua" w:hAnsi="Book Antiqua"/>
          <w:b/>
          <w:bCs/>
        </w:rPr>
        <w:t>Frattini F</w:t>
      </w:r>
      <w:r w:rsidRPr="00A23C0C">
        <w:rPr>
          <w:rFonts w:ascii="Book Antiqua" w:hAnsi="Book Antiqua"/>
        </w:rPr>
        <w:t xml:space="preserve">, Rausei S, Chiappa C, Rovera F, Boni L, Dionigi G. Prognosis and treatment of patients with positive peritoneal cytology in advanced gastric cancer. </w:t>
      </w:r>
      <w:r w:rsidRPr="00A23C0C">
        <w:rPr>
          <w:rFonts w:ascii="Book Antiqua" w:hAnsi="Book Antiqua"/>
          <w:i/>
          <w:iCs/>
        </w:rPr>
        <w:t>World J Gastrointest Surg</w:t>
      </w:r>
      <w:r w:rsidRPr="00A23C0C">
        <w:rPr>
          <w:rFonts w:ascii="Book Antiqua" w:hAnsi="Book Antiqua"/>
        </w:rPr>
        <w:t xml:space="preserve"> 2013; </w:t>
      </w:r>
      <w:r w:rsidRPr="00A23C0C">
        <w:rPr>
          <w:rFonts w:ascii="Book Antiqua" w:hAnsi="Book Antiqua"/>
          <w:b/>
          <w:bCs/>
        </w:rPr>
        <w:t>5</w:t>
      </w:r>
      <w:r w:rsidRPr="00A23C0C">
        <w:rPr>
          <w:rFonts w:ascii="Book Antiqua" w:hAnsi="Book Antiqua"/>
        </w:rPr>
        <w:t>: 135-137 [PMID: 23710290 DOI: 10.4240/wjgs.v5.i5.135]</w:t>
      </w:r>
    </w:p>
    <w:p w14:paraId="3862C7AD"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46 </w:t>
      </w:r>
      <w:r w:rsidRPr="00A23C0C">
        <w:rPr>
          <w:rFonts w:ascii="Book Antiqua" w:hAnsi="Book Antiqua"/>
          <w:b/>
          <w:bCs/>
        </w:rPr>
        <w:t>Hudis CA</w:t>
      </w:r>
      <w:r w:rsidRPr="00A23C0C">
        <w:rPr>
          <w:rFonts w:ascii="Book Antiqua" w:hAnsi="Book Antiqua"/>
        </w:rPr>
        <w:t xml:space="preserve">. Trastuzumab--mechanism of action and use in clinical practice. </w:t>
      </w:r>
      <w:r w:rsidRPr="00A23C0C">
        <w:rPr>
          <w:rFonts w:ascii="Book Antiqua" w:hAnsi="Book Antiqua"/>
          <w:i/>
          <w:iCs/>
        </w:rPr>
        <w:t>N Engl J Med</w:t>
      </w:r>
      <w:r w:rsidRPr="00A23C0C">
        <w:rPr>
          <w:rFonts w:ascii="Book Antiqua" w:hAnsi="Book Antiqua"/>
        </w:rPr>
        <w:t xml:space="preserve"> 2007; </w:t>
      </w:r>
      <w:r w:rsidRPr="00A23C0C">
        <w:rPr>
          <w:rFonts w:ascii="Book Antiqua" w:hAnsi="Book Antiqua"/>
          <w:b/>
          <w:bCs/>
        </w:rPr>
        <w:t>357</w:t>
      </w:r>
      <w:r w:rsidRPr="00A23C0C">
        <w:rPr>
          <w:rFonts w:ascii="Book Antiqua" w:hAnsi="Book Antiqua"/>
        </w:rPr>
        <w:t>: 39-51 [PMID: 17611206 DOI: 10.1056/NEJMra043186]</w:t>
      </w:r>
    </w:p>
    <w:p w14:paraId="40931848"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47 </w:t>
      </w:r>
      <w:r w:rsidRPr="00A23C0C">
        <w:rPr>
          <w:rFonts w:ascii="Book Antiqua" w:hAnsi="Book Antiqua"/>
          <w:b/>
          <w:bCs/>
        </w:rPr>
        <w:t>Bang YJ</w:t>
      </w:r>
      <w:r w:rsidRPr="00A23C0C">
        <w:rPr>
          <w:rFonts w:ascii="Book Antiqua" w:hAnsi="Book Antiqua"/>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A23C0C">
        <w:rPr>
          <w:rFonts w:ascii="Book Antiqua" w:hAnsi="Book Antiqua"/>
          <w:i/>
          <w:iCs/>
        </w:rPr>
        <w:t>Lancet</w:t>
      </w:r>
      <w:r w:rsidRPr="00A23C0C">
        <w:rPr>
          <w:rFonts w:ascii="Book Antiqua" w:hAnsi="Book Antiqua"/>
        </w:rPr>
        <w:t xml:space="preserve"> 2010; </w:t>
      </w:r>
      <w:r w:rsidRPr="00A23C0C">
        <w:rPr>
          <w:rFonts w:ascii="Book Antiqua" w:hAnsi="Book Antiqua"/>
          <w:b/>
          <w:bCs/>
        </w:rPr>
        <w:t>376</w:t>
      </w:r>
      <w:r w:rsidRPr="00A23C0C">
        <w:rPr>
          <w:rFonts w:ascii="Book Antiqua" w:hAnsi="Book Antiqua"/>
        </w:rPr>
        <w:t>: 687-697 [PMID: 20728210 DOI: 10.1016/S0140-6736(10)61121-X]</w:t>
      </w:r>
    </w:p>
    <w:p w14:paraId="6617533A"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48 </w:t>
      </w:r>
      <w:r w:rsidRPr="00A23C0C">
        <w:rPr>
          <w:rFonts w:ascii="Book Antiqua" w:hAnsi="Book Antiqua"/>
          <w:b/>
          <w:bCs/>
        </w:rPr>
        <w:t>Shitara K</w:t>
      </w:r>
      <w:r w:rsidRPr="00A23C0C">
        <w:rPr>
          <w:rFonts w:ascii="Book Antiqua" w:hAnsi="Book Antiqua"/>
        </w:rPr>
        <w:t xml:space="preserve">, Bang YJ, Iwasa S, Sugimoto N, Ryu MH, Sakai D, Chung HC, Kawakami H, Yabusaki H, Lee J, Saito K, Kawaguchi Y, Kamio T, Kojima A, Sugihara M, Yamaguchi K; DESTINY-Gastric01 Investigators. Trastuzumab Deruxtecan in Previously Treated HER2-Positive Gastric Cancer. </w:t>
      </w:r>
      <w:r w:rsidRPr="00A23C0C">
        <w:rPr>
          <w:rFonts w:ascii="Book Antiqua" w:hAnsi="Book Antiqua"/>
          <w:i/>
          <w:iCs/>
        </w:rPr>
        <w:t>N Engl J Med</w:t>
      </w:r>
      <w:r w:rsidRPr="00A23C0C">
        <w:rPr>
          <w:rFonts w:ascii="Book Antiqua" w:hAnsi="Book Antiqua"/>
        </w:rPr>
        <w:t xml:space="preserve"> 2020; </w:t>
      </w:r>
      <w:r w:rsidRPr="00A23C0C">
        <w:rPr>
          <w:rFonts w:ascii="Book Antiqua" w:hAnsi="Book Antiqua"/>
          <w:b/>
          <w:bCs/>
        </w:rPr>
        <w:t>382</w:t>
      </w:r>
      <w:r w:rsidRPr="00A23C0C">
        <w:rPr>
          <w:rFonts w:ascii="Book Antiqua" w:hAnsi="Book Antiqua"/>
        </w:rPr>
        <w:t>: 2419-2430 [PMID: 32469182 DOI: 10.1056/NEJMoa2004413]</w:t>
      </w:r>
    </w:p>
    <w:p w14:paraId="27E0C671"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49 </w:t>
      </w:r>
      <w:r w:rsidRPr="00A23C0C">
        <w:rPr>
          <w:rFonts w:ascii="Book Antiqua" w:hAnsi="Book Antiqua"/>
          <w:b/>
          <w:bCs/>
        </w:rPr>
        <w:t>Tabernero J</w:t>
      </w:r>
      <w:r w:rsidRPr="00A23C0C">
        <w:rPr>
          <w:rFonts w:ascii="Book Antiqua" w:hAnsi="Book Antiqua"/>
        </w:rPr>
        <w:t xml:space="preserve">, Hoff PM, Shen L, Ohtsu A, Shah MA, Cheng K, Song C, Wu H, Eng-Wong J, Kim K, Kang YK. Pertuzumab plus trastuzumab and chemotherapy for HER2-positive metastatic gastric or gastro-oesophageal junction cancer (JACOB): final analysis of a double-blind, randomised, placebo-controlled phase 3 study. </w:t>
      </w:r>
      <w:r w:rsidRPr="00A23C0C">
        <w:rPr>
          <w:rFonts w:ascii="Book Antiqua" w:hAnsi="Book Antiqua"/>
          <w:i/>
          <w:iCs/>
        </w:rPr>
        <w:t>Lancet Oncol</w:t>
      </w:r>
      <w:r w:rsidRPr="00A23C0C">
        <w:rPr>
          <w:rFonts w:ascii="Book Antiqua" w:hAnsi="Book Antiqua"/>
        </w:rPr>
        <w:t xml:space="preserve"> 2018; </w:t>
      </w:r>
      <w:r w:rsidRPr="00A23C0C">
        <w:rPr>
          <w:rFonts w:ascii="Book Antiqua" w:hAnsi="Book Antiqua"/>
          <w:b/>
          <w:bCs/>
        </w:rPr>
        <w:t>19</w:t>
      </w:r>
      <w:r w:rsidRPr="00A23C0C">
        <w:rPr>
          <w:rFonts w:ascii="Book Antiqua" w:hAnsi="Book Antiqua"/>
        </w:rPr>
        <w:t>: 1372-1384 [PMID: 30217672 DOI: 10.1016/S1470-2045(18)30481-9]</w:t>
      </w:r>
    </w:p>
    <w:p w14:paraId="7529A5E1"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50 </w:t>
      </w:r>
      <w:r w:rsidRPr="00A23C0C">
        <w:rPr>
          <w:rFonts w:ascii="Book Antiqua" w:hAnsi="Book Antiqua"/>
          <w:b/>
          <w:bCs/>
        </w:rPr>
        <w:t>Thuss-Patience PC</w:t>
      </w:r>
      <w:r w:rsidRPr="00A23C0C">
        <w:rPr>
          <w:rFonts w:ascii="Book Antiqua" w:hAnsi="Book Antiqua"/>
        </w:rPr>
        <w:t xml:space="preserve">, Shah MA, Ohtsu A, Van Cutsem E, Ajani JA, Castro H, Mansoor W, Chung HC, Bodoky G, Shitara K, Phillips GDL, van der Horst T, Harle-Yge ML, Althaus BL, Kang YK. Trastuzumab emtansine versus taxane use for previously treated HER2-positive locally advanced or metastatic gastric or gastro-oesophageal junction adenocarcinoma (GATSBY): an international randomised, open-label, adaptive, phase </w:t>
      </w:r>
      <w:r w:rsidRPr="00A23C0C">
        <w:rPr>
          <w:rFonts w:ascii="Book Antiqua" w:hAnsi="Book Antiqua"/>
        </w:rPr>
        <w:lastRenderedPageBreak/>
        <w:t xml:space="preserve">2/3 study. </w:t>
      </w:r>
      <w:r w:rsidRPr="00A23C0C">
        <w:rPr>
          <w:rFonts w:ascii="Book Antiqua" w:hAnsi="Book Antiqua"/>
          <w:i/>
          <w:iCs/>
        </w:rPr>
        <w:t>Lancet Oncol</w:t>
      </w:r>
      <w:r w:rsidRPr="00A23C0C">
        <w:rPr>
          <w:rFonts w:ascii="Book Antiqua" w:hAnsi="Book Antiqua"/>
        </w:rPr>
        <w:t xml:space="preserve"> 2017; </w:t>
      </w:r>
      <w:r w:rsidRPr="00A23C0C">
        <w:rPr>
          <w:rFonts w:ascii="Book Antiqua" w:hAnsi="Book Antiqua"/>
          <w:b/>
          <w:bCs/>
        </w:rPr>
        <w:t>18</w:t>
      </w:r>
      <w:r w:rsidRPr="00A23C0C">
        <w:rPr>
          <w:rFonts w:ascii="Book Antiqua" w:hAnsi="Book Antiqua"/>
        </w:rPr>
        <w:t>: 640-653 [PMID: 28343975 DOI: 10.1016/S1470-2045(17)30111-0]</w:t>
      </w:r>
    </w:p>
    <w:p w14:paraId="59CD97DB"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51 </w:t>
      </w:r>
      <w:r w:rsidRPr="00A23C0C">
        <w:rPr>
          <w:rFonts w:ascii="Book Antiqua" w:hAnsi="Book Antiqua"/>
          <w:b/>
          <w:bCs/>
        </w:rPr>
        <w:t>Satoh T</w:t>
      </w:r>
      <w:r w:rsidRPr="00A23C0C">
        <w:rPr>
          <w:rFonts w:ascii="Book Antiqua" w:hAnsi="Book Antiqua"/>
        </w:rPr>
        <w:t xml:space="preserve">, Xu RH, Chung HC, Sun GP, Doi T, Xu JM, Tsuji A, Omuro Y, Li J, Wang JW, Miwa H, Qin SK, Chung IJ, Yeh KH, Feng JF, Mukaiyama A, Kobayashi M, Ohtsu A, Bang YJ. Lapatinib plus paclitaxel versus paclitaxel alone in the second-line treatment of HER2-amplified advanced gastric cancer in Asian populations: TyTAN--a randomized, phase III study. </w:t>
      </w:r>
      <w:r w:rsidRPr="00A23C0C">
        <w:rPr>
          <w:rFonts w:ascii="Book Antiqua" w:hAnsi="Book Antiqua"/>
          <w:i/>
          <w:iCs/>
        </w:rPr>
        <w:t>J Clin Oncol</w:t>
      </w:r>
      <w:r w:rsidRPr="00A23C0C">
        <w:rPr>
          <w:rFonts w:ascii="Book Antiqua" w:hAnsi="Book Antiqua"/>
        </w:rPr>
        <w:t xml:space="preserve"> 2014; </w:t>
      </w:r>
      <w:r w:rsidRPr="00A23C0C">
        <w:rPr>
          <w:rFonts w:ascii="Book Antiqua" w:hAnsi="Book Antiqua"/>
          <w:b/>
          <w:bCs/>
        </w:rPr>
        <w:t>32</w:t>
      </w:r>
      <w:r w:rsidRPr="00A23C0C">
        <w:rPr>
          <w:rFonts w:ascii="Book Antiqua" w:hAnsi="Book Antiqua"/>
        </w:rPr>
        <w:t>: 2039-2049 [PMID: 24868024 DOI: 10.1200/JCO.2013.53.6136]</w:t>
      </w:r>
    </w:p>
    <w:p w14:paraId="3F4794C9"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52 </w:t>
      </w:r>
      <w:r w:rsidRPr="00A23C0C">
        <w:rPr>
          <w:rFonts w:ascii="Book Antiqua" w:hAnsi="Book Antiqua"/>
          <w:b/>
          <w:bCs/>
        </w:rPr>
        <w:t>Hecht JR</w:t>
      </w:r>
      <w:r w:rsidRPr="00A23C0C">
        <w:rPr>
          <w:rFonts w:ascii="Book Antiqua" w:hAnsi="Book Antiqua"/>
        </w:rPr>
        <w:t xml:space="preserve">, Bang YJ, Qin SK, Chung HC, Xu JM, Park JO, Jeziorski K, Shparyk Y, Hoff PM, Sobrero A, Salman P, Li J, Protsenko SA, Wainberg ZA, Buyse M, Afenjar K, Houé V, Garcia A, Kaneko T, Huang Y, Khan-Wasti S, Santillana S, Press MF, Slamon D. Lapatinib in Combination With Capecitabine Plus Oxaliplatin in Human Epidermal Growth Factor Receptor 2-Positive Advanced or Metastatic Gastric, Esophageal, or Gastroesophageal Adenocarcinoma: TRIO-013/LOGiC--A Randomized Phase III Trial. </w:t>
      </w:r>
      <w:r w:rsidRPr="00A23C0C">
        <w:rPr>
          <w:rFonts w:ascii="Book Antiqua" w:hAnsi="Book Antiqua"/>
          <w:i/>
          <w:iCs/>
        </w:rPr>
        <w:t>J Clin Oncol</w:t>
      </w:r>
      <w:r w:rsidRPr="00A23C0C">
        <w:rPr>
          <w:rFonts w:ascii="Book Antiqua" w:hAnsi="Book Antiqua"/>
        </w:rPr>
        <w:t xml:space="preserve"> 2016; </w:t>
      </w:r>
      <w:r w:rsidRPr="00A23C0C">
        <w:rPr>
          <w:rFonts w:ascii="Book Antiqua" w:hAnsi="Book Antiqua"/>
          <w:b/>
          <w:bCs/>
        </w:rPr>
        <w:t>34</w:t>
      </w:r>
      <w:r w:rsidRPr="00A23C0C">
        <w:rPr>
          <w:rFonts w:ascii="Book Antiqua" w:hAnsi="Book Antiqua"/>
        </w:rPr>
        <w:t>: 443-451 [PMID: 26628478 DOI: 10.1200/JCO.2015.62.6598]</w:t>
      </w:r>
    </w:p>
    <w:p w14:paraId="3823AFE6"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53 </w:t>
      </w:r>
      <w:r w:rsidRPr="00A23C0C">
        <w:rPr>
          <w:rFonts w:ascii="Book Antiqua" w:hAnsi="Book Antiqua"/>
          <w:b/>
          <w:bCs/>
        </w:rPr>
        <w:t>Young K</w:t>
      </w:r>
      <w:r w:rsidRPr="00A23C0C">
        <w:rPr>
          <w:rFonts w:ascii="Book Antiqua" w:hAnsi="Book Antiqua"/>
        </w:rPr>
        <w:t xml:space="preserve">, Smyth E, Chau I. Ramucirumab for advanced gastric cancer or gastro-oesophageal junction adenocarcinoma. </w:t>
      </w:r>
      <w:r w:rsidRPr="00A23C0C">
        <w:rPr>
          <w:rFonts w:ascii="Book Antiqua" w:hAnsi="Book Antiqua"/>
          <w:i/>
          <w:iCs/>
        </w:rPr>
        <w:t>Therap Adv Gastroenterol</w:t>
      </w:r>
      <w:r w:rsidRPr="00A23C0C">
        <w:rPr>
          <w:rFonts w:ascii="Book Antiqua" w:hAnsi="Book Antiqua"/>
        </w:rPr>
        <w:t xml:space="preserve"> 2015; </w:t>
      </w:r>
      <w:r w:rsidRPr="00A23C0C">
        <w:rPr>
          <w:rFonts w:ascii="Book Antiqua" w:hAnsi="Book Antiqua"/>
          <w:b/>
          <w:bCs/>
        </w:rPr>
        <w:t>8</w:t>
      </w:r>
      <w:r w:rsidRPr="00A23C0C">
        <w:rPr>
          <w:rFonts w:ascii="Book Antiqua" w:hAnsi="Book Antiqua"/>
        </w:rPr>
        <w:t>: 373-383 [PMID: 26557893 DOI: 10.1177/1756283X15592586]</w:t>
      </w:r>
    </w:p>
    <w:p w14:paraId="4C1FCBF7"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54 </w:t>
      </w:r>
      <w:r w:rsidRPr="00A23C0C">
        <w:rPr>
          <w:rFonts w:ascii="Book Antiqua" w:hAnsi="Book Antiqua"/>
          <w:b/>
          <w:bCs/>
        </w:rPr>
        <w:t>Fuchs CS</w:t>
      </w:r>
      <w:r w:rsidRPr="00A23C0C">
        <w:rPr>
          <w:rFonts w:ascii="Book Antiqua" w:hAnsi="Book Antiqua"/>
        </w:rPr>
        <w:t xml:space="preserve">, Tomasek J, Yong CJ, Dumitru F, Passalacqua R, Goswami C, Safran H, Dos Santos LV, Aprile G, Ferry DR, Melichar B, Tehfe M, Topuzov E, Zalcberg JR, Chau I, Campbell W, Sivanandan C, Pikiel J, Koshiji M, Hsu Y, Liepa AM, Gao L, Schwartz JD, Tabernero J; REGARD Trial Investigators. Ramucirumab monotherapy for previously treated advanced gastric or gastro-oesophageal junction adenocarcinoma (REGARD): an international, randomised, multicentre, placebo-controlled, phase 3 trial. </w:t>
      </w:r>
      <w:r w:rsidRPr="00A23C0C">
        <w:rPr>
          <w:rFonts w:ascii="Book Antiqua" w:hAnsi="Book Antiqua"/>
          <w:i/>
          <w:iCs/>
        </w:rPr>
        <w:t>Lancet</w:t>
      </w:r>
      <w:r w:rsidRPr="00A23C0C">
        <w:rPr>
          <w:rFonts w:ascii="Book Antiqua" w:hAnsi="Book Antiqua"/>
        </w:rPr>
        <w:t xml:space="preserve"> 2014; </w:t>
      </w:r>
      <w:r w:rsidRPr="00A23C0C">
        <w:rPr>
          <w:rFonts w:ascii="Book Antiqua" w:hAnsi="Book Antiqua"/>
          <w:b/>
          <w:bCs/>
        </w:rPr>
        <w:t>383</w:t>
      </w:r>
      <w:r w:rsidRPr="00A23C0C">
        <w:rPr>
          <w:rFonts w:ascii="Book Antiqua" w:hAnsi="Book Antiqua"/>
        </w:rPr>
        <w:t>: 31-39 [PMID: 24094768 DOI: 10.1016/S0140-6736(13)61719-5]</w:t>
      </w:r>
    </w:p>
    <w:p w14:paraId="7AE0B285"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55 </w:t>
      </w:r>
      <w:r w:rsidRPr="00A23C0C">
        <w:rPr>
          <w:rFonts w:ascii="Book Antiqua" w:hAnsi="Book Antiqua"/>
          <w:b/>
          <w:bCs/>
        </w:rPr>
        <w:t>Wilke H</w:t>
      </w:r>
      <w:r w:rsidRPr="00A23C0C">
        <w:rPr>
          <w:rFonts w:ascii="Book Antiqua" w:hAnsi="Book Antiqua"/>
        </w:rPr>
        <w:t xml:space="preserve">, Muro K, Van Cutsem E, Oh SC, Bodoky G, Shimada Y, Hironaka S, Sugimoto N, Lipatov O, Kim TY, Cunningham D, Rougier P, Komatsu Y, Ajani J, Emig M, Carlesi R, Ferry D, Chandrawansa K, Schwartz JD, Ohtsu A; RAINBOW Study Group. Ramucirumab plus paclitaxel versus placebo plus paclitaxel in patients with </w:t>
      </w:r>
      <w:r w:rsidRPr="00A23C0C">
        <w:rPr>
          <w:rFonts w:ascii="Book Antiqua" w:hAnsi="Book Antiqua"/>
        </w:rPr>
        <w:lastRenderedPageBreak/>
        <w:t xml:space="preserve">previously treated advanced gastric or gastro-oesophageal junction adenocarcinoma (RAINBOW): a double-blind, randomised phase 3 trial. </w:t>
      </w:r>
      <w:r w:rsidRPr="00A23C0C">
        <w:rPr>
          <w:rFonts w:ascii="Book Antiqua" w:hAnsi="Book Antiqua"/>
          <w:i/>
          <w:iCs/>
        </w:rPr>
        <w:t>Lancet Oncol</w:t>
      </w:r>
      <w:r w:rsidRPr="00A23C0C">
        <w:rPr>
          <w:rFonts w:ascii="Book Antiqua" w:hAnsi="Book Antiqua"/>
        </w:rPr>
        <w:t xml:space="preserve"> 2014; </w:t>
      </w:r>
      <w:r w:rsidRPr="00A23C0C">
        <w:rPr>
          <w:rFonts w:ascii="Book Antiqua" w:hAnsi="Book Antiqua"/>
          <w:b/>
          <w:bCs/>
        </w:rPr>
        <w:t>15</w:t>
      </w:r>
      <w:r w:rsidRPr="00A23C0C">
        <w:rPr>
          <w:rFonts w:ascii="Book Antiqua" w:hAnsi="Book Antiqua"/>
        </w:rPr>
        <w:t>: 1224-1235 [PMID: 25240821 DOI: 10.1016/S1470-2045(14)70420-6]</w:t>
      </w:r>
    </w:p>
    <w:p w14:paraId="192D98D2"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56 </w:t>
      </w:r>
      <w:r w:rsidRPr="00A23C0C">
        <w:rPr>
          <w:rFonts w:ascii="Book Antiqua" w:hAnsi="Book Antiqua"/>
          <w:b/>
          <w:bCs/>
        </w:rPr>
        <w:t>Sexton RE</w:t>
      </w:r>
      <w:r w:rsidRPr="00A23C0C">
        <w:rPr>
          <w:rFonts w:ascii="Book Antiqua" w:hAnsi="Book Antiqua"/>
        </w:rPr>
        <w:t xml:space="preserve">, Al Hallak MN, Diab M, Azmi AS. Gastric cancer: a comprehensive review of current and future treatment strategies. </w:t>
      </w:r>
      <w:r w:rsidRPr="00A23C0C">
        <w:rPr>
          <w:rFonts w:ascii="Book Antiqua" w:hAnsi="Book Antiqua"/>
          <w:i/>
          <w:iCs/>
        </w:rPr>
        <w:t>Cancer Metastasis Rev</w:t>
      </w:r>
      <w:r w:rsidRPr="00A23C0C">
        <w:rPr>
          <w:rFonts w:ascii="Book Antiqua" w:hAnsi="Book Antiqua"/>
        </w:rPr>
        <w:t xml:space="preserve"> 2020; </w:t>
      </w:r>
      <w:r w:rsidRPr="00A23C0C">
        <w:rPr>
          <w:rFonts w:ascii="Book Antiqua" w:hAnsi="Book Antiqua"/>
          <w:b/>
          <w:bCs/>
        </w:rPr>
        <w:t>39</w:t>
      </w:r>
      <w:r w:rsidRPr="00A23C0C">
        <w:rPr>
          <w:rFonts w:ascii="Book Antiqua" w:hAnsi="Book Antiqua"/>
        </w:rPr>
        <w:t>: 1179-1203 [PMID: 32894370 DOI: 10.1007/s10555-020-09925-3]</w:t>
      </w:r>
    </w:p>
    <w:p w14:paraId="054C778D"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57 </w:t>
      </w:r>
      <w:r w:rsidRPr="00A23C0C">
        <w:rPr>
          <w:rFonts w:ascii="Book Antiqua" w:hAnsi="Book Antiqua"/>
          <w:b/>
          <w:bCs/>
        </w:rPr>
        <w:t>Akyala AI,</w:t>
      </w:r>
      <w:r w:rsidRPr="00A23C0C">
        <w:rPr>
          <w:rFonts w:ascii="Book Antiqua" w:hAnsi="Book Antiqua"/>
        </w:rPr>
        <w:t xml:space="preserve"> Verhaar AP, Peppelenbosch MP. Immune checkpoint inhibition in gastric cancer: A systematic review. </w:t>
      </w:r>
      <w:r w:rsidRPr="00A23C0C">
        <w:rPr>
          <w:rFonts w:ascii="Book Antiqua" w:hAnsi="Book Antiqua"/>
          <w:i/>
        </w:rPr>
        <w:t>Journal of Cellular Immunotherapy</w:t>
      </w:r>
      <w:r w:rsidRPr="00A23C0C">
        <w:rPr>
          <w:rFonts w:ascii="Book Antiqua" w:hAnsi="Book Antiqua"/>
        </w:rPr>
        <w:t xml:space="preserve"> 2018; </w:t>
      </w:r>
      <w:r w:rsidRPr="00A23C0C">
        <w:rPr>
          <w:rFonts w:ascii="Book Antiqua" w:hAnsi="Book Antiqua"/>
          <w:b/>
        </w:rPr>
        <w:t>4</w:t>
      </w:r>
      <w:r w:rsidRPr="00A23C0C">
        <w:rPr>
          <w:rFonts w:ascii="Book Antiqua" w:hAnsi="Book Antiqua"/>
        </w:rPr>
        <w:t>: 49–55 [DOI: 10.1016/j.jocit.2018.05.001]</w:t>
      </w:r>
    </w:p>
    <w:p w14:paraId="619305BB"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58 </w:t>
      </w:r>
      <w:r w:rsidRPr="00A23C0C">
        <w:rPr>
          <w:rFonts w:ascii="Book Antiqua" w:hAnsi="Book Antiqua"/>
          <w:b/>
          <w:bCs/>
        </w:rPr>
        <w:t>Janjigian YY</w:t>
      </w:r>
      <w:r w:rsidRPr="00A23C0C">
        <w:rPr>
          <w:rFonts w:ascii="Book Antiqua" w:hAnsi="Book Antiqua"/>
        </w:rPr>
        <w:t xml:space="preserve">, Shitara K, Moehler M, Garrido M, Salman P, Shen L, Wyrwicz L, Yamaguchi K, Skoczylas T, Campos Bragagnoli A, Liu T, Schenker M, Yanez P, Tehfe M, Kowalyszyn R, Karamouzis MV, Bruges R, Zander T, Pazo-Cid R, Hitre E, Feeney K, Cleary JM, Poulart V, Cullen D, Lei M, Xiao H, Kondo K, Li M, Ajani JA. First-line nivolumab plus chemotherapy versus chemotherapy alone for advanced gastric, gastro-oesophageal junction, and oesophageal adenocarcinoma (CheckMate 649): a randomised, open-label, phase 3 trial. </w:t>
      </w:r>
      <w:r w:rsidRPr="00A23C0C">
        <w:rPr>
          <w:rFonts w:ascii="Book Antiqua" w:hAnsi="Book Antiqua"/>
          <w:i/>
          <w:iCs/>
        </w:rPr>
        <w:t>Lancet</w:t>
      </w:r>
      <w:r w:rsidRPr="00A23C0C">
        <w:rPr>
          <w:rFonts w:ascii="Book Antiqua" w:hAnsi="Book Antiqua"/>
        </w:rPr>
        <w:t xml:space="preserve"> 2021; </w:t>
      </w:r>
      <w:r w:rsidRPr="00A23C0C">
        <w:rPr>
          <w:rFonts w:ascii="Book Antiqua" w:hAnsi="Book Antiqua"/>
          <w:b/>
          <w:bCs/>
        </w:rPr>
        <w:t>398</w:t>
      </w:r>
      <w:r w:rsidRPr="00A23C0C">
        <w:rPr>
          <w:rFonts w:ascii="Book Antiqua" w:hAnsi="Book Antiqua"/>
        </w:rPr>
        <w:t>: 27-40 [PMID: 34102137 DOI: 10.1016/S0140-6736(21)00797-2]</w:t>
      </w:r>
    </w:p>
    <w:p w14:paraId="604FC8E6"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59 </w:t>
      </w:r>
      <w:r w:rsidRPr="00A23C0C">
        <w:rPr>
          <w:rFonts w:ascii="Book Antiqua" w:hAnsi="Book Antiqua"/>
          <w:b/>
          <w:bCs/>
        </w:rPr>
        <w:t>Kang YK</w:t>
      </w:r>
      <w:r w:rsidRPr="00A23C0C">
        <w:rPr>
          <w:rFonts w:ascii="Book Antiqua" w:hAnsi="Book Antiqua"/>
        </w:rPr>
        <w:t xml:space="preserve">, Boku N, Satoh T, Ryu MH, Chao Y, Kato K, Chung HC, Chen JS, Muro K, Kang WK, Yeh KH, Yoshikawa T, Oh SC, Bai LY, Tamura T, Lee KW, Hamamoto Y, Kim JG, Chin K, Oh DY, Minashi K, Cho JY, Tsuda M, Chen LT. Nivolumab in patients with advanced gastric or gastro-oesophageal junction cancer refractory to, or intolerant of, at least two previous chemotherapy regimens (ONO-4538-12, ATTRACTION-2): a randomised, double-blind, placebo-controlled, phase 3 trial. </w:t>
      </w:r>
      <w:r w:rsidRPr="00A23C0C">
        <w:rPr>
          <w:rFonts w:ascii="Book Antiqua" w:hAnsi="Book Antiqua"/>
          <w:i/>
          <w:iCs/>
        </w:rPr>
        <w:t>Lancet</w:t>
      </w:r>
      <w:r w:rsidRPr="00A23C0C">
        <w:rPr>
          <w:rFonts w:ascii="Book Antiqua" w:hAnsi="Book Antiqua"/>
        </w:rPr>
        <w:t xml:space="preserve"> 2017; </w:t>
      </w:r>
      <w:r w:rsidRPr="00A23C0C">
        <w:rPr>
          <w:rFonts w:ascii="Book Antiqua" w:hAnsi="Book Antiqua"/>
          <w:b/>
          <w:bCs/>
        </w:rPr>
        <w:t>390</w:t>
      </w:r>
      <w:r w:rsidRPr="00A23C0C">
        <w:rPr>
          <w:rFonts w:ascii="Book Antiqua" w:hAnsi="Book Antiqua"/>
        </w:rPr>
        <w:t>: 2461-2471 [PMID: 28993052 DOI: 10.1016/S0140-6736(17)31827-5]</w:t>
      </w:r>
    </w:p>
    <w:p w14:paraId="6FDB03F5"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60 </w:t>
      </w:r>
      <w:r w:rsidRPr="00A23C0C">
        <w:rPr>
          <w:rFonts w:ascii="Book Antiqua" w:hAnsi="Book Antiqua"/>
          <w:b/>
          <w:bCs/>
        </w:rPr>
        <w:t>Fuchs CS</w:t>
      </w:r>
      <w:r w:rsidRPr="00A23C0C">
        <w:rPr>
          <w:rFonts w:ascii="Book Antiqua" w:hAnsi="Book Antiqua"/>
        </w:rPr>
        <w:t xml:space="preserve">, Doi T, Jang RW, Muro K, Satoh T, Machado M, Sun W, Jalal SI, Shah MA, Metges JP, Garrido M, Golan T, Mandala M, Wainberg ZA, Catenacci DV, Ohtsu A, Shitara K, Geva R, Bleeker J, Ko AH, Ku G, Philip P, Enzinger PC, Bang YJ, Levitan D, Wang J, Rosales M, Dalal RP, Yoon HH. Safety and Efficacy of Pembrolizumab Monotherapy in Patients With Previously Treated Advanced Gastric and </w:t>
      </w:r>
      <w:r w:rsidRPr="00A23C0C">
        <w:rPr>
          <w:rFonts w:ascii="Book Antiqua" w:hAnsi="Book Antiqua"/>
        </w:rPr>
        <w:lastRenderedPageBreak/>
        <w:t xml:space="preserve">Gastroesophageal Junction Cancer: Phase 2 Clinical KEYNOTE-059 Trial. </w:t>
      </w:r>
      <w:r w:rsidRPr="00A23C0C">
        <w:rPr>
          <w:rFonts w:ascii="Book Antiqua" w:hAnsi="Book Antiqua"/>
          <w:i/>
          <w:iCs/>
        </w:rPr>
        <w:t>JAMA Oncol</w:t>
      </w:r>
      <w:r w:rsidRPr="00A23C0C">
        <w:rPr>
          <w:rFonts w:ascii="Book Antiqua" w:hAnsi="Book Antiqua"/>
        </w:rPr>
        <w:t xml:space="preserve"> 2018; </w:t>
      </w:r>
      <w:r w:rsidRPr="00A23C0C">
        <w:rPr>
          <w:rFonts w:ascii="Book Antiqua" w:hAnsi="Book Antiqua"/>
          <w:b/>
          <w:bCs/>
        </w:rPr>
        <w:t>4</w:t>
      </w:r>
      <w:r w:rsidRPr="00A23C0C">
        <w:rPr>
          <w:rFonts w:ascii="Book Antiqua" w:hAnsi="Book Antiqua"/>
        </w:rPr>
        <w:t>: e180013 [PMID: 29543932 DOI: 10.1001/jamaoncol.2018.0013]</w:t>
      </w:r>
    </w:p>
    <w:p w14:paraId="4033B721" w14:textId="77777777" w:rsidR="00DF05FB" w:rsidRPr="00A23C0C" w:rsidRDefault="00DF05FB" w:rsidP="00DF05FB">
      <w:pPr>
        <w:spacing w:line="360" w:lineRule="auto"/>
        <w:jc w:val="both"/>
        <w:rPr>
          <w:rFonts w:ascii="Book Antiqua" w:hAnsi="Book Antiqua"/>
        </w:rPr>
      </w:pPr>
      <w:r w:rsidRPr="00A23C0C">
        <w:rPr>
          <w:rFonts w:ascii="Book Antiqua" w:hAnsi="Book Antiqua"/>
        </w:rPr>
        <w:t xml:space="preserve">61 </w:t>
      </w:r>
      <w:r w:rsidRPr="00A23C0C">
        <w:rPr>
          <w:rFonts w:ascii="Book Antiqua" w:hAnsi="Book Antiqua"/>
          <w:b/>
          <w:bCs/>
        </w:rPr>
        <w:t>Shitara K</w:t>
      </w:r>
      <w:r w:rsidRPr="00A23C0C">
        <w:rPr>
          <w:rFonts w:ascii="Book Antiqua" w:hAnsi="Book Antiqua"/>
        </w:rPr>
        <w:t xml:space="preserve">, Van Cutsem E, Bang YJ, Fuchs C, Wyrwicz L, Lee KW, Kudaba I, Garrido M, Chung HC, Lee J, Castro HR, Mansoor W, Braghiroli MI, Karaseva N, Caglevic C, Villanueva L, Goekkurt E, Satake H, Enzinger P, Alsina M, Benson A, Chao J, Ko AH, Wainberg ZA, Kher U, Shah S, Kang SP, Tabernero J. Efficacy and Safety of Pembrolizumab or Pembrolizumab Plus Chemotherapy vs Chemotherapy Alone for Patients With First-line, Advanced Gastric Cancer: The KEYNOTE-062 Phase 3 Randomized Clinical Trial. </w:t>
      </w:r>
      <w:r w:rsidRPr="00A23C0C">
        <w:rPr>
          <w:rFonts w:ascii="Book Antiqua" w:hAnsi="Book Antiqua"/>
          <w:i/>
          <w:iCs/>
        </w:rPr>
        <w:t>JAMA Oncol</w:t>
      </w:r>
      <w:r w:rsidRPr="00A23C0C">
        <w:rPr>
          <w:rFonts w:ascii="Book Antiqua" w:hAnsi="Book Antiqua"/>
        </w:rPr>
        <w:t xml:space="preserve"> 2020; </w:t>
      </w:r>
      <w:r w:rsidRPr="00A23C0C">
        <w:rPr>
          <w:rFonts w:ascii="Book Antiqua" w:hAnsi="Book Antiqua"/>
          <w:b/>
          <w:bCs/>
        </w:rPr>
        <w:t>6</w:t>
      </w:r>
      <w:r w:rsidRPr="00A23C0C">
        <w:rPr>
          <w:rFonts w:ascii="Book Antiqua" w:hAnsi="Book Antiqua"/>
        </w:rPr>
        <w:t>: 1571-1580 [PMID: 32880601 DOI: 10.1001/jamaoncol.2020.3370]</w:t>
      </w:r>
    </w:p>
    <w:p w14:paraId="3DDDE280" w14:textId="77777777" w:rsidR="00A77B3E" w:rsidRPr="00A23C0C" w:rsidRDefault="00A77B3E">
      <w:pPr>
        <w:spacing w:line="360" w:lineRule="auto"/>
        <w:jc w:val="both"/>
        <w:sectPr w:rsidR="00A77B3E" w:rsidRPr="00A23C0C">
          <w:pgSz w:w="12240" w:h="15840"/>
          <w:pgMar w:top="1440" w:right="1440" w:bottom="1440" w:left="1440" w:header="720" w:footer="720" w:gutter="0"/>
          <w:cols w:space="720"/>
          <w:docGrid w:linePitch="360"/>
        </w:sectPr>
      </w:pPr>
    </w:p>
    <w:p w14:paraId="0447142E" w14:textId="77777777" w:rsidR="00A77B3E" w:rsidRPr="00A23C0C" w:rsidRDefault="00441B03">
      <w:pPr>
        <w:spacing w:line="360" w:lineRule="auto"/>
        <w:jc w:val="both"/>
      </w:pPr>
      <w:r w:rsidRPr="00A23C0C">
        <w:rPr>
          <w:rFonts w:ascii="Book Antiqua" w:eastAsia="Book Antiqua" w:hAnsi="Book Antiqua" w:cs="Book Antiqua"/>
          <w:b/>
          <w:color w:val="000000"/>
        </w:rPr>
        <w:lastRenderedPageBreak/>
        <w:t>Footnotes</w:t>
      </w:r>
    </w:p>
    <w:p w14:paraId="35DDEDB9" w14:textId="77777777" w:rsidR="00A77B3E" w:rsidRPr="00A23C0C" w:rsidRDefault="00441B03">
      <w:pPr>
        <w:spacing w:line="360" w:lineRule="auto"/>
        <w:jc w:val="both"/>
      </w:pPr>
      <w:r w:rsidRPr="00A23C0C">
        <w:rPr>
          <w:rFonts w:ascii="Book Antiqua" w:eastAsia="Book Antiqua" w:hAnsi="Book Antiqua" w:cs="Book Antiqua"/>
          <w:b/>
          <w:bCs/>
          <w:color w:val="000000"/>
          <w:szCs w:val="22"/>
        </w:rPr>
        <w:t xml:space="preserve">Conflict-of-interest statement: </w:t>
      </w:r>
      <w:r w:rsidRPr="00A23C0C">
        <w:rPr>
          <w:rFonts w:ascii="Book Antiqua" w:eastAsia="Book Antiqua" w:hAnsi="Book Antiqua" w:cs="Book Antiqua"/>
          <w:color w:val="000000"/>
        </w:rPr>
        <w:t>The authors declare no conflicts of interest.</w:t>
      </w:r>
    </w:p>
    <w:p w14:paraId="1DF590D9" w14:textId="77777777" w:rsidR="00A77B3E" w:rsidRPr="00A23C0C" w:rsidRDefault="00A77B3E">
      <w:pPr>
        <w:spacing w:line="360" w:lineRule="auto"/>
        <w:jc w:val="both"/>
      </w:pPr>
    </w:p>
    <w:p w14:paraId="70C2A8F9" w14:textId="77777777" w:rsidR="00A77B3E" w:rsidRPr="00A23C0C" w:rsidRDefault="00441B03">
      <w:pPr>
        <w:spacing w:line="360" w:lineRule="auto"/>
        <w:jc w:val="both"/>
      </w:pPr>
      <w:r w:rsidRPr="00A23C0C">
        <w:rPr>
          <w:rFonts w:ascii="Book Antiqua" w:eastAsia="Book Antiqua" w:hAnsi="Book Antiqua" w:cs="Book Antiqua"/>
          <w:b/>
          <w:bCs/>
          <w:color w:val="000000"/>
        </w:rPr>
        <w:t xml:space="preserve">Open-Access: </w:t>
      </w:r>
      <w:r w:rsidRPr="00A23C0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D957FB" w14:textId="77777777" w:rsidR="00A77B3E" w:rsidRPr="00A23C0C" w:rsidRDefault="00A77B3E">
      <w:pPr>
        <w:spacing w:line="360" w:lineRule="auto"/>
        <w:jc w:val="both"/>
      </w:pPr>
    </w:p>
    <w:p w14:paraId="0B113E62" w14:textId="0029979E" w:rsidR="00A77B3E" w:rsidRPr="00A23C0C" w:rsidRDefault="00441B03">
      <w:pPr>
        <w:spacing w:line="360" w:lineRule="auto"/>
        <w:jc w:val="both"/>
      </w:pPr>
      <w:r w:rsidRPr="00A23C0C">
        <w:rPr>
          <w:rFonts w:ascii="Book Antiqua" w:eastAsia="Book Antiqua" w:hAnsi="Book Antiqua" w:cs="Book Antiqua"/>
          <w:b/>
          <w:color w:val="000000"/>
        </w:rPr>
        <w:t xml:space="preserve">Manuscript source: </w:t>
      </w:r>
      <w:r w:rsidRPr="00A23C0C">
        <w:rPr>
          <w:rFonts w:ascii="Book Antiqua" w:eastAsia="Book Antiqua" w:hAnsi="Book Antiqua" w:cs="Book Antiqua"/>
          <w:color w:val="000000"/>
        </w:rPr>
        <w:t xml:space="preserve">Invited </w:t>
      </w:r>
      <w:r w:rsidR="00DF05FB" w:rsidRPr="00A23C0C">
        <w:rPr>
          <w:rFonts w:ascii="Book Antiqua" w:eastAsia="Book Antiqua" w:hAnsi="Book Antiqua" w:cs="Book Antiqua"/>
          <w:color w:val="000000"/>
        </w:rPr>
        <w:t>m</w:t>
      </w:r>
      <w:r w:rsidRPr="00A23C0C">
        <w:rPr>
          <w:rFonts w:ascii="Book Antiqua" w:eastAsia="Book Antiqua" w:hAnsi="Book Antiqua" w:cs="Book Antiqua"/>
          <w:color w:val="000000"/>
        </w:rPr>
        <w:t>anuscript</w:t>
      </w:r>
    </w:p>
    <w:p w14:paraId="2F92F55E" w14:textId="77777777" w:rsidR="00A77B3E" w:rsidRPr="00A23C0C" w:rsidRDefault="00A77B3E">
      <w:pPr>
        <w:spacing w:line="360" w:lineRule="auto"/>
        <w:jc w:val="both"/>
      </w:pPr>
    </w:p>
    <w:p w14:paraId="33DBE0BB" w14:textId="77777777" w:rsidR="00A77B3E" w:rsidRPr="00A23C0C" w:rsidRDefault="00441B03">
      <w:pPr>
        <w:spacing w:line="360" w:lineRule="auto"/>
        <w:jc w:val="both"/>
      </w:pPr>
      <w:r w:rsidRPr="00A23C0C">
        <w:rPr>
          <w:rFonts w:ascii="Book Antiqua" w:eastAsia="Book Antiqua" w:hAnsi="Book Antiqua" w:cs="Book Antiqua"/>
          <w:b/>
          <w:color w:val="000000"/>
        </w:rPr>
        <w:t xml:space="preserve">Peer-review started: </w:t>
      </w:r>
      <w:r w:rsidRPr="00A23C0C">
        <w:rPr>
          <w:rFonts w:ascii="Book Antiqua" w:eastAsia="Book Antiqua" w:hAnsi="Book Antiqua" w:cs="Book Antiqua"/>
          <w:color w:val="000000"/>
        </w:rPr>
        <w:t>June 20, 2021</w:t>
      </w:r>
    </w:p>
    <w:p w14:paraId="154927A6" w14:textId="77777777" w:rsidR="00A77B3E" w:rsidRPr="00A23C0C" w:rsidRDefault="00441B03">
      <w:pPr>
        <w:spacing w:line="360" w:lineRule="auto"/>
        <w:jc w:val="both"/>
      </w:pPr>
      <w:r w:rsidRPr="00A23C0C">
        <w:rPr>
          <w:rFonts w:ascii="Book Antiqua" w:eastAsia="Book Antiqua" w:hAnsi="Book Antiqua" w:cs="Book Antiqua"/>
          <w:b/>
          <w:color w:val="000000"/>
        </w:rPr>
        <w:t xml:space="preserve">First decision: </w:t>
      </w:r>
      <w:r w:rsidRPr="00A23C0C">
        <w:rPr>
          <w:rFonts w:ascii="Book Antiqua" w:eastAsia="Book Antiqua" w:hAnsi="Book Antiqua" w:cs="Book Antiqua"/>
          <w:color w:val="000000"/>
        </w:rPr>
        <w:t>July 2, 2021</w:t>
      </w:r>
    </w:p>
    <w:p w14:paraId="3282CA3F" w14:textId="2A100A55" w:rsidR="00A77B3E" w:rsidRPr="00A23C0C" w:rsidRDefault="00441B03">
      <w:pPr>
        <w:spacing w:line="360" w:lineRule="auto"/>
        <w:jc w:val="both"/>
      </w:pPr>
      <w:r w:rsidRPr="00A23C0C">
        <w:rPr>
          <w:rFonts w:ascii="Book Antiqua" w:eastAsia="Book Antiqua" w:hAnsi="Book Antiqua" w:cs="Book Antiqua"/>
          <w:b/>
          <w:color w:val="000000"/>
        </w:rPr>
        <w:t xml:space="preserve">Article in press: </w:t>
      </w:r>
      <w:r w:rsidR="00640ADB" w:rsidRPr="00A23C0C">
        <w:rPr>
          <w:rFonts w:ascii="Book Antiqua" w:eastAsia="Book Antiqua" w:hAnsi="Book Antiqua" w:cs="Book Antiqua"/>
          <w:color w:val="000000"/>
        </w:rPr>
        <w:t>September 15, 2021</w:t>
      </w:r>
    </w:p>
    <w:p w14:paraId="5E959C8A" w14:textId="77777777" w:rsidR="00A77B3E" w:rsidRPr="00A23C0C" w:rsidRDefault="00A77B3E">
      <w:pPr>
        <w:spacing w:line="360" w:lineRule="auto"/>
        <w:jc w:val="both"/>
      </w:pPr>
    </w:p>
    <w:p w14:paraId="2CA3492E" w14:textId="58BD85BF" w:rsidR="00A77B3E" w:rsidRPr="00A23C0C" w:rsidRDefault="00441B03">
      <w:pPr>
        <w:spacing w:line="360" w:lineRule="auto"/>
        <w:jc w:val="both"/>
      </w:pPr>
      <w:r w:rsidRPr="00A23C0C">
        <w:rPr>
          <w:rFonts w:ascii="Book Antiqua" w:eastAsia="Book Antiqua" w:hAnsi="Book Antiqua" w:cs="Book Antiqua"/>
          <w:b/>
          <w:color w:val="000000"/>
        </w:rPr>
        <w:t xml:space="preserve">Specialty type: </w:t>
      </w:r>
      <w:bookmarkStart w:id="0" w:name="OLE_LINK1739"/>
      <w:bookmarkStart w:id="1" w:name="OLE_LINK1740"/>
      <w:bookmarkStart w:id="2" w:name="OLE_LINK1741"/>
      <w:bookmarkStart w:id="3" w:name="OLE_LINK1762"/>
      <w:bookmarkStart w:id="4" w:name="OLE_LINK1890"/>
      <w:bookmarkStart w:id="5" w:name="OLE_LINK2005"/>
      <w:bookmarkStart w:id="6" w:name="OLE_LINK1973"/>
      <w:bookmarkStart w:id="7" w:name="OLE_LINK1988"/>
      <w:bookmarkStart w:id="8" w:name="OLE_LINK293"/>
      <w:r w:rsidR="00DF05FB" w:rsidRPr="00A23C0C">
        <w:rPr>
          <w:rFonts w:ascii="Book Antiqua" w:eastAsia="微软雅黑" w:hAnsi="Book Antiqua" w:cs="宋体"/>
        </w:rPr>
        <w:t>Medicine, research and experimental</w:t>
      </w:r>
      <w:bookmarkEnd w:id="0"/>
      <w:bookmarkEnd w:id="1"/>
      <w:bookmarkEnd w:id="2"/>
      <w:bookmarkEnd w:id="3"/>
      <w:bookmarkEnd w:id="4"/>
      <w:bookmarkEnd w:id="5"/>
      <w:bookmarkEnd w:id="6"/>
      <w:bookmarkEnd w:id="7"/>
      <w:bookmarkEnd w:id="8"/>
    </w:p>
    <w:p w14:paraId="0F3B2488" w14:textId="77777777" w:rsidR="00A77B3E" w:rsidRPr="00A23C0C" w:rsidRDefault="00441B03">
      <w:pPr>
        <w:spacing w:line="360" w:lineRule="auto"/>
        <w:jc w:val="both"/>
      </w:pPr>
      <w:r w:rsidRPr="00A23C0C">
        <w:rPr>
          <w:rFonts w:ascii="Book Antiqua" w:eastAsia="Book Antiqua" w:hAnsi="Book Antiqua" w:cs="Book Antiqua"/>
          <w:b/>
          <w:color w:val="000000"/>
        </w:rPr>
        <w:t xml:space="preserve">Country/Territory of origin: </w:t>
      </w:r>
      <w:r w:rsidRPr="00A23C0C">
        <w:rPr>
          <w:rFonts w:ascii="Book Antiqua" w:eastAsia="Book Antiqua" w:hAnsi="Book Antiqua" w:cs="Book Antiqua"/>
          <w:color w:val="000000"/>
        </w:rPr>
        <w:t>Lithuania</w:t>
      </w:r>
    </w:p>
    <w:p w14:paraId="6AF53F6F" w14:textId="77777777" w:rsidR="00A77B3E" w:rsidRPr="00A23C0C" w:rsidRDefault="00441B03">
      <w:pPr>
        <w:spacing w:line="360" w:lineRule="auto"/>
        <w:jc w:val="both"/>
      </w:pPr>
      <w:r w:rsidRPr="00A23C0C">
        <w:rPr>
          <w:rFonts w:ascii="Book Antiqua" w:eastAsia="Book Antiqua" w:hAnsi="Book Antiqua" w:cs="Book Antiqua"/>
          <w:b/>
          <w:color w:val="000000"/>
        </w:rPr>
        <w:t>Peer-review report’s scientific quality classification</w:t>
      </w:r>
    </w:p>
    <w:p w14:paraId="5D8F70D8" w14:textId="77777777" w:rsidR="00A77B3E" w:rsidRPr="00A23C0C" w:rsidRDefault="00441B03">
      <w:pPr>
        <w:spacing w:line="360" w:lineRule="auto"/>
        <w:jc w:val="both"/>
      </w:pPr>
      <w:r w:rsidRPr="00A23C0C">
        <w:rPr>
          <w:rFonts w:ascii="Book Antiqua" w:eastAsia="Book Antiqua" w:hAnsi="Book Antiqua" w:cs="Book Antiqua"/>
          <w:color w:val="000000"/>
        </w:rPr>
        <w:t>Grade A (Excellent): A</w:t>
      </w:r>
    </w:p>
    <w:p w14:paraId="62E9017B" w14:textId="77777777" w:rsidR="00A77B3E" w:rsidRPr="00A23C0C" w:rsidRDefault="00441B03">
      <w:pPr>
        <w:spacing w:line="360" w:lineRule="auto"/>
        <w:jc w:val="both"/>
      </w:pPr>
      <w:r w:rsidRPr="00A23C0C">
        <w:rPr>
          <w:rFonts w:ascii="Book Antiqua" w:eastAsia="Book Antiqua" w:hAnsi="Book Antiqua" w:cs="Book Antiqua"/>
          <w:color w:val="000000"/>
        </w:rPr>
        <w:t>Grade B (Very good): 0</w:t>
      </w:r>
    </w:p>
    <w:p w14:paraId="1FEAC4EB" w14:textId="77777777" w:rsidR="00A77B3E" w:rsidRPr="00A23C0C" w:rsidRDefault="00441B03">
      <w:pPr>
        <w:spacing w:line="360" w:lineRule="auto"/>
        <w:jc w:val="both"/>
      </w:pPr>
      <w:r w:rsidRPr="00A23C0C">
        <w:rPr>
          <w:rFonts w:ascii="Book Antiqua" w:eastAsia="Book Antiqua" w:hAnsi="Book Antiqua" w:cs="Book Antiqua"/>
          <w:color w:val="000000"/>
        </w:rPr>
        <w:t>Grade C (Good): 0</w:t>
      </w:r>
    </w:p>
    <w:p w14:paraId="0C91412B" w14:textId="77777777" w:rsidR="00A77B3E" w:rsidRPr="00A23C0C" w:rsidRDefault="00441B03">
      <w:pPr>
        <w:spacing w:line="360" w:lineRule="auto"/>
        <w:jc w:val="both"/>
      </w:pPr>
      <w:r w:rsidRPr="00A23C0C">
        <w:rPr>
          <w:rFonts w:ascii="Book Antiqua" w:eastAsia="Book Antiqua" w:hAnsi="Book Antiqua" w:cs="Book Antiqua"/>
          <w:color w:val="000000"/>
        </w:rPr>
        <w:t>Grade D (Fair): 0</w:t>
      </w:r>
    </w:p>
    <w:p w14:paraId="3B7DC146" w14:textId="77777777" w:rsidR="00A77B3E" w:rsidRPr="00A23C0C" w:rsidRDefault="00441B03">
      <w:pPr>
        <w:spacing w:line="360" w:lineRule="auto"/>
        <w:jc w:val="both"/>
      </w:pPr>
      <w:r w:rsidRPr="00A23C0C">
        <w:rPr>
          <w:rFonts w:ascii="Book Antiqua" w:eastAsia="Book Antiqua" w:hAnsi="Book Antiqua" w:cs="Book Antiqua"/>
          <w:color w:val="000000"/>
        </w:rPr>
        <w:t>Grade E (Poor): 0</w:t>
      </w:r>
    </w:p>
    <w:p w14:paraId="626C6C2D" w14:textId="77777777" w:rsidR="00A77B3E" w:rsidRPr="00A23C0C" w:rsidRDefault="00A77B3E">
      <w:pPr>
        <w:spacing w:line="360" w:lineRule="auto"/>
        <w:jc w:val="both"/>
      </w:pPr>
    </w:p>
    <w:p w14:paraId="747EDAB4" w14:textId="7913FDD3" w:rsidR="00A77B3E" w:rsidRPr="00A23C0C" w:rsidRDefault="00441B03">
      <w:pPr>
        <w:spacing w:line="360" w:lineRule="auto"/>
        <w:jc w:val="both"/>
        <w:sectPr w:rsidR="00A77B3E" w:rsidRPr="00A23C0C">
          <w:pgSz w:w="12240" w:h="15840"/>
          <w:pgMar w:top="1440" w:right="1440" w:bottom="1440" w:left="1440" w:header="720" w:footer="720" w:gutter="0"/>
          <w:cols w:space="720"/>
          <w:docGrid w:linePitch="360"/>
        </w:sectPr>
      </w:pPr>
      <w:r w:rsidRPr="00A23C0C">
        <w:rPr>
          <w:rFonts w:ascii="Book Antiqua" w:eastAsia="Book Antiqua" w:hAnsi="Book Antiqua" w:cs="Book Antiqua"/>
          <w:b/>
          <w:color w:val="000000"/>
        </w:rPr>
        <w:t xml:space="preserve">P-Reviewer: </w:t>
      </w:r>
      <w:r w:rsidRPr="00A23C0C">
        <w:rPr>
          <w:rFonts w:ascii="Book Antiqua" w:eastAsia="Book Antiqua" w:hAnsi="Book Antiqua" w:cs="Book Antiqua"/>
          <w:color w:val="000000"/>
        </w:rPr>
        <w:t>An T</w:t>
      </w:r>
      <w:r w:rsidRPr="00A23C0C">
        <w:rPr>
          <w:rFonts w:ascii="Book Antiqua" w:eastAsia="Book Antiqua" w:hAnsi="Book Antiqua" w:cs="Book Antiqua"/>
          <w:b/>
          <w:color w:val="000000"/>
        </w:rPr>
        <w:t xml:space="preserve"> S-Editor: </w:t>
      </w:r>
      <w:r w:rsidRPr="00A23C0C">
        <w:rPr>
          <w:rFonts w:ascii="Book Antiqua" w:eastAsia="Book Antiqua" w:hAnsi="Book Antiqua" w:cs="Book Antiqua"/>
          <w:color w:val="000000"/>
        </w:rPr>
        <w:t>Wang JJ</w:t>
      </w:r>
      <w:r w:rsidRPr="00A23C0C">
        <w:rPr>
          <w:rFonts w:ascii="Book Antiqua" w:eastAsia="Book Antiqua" w:hAnsi="Book Antiqua" w:cs="Book Antiqua"/>
          <w:b/>
          <w:color w:val="000000"/>
        </w:rPr>
        <w:t xml:space="preserve"> L-Editor:</w:t>
      </w:r>
      <w:r w:rsidR="00640ADB" w:rsidRPr="00A23C0C">
        <w:rPr>
          <w:rFonts w:ascii="Book Antiqua" w:hAnsi="Book Antiqua" w:cs="Book Antiqua" w:hint="eastAsia"/>
          <w:b/>
          <w:color w:val="000000"/>
          <w:lang w:eastAsia="zh-CN"/>
        </w:rPr>
        <w:t xml:space="preserve"> </w:t>
      </w:r>
      <w:r w:rsidR="00640ADB" w:rsidRPr="00A23C0C">
        <w:rPr>
          <w:rFonts w:ascii="Book Antiqua" w:hAnsi="Book Antiqua" w:cs="Book Antiqua" w:hint="eastAsia"/>
          <w:color w:val="000000"/>
          <w:lang w:eastAsia="zh-CN"/>
        </w:rPr>
        <w:t>A</w:t>
      </w:r>
      <w:r w:rsidR="00640ADB" w:rsidRPr="00A23C0C">
        <w:rPr>
          <w:rFonts w:ascii="Book Antiqua" w:eastAsia="Book Antiqua" w:hAnsi="Book Antiqua" w:cs="Book Antiqua"/>
          <w:b/>
          <w:color w:val="000000"/>
        </w:rPr>
        <w:t xml:space="preserve"> </w:t>
      </w:r>
      <w:r w:rsidRPr="00A23C0C">
        <w:rPr>
          <w:rFonts w:ascii="Book Antiqua" w:eastAsia="Book Antiqua" w:hAnsi="Book Antiqua" w:cs="Book Antiqua"/>
          <w:b/>
          <w:color w:val="000000"/>
        </w:rPr>
        <w:t xml:space="preserve">P-Editor: </w:t>
      </w:r>
      <w:r w:rsidR="00640ADB" w:rsidRPr="00A23C0C">
        <w:rPr>
          <w:rFonts w:ascii="Book Antiqua" w:eastAsia="Book Antiqua" w:hAnsi="Book Antiqua" w:cs="Book Antiqua"/>
          <w:color w:val="000000"/>
        </w:rPr>
        <w:t>Xing YX</w:t>
      </w:r>
    </w:p>
    <w:p w14:paraId="41991BDC" w14:textId="77777777" w:rsidR="00A77B3E" w:rsidRPr="00A23C0C" w:rsidRDefault="00441B03">
      <w:pPr>
        <w:spacing w:line="360" w:lineRule="auto"/>
        <w:jc w:val="both"/>
      </w:pPr>
      <w:r w:rsidRPr="00A23C0C">
        <w:rPr>
          <w:rFonts w:ascii="Book Antiqua" w:eastAsia="Book Antiqua" w:hAnsi="Book Antiqua" w:cs="Book Antiqua"/>
          <w:b/>
          <w:color w:val="000000"/>
        </w:rPr>
        <w:lastRenderedPageBreak/>
        <w:t>Figure Legends</w:t>
      </w:r>
    </w:p>
    <w:p w14:paraId="04569AE4" w14:textId="54467CDC" w:rsidR="00DF05FB" w:rsidRPr="00A23C0C" w:rsidRDefault="00CA7BA6">
      <w:pPr>
        <w:spacing w:line="360" w:lineRule="auto"/>
        <w:jc w:val="both"/>
        <w:rPr>
          <w:rFonts w:ascii="Book Antiqua" w:eastAsia="Book Antiqua" w:hAnsi="Book Antiqua" w:cs="Book Antiqua"/>
          <w:b/>
          <w:bCs/>
          <w:color w:val="000000"/>
        </w:rPr>
      </w:pPr>
      <w:r w:rsidRPr="00A23C0C">
        <w:rPr>
          <w:noProof/>
          <w:lang w:eastAsia="zh-CN"/>
        </w:rPr>
        <w:drawing>
          <wp:inline distT="0" distB="0" distL="0" distR="0" wp14:anchorId="2F30DD9D" wp14:editId="4C5E2094">
            <wp:extent cx="5943600" cy="4448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48175"/>
                    </a:xfrm>
                    <a:prstGeom prst="rect">
                      <a:avLst/>
                    </a:prstGeom>
                  </pic:spPr>
                </pic:pic>
              </a:graphicData>
            </a:graphic>
          </wp:inline>
        </w:drawing>
      </w:r>
    </w:p>
    <w:p w14:paraId="74EF020C" w14:textId="337FBB7B" w:rsidR="00C45DA1" w:rsidRPr="00A23C0C" w:rsidRDefault="00441B03">
      <w:pPr>
        <w:spacing w:line="360" w:lineRule="auto"/>
        <w:jc w:val="both"/>
        <w:rPr>
          <w:rFonts w:ascii="Book Antiqua" w:eastAsia="Book Antiqua" w:hAnsi="Book Antiqua" w:cs="Book Antiqua"/>
          <w:color w:val="000000"/>
        </w:rPr>
      </w:pPr>
      <w:r w:rsidRPr="00A23C0C">
        <w:rPr>
          <w:rFonts w:ascii="Book Antiqua" w:eastAsia="Book Antiqua" w:hAnsi="Book Antiqua" w:cs="Book Antiqua"/>
          <w:b/>
          <w:bCs/>
          <w:color w:val="000000"/>
        </w:rPr>
        <w:t xml:space="preserve">Figure 1 Different available treatment options for patients with cytology positive gastric cancer without other non-curative factors. </w:t>
      </w:r>
      <w:r w:rsidRPr="00A23C0C">
        <w:rPr>
          <w:rFonts w:ascii="Book Antiqua" w:eastAsia="Book Antiqua" w:hAnsi="Book Antiqua" w:cs="Book Antiqua"/>
          <w:color w:val="000000"/>
        </w:rPr>
        <w:t xml:space="preserve">HIPEC: </w:t>
      </w:r>
      <w:r w:rsidR="00DF05FB" w:rsidRPr="00A23C0C">
        <w:rPr>
          <w:rFonts w:ascii="Book Antiqua" w:eastAsia="Book Antiqua" w:hAnsi="Book Antiqua" w:cs="Book Antiqua"/>
          <w:color w:val="000000"/>
        </w:rPr>
        <w:t>H</w:t>
      </w:r>
      <w:r w:rsidRPr="00A23C0C">
        <w:rPr>
          <w:rFonts w:ascii="Book Antiqua" w:eastAsia="Book Antiqua" w:hAnsi="Book Antiqua" w:cs="Book Antiqua"/>
          <w:color w:val="000000"/>
        </w:rPr>
        <w:t xml:space="preserve">yperthermic intraperitoneal chemotherapy; PIPAC: </w:t>
      </w:r>
      <w:r w:rsidR="00DF05FB" w:rsidRPr="00A23C0C">
        <w:rPr>
          <w:rFonts w:ascii="Book Antiqua" w:eastAsia="Book Antiqua" w:hAnsi="Book Antiqua" w:cs="Book Antiqua"/>
          <w:color w:val="000000"/>
        </w:rPr>
        <w:t>P</w:t>
      </w:r>
      <w:r w:rsidRPr="00A23C0C">
        <w:rPr>
          <w:rFonts w:ascii="Book Antiqua" w:eastAsia="Book Antiqua" w:hAnsi="Book Antiqua" w:cs="Book Antiqua"/>
          <w:color w:val="000000"/>
        </w:rPr>
        <w:t xml:space="preserve">ressurized intraperitoneal chemotherapy; IPC: </w:t>
      </w:r>
      <w:r w:rsidR="00DF05FB" w:rsidRPr="00A23C0C">
        <w:rPr>
          <w:rFonts w:ascii="Book Antiqua" w:eastAsia="Book Antiqua" w:hAnsi="Book Antiqua" w:cs="Book Antiqua"/>
          <w:color w:val="000000"/>
        </w:rPr>
        <w:t>I</w:t>
      </w:r>
      <w:r w:rsidRPr="00A23C0C">
        <w:rPr>
          <w:rFonts w:ascii="Book Antiqua" w:eastAsia="Book Antiqua" w:hAnsi="Book Antiqua" w:cs="Book Antiqua"/>
          <w:color w:val="000000"/>
        </w:rPr>
        <w:t xml:space="preserve">ntraperitoneal chemotherapy; EIPL: </w:t>
      </w:r>
      <w:r w:rsidR="00DF05FB" w:rsidRPr="00A23C0C">
        <w:rPr>
          <w:rFonts w:ascii="Book Antiqua" w:eastAsia="Book Antiqua" w:hAnsi="Book Antiqua" w:cs="Book Antiqua"/>
          <w:color w:val="000000"/>
        </w:rPr>
        <w:t>E</w:t>
      </w:r>
      <w:r w:rsidRPr="00A23C0C">
        <w:rPr>
          <w:rFonts w:ascii="Book Antiqua" w:eastAsia="Book Antiqua" w:hAnsi="Book Antiqua" w:cs="Book Antiqua"/>
          <w:color w:val="000000"/>
        </w:rPr>
        <w:t>xtensive peritoneal lavage</w:t>
      </w:r>
      <w:r w:rsidR="00DF05FB" w:rsidRPr="00A23C0C">
        <w:rPr>
          <w:rFonts w:ascii="Book Antiqua" w:eastAsia="Book Antiqua" w:hAnsi="Book Antiqua" w:cs="Book Antiqua"/>
          <w:color w:val="000000"/>
        </w:rPr>
        <w:t>.</w:t>
      </w:r>
    </w:p>
    <w:p w14:paraId="46483D97" w14:textId="77777777" w:rsidR="00C45DA1" w:rsidRPr="00A23C0C" w:rsidRDefault="00C45DA1">
      <w:pPr>
        <w:rPr>
          <w:rFonts w:ascii="Book Antiqua" w:eastAsia="Book Antiqua" w:hAnsi="Book Antiqua" w:cs="Book Antiqua"/>
          <w:color w:val="000000"/>
        </w:rPr>
      </w:pPr>
      <w:r w:rsidRPr="00A23C0C">
        <w:rPr>
          <w:rFonts w:ascii="Book Antiqua" w:eastAsia="Book Antiqua" w:hAnsi="Book Antiqua" w:cs="Book Antiqua"/>
          <w:color w:val="000000"/>
        </w:rPr>
        <w:br w:type="page"/>
      </w:r>
    </w:p>
    <w:p w14:paraId="5EB225C2" w14:textId="77777777" w:rsidR="00C45DA1" w:rsidRPr="00A23C0C" w:rsidRDefault="00C45DA1" w:rsidP="00C45DA1">
      <w:pPr>
        <w:jc w:val="center"/>
        <w:rPr>
          <w:rFonts w:ascii="Book Antiqua" w:hAnsi="Book Antiqua"/>
          <w:lang w:eastAsia="zh-CN"/>
        </w:rPr>
      </w:pPr>
    </w:p>
    <w:p w14:paraId="735F62A2" w14:textId="77777777" w:rsidR="00C45DA1" w:rsidRPr="00A23C0C" w:rsidRDefault="00C45DA1" w:rsidP="00C45DA1">
      <w:pPr>
        <w:jc w:val="center"/>
        <w:rPr>
          <w:rFonts w:ascii="Book Antiqua" w:hAnsi="Book Antiqua"/>
          <w:lang w:eastAsia="zh-CN"/>
        </w:rPr>
      </w:pPr>
    </w:p>
    <w:p w14:paraId="2D57D4EB" w14:textId="77777777" w:rsidR="00C45DA1" w:rsidRPr="00A23C0C" w:rsidRDefault="00C45DA1" w:rsidP="00C45DA1">
      <w:pPr>
        <w:jc w:val="center"/>
        <w:rPr>
          <w:rFonts w:ascii="Book Antiqua" w:hAnsi="Book Antiqua"/>
          <w:lang w:eastAsia="zh-CN"/>
        </w:rPr>
      </w:pPr>
    </w:p>
    <w:p w14:paraId="1D8FFCC9" w14:textId="77777777" w:rsidR="00C45DA1" w:rsidRPr="00A23C0C" w:rsidRDefault="00C45DA1" w:rsidP="00C45DA1">
      <w:pPr>
        <w:jc w:val="center"/>
        <w:rPr>
          <w:rFonts w:ascii="Book Antiqua" w:hAnsi="Book Antiqua"/>
          <w:lang w:eastAsia="zh-CN"/>
        </w:rPr>
      </w:pPr>
    </w:p>
    <w:p w14:paraId="37E17473" w14:textId="77777777" w:rsidR="00C45DA1" w:rsidRPr="00A23C0C" w:rsidRDefault="00C45DA1" w:rsidP="00C45DA1">
      <w:pPr>
        <w:jc w:val="center"/>
        <w:rPr>
          <w:rFonts w:ascii="Book Antiqua" w:hAnsi="Book Antiqua"/>
          <w:lang w:eastAsia="zh-CN"/>
        </w:rPr>
      </w:pPr>
    </w:p>
    <w:p w14:paraId="5F3D39EA" w14:textId="6142AA59" w:rsidR="00C45DA1" w:rsidRPr="00A23C0C" w:rsidRDefault="00C45DA1" w:rsidP="00C45DA1">
      <w:pPr>
        <w:jc w:val="center"/>
        <w:rPr>
          <w:rFonts w:ascii="Book Antiqua" w:hAnsi="Book Antiqua"/>
          <w:lang w:eastAsia="zh-CN"/>
        </w:rPr>
      </w:pPr>
      <w:r w:rsidRPr="00A23C0C">
        <w:rPr>
          <w:rFonts w:ascii="Book Antiqua" w:hAnsi="Book Antiqua"/>
          <w:noProof/>
          <w:lang w:eastAsia="zh-CN"/>
        </w:rPr>
        <w:drawing>
          <wp:inline distT="0" distB="0" distL="0" distR="0" wp14:anchorId="36847D33" wp14:editId="7162401E">
            <wp:extent cx="249555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4AE3B38D" w14:textId="77777777" w:rsidR="00C45DA1" w:rsidRPr="00A23C0C" w:rsidRDefault="00C45DA1" w:rsidP="00C45DA1">
      <w:pPr>
        <w:jc w:val="center"/>
        <w:rPr>
          <w:rFonts w:ascii="Book Antiqua" w:hAnsi="Book Antiqua"/>
          <w:lang w:eastAsia="zh-CN"/>
        </w:rPr>
      </w:pPr>
    </w:p>
    <w:p w14:paraId="1C6C177E" w14:textId="77777777" w:rsidR="00C45DA1" w:rsidRPr="00A23C0C" w:rsidRDefault="00C45DA1" w:rsidP="00C45DA1">
      <w:pPr>
        <w:autoSpaceDE w:val="0"/>
        <w:autoSpaceDN w:val="0"/>
        <w:adjustRightInd w:val="0"/>
        <w:jc w:val="center"/>
        <w:rPr>
          <w:rFonts w:ascii="Book Antiqua" w:eastAsia="Garamond-Bold" w:hAnsi="Book Antiqua" w:cs="Garamond-Bold"/>
          <w:b/>
          <w:bCs/>
          <w:color w:val="000000"/>
          <w:sz w:val="28"/>
          <w:szCs w:val="28"/>
        </w:rPr>
      </w:pPr>
      <w:r w:rsidRPr="00A23C0C">
        <w:rPr>
          <w:rFonts w:ascii="Book Antiqua" w:eastAsia="TimesNewRomanPSMT" w:hAnsi="Book Antiqua" w:cs="TimesNewRomanPSMT"/>
          <w:color w:val="000000"/>
          <w:sz w:val="28"/>
          <w:szCs w:val="28"/>
        </w:rPr>
        <w:t xml:space="preserve">Published by </w:t>
      </w:r>
      <w:r w:rsidRPr="00A23C0C">
        <w:rPr>
          <w:rFonts w:ascii="Book Antiqua" w:eastAsia="Garamond-Bold" w:hAnsi="Book Antiqua" w:cs="Garamond-Bold"/>
          <w:b/>
          <w:bCs/>
          <w:color w:val="000000"/>
          <w:sz w:val="28"/>
          <w:szCs w:val="28"/>
        </w:rPr>
        <w:t>Baishideng Publishing Group Inc</w:t>
      </w:r>
    </w:p>
    <w:p w14:paraId="79CE0C7E" w14:textId="77777777" w:rsidR="00C45DA1" w:rsidRPr="00A23C0C" w:rsidRDefault="00C45DA1" w:rsidP="00C45DA1">
      <w:pPr>
        <w:autoSpaceDE w:val="0"/>
        <w:autoSpaceDN w:val="0"/>
        <w:adjustRightInd w:val="0"/>
        <w:jc w:val="center"/>
        <w:rPr>
          <w:rFonts w:ascii="Book Antiqua" w:eastAsia="TimesNewRomanPSMT" w:hAnsi="Book Antiqua" w:cs="Garamond"/>
          <w:color w:val="000000"/>
          <w:sz w:val="28"/>
          <w:szCs w:val="28"/>
        </w:rPr>
      </w:pPr>
      <w:r w:rsidRPr="00A23C0C">
        <w:rPr>
          <w:rFonts w:ascii="Book Antiqua" w:eastAsia="TimesNewRomanPSMT" w:hAnsi="Book Antiqua" w:cs="Garamond"/>
          <w:color w:val="000000"/>
          <w:sz w:val="28"/>
          <w:szCs w:val="28"/>
        </w:rPr>
        <w:t>7041 Koll Center Parkway, Suite 160, Pleasanton, CA 94566, USA</w:t>
      </w:r>
    </w:p>
    <w:p w14:paraId="70C2482A" w14:textId="77777777" w:rsidR="00C45DA1" w:rsidRPr="00A23C0C" w:rsidRDefault="00C45DA1" w:rsidP="00C45DA1">
      <w:pPr>
        <w:autoSpaceDE w:val="0"/>
        <w:autoSpaceDN w:val="0"/>
        <w:adjustRightInd w:val="0"/>
        <w:jc w:val="center"/>
        <w:rPr>
          <w:rFonts w:ascii="Book Antiqua" w:eastAsia="TimesNewRomanPSMT" w:hAnsi="Book Antiqua" w:cs="Garamond"/>
          <w:color w:val="000000"/>
          <w:sz w:val="28"/>
          <w:szCs w:val="28"/>
        </w:rPr>
      </w:pPr>
      <w:r w:rsidRPr="00A23C0C">
        <w:rPr>
          <w:rFonts w:ascii="Book Antiqua" w:eastAsia="Garamond-Bold" w:hAnsi="Book Antiqua" w:cs="Garamond-Bold"/>
          <w:b/>
          <w:bCs/>
          <w:color w:val="000000"/>
          <w:sz w:val="28"/>
          <w:szCs w:val="28"/>
        </w:rPr>
        <w:t xml:space="preserve">Telephone: </w:t>
      </w:r>
      <w:r w:rsidRPr="00A23C0C">
        <w:rPr>
          <w:rFonts w:ascii="Book Antiqua" w:eastAsia="TimesNewRomanPSMT" w:hAnsi="Book Antiqua" w:cs="Garamond"/>
          <w:color w:val="000000"/>
          <w:sz w:val="28"/>
          <w:szCs w:val="28"/>
        </w:rPr>
        <w:t>+1-925-3991568</w:t>
      </w:r>
    </w:p>
    <w:p w14:paraId="68575FFA" w14:textId="77777777" w:rsidR="00C45DA1" w:rsidRPr="00A23C0C" w:rsidRDefault="00C45DA1" w:rsidP="00C45DA1">
      <w:pPr>
        <w:autoSpaceDE w:val="0"/>
        <w:autoSpaceDN w:val="0"/>
        <w:adjustRightInd w:val="0"/>
        <w:jc w:val="center"/>
        <w:rPr>
          <w:rFonts w:ascii="Book Antiqua" w:eastAsia="TimesNewRomanPSMT" w:hAnsi="Book Antiqua" w:cs="Garamond"/>
          <w:color w:val="D56400"/>
          <w:sz w:val="28"/>
          <w:szCs w:val="28"/>
        </w:rPr>
      </w:pPr>
      <w:r w:rsidRPr="00A23C0C">
        <w:rPr>
          <w:rFonts w:ascii="Book Antiqua" w:eastAsia="Garamond-Bold" w:hAnsi="Book Antiqua" w:cs="Garamond-Bold"/>
          <w:b/>
          <w:bCs/>
          <w:color w:val="000000"/>
          <w:sz w:val="28"/>
          <w:szCs w:val="28"/>
        </w:rPr>
        <w:t xml:space="preserve">E-mail: </w:t>
      </w:r>
      <w:r w:rsidRPr="00A23C0C">
        <w:rPr>
          <w:rFonts w:ascii="Book Antiqua" w:eastAsia="TimesNewRomanPSMT" w:hAnsi="Book Antiqua" w:cs="Garamond"/>
          <w:color w:val="D56400"/>
          <w:sz w:val="28"/>
          <w:szCs w:val="28"/>
        </w:rPr>
        <w:t>bpgoffice@wjgnet.com</w:t>
      </w:r>
    </w:p>
    <w:p w14:paraId="7B09E93C" w14:textId="77777777" w:rsidR="00C45DA1" w:rsidRPr="00A23C0C" w:rsidRDefault="00C45DA1" w:rsidP="00C45DA1">
      <w:pPr>
        <w:autoSpaceDE w:val="0"/>
        <w:autoSpaceDN w:val="0"/>
        <w:adjustRightInd w:val="0"/>
        <w:jc w:val="center"/>
        <w:rPr>
          <w:rFonts w:ascii="Book Antiqua" w:eastAsia="TimesNewRomanPSMT" w:hAnsi="Book Antiqua" w:cs="Garamond"/>
          <w:color w:val="D56400"/>
          <w:sz w:val="28"/>
          <w:szCs w:val="28"/>
        </w:rPr>
      </w:pPr>
      <w:r w:rsidRPr="00A23C0C">
        <w:rPr>
          <w:rFonts w:ascii="Book Antiqua" w:eastAsia="Garamond-Bold" w:hAnsi="Book Antiqua" w:cs="Garamond-Bold"/>
          <w:b/>
          <w:bCs/>
          <w:color w:val="000000"/>
          <w:sz w:val="28"/>
          <w:szCs w:val="28"/>
        </w:rPr>
        <w:t xml:space="preserve">Help Desk: </w:t>
      </w:r>
      <w:r w:rsidRPr="00A23C0C">
        <w:rPr>
          <w:rFonts w:ascii="Book Antiqua" w:eastAsia="TimesNewRomanPSMT" w:hAnsi="Book Antiqua" w:cs="Garamond"/>
          <w:color w:val="D56400"/>
          <w:sz w:val="28"/>
          <w:szCs w:val="28"/>
        </w:rPr>
        <w:t>https://www.f6publishing.com/helpdesk</w:t>
      </w:r>
    </w:p>
    <w:p w14:paraId="4645A6D2" w14:textId="77777777" w:rsidR="00C45DA1" w:rsidRPr="00A23C0C" w:rsidRDefault="00C45DA1" w:rsidP="00C45DA1">
      <w:pPr>
        <w:jc w:val="center"/>
        <w:rPr>
          <w:rFonts w:ascii="Book Antiqua" w:hAnsi="Book Antiqua"/>
          <w:lang w:eastAsia="zh-CN"/>
        </w:rPr>
      </w:pPr>
      <w:r w:rsidRPr="00A23C0C">
        <w:rPr>
          <w:rFonts w:ascii="Book Antiqua" w:eastAsia="TimesNewRomanPSMT" w:hAnsi="Book Antiqua" w:cs="Garamond"/>
          <w:color w:val="D56400"/>
          <w:sz w:val="28"/>
          <w:szCs w:val="28"/>
        </w:rPr>
        <w:t>https://www.wjgnet.com</w:t>
      </w:r>
    </w:p>
    <w:p w14:paraId="791DA239" w14:textId="77777777" w:rsidR="00C45DA1" w:rsidRPr="00A23C0C" w:rsidRDefault="00C45DA1" w:rsidP="00C45DA1">
      <w:pPr>
        <w:jc w:val="center"/>
        <w:rPr>
          <w:rFonts w:ascii="Book Antiqua" w:hAnsi="Book Antiqua"/>
          <w:lang w:eastAsia="zh-CN"/>
        </w:rPr>
      </w:pPr>
    </w:p>
    <w:p w14:paraId="00E5600B" w14:textId="77777777" w:rsidR="00C45DA1" w:rsidRPr="00A23C0C" w:rsidRDefault="00C45DA1" w:rsidP="00C45DA1">
      <w:pPr>
        <w:jc w:val="center"/>
        <w:rPr>
          <w:rFonts w:ascii="Book Antiqua" w:hAnsi="Book Antiqua"/>
          <w:lang w:eastAsia="zh-CN"/>
        </w:rPr>
      </w:pPr>
    </w:p>
    <w:p w14:paraId="7AA238DF" w14:textId="77777777" w:rsidR="00C45DA1" w:rsidRPr="00A23C0C" w:rsidRDefault="00C45DA1" w:rsidP="00C45DA1">
      <w:pPr>
        <w:jc w:val="center"/>
        <w:rPr>
          <w:rFonts w:ascii="Book Antiqua" w:hAnsi="Book Antiqua"/>
          <w:lang w:eastAsia="zh-CN"/>
        </w:rPr>
      </w:pPr>
    </w:p>
    <w:p w14:paraId="3C6CA9AA" w14:textId="33478750" w:rsidR="00C45DA1" w:rsidRPr="00A23C0C" w:rsidRDefault="00C45DA1" w:rsidP="00C45DA1">
      <w:pPr>
        <w:jc w:val="center"/>
        <w:rPr>
          <w:rFonts w:ascii="Book Antiqua" w:hAnsi="Book Antiqua"/>
          <w:lang w:eastAsia="zh-CN"/>
        </w:rPr>
      </w:pPr>
      <w:r w:rsidRPr="00A23C0C">
        <w:rPr>
          <w:rFonts w:ascii="Book Antiqua" w:hAnsi="Book Antiqua"/>
          <w:noProof/>
          <w:lang w:eastAsia="zh-CN"/>
        </w:rPr>
        <w:drawing>
          <wp:inline distT="0" distB="0" distL="0" distR="0" wp14:anchorId="13C3EEF0" wp14:editId="495A965F">
            <wp:extent cx="144780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2FB5BE4B" w14:textId="77777777" w:rsidR="00C45DA1" w:rsidRPr="00A23C0C" w:rsidRDefault="00C45DA1" w:rsidP="00C45DA1">
      <w:pPr>
        <w:jc w:val="center"/>
        <w:rPr>
          <w:rFonts w:ascii="Book Antiqua" w:hAnsi="Book Antiqua"/>
          <w:lang w:eastAsia="zh-CN"/>
        </w:rPr>
      </w:pPr>
    </w:p>
    <w:p w14:paraId="6A520D6C" w14:textId="77777777" w:rsidR="00C45DA1" w:rsidRPr="00A23C0C" w:rsidRDefault="00C45DA1" w:rsidP="00C45DA1">
      <w:pPr>
        <w:jc w:val="center"/>
        <w:rPr>
          <w:rFonts w:ascii="Book Antiqua" w:hAnsi="Book Antiqua"/>
          <w:lang w:eastAsia="zh-CN"/>
        </w:rPr>
      </w:pPr>
    </w:p>
    <w:p w14:paraId="68D9E1B1" w14:textId="77777777" w:rsidR="00C45DA1" w:rsidRPr="00A23C0C" w:rsidRDefault="00C45DA1" w:rsidP="00C45DA1">
      <w:pPr>
        <w:jc w:val="center"/>
        <w:rPr>
          <w:rFonts w:ascii="Book Antiqua" w:hAnsi="Book Antiqua"/>
          <w:lang w:eastAsia="zh-CN"/>
        </w:rPr>
      </w:pPr>
    </w:p>
    <w:p w14:paraId="09B42E01" w14:textId="77777777" w:rsidR="00C45DA1" w:rsidRPr="00A23C0C" w:rsidRDefault="00C45DA1" w:rsidP="00C45DA1">
      <w:pPr>
        <w:jc w:val="center"/>
        <w:rPr>
          <w:rFonts w:ascii="Book Antiqua" w:hAnsi="Book Antiqua"/>
          <w:lang w:eastAsia="zh-CN"/>
        </w:rPr>
      </w:pPr>
    </w:p>
    <w:p w14:paraId="605582A6" w14:textId="77777777" w:rsidR="00C45DA1" w:rsidRPr="00A23C0C" w:rsidRDefault="00C45DA1" w:rsidP="00C45DA1">
      <w:pPr>
        <w:jc w:val="center"/>
        <w:rPr>
          <w:rFonts w:ascii="Book Antiqua" w:hAnsi="Book Antiqua"/>
          <w:lang w:eastAsia="zh-CN"/>
        </w:rPr>
      </w:pPr>
    </w:p>
    <w:p w14:paraId="4B82138A" w14:textId="77777777" w:rsidR="00C45DA1" w:rsidRPr="00A23C0C" w:rsidRDefault="00C45DA1" w:rsidP="00C45DA1">
      <w:pPr>
        <w:jc w:val="center"/>
        <w:rPr>
          <w:rFonts w:ascii="Book Antiqua" w:hAnsi="Book Antiqua"/>
          <w:lang w:eastAsia="zh-CN"/>
        </w:rPr>
      </w:pPr>
    </w:p>
    <w:p w14:paraId="58346AED" w14:textId="77777777" w:rsidR="00C45DA1" w:rsidRPr="00A23C0C" w:rsidRDefault="00C45DA1" w:rsidP="00C45DA1">
      <w:pPr>
        <w:jc w:val="center"/>
        <w:rPr>
          <w:rFonts w:ascii="Book Antiqua" w:hAnsi="Book Antiqua"/>
          <w:lang w:eastAsia="zh-CN"/>
        </w:rPr>
      </w:pPr>
    </w:p>
    <w:p w14:paraId="6DF6DF1C" w14:textId="77777777" w:rsidR="00C45DA1" w:rsidRPr="00A23C0C" w:rsidRDefault="00C45DA1" w:rsidP="00C45DA1">
      <w:pPr>
        <w:jc w:val="center"/>
        <w:rPr>
          <w:rFonts w:ascii="Book Antiqua" w:hAnsi="Book Antiqua"/>
          <w:lang w:eastAsia="zh-CN"/>
        </w:rPr>
      </w:pPr>
    </w:p>
    <w:p w14:paraId="32DA2D48" w14:textId="77777777" w:rsidR="00C45DA1" w:rsidRPr="00A23C0C" w:rsidRDefault="00C45DA1" w:rsidP="00C45DA1">
      <w:pPr>
        <w:jc w:val="center"/>
        <w:rPr>
          <w:rFonts w:ascii="Book Antiqua" w:hAnsi="Book Antiqua"/>
          <w:lang w:eastAsia="zh-CN"/>
        </w:rPr>
      </w:pPr>
    </w:p>
    <w:p w14:paraId="77080396" w14:textId="77777777" w:rsidR="00C45DA1" w:rsidRPr="00A23C0C" w:rsidRDefault="00C45DA1" w:rsidP="00C45DA1">
      <w:pPr>
        <w:jc w:val="right"/>
        <w:rPr>
          <w:rFonts w:ascii="Book Antiqua" w:hAnsi="Book Antiqua"/>
          <w:color w:val="000000" w:themeColor="text1"/>
          <w:lang w:eastAsia="zh-CN"/>
        </w:rPr>
      </w:pPr>
    </w:p>
    <w:p w14:paraId="097E88EE" w14:textId="77777777" w:rsidR="00C45DA1" w:rsidRDefault="00C45DA1" w:rsidP="00C45DA1">
      <w:pPr>
        <w:jc w:val="center"/>
        <w:rPr>
          <w:rFonts w:ascii="Book Antiqua" w:hAnsi="Book Antiqua"/>
          <w:color w:val="000000" w:themeColor="text1"/>
          <w:lang w:eastAsia="zh-CN"/>
        </w:rPr>
      </w:pPr>
      <w:r w:rsidRPr="00A23C0C">
        <w:rPr>
          <w:rFonts w:ascii="Book Antiqua" w:eastAsia="BookAntiqua-Bold" w:hAnsi="Book Antiqua" w:cs="BookAntiqua-Bold"/>
          <w:b/>
          <w:bCs/>
          <w:color w:val="000000" w:themeColor="text1"/>
        </w:rPr>
        <w:t>© 2021 Baishideng Publishing Group Inc. All rights reserved.</w:t>
      </w:r>
      <w:r w:rsidRPr="00A23C0C">
        <w:rPr>
          <w:rFonts w:ascii="Book Antiqua" w:hAnsi="Book Antiqua"/>
          <w:color w:val="000000" w:themeColor="text1"/>
          <w:lang w:eastAsia="zh-CN"/>
        </w:rPr>
        <w:fldChar w:fldCharType="begin"/>
      </w:r>
      <w:r w:rsidRPr="00A23C0C">
        <w:rPr>
          <w:rFonts w:ascii="Book Antiqua" w:hAnsi="Book Antiqua"/>
          <w:color w:val="000000" w:themeColor="text1"/>
          <w:lang w:eastAsia="zh-CN"/>
        </w:rPr>
        <w:instrText xml:space="preserve"> ADDIN EN.REFLIST </w:instrText>
      </w:r>
      <w:r w:rsidRPr="00A23C0C">
        <w:rPr>
          <w:rFonts w:ascii="Book Antiqua" w:hAnsi="Book Antiqua"/>
          <w:color w:val="000000" w:themeColor="text1"/>
          <w:lang w:eastAsia="zh-CN"/>
        </w:rPr>
        <w:fldChar w:fldCharType="end"/>
      </w:r>
    </w:p>
    <w:p w14:paraId="29015752"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0A44" w14:textId="77777777" w:rsidR="00D822F2" w:rsidRDefault="00D822F2" w:rsidP="00CB18DA">
      <w:r>
        <w:separator/>
      </w:r>
    </w:p>
  </w:endnote>
  <w:endnote w:type="continuationSeparator" w:id="0">
    <w:p w14:paraId="2FA0093A" w14:textId="77777777" w:rsidR="00D822F2" w:rsidRDefault="00D822F2" w:rsidP="00CB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EE73" w14:textId="77777777" w:rsidR="00CB18DA" w:rsidRPr="00CB18DA" w:rsidRDefault="00CB18DA" w:rsidP="00CB18DA">
    <w:pPr>
      <w:pStyle w:val="a5"/>
      <w:jc w:val="right"/>
      <w:rPr>
        <w:rFonts w:ascii="Book Antiqua" w:hAnsi="Book Antiqua"/>
        <w:color w:val="000000" w:themeColor="text1"/>
        <w:sz w:val="24"/>
        <w:szCs w:val="24"/>
      </w:rPr>
    </w:pPr>
    <w:r w:rsidRPr="00CB18DA">
      <w:rPr>
        <w:rFonts w:ascii="Book Antiqua" w:hAnsi="Book Antiqua"/>
        <w:color w:val="000000" w:themeColor="text1"/>
        <w:sz w:val="24"/>
        <w:szCs w:val="24"/>
        <w:lang w:val="zh-CN" w:eastAsia="zh-CN"/>
      </w:rPr>
      <w:t xml:space="preserve"> </w:t>
    </w:r>
    <w:r w:rsidRPr="00CB18DA">
      <w:rPr>
        <w:rFonts w:ascii="Book Antiqua" w:hAnsi="Book Antiqua"/>
        <w:color w:val="000000" w:themeColor="text1"/>
        <w:sz w:val="24"/>
        <w:szCs w:val="24"/>
      </w:rPr>
      <w:fldChar w:fldCharType="begin"/>
    </w:r>
    <w:r w:rsidRPr="00CB18DA">
      <w:rPr>
        <w:rFonts w:ascii="Book Antiqua" w:hAnsi="Book Antiqua"/>
        <w:color w:val="000000" w:themeColor="text1"/>
        <w:sz w:val="24"/>
        <w:szCs w:val="24"/>
      </w:rPr>
      <w:instrText>PAGE  \* Arabic  \* MERGEFORMAT</w:instrText>
    </w:r>
    <w:r w:rsidRPr="00CB18DA">
      <w:rPr>
        <w:rFonts w:ascii="Book Antiqua" w:hAnsi="Book Antiqua"/>
        <w:color w:val="000000" w:themeColor="text1"/>
        <w:sz w:val="24"/>
        <w:szCs w:val="24"/>
      </w:rPr>
      <w:fldChar w:fldCharType="separate"/>
    </w:r>
    <w:r w:rsidR="00AC39CA" w:rsidRPr="00AC39CA">
      <w:rPr>
        <w:rFonts w:ascii="Book Antiqua" w:hAnsi="Book Antiqua"/>
        <w:noProof/>
        <w:color w:val="000000" w:themeColor="text1"/>
        <w:sz w:val="24"/>
        <w:szCs w:val="24"/>
        <w:lang w:val="zh-CN" w:eastAsia="zh-CN"/>
      </w:rPr>
      <w:t>23</w:t>
    </w:r>
    <w:r w:rsidRPr="00CB18DA">
      <w:rPr>
        <w:rFonts w:ascii="Book Antiqua" w:hAnsi="Book Antiqua"/>
        <w:color w:val="000000" w:themeColor="text1"/>
        <w:sz w:val="24"/>
        <w:szCs w:val="24"/>
      </w:rPr>
      <w:fldChar w:fldCharType="end"/>
    </w:r>
    <w:r w:rsidRPr="00CB18DA">
      <w:rPr>
        <w:rFonts w:ascii="Book Antiqua" w:hAnsi="Book Antiqua"/>
        <w:color w:val="000000" w:themeColor="text1"/>
        <w:sz w:val="24"/>
        <w:szCs w:val="24"/>
        <w:lang w:val="zh-CN" w:eastAsia="zh-CN"/>
      </w:rPr>
      <w:t xml:space="preserve"> / </w:t>
    </w:r>
    <w:r w:rsidRPr="00CB18DA">
      <w:rPr>
        <w:rFonts w:ascii="Book Antiqua" w:hAnsi="Book Antiqua"/>
        <w:color w:val="000000" w:themeColor="text1"/>
        <w:sz w:val="24"/>
        <w:szCs w:val="24"/>
      </w:rPr>
      <w:fldChar w:fldCharType="begin"/>
    </w:r>
    <w:r w:rsidRPr="00CB18DA">
      <w:rPr>
        <w:rFonts w:ascii="Book Antiqua" w:hAnsi="Book Antiqua"/>
        <w:color w:val="000000" w:themeColor="text1"/>
        <w:sz w:val="24"/>
        <w:szCs w:val="24"/>
      </w:rPr>
      <w:instrText>NUMPAGES  \* Arabic  \* MERGEFORMAT</w:instrText>
    </w:r>
    <w:r w:rsidRPr="00CB18DA">
      <w:rPr>
        <w:rFonts w:ascii="Book Antiqua" w:hAnsi="Book Antiqua"/>
        <w:color w:val="000000" w:themeColor="text1"/>
        <w:sz w:val="24"/>
        <w:szCs w:val="24"/>
      </w:rPr>
      <w:fldChar w:fldCharType="separate"/>
    </w:r>
    <w:r w:rsidR="00AC39CA" w:rsidRPr="00AC39CA">
      <w:rPr>
        <w:rFonts w:ascii="Book Antiqua" w:hAnsi="Book Antiqua"/>
        <w:noProof/>
        <w:color w:val="000000" w:themeColor="text1"/>
        <w:sz w:val="24"/>
        <w:szCs w:val="24"/>
        <w:lang w:val="zh-CN" w:eastAsia="zh-CN"/>
      </w:rPr>
      <w:t>26</w:t>
    </w:r>
    <w:r w:rsidRPr="00CB18DA">
      <w:rPr>
        <w:rFonts w:ascii="Book Antiqua" w:hAnsi="Book Antiqua"/>
        <w:color w:val="000000" w:themeColor="text1"/>
        <w:sz w:val="24"/>
        <w:szCs w:val="24"/>
      </w:rPr>
      <w:fldChar w:fldCharType="end"/>
    </w:r>
  </w:p>
  <w:p w14:paraId="03B08C65" w14:textId="77777777" w:rsidR="00CB18DA" w:rsidRDefault="00CB18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85B3" w14:textId="77777777" w:rsidR="00D822F2" w:rsidRDefault="00D822F2" w:rsidP="00CB18DA">
      <w:r>
        <w:separator/>
      </w:r>
    </w:p>
  </w:footnote>
  <w:footnote w:type="continuationSeparator" w:id="0">
    <w:p w14:paraId="4062395F" w14:textId="77777777" w:rsidR="00D822F2" w:rsidRDefault="00D822F2" w:rsidP="00CB1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0NzAwNzYxNDMwMDVQ0lEKTi0uzszPAykwrAUAc6GPSCwAAAA="/>
  </w:docVars>
  <w:rsids>
    <w:rsidRoot w:val="00A77B3E"/>
    <w:rsid w:val="00015AFB"/>
    <w:rsid w:val="000C2917"/>
    <w:rsid w:val="00184482"/>
    <w:rsid w:val="001E3BD1"/>
    <w:rsid w:val="00441B03"/>
    <w:rsid w:val="004F0699"/>
    <w:rsid w:val="00506926"/>
    <w:rsid w:val="005763DB"/>
    <w:rsid w:val="005C1A34"/>
    <w:rsid w:val="00640ADB"/>
    <w:rsid w:val="006B1C58"/>
    <w:rsid w:val="00766A12"/>
    <w:rsid w:val="00786C7F"/>
    <w:rsid w:val="00787651"/>
    <w:rsid w:val="00845D11"/>
    <w:rsid w:val="00932A6A"/>
    <w:rsid w:val="00A23C0C"/>
    <w:rsid w:val="00A429CD"/>
    <w:rsid w:val="00A747B6"/>
    <w:rsid w:val="00A77B3E"/>
    <w:rsid w:val="00A96DFA"/>
    <w:rsid w:val="00A9788E"/>
    <w:rsid w:val="00AC39CA"/>
    <w:rsid w:val="00B42962"/>
    <w:rsid w:val="00C04B0D"/>
    <w:rsid w:val="00C45DA1"/>
    <w:rsid w:val="00CA2A55"/>
    <w:rsid w:val="00CA7BA6"/>
    <w:rsid w:val="00CB18DA"/>
    <w:rsid w:val="00CF527A"/>
    <w:rsid w:val="00D822F2"/>
    <w:rsid w:val="00DC5CF1"/>
    <w:rsid w:val="00DF05FB"/>
    <w:rsid w:val="00F31461"/>
    <w:rsid w:val="00F50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6B294"/>
  <w15:docId w15:val="{408308F7-4091-4DE7-8336-DD4B0F22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18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B18DA"/>
    <w:rPr>
      <w:sz w:val="18"/>
      <w:szCs w:val="18"/>
    </w:rPr>
  </w:style>
  <w:style w:type="paragraph" w:styleId="a5">
    <w:name w:val="footer"/>
    <w:basedOn w:val="a"/>
    <w:link w:val="a6"/>
    <w:uiPriority w:val="99"/>
    <w:unhideWhenUsed/>
    <w:rsid w:val="00CB18DA"/>
    <w:pPr>
      <w:tabs>
        <w:tab w:val="center" w:pos="4153"/>
        <w:tab w:val="right" w:pos="8306"/>
      </w:tabs>
      <w:snapToGrid w:val="0"/>
    </w:pPr>
    <w:rPr>
      <w:sz w:val="18"/>
      <w:szCs w:val="18"/>
    </w:rPr>
  </w:style>
  <w:style w:type="character" w:customStyle="1" w:styleId="a6">
    <w:name w:val="页脚 字符"/>
    <w:basedOn w:val="a0"/>
    <w:link w:val="a5"/>
    <w:uiPriority w:val="99"/>
    <w:rsid w:val="00CB18DA"/>
    <w:rPr>
      <w:sz w:val="18"/>
      <w:szCs w:val="18"/>
    </w:rPr>
  </w:style>
  <w:style w:type="paragraph" w:styleId="a7">
    <w:name w:val="Balloon Text"/>
    <w:basedOn w:val="a"/>
    <w:link w:val="a8"/>
    <w:rsid w:val="00640ADB"/>
    <w:rPr>
      <w:sz w:val="18"/>
      <w:szCs w:val="18"/>
    </w:rPr>
  </w:style>
  <w:style w:type="character" w:customStyle="1" w:styleId="a8">
    <w:name w:val="批注框文本 字符"/>
    <w:basedOn w:val="a0"/>
    <w:link w:val="a7"/>
    <w:rsid w:val="00640ADB"/>
    <w:rPr>
      <w:sz w:val="18"/>
      <w:szCs w:val="18"/>
    </w:rPr>
  </w:style>
  <w:style w:type="paragraph" w:styleId="a9">
    <w:name w:val="Revision"/>
    <w:hidden/>
    <w:uiPriority w:val="99"/>
    <w:semiHidden/>
    <w:rsid w:val="00932A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3399">
      <w:bodyDiv w:val="1"/>
      <w:marLeft w:val="0"/>
      <w:marRight w:val="0"/>
      <w:marTop w:val="0"/>
      <w:marBottom w:val="0"/>
      <w:divBdr>
        <w:top w:val="none" w:sz="0" w:space="0" w:color="auto"/>
        <w:left w:val="none" w:sz="0" w:space="0" w:color="auto"/>
        <w:bottom w:val="none" w:sz="0" w:space="0" w:color="auto"/>
        <w:right w:val="none" w:sz="0" w:space="0" w:color="auto"/>
      </w:divBdr>
    </w:div>
    <w:div w:id="189030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28</Pages>
  <Words>7331</Words>
  <Characters>41791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9</cp:revision>
  <dcterms:created xsi:type="dcterms:W3CDTF">2021-10-31T16:11:00Z</dcterms:created>
  <dcterms:modified xsi:type="dcterms:W3CDTF">2021-11-04T08:36:00Z</dcterms:modified>
</cp:coreProperties>
</file>